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5F41" w14:textId="77777777" w:rsidR="006A6D1C" w:rsidRDefault="006D3EE0" w:rsidP="006A6D1C">
      <w:pPr>
        <w:spacing w:after="0" w:line="240" w:lineRule="auto"/>
        <w:rPr>
          <w:rFonts w:eastAsia="Times New Roman"/>
          <w:sz w:val="36"/>
          <w:szCs w:val="36"/>
          <w:lang w:eastAsia="en-GB"/>
        </w:rPr>
      </w:pPr>
      <w:r>
        <w:rPr>
          <w:rFonts w:eastAsia="Times New Roman"/>
          <w:sz w:val="48"/>
          <w:szCs w:val="48"/>
          <w:lang w:eastAsia="en-GB"/>
        </w:rPr>
        <w:t xml:space="preserve">ERDF </w:t>
      </w:r>
      <w:r w:rsidR="00C744C6">
        <w:rPr>
          <w:rFonts w:eastAsia="Times New Roman"/>
          <w:sz w:val="48"/>
          <w:szCs w:val="48"/>
          <w:lang w:eastAsia="en-GB"/>
        </w:rPr>
        <w:t xml:space="preserve">Summative </w:t>
      </w:r>
      <w:r w:rsidR="006A6D1C">
        <w:rPr>
          <w:rFonts w:eastAsia="Times New Roman"/>
          <w:sz w:val="48"/>
          <w:szCs w:val="48"/>
          <w:lang w:eastAsia="en-GB"/>
        </w:rPr>
        <w:t>Assessment</w:t>
      </w:r>
      <w:r w:rsidR="006A6D1C" w:rsidRPr="004F09E0">
        <w:rPr>
          <w:rFonts w:eastAsia="Times New Roman"/>
          <w:sz w:val="48"/>
          <w:szCs w:val="48"/>
          <w:lang w:eastAsia="en-GB"/>
        </w:rPr>
        <w:t xml:space="preserve"> </w:t>
      </w:r>
      <w:r w:rsidR="00C744C6">
        <w:rPr>
          <w:rFonts w:eastAsia="Times New Roman"/>
          <w:sz w:val="48"/>
          <w:szCs w:val="48"/>
          <w:lang w:eastAsia="en-GB"/>
        </w:rPr>
        <w:t xml:space="preserve">Plan </w:t>
      </w:r>
      <w:r w:rsidR="006A6D1C" w:rsidRPr="004F09E0">
        <w:rPr>
          <w:rFonts w:eastAsia="Times New Roman"/>
          <w:sz w:val="48"/>
          <w:szCs w:val="48"/>
          <w:lang w:eastAsia="en-GB"/>
        </w:rPr>
        <w:t>Form</w:t>
      </w:r>
      <w:r w:rsidR="006A6D1C">
        <w:rPr>
          <w:rFonts w:eastAsia="Times New Roman"/>
          <w:sz w:val="48"/>
          <w:szCs w:val="48"/>
          <w:lang w:eastAsia="en-GB"/>
        </w:rPr>
        <w:t xml:space="preserve"> </w:t>
      </w:r>
    </w:p>
    <w:p w14:paraId="2D5811B0" w14:textId="77777777" w:rsidR="006A6D1C" w:rsidRPr="00744D88" w:rsidRDefault="006A6D1C" w:rsidP="006A6D1C">
      <w:pPr>
        <w:spacing w:after="0" w:line="240" w:lineRule="auto"/>
        <w:rPr>
          <w:rFonts w:eastAsia="Times New Roman"/>
          <w:sz w:val="36"/>
          <w:szCs w:val="36"/>
          <w:lang w:eastAsia="en-GB"/>
        </w:rPr>
      </w:pPr>
      <w:r w:rsidRPr="00744D88">
        <w:rPr>
          <w:rFonts w:eastAsia="Times New Roman"/>
          <w:sz w:val="36"/>
          <w:szCs w:val="36"/>
          <w:lang w:eastAsia="en-GB"/>
        </w:rPr>
        <w:t>ESIF</w:t>
      </w:r>
      <w:r>
        <w:rPr>
          <w:rFonts w:eastAsia="Times New Roman"/>
          <w:sz w:val="36"/>
          <w:szCs w:val="36"/>
          <w:lang w:eastAsia="en-GB"/>
        </w:rPr>
        <w:t>-Form-</w:t>
      </w:r>
      <w:r w:rsidR="00901FD5">
        <w:rPr>
          <w:rFonts w:eastAsia="Times New Roman"/>
          <w:sz w:val="36"/>
          <w:szCs w:val="36"/>
          <w:lang w:eastAsia="en-GB"/>
        </w:rPr>
        <w:t>1-012</w:t>
      </w:r>
    </w:p>
    <w:p w14:paraId="26AB54F2" w14:textId="77777777" w:rsidR="00367CF0" w:rsidRDefault="00367CF0" w:rsidP="006A6D1C">
      <w:pPr>
        <w:spacing w:after="0" w:line="240" w:lineRule="auto"/>
        <w:rPr>
          <w:rFonts w:eastAsia="Times New Roman"/>
          <w:b/>
          <w:sz w:val="32"/>
          <w:szCs w:val="32"/>
          <w:lang w:eastAsia="en-GB"/>
        </w:rPr>
      </w:pPr>
    </w:p>
    <w:p w14:paraId="15E690BF" w14:textId="77777777" w:rsidR="006A6D1C" w:rsidRDefault="006A6D1C" w:rsidP="006A6D1C">
      <w:pPr>
        <w:spacing w:after="0" w:line="240" w:lineRule="auto"/>
        <w:rPr>
          <w:rFonts w:eastAsia="Times New Roman"/>
          <w:b/>
          <w:sz w:val="32"/>
          <w:szCs w:val="32"/>
          <w:lang w:eastAsia="en-GB"/>
        </w:rPr>
      </w:pPr>
      <w:r w:rsidRPr="000E1DFF">
        <w:rPr>
          <w:rFonts w:eastAsia="Times New Roman"/>
          <w:b/>
          <w:sz w:val="32"/>
          <w:szCs w:val="32"/>
          <w:lang w:eastAsia="en-GB"/>
        </w:rPr>
        <w:t>Part 1</w:t>
      </w:r>
      <w:r>
        <w:rPr>
          <w:rFonts w:eastAsia="Times New Roman"/>
          <w:b/>
          <w:sz w:val="32"/>
          <w:szCs w:val="32"/>
          <w:lang w:eastAsia="en-GB"/>
        </w:rPr>
        <w:t xml:space="preserve"> Project Summary </w:t>
      </w:r>
    </w:p>
    <w:p w14:paraId="494BB824" w14:textId="77777777" w:rsidR="006A6D1C" w:rsidRPr="00D802F5" w:rsidRDefault="006A6D1C" w:rsidP="006A6D1C">
      <w:pPr>
        <w:spacing w:after="0" w:line="240" w:lineRule="auto"/>
        <w:rPr>
          <w:rFonts w:eastAsia="Times New Roman"/>
          <w:b/>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3"/>
        <w:gridCol w:w="7"/>
        <w:gridCol w:w="2410"/>
        <w:gridCol w:w="3402"/>
      </w:tblGrid>
      <w:tr w:rsidR="009D37F1" w:rsidRPr="00424B18" w14:paraId="63750E57" w14:textId="77777777" w:rsidTr="00514AE6">
        <w:trPr>
          <w:trHeight w:val="294"/>
        </w:trPr>
        <w:tc>
          <w:tcPr>
            <w:tcW w:w="9322" w:type="dxa"/>
            <w:gridSpan w:val="4"/>
            <w:shd w:val="clear" w:color="auto" w:fill="auto"/>
            <w:vAlign w:val="center"/>
          </w:tcPr>
          <w:p w14:paraId="78E4253A" w14:textId="77777777" w:rsidR="009D37F1" w:rsidRPr="00424B18" w:rsidRDefault="006816E8" w:rsidP="006816E8">
            <w:pPr>
              <w:jc w:val="both"/>
              <w:rPr>
                <w:b/>
              </w:rPr>
            </w:pPr>
            <w:r w:rsidRPr="00424B18">
              <w:rPr>
                <w:b/>
              </w:rPr>
              <w:t>1.1</w:t>
            </w:r>
            <w:r w:rsidR="009D37F1" w:rsidRPr="00424B18">
              <w:rPr>
                <w:b/>
              </w:rPr>
              <w:t xml:space="preserve"> Applicant Details</w:t>
            </w:r>
          </w:p>
        </w:tc>
      </w:tr>
      <w:tr w:rsidR="006A6D1C" w:rsidRPr="00424B18" w14:paraId="52EAAAEC" w14:textId="77777777" w:rsidTr="00391C22">
        <w:trPr>
          <w:trHeight w:val="450"/>
        </w:trPr>
        <w:tc>
          <w:tcPr>
            <w:tcW w:w="3503" w:type="dxa"/>
            <w:shd w:val="clear" w:color="auto" w:fill="auto"/>
          </w:tcPr>
          <w:p w14:paraId="1CB40B94" w14:textId="77777777" w:rsidR="006A6D1C" w:rsidRPr="00424B18" w:rsidRDefault="006A6D1C" w:rsidP="006A6D1C">
            <w:r w:rsidRPr="00424B18">
              <w:t>Applicant Organisation</w:t>
            </w:r>
          </w:p>
        </w:tc>
        <w:sdt>
          <w:sdtPr>
            <w:tag w:val="ApplicantOrganisation"/>
            <w:id w:val="-1240630813"/>
            <w:placeholder>
              <w:docPart w:val="753E6122BC1741628C1CD574B45CE0D5"/>
            </w:placeholder>
          </w:sdtPr>
          <w:sdtEndPr/>
          <w:sdtContent>
            <w:tc>
              <w:tcPr>
                <w:tcW w:w="5819" w:type="dxa"/>
                <w:gridSpan w:val="3"/>
                <w:shd w:val="clear" w:color="auto" w:fill="FFFFFF" w:themeFill="background1"/>
              </w:tcPr>
              <w:p w14:paraId="422CFCCA" w14:textId="2BE9EEB7" w:rsidR="006A6D1C" w:rsidRPr="00424B18" w:rsidRDefault="00C95BD6" w:rsidP="006460B5">
                <w:r w:rsidRPr="00424B18">
                  <w:t>Cornwall Development Company</w:t>
                </w:r>
              </w:p>
            </w:tc>
          </w:sdtContent>
        </w:sdt>
      </w:tr>
      <w:tr w:rsidR="006A6D1C" w:rsidRPr="00424B18" w14:paraId="0950DAE8" w14:textId="77777777" w:rsidTr="00391C22">
        <w:trPr>
          <w:trHeight w:val="447"/>
        </w:trPr>
        <w:tc>
          <w:tcPr>
            <w:tcW w:w="3503" w:type="dxa"/>
            <w:shd w:val="clear" w:color="auto" w:fill="auto"/>
          </w:tcPr>
          <w:p w14:paraId="0FABFBE6" w14:textId="77777777" w:rsidR="006A6D1C" w:rsidRPr="00424B18" w:rsidRDefault="006A6D1C" w:rsidP="006A6D1C">
            <w:r w:rsidRPr="00424B18">
              <w:t>Project Name</w:t>
            </w:r>
          </w:p>
        </w:tc>
        <w:sdt>
          <w:sdtPr>
            <w:tag w:val="ProjectName"/>
            <w:id w:val="1992524396"/>
            <w:placeholder>
              <w:docPart w:val="10D21CB85400453B8ACB735C8F4CA2E3"/>
            </w:placeholder>
          </w:sdtPr>
          <w:sdtEndPr/>
          <w:sdtContent>
            <w:tc>
              <w:tcPr>
                <w:tcW w:w="5819" w:type="dxa"/>
                <w:gridSpan w:val="3"/>
                <w:shd w:val="clear" w:color="auto" w:fill="FFFFFF" w:themeFill="background1"/>
              </w:tcPr>
              <w:p w14:paraId="53EB6A10" w14:textId="537E6F2D" w:rsidR="006A6D1C" w:rsidRPr="00424B18" w:rsidRDefault="00C95BD6" w:rsidP="006460B5">
                <w:r w:rsidRPr="00424B18">
                  <w:t>CIOS Growth Hub Phase 2</w:t>
                </w:r>
              </w:p>
            </w:tc>
          </w:sdtContent>
        </w:sdt>
      </w:tr>
      <w:tr w:rsidR="001C3887" w:rsidRPr="00424B18" w14:paraId="6F700793" w14:textId="77777777" w:rsidTr="00391C22">
        <w:trPr>
          <w:trHeight w:val="447"/>
        </w:trPr>
        <w:tc>
          <w:tcPr>
            <w:tcW w:w="3503" w:type="dxa"/>
            <w:shd w:val="clear" w:color="auto" w:fill="auto"/>
          </w:tcPr>
          <w:p w14:paraId="31F1B4A2" w14:textId="231838D5" w:rsidR="001C3887" w:rsidRPr="00424B18" w:rsidRDefault="001C3887" w:rsidP="006A6D1C">
            <w:r w:rsidRPr="00424B18">
              <w:t>Project Reference Number</w:t>
            </w:r>
          </w:p>
        </w:tc>
        <w:sdt>
          <w:sdtPr>
            <w:tag w:val="ProjectName"/>
            <w:id w:val="445207474"/>
            <w:placeholder>
              <w:docPart w:val="EEDC5B3566C84EEBBE96AC37F62DA3FF"/>
            </w:placeholder>
            <w:showingPlcHdr/>
          </w:sdtPr>
          <w:sdtEndPr/>
          <w:sdtContent>
            <w:tc>
              <w:tcPr>
                <w:tcW w:w="5819" w:type="dxa"/>
                <w:gridSpan w:val="3"/>
                <w:shd w:val="clear" w:color="auto" w:fill="FFFFFF" w:themeFill="background1"/>
              </w:tcPr>
              <w:p w14:paraId="20AB873E" w14:textId="1DB7B1AE" w:rsidR="001C3887" w:rsidRPr="00424B18" w:rsidRDefault="001C3887" w:rsidP="006460B5">
                <w:r w:rsidRPr="00424B18">
                  <w:rPr>
                    <w:rStyle w:val="PlaceholderText"/>
                  </w:rPr>
                  <w:t>Click here to enter text.</w:t>
                </w:r>
              </w:p>
            </w:tc>
          </w:sdtContent>
        </w:sdt>
      </w:tr>
      <w:tr w:rsidR="009D4F43" w:rsidRPr="00424B18" w14:paraId="64261058" w14:textId="77777777" w:rsidTr="00901FD5">
        <w:trPr>
          <w:trHeight w:val="550"/>
        </w:trPr>
        <w:tc>
          <w:tcPr>
            <w:tcW w:w="3503" w:type="dxa"/>
            <w:shd w:val="clear" w:color="auto" w:fill="auto"/>
          </w:tcPr>
          <w:p w14:paraId="7DEAA9C1" w14:textId="77777777" w:rsidR="009D4F43" w:rsidRPr="00424B18" w:rsidRDefault="009D4F43" w:rsidP="00156505">
            <w:pPr>
              <w:keepNext/>
              <w:spacing w:before="80" w:after="80" w:line="260" w:lineRule="atLeast"/>
              <w:rPr>
                <w:rFonts w:eastAsia="Times New Roman"/>
                <w:lang w:eastAsia="en-GB"/>
              </w:rPr>
            </w:pPr>
            <w:r w:rsidRPr="00424B18">
              <w:rPr>
                <w:rFonts w:eastAsia="Times New Roman"/>
                <w:lang w:eastAsia="en-GB"/>
              </w:rPr>
              <w:t>Programme Priority Axis</w:t>
            </w:r>
          </w:p>
        </w:tc>
        <w:sdt>
          <w:sdtPr>
            <w:rPr>
              <w:i/>
            </w:rPr>
            <w:tag w:val="PriorityAxis"/>
            <w:id w:val="-1661302023"/>
            <w:placeholder>
              <w:docPart w:val="CB62971C0162424FA071CAD489FB5BD0"/>
            </w:placeholder>
          </w:sdtPr>
          <w:sdtEndPr/>
          <w:sdtContent>
            <w:tc>
              <w:tcPr>
                <w:tcW w:w="5819" w:type="dxa"/>
                <w:gridSpan w:val="3"/>
                <w:shd w:val="clear" w:color="auto" w:fill="FFFFFF" w:themeFill="background1"/>
              </w:tcPr>
              <w:p w14:paraId="2E7F4926" w14:textId="3A13FC9B" w:rsidR="009D4F43" w:rsidRPr="00424B18" w:rsidRDefault="00C95BD6" w:rsidP="006460B5">
                <w:pPr>
                  <w:keepNext/>
                  <w:spacing w:before="80" w:after="80" w:line="260" w:lineRule="atLeast"/>
                  <w:rPr>
                    <w:color w:val="FF0000"/>
                  </w:rPr>
                </w:pPr>
                <w:r w:rsidRPr="00424B18">
                  <w:rPr>
                    <w:i/>
                  </w:rPr>
                  <w:t>PA</w:t>
                </w:r>
                <w:r w:rsidR="00C0061A" w:rsidRPr="00424B18">
                  <w:rPr>
                    <w:i/>
                  </w:rPr>
                  <w:t>3</w:t>
                </w:r>
              </w:p>
            </w:tc>
          </w:sdtContent>
        </w:sdt>
      </w:tr>
      <w:tr w:rsidR="009D4F43" w:rsidRPr="00424B18" w14:paraId="6EBA3602" w14:textId="77777777" w:rsidTr="00391C22">
        <w:trPr>
          <w:trHeight w:val="842"/>
        </w:trPr>
        <w:tc>
          <w:tcPr>
            <w:tcW w:w="3503" w:type="dxa"/>
            <w:shd w:val="clear" w:color="auto" w:fill="auto"/>
          </w:tcPr>
          <w:p w14:paraId="234DDC22" w14:textId="77777777" w:rsidR="009D4F43" w:rsidRPr="00424B18" w:rsidRDefault="009D4F43" w:rsidP="006816E8">
            <w:pPr>
              <w:keepNext/>
              <w:spacing w:before="80" w:after="80" w:line="260" w:lineRule="atLeast"/>
              <w:rPr>
                <w:rFonts w:eastAsia="Times New Roman"/>
                <w:lang w:eastAsia="en-GB"/>
              </w:rPr>
            </w:pPr>
            <w:r w:rsidRPr="00424B18">
              <w:rPr>
                <w:rFonts w:eastAsia="Times New Roman"/>
                <w:lang w:eastAsia="en-GB"/>
              </w:rPr>
              <w:t xml:space="preserve">Name of </w:t>
            </w:r>
            <w:r w:rsidR="009E3D7C" w:rsidRPr="00424B18">
              <w:rPr>
                <w:rFonts w:eastAsia="Times New Roman"/>
                <w:lang w:eastAsia="en-GB"/>
              </w:rPr>
              <w:t>ERDF</w:t>
            </w:r>
            <w:r w:rsidR="006816E8" w:rsidRPr="00424B18">
              <w:rPr>
                <w:rFonts w:eastAsia="Times New Roman"/>
                <w:lang w:eastAsia="en-GB"/>
              </w:rPr>
              <w:t xml:space="preserve"> </w:t>
            </w:r>
            <w:r w:rsidRPr="00424B18">
              <w:rPr>
                <w:rFonts w:eastAsia="Times New Roman"/>
                <w:lang w:eastAsia="en-GB"/>
              </w:rPr>
              <w:t>Investment Priority</w:t>
            </w:r>
          </w:p>
        </w:tc>
        <w:sdt>
          <w:sdtPr>
            <w:tag w:val="ESIFInvestmentPriority"/>
            <w:id w:val="481817058"/>
            <w:placeholder>
              <w:docPart w:val="18281F70C09A434CA011AB40A53CFF48"/>
            </w:placeholder>
          </w:sdtPr>
          <w:sdtEndPr/>
          <w:sdtContent>
            <w:tc>
              <w:tcPr>
                <w:tcW w:w="5819" w:type="dxa"/>
                <w:gridSpan w:val="3"/>
                <w:shd w:val="clear" w:color="auto" w:fill="FFFFFF" w:themeFill="background1"/>
              </w:tcPr>
              <w:p w14:paraId="7D02C7DC" w14:textId="0EA09711" w:rsidR="009D4F43" w:rsidRPr="00424B18" w:rsidRDefault="007F3414" w:rsidP="006460B5">
                <w:pPr>
                  <w:keepNext/>
                  <w:spacing w:before="80" w:after="80" w:line="260" w:lineRule="atLeast"/>
                  <w:rPr>
                    <w:color w:val="FF0000"/>
                  </w:rPr>
                </w:pPr>
                <w:r w:rsidRPr="00424B18">
                  <w:t>IP3d</w:t>
                </w:r>
              </w:p>
            </w:tc>
          </w:sdtContent>
        </w:sdt>
      </w:tr>
      <w:tr w:rsidR="009D4F43" w:rsidRPr="00424B18" w14:paraId="167997B1" w14:textId="77777777" w:rsidTr="00901FD5">
        <w:trPr>
          <w:trHeight w:val="557"/>
        </w:trPr>
        <w:tc>
          <w:tcPr>
            <w:tcW w:w="3503" w:type="dxa"/>
            <w:shd w:val="clear" w:color="auto" w:fill="auto"/>
          </w:tcPr>
          <w:p w14:paraId="78B6EAED" w14:textId="77777777" w:rsidR="009D4F43" w:rsidRPr="00424B18" w:rsidRDefault="009D4F43" w:rsidP="00156505">
            <w:pPr>
              <w:keepNext/>
              <w:spacing w:before="80" w:after="80" w:line="260" w:lineRule="atLeast"/>
              <w:rPr>
                <w:rFonts w:eastAsia="Times New Roman"/>
                <w:lang w:eastAsia="en-GB"/>
              </w:rPr>
            </w:pPr>
            <w:r w:rsidRPr="00424B18">
              <w:rPr>
                <w:rFonts w:eastAsia="Times New Roman"/>
                <w:lang w:eastAsia="en-GB"/>
              </w:rPr>
              <w:t>LEP Area (s) covered</w:t>
            </w:r>
          </w:p>
        </w:tc>
        <w:sdt>
          <w:sdtPr>
            <w:rPr>
              <w:color w:val="FF0000"/>
            </w:rPr>
            <w:tag w:val="LEPsCovered"/>
            <w:id w:val="-637883933"/>
            <w:placeholder>
              <w:docPart w:val="921CBD03C27547F9A7B669C97FB2992B"/>
            </w:placeholder>
          </w:sdtPr>
          <w:sdtEndPr/>
          <w:sdtContent>
            <w:tc>
              <w:tcPr>
                <w:tcW w:w="5819" w:type="dxa"/>
                <w:gridSpan w:val="3"/>
                <w:shd w:val="clear" w:color="auto" w:fill="FFFFFF" w:themeFill="background1"/>
              </w:tcPr>
              <w:p w14:paraId="1C5F7E36" w14:textId="2E81D39C" w:rsidR="009D4F43" w:rsidRPr="00424B18" w:rsidRDefault="007F3414" w:rsidP="006460B5">
                <w:pPr>
                  <w:keepNext/>
                  <w:spacing w:before="80" w:after="80" w:line="260" w:lineRule="atLeast"/>
                  <w:rPr>
                    <w:color w:val="FF0000"/>
                  </w:rPr>
                </w:pPr>
                <w:r w:rsidRPr="00CC4C91">
                  <w:rPr>
                    <w:color w:val="000000" w:themeColor="text1"/>
                  </w:rPr>
                  <w:t>Cornwall</w:t>
                </w:r>
                <w:r w:rsidR="00C0061A" w:rsidRPr="00CC4C91">
                  <w:rPr>
                    <w:color w:val="000000" w:themeColor="text1"/>
                  </w:rPr>
                  <w:t xml:space="preserve"> &amp; Isles of Scilly</w:t>
                </w:r>
              </w:p>
            </w:tc>
          </w:sdtContent>
        </w:sdt>
      </w:tr>
      <w:tr w:rsidR="00883609" w:rsidRPr="00424B18" w14:paraId="18EB62EA" w14:textId="77777777" w:rsidTr="00391C22">
        <w:trPr>
          <w:trHeight w:val="599"/>
        </w:trPr>
        <w:tc>
          <w:tcPr>
            <w:tcW w:w="3503" w:type="dxa"/>
            <w:shd w:val="clear" w:color="auto" w:fill="auto"/>
          </w:tcPr>
          <w:p w14:paraId="51BD0C02" w14:textId="77777777" w:rsidR="00883609" w:rsidRPr="00424B18" w:rsidRDefault="00883609" w:rsidP="006A6D1C">
            <w:r w:rsidRPr="00424B18">
              <w:t>Total Project Value (£)</w:t>
            </w:r>
          </w:p>
        </w:tc>
        <w:sdt>
          <w:sdtPr>
            <w:tag w:val="TotalESIF"/>
            <w:id w:val="838577336"/>
            <w:placeholder>
              <w:docPart w:val="A9722A339BBE4D14A02842FEC189F4F2"/>
            </w:placeholder>
          </w:sdtPr>
          <w:sdtEndPr/>
          <w:sdtContent>
            <w:tc>
              <w:tcPr>
                <w:tcW w:w="5819" w:type="dxa"/>
                <w:gridSpan w:val="3"/>
                <w:shd w:val="clear" w:color="auto" w:fill="FFFFFF" w:themeFill="background1"/>
              </w:tcPr>
              <w:p w14:paraId="5C829718" w14:textId="170D2043" w:rsidR="00883609" w:rsidRPr="00424B18" w:rsidRDefault="00B27DA3" w:rsidP="006460B5">
                <w:r w:rsidRPr="00424B18">
                  <w:t>£3</w:t>
                </w:r>
                <w:r w:rsidR="004473D8" w:rsidRPr="00424B18">
                  <w:t>,169.000</w:t>
                </w:r>
              </w:p>
            </w:tc>
          </w:sdtContent>
        </w:sdt>
      </w:tr>
      <w:tr w:rsidR="00883609" w:rsidRPr="00424B18" w14:paraId="742FC12E" w14:textId="77777777" w:rsidTr="00391C22">
        <w:trPr>
          <w:trHeight w:val="488"/>
        </w:trPr>
        <w:tc>
          <w:tcPr>
            <w:tcW w:w="3503" w:type="dxa"/>
            <w:shd w:val="clear" w:color="auto" w:fill="auto"/>
          </w:tcPr>
          <w:p w14:paraId="193E73C4" w14:textId="77777777" w:rsidR="00883609" w:rsidRPr="00424B18" w:rsidRDefault="00883609" w:rsidP="00DE0555">
            <w:pPr>
              <w:keepNext/>
              <w:spacing w:before="80" w:after="80" w:line="260" w:lineRule="atLeast"/>
              <w:rPr>
                <w:rFonts w:eastAsia="Times New Roman"/>
                <w:lang w:eastAsia="en-GB"/>
              </w:rPr>
            </w:pPr>
            <w:r w:rsidRPr="00424B18">
              <w:t xml:space="preserve">Total </w:t>
            </w:r>
            <w:r w:rsidR="00DE0555" w:rsidRPr="00424B18">
              <w:t>ERDF</w:t>
            </w:r>
            <w:r w:rsidRPr="00424B18">
              <w:t xml:space="preserve"> sought (£)</w:t>
            </w:r>
          </w:p>
        </w:tc>
        <w:sdt>
          <w:sdtPr>
            <w:tag w:val="TotalProjectValue"/>
            <w:id w:val="-1017148540"/>
            <w:placeholder>
              <w:docPart w:val="9BE6AB8D054F4ED9BDF285BAD0D65F63"/>
            </w:placeholder>
          </w:sdtPr>
          <w:sdtEndPr/>
          <w:sdtContent>
            <w:tc>
              <w:tcPr>
                <w:tcW w:w="5819" w:type="dxa"/>
                <w:gridSpan w:val="3"/>
                <w:shd w:val="clear" w:color="auto" w:fill="FFFFFF" w:themeFill="background1"/>
              </w:tcPr>
              <w:p w14:paraId="0BEBE7FE" w14:textId="5355DC44" w:rsidR="00883609" w:rsidRPr="00424B18" w:rsidRDefault="004473D8" w:rsidP="006460B5">
                <w:pPr>
                  <w:keepNext/>
                  <w:spacing w:before="80" w:after="80" w:line="260" w:lineRule="atLeast"/>
                  <w:rPr>
                    <w:i/>
                  </w:rPr>
                </w:pPr>
                <w:r w:rsidRPr="00424B18">
                  <w:t>£2</w:t>
                </w:r>
                <w:r w:rsidR="004227A2" w:rsidRPr="00424B18">
                  <w:t>,535,200</w:t>
                </w:r>
              </w:p>
            </w:tc>
          </w:sdtContent>
        </w:sdt>
      </w:tr>
      <w:tr w:rsidR="00D802F5" w:rsidRPr="00424B18" w14:paraId="41202E39" w14:textId="77777777" w:rsidTr="006816E8">
        <w:trPr>
          <w:trHeight w:val="235"/>
        </w:trPr>
        <w:tc>
          <w:tcPr>
            <w:tcW w:w="3510" w:type="dxa"/>
            <w:gridSpan w:val="2"/>
            <w:vMerge w:val="restart"/>
            <w:shd w:val="clear" w:color="auto" w:fill="auto"/>
          </w:tcPr>
          <w:p w14:paraId="6712ED9B" w14:textId="77777777" w:rsidR="00D802F5" w:rsidRPr="00424B18" w:rsidRDefault="00D802F5" w:rsidP="006816E8">
            <w:pPr>
              <w:keepNext/>
              <w:spacing w:before="80" w:after="80" w:line="260" w:lineRule="atLeast"/>
              <w:rPr>
                <w:i/>
              </w:rPr>
            </w:pPr>
            <w:r w:rsidRPr="00424B18">
              <w:rPr>
                <w:rFonts w:eastAsia="Times New Roman"/>
                <w:lang w:eastAsia="en-GB"/>
              </w:rPr>
              <w:t xml:space="preserve">ESIF </w:t>
            </w:r>
            <w:r w:rsidR="006816E8" w:rsidRPr="00424B18">
              <w:rPr>
                <w:rFonts w:eastAsia="Times New Roman"/>
                <w:lang w:eastAsia="en-GB"/>
              </w:rPr>
              <w:t>Category of Region</w:t>
            </w:r>
          </w:p>
        </w:tc>
        <w:tc>
          <w:tcPr>
            <w:tcW w:w="2410" w:type="dxa"/>
            <w:shd w:val="clear" w:color="auto" w:fill="auto"/>
          </w:tcPr>
          <w:p w14:paraId="5C3242BA" w14:textId="77777777" w:rsidR="00D802F5" w:rsidRPr="00424B18" w:rsidRDefault="00D802F5" w:rsidP="006A6D1C">
            <w:pPr>
              <w:keepNext/>
              <w:spacing w:before="80" w:after="80" w:line="260" w:lineRule="atLeast"/>
              <w:rPr>
                <w:i/>
              </w:rPr>
            </w:pPr>
            <w:r w:rsidRPr="00424B18">
              <w:rPr>
                <w:i/>
              </w:rPr>
              <w:t>Less Developed</w:t>
            </w:r>
          </w:p>
        </w:tc>
        <w:tc>
          <w:tcPr>
            <w:tcW w:w="3402" w:type="dxa"/>
            <w:shd w:val="clear" w:color="auto" w:fill="auto"/>
          </w:tcPr>
          <w:p w14:paraId="0F36B73C" w14:textId="77777777" w:rsidR="00D802F5" w:rsidRPr="00424B18" w:rsidRDefault="00D802F5" w:rsidP="006A6D1C">
            <w:pPr>
              <w:keepNext/>
              <w:spacing w:before="80" w:after="80" w:line="260" w:lineRule="atLeast"/>
              <w:rPr>
                <w:i/>
              </w:rPr>
            </w:pPr>
          </w:p>
        </w:tc>
      </w:tr>
      <w:tr w:rsidR="00D802F5" w:rsidRPr="00424B18" w14:paraId="257E7D71" w14:textId="77777777" w:rsidTr="006816E8">
        <w:trPr>
          <w:trHeight w:val="235"/>
        </w:trPr>
        <w:tc>
          <w:tcPr>
            <w:tcW w:w="3510" w:type="dxa"/>
            <w:gridSpan w:val="2"/>
            <w:vMerge/>
            <w:shd w:val="clear" w:color="auto" w:fill="auto"/>
          </w:tcPr>
          <w:p w14:paraId="0A9A07BE" w14:textId="77777777" w:rsidR="00D802F5" w:rsidRPr="00424B18" w:rsidRDefault="00D802F5" w:rsidP="006A6D1C">
            <w:pPr>
              <w:keepNext/>
              <w:spacing w:before="80" w:after="80" w:line="260" w:lineRule="atLeast"/>
              <w:rPr>
                <w:rFonts w:eastAsia="Times New Roman"/>
                <w:lang w:eastAsia="en-GB"/>
              </w:rPr>
            </w:pPr>
          </w:p>
        </w:tc>
        <w:tc>
          <w:tcPr>
            <w:tcW w:w="2410" w:type="dxa"/>
            <w:shd w:val="clear" w:color="auto" w:fill="auto"/>
          </w:tcPr>
          <w:p w14:paraId="5227BEFE" w14:textId="77777777" w:rsidR="00D802F5" w:rsidRPr="00424B18" w:rsidRDefault="00D802F5" w:rsidP="006A6D1C">
            <w:pPr>
              <w:keepNext/>
              <w:spacing w:before="80" w:after="80" w:line="260" w:lineRule="atLeast"/>
              <w:rPr>
                <w:i/>
              </w:rPr>
            </w:pPr>
            <w:r w:rsidRPr="00424B18">
              <w:rPr>
                <w:i/>
              </w:rPr>
              <w:t>More Developed</w:t>
            </w:r>
          </w:p>
        </w:tc>
        <w:tc>
          <w:tcPr>
            <w:tcW w:w="3402" w:type="dxa"/>
            <w:shd w:val="clear" w:color="auto" w:fill="auto"/>
          </w:tcPr>
          <w:p w14:paraId="59D6EE3D" w14:textId="77777777" w:rsidR="00D802F5" w:rsidRPr="00424B18" w:rsidRDefault="00D802F5" w:rsidP="006A6D1C">
            <w:pPr>
              <w:keepNext/>
              <w:spacing w:before="80" w:after="80" w:line="260" w:lineRule="atLeast"/>
              <w:rPr>
                <w:i/>
              </w:rPr>
            </w:pPr>
          </w:p>
        </w:tc>
      </w:tr>
      <w:tr w:rsidR="00D802F5" w:rsidRPr="00424B18" w14:paraId="60670EBB" w14:textId="77777777" w:rsidTr="006816E8">
        <w:trPr>
          <w:trHeight w:val="235"/>
        </w:trPr>
        <w:tc>
          <w:tcPr>
            <w:tcW w:w="3510" w:type="dxa"/>
            <w:gridSpan w:val="2"/>
            <w:vMerge/>
            <w:shd w:val="clear" w:color="auto" w:fill="auto"/>
          </w:tcPr>
          <w:p w14:paraId="009F2562" w14:textId="77777777" w:rsidR="00D802F5" w:rsidRPr="00424B18" w:rsidRDefault="00D802F5" w:rsidP="006A6D1C">
            <w:pPr>
              <w:keepNext/>
              <w:spacing w:before="80" w:after="80" w:line="260" w:lineRule="atLeast"/>
              <w:rPr>
                <w:rFonts w:eastAsia="Times New Roman"/>
                <w:lang w:eastAsia="en-GB"/>
              </w:rPr>
            </w:pPr>
          </w:p>
        </w:tc>
        <w:tc>
          <w:tcPr>
            <w:tcW w:w="2410" w:type="dxa"/>
            <w:shd w:val="clear" w:color="auto" w:fill="auto"/>
          </w:tcPr>
          <w:p w14:paraId="7469BF18" w14:textId="77777777" w:rsidR="00D802F5" w:rsidRPr="00424B18" w:rsidRDefault="00D802F5" w:rsidP="006A6D1C">
            <w:pPr>
              <w:keepNext/>
              <w:spacing w:before="80" w:after="80" w:line="260" w:lineRule="atLeast"/>
              <w:rPr>
                <w:i/>
              </w:rPr>
            </w:pPr>
            <w:r w:rsidRPr="00424B18">
              <w:rPr>
                <w:i/>
              </w:rPr>
              <w:t>Transition</w:t>
            </w:r>
          </w:p>
        </w:tc>
        <w:tc>
          <w:tcPr>
            <w:tcW w:w="3402" w:type="dxa"/>
            <w:shd w:val="clear" w:color="auto" w:fill="auto"/>
          </w:tcPr>
          <w:p w14:paraId="17D4F927" w14:textId="77777777" w:rsidR="00D802F5" w:rsidRPr="00424B18" w:rsidRDefault="00D802F5" w:rsidP="006A6D1C">
            <w:pPr>
              <w:keepNext/>
              <w:spacing w:before="80" w:after="80" w:line="260" w:lineRule="atLeast"/>
              <w:rPr>
                <w:i/>
              </w:rPr>
            </w:pPr>
          </w:p>
        </w:tc>
      </w:tr>
    </w:tbl>
    <w:p w14:paraId="6CACF34C" w14:textId="77777777" w:rsidR="009D4F43" w:rsidRPr="00424B18" w:rsidRDefault="009D4F43" w:rsidP="00D802F5">
      <w:pPr>
        <w:spacing w:after="0"/>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71"/>
        <w:gridCol w:w="3685"/>
      </w:tblGrid>
      <w:tr w:rsidR="00EF7368" w:rsidRPr="00424B18" w14:paraId="60BB0D04" w14:textId="77777777" w:rsidTr="006816E8">
        <w:trPr>
          <w:trHeight w:val="416"/>
        </w:trPr>
        <w:tc>
          <w:tcPr>
            <w:tcW w:w="9356" w:type="dxa"/>
            <w:gridSpan w:val="2"/>
            <w:tcBorders>
              <w:bottom w:val="single" w:sz="4" w:space="0" w:color="auto"/>
            </w:tcBorders>
            <w:shd w:val="clear" w:color="auto" w:fill="FFFFFF"/>
            <w:vAlign w:val="center"/>
          </w:tcPr>
          <w:p w14:paraId="41FEA2DF" w14:textId="77777777" w:rsidR="00EF7368" w:rsidRPr="00424B18" w:rsidRDefault="006816E8" w:rsidP="006816E8">
            <w:pPr>
              <w:keepNext/>
              <w:spacing w:before="80" w:after="80" w:line="260" w:lineRule="atLeast"/>
              <w:rPr>
                <w:b/>
              </w:rPr>
            </w:pPr>
            <w:r w:rsidRPr="00424B18">
              <w:rPr>
                <w:b/>
              </w:rPr>
              <w:t>1.2</w:t>
            </w:r>
            <w:r w:rsidR="009D37F1" w:rsidRPr="00424B18">
              <w:rPr>
                <w:b/>
              </w:rPr>
              <w:t xml:space="preserve"> </w:t>
            </w:r>
            <w:r w:rsidR="00EF7368" w:rsidRPr="00424B18">
              <w:rPr>
                <w:b/>
              </w:rPr>
              <w:t xml:space="preserve">Project Timetable </w:t>
            </w:r>
          </w:p>
        </w:tc>
      </w:tr>
      <w:tr w:rsidR="00EF7368" w:rsidRPr="00424B18" w14:paraId="7EAA9599" w14:textId="77777777" w:rsidTr="006816E8">
        <w:trPr>
          <w:trHeight w:val="527"/>
        </w:trPr>
        <w:tc>
          <w:tcPr>
            <w:tcW w:w="5671" w:type="dxa"/>
            <w:tcBorders>
              <w:bottom w:val="single" w:sz="4" w:space="0" w:color="auto"/>
            </w:tcBorders>
            <w:shd w:val="clear" w:color="auto" w:fill="FFFFFF"/>
            <w:vAlign w:val="center"/>
          </w:tcPr>
          <w:p w14:paraId="02EF41A7" w14:textId="77777777" w:rsidR="00EF7368" w:rsidRPr="00424B18" w:rsidRDefault="00EF7368" w:rsidP="00B22598">
            <w:pPr>
              <w:keepNext/>
              <w:spacing w:before="80" w:after="80" w:line="260" w:lineRule="atLeast"/>
            </w:pPr>
            <w:r w:rsidRPr="00424B18">
              <w:t>Proposed Start Date</w:t>
            </w:r>
          </w:p>
        </w:tc>
        <w:tc>
          <w:tcPr>
            <w:tcW w:w="3685" w:type="dxa"/>
            <w:tcBorders>
              <w:bottom w:val="single" w:sz="4" w:space="0" w:color="auto"/>
            </w:tcBorders>
            <w:shd w:val="clear" w:color="auto" w:fill="FFFFFF" w:themeFill="background1"/>
            <w:vAlign w:val="center"/>
          </w:tcPr>
          <w:p w14:paraId="2FB64610" w14:textId="047DBF71" w:rsidR="00EF7368" w:rsidRPr="00424B18" w:rsidRDefault="00C0061A" w:rsidP="00B22598">
            <w:pPr>
              <w:keepNext/>
              <w:spacing w:before="80" w:after="80" w:line="260" w:lineRule="atLeast"/>
              <w:jc w:val="center"/>
            </w:pPr>
            <w:r w:rsidRPr="00424B18">
              <w:t>1/10/2019</w:t>
            </w:r>
          </w:p>
        </w:tc>
      </w:tr>
      <w:tr w:rsidR="00EF7368" w:rsidRPr="00424B18" w14:paraId="37928348" w14:textId="77777777" w:rsidTr="006816E8">
        <w:trPr>
          <w:trHeight w:val="527"/>
        </w:trPr>
        <w:tc>
          <w:tcPr>
            <w:tcW w:w="5671" w:type="dxa"/>
            <w:shd w:val="clear" w:color="auto" w:fill="FFFFFF"/>
            <w:vAlign w:val="center"/>
          </w:tcPr>
          <w:p w14:paraId="713A11DB" w14:textId="77777777" w:rsidR="00EF7368" w:rsidRPr="00424B18" w:rsidRDefault="00EF7368" w:rsidP="00B22598">
            <w:pPr>
              <w:keepNext/>
              <w:spacing w:before="80" w:after="80" w:line="260" w:lineRule="atLeast"/>
            </w:pPr>
            <w:r w:rsidRPr="00424B18">
              <w:t>Proposed Financial Completion Date</w:t>
            </w:r>
          </w:p>
        </w:tc>
        <w:tc>
          <w:tcPr>
            <w:tcW w:w="3685" w:type="dxa"/>
            <w:shd w:val="clear" w:color="auto" w:fill="FFFFFF" w:themeFill="background1"/>
            <w:vAlign w:val="center"/>
          </w:tcPr>
          <w:p w14:paraId="5BCBE163" w14:textId="39DDFBDA" w:rsidR="00EF7368" w:rsidRPr="00424B18" w:rsidRDefault="00C0061A" w:rsidP="00B22598">
            <w:pPr>
              <w:keepNext/>
              <w:spacing w:before="80" w:after="80" w:line="260" w:lineRule="atLeast"/>
              <w:jc w:val="center"/>
            </w:pPr>
            <w:r w:rsidRPr="00424B18">
              <w:t>30/9/2021</w:t>
            </w:r>
          </w:p>
        </w:tc>
      </w:tr>
      <w:tr w:rsidR="00C744C6" w:rsidRPr="00424B18" w14:paraId="04424875" w14:textId="77777777" w:rsidTr="006816E8">
        <w:trPr>
          <w:trHeight w:val="527"/>
        </w:trPr>
        <w:tc>
          <w:tcPr>
            <w:tcW w:w="5671" w:type="dxa"/>
            <w:tcBorders>
              <w:bottom w:val="single" w:sz="4" w:space="0" w:color="auto"/>
            </w:tcBorders>
            <w:shd w:val="clear" w:color="auto" w:fill="FFFFFF"/>
            <w:vAlign w:val="center"/>
          </w:tcPr>
          <w:p w14:paraId="0AC345B7" w14:textId="77777777" w:rsidR="00C744C6" w:rsidRPr="00424B18" w:rsidRDefault="000E209F" w:rsidP="00B22598">
            <w:pPr>
              <w:keepNext/>
              <w:spacing w:before="80" w:after="80" w:line="260" w:lineRule="atLeast"/>
            </w:pPr>
            <w:r w:rsidRPr="00424B18">
              <w:t>P</w:t>
            </w:r>
            <w:r w:rsidR="00C744C6" w:rsidRPr="00424B18">
              <w:t xml:space="preserve">roposed Practical Completion </w:t>
            </w:r>
            <w:r w:rsidR="00280AFF" w:rsidRPr="00424B18">
              <w:t>D</w:t>
            </w:r>
            <w:r w:rsidR="00C744C6" w:rsidRPr="00424B18">
              <w:t>ate</w:t>
            </w:r>
          </w:p>
        </w:tc>
        <w:tc>
          <w:tcPr>
            <w:tcW w:w="3685" w:type="dxa"/>
            <w:tcBorders>
              <w:bottom w:val="single" w:sz="4" w:space="0" w:color="auto"/>
            </w:tcBorders>
            <w:shd w:val="clear" w:color="auto" w:fill="FFFFFF" w:themeFill="background1"/>
            <w:vAlign w:val="center"/>
          </w:tcPr>
          <w:p w14:paraId="005627D2" w14:textId="36B9DC4D" w:rsidR="00C744C6" w:rsidRPr="00424B18" w:rsidRDefault="006A5D7F" w:rsidP="00B22598">
            <w:pPr>
              <w:keepNext/>
              <w:spacing w:before="80" w:after="80" w:line="260" w:lineRule="atLeast"/>
              <w:jc w:val="center"/>
            </w:pPr>
            <w:r w:rsidRPr="00424B18">
              <w:t>1/1/2022</w:t>
            </w:r>
          </w:p>
        </w:tc>
      </w:tr>
    </w:tbl>
    <w:p w14:paraId="7DE26793" w14:textId="77777777" w:rsidR="006A6D1C" w:rsidRPr="00424B18" w:rsidRDefault="006A6D1C" w:rsidP="006A6D1C">
      <w:pPr>
        <w:spacing w:after="0" w:line="240" w:lineRule="auto"/>
        <w:rPr>
          <w:rFonts w:eastAsia="Times New Roman"/>
          <w:b/>
          <w:highlight w:val="yellow"/>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A6D1C" w:rsidRPr="00424B18" w14:paraId="7F0593FF" w14:textId="77777777" w:rsidTr="007127DF">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C6E04" w14:textId="77777777" w:rsidR="006A6D1C" w:rsidRPr="00424B18" w:rsidRDefault="006816E8" w:rsidP="00D30D51">
            <w:pPr>
              <w:spacing w:after="0" w:line="240" w:lineRule="auto"/>
              <w:rPr>
                <w:rFonts w:eastAsia="Times New Roman"/>
                <w:bCs/>
                <w:color w:val="000000"/>
                <w:lang w:eastAsia="en-GB"/>
              </w:rPr>
            </w:pPr>
            <w:r w:rsidRPr="00424B18">
              <w:rPr>
                <w:rFonts w:eastAsia="Times New Roman"/>
                <w:b/>
                <w:bCs/>
                <w:color w:val="000000"/>
                <w:lang w:eastAsia="en-GB"/>
              </w:rPr>
              <w:t>1.3</w:t>
            </w:r>
            <w:r w:rsidR="009D37F1" w:rsidRPr="00424B18">
              <w:rPr>
                <w:rFonts w:eastAsia="Times New Roman"/>
                <w:b/>
                <w:bCs/>
                <w:color w:val="000000"/>
                <w:lang w:eastAsia="en-GB"/>
              </w:rPr>
              <w:t xml:space="preserve"> </w:t>
            </w:r>
            <w:r w:rsidR="006A6D1C" w:rsidRPr="00424B18">
              <w:rPr>
                <w:rFonts w:eastAsia="Times New Roman"/>
                <w:b/>
                <w:bCs/>
                <w:color w:val="000000"/>
                <w:lang w:eastAsia="en-GB"/>
              </w:rPr>
              <w:t xml:space="preserve">Project </w:t>
            </w:r>
            <w:r w:rsidR="00DA1D39" w:rsidRPr="00424B18">
              <w:rPr>
                <w:rFonts w:eastAsia="Times New Roman"/>
                <w:b/>
                <w:bCs/>
                <w:color w:val="000000"/>
                <w:lang w:eastAsia="en-GB"/>
              </w:rPr>
              <w:t>Description</w:t>
            </w:r>
            <w:r w:rsidR="00C744C6" w:rsidRPr="00424B18">
              <w:rPr>
                <w:rFonts w:eastAsia="Times New Roman"/>
                <w:b/>
                <w:bCs/>
                <w:color w:val="000000"/>
                <w:lang w:eastAsia="en-GB"/>
              </w:rPr>
              <w:t xml:space="preserve"> (brief summary in max. </w:t>
            </w:r>
            <w:r w:rsidR="00D30D51" w:rsidRPr="00424B18">
              <w:rPr>
                <w:rFonts w:eastAsia="Times New Roman"/>
                <w:b/>
                <w:bCs/>
                <w:color w:val="000000"/>
                <w:lang w:eastAsia="en-GB"/>
              </w:rPr>
              <w:t>500</w:t>
            </w:r>
            <w:r w:rsidR="00C744C6" w:rsidRPr="00424B18">
              <w:rPr>
                <w:rFonts w:eastAsia="Times New Roman"/>
                <w:b/>
                <w:bCs/>
                <w:color w:val="000000"/>
                <w:lang w:eastAsia="en-GB"/>
              </w:rPr>
              <w:t xml:space="preserve"> words)</w:t>
            </w:r>
          </w:p>
        </w:tc>
      </w:tr>
      <w:tr w:rsidR="00D802F5" w:rsidRPr="00424B18" w14:paraId="1E8FBF68" w14:textId="77777777" w:rsidTr="007127DF">
        <w:trPr>
          <w:trHeight w:val="291"/>
        </w:trPr>
        <w:sdt>
          <w:sdtPr>
            <w:tag w:val="ProjectDelivery"/>
            <w:id w:val="-2046050497"/>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40BAA48" w14:textId="6038AD44" w:rsidR="006460B5" w:rsidRPr="00424B18" w:rsidRDefault="006460B5" w:rsidP="006460B5">
                <w:pPr>
                  <w:spacing w:after="0" w:line="240" w:lineRule="auto"/>
                  <w:jc w:val="both"/>
                </w:pPr>
              </w:p>
              <w:p w14:paraId="4573C8AE" w14:textId="0E5E0D67" w:rsidR="001C05E4" w:rsidRPr="00424B18" w:rsidRDefault="001C05E4" w:rsidP="001C05E4">
                <w:pPr>
                  <w:spacing w:before="80" w:after="80" w:line="260" w:lineRule="atLeast"/>
                  <w:rPr>
                    <w:rFonts w:eastAsia="Times New Roman"/>
                    <w:lang w:eastAsia="en-GB"/>
                  </w:rPr>
                </w:pPr>
                <w:r w:rsidRPr="00424B18">
                  <w:rPr>
                    <w:rFonts w:eastAsia="Times New Roman"/>
                    <w:lang w:eastAsia="en-GB"/>
                  </w:rPr>
                  <w:t xml:space="preserve">This project represents a second phase to the activity delivered by the Cornwall and Isles of Scilly Growth Hub (CIOSGH). It reflects the experience of the Phase 1 CIOSGH project, client feedback and intelligence from other Growth Hubs nationally.  It makes some key improvements in the systems, processes and delivery building on this advance in knowledge of operation. It draws on experience from other Growth </w:t>
                </w:r>
                <w:r w:rsidRPr="00424B18">
                  <w:rPr>
                    <w:rFonts w:eastAsia="Times New Roman"/>
                    <w:lang w:eastAsia="en-GB"/>
                  </w:rPr>
                  <w:lastRenderedPageBreak/>
                  <w:t xml:space="preserve">Hubs around the country reflecting on lessons learnt from evaluations that have been published; national policy; and learning from events such as the Growth Hub Network Meetings (delivered by BEIS on a quarterly basis). The CIOSGH runs in conjunction with the CIOS Skills Hub (ESF Funded) and in some cases shares staff across both projects (see organogram). The combined operation of both projects offers considerable traction and penetration in the SME landscape in CIOS to support businesses with growth aspirations and ultimately boost business productivity.  </w:t>
                </w:r>
              </w:p>
              <w:p w14:paraId="05E69A00" w14:textId="77777777" w:rsidR="001C05E4" w:rsidRPr="00424B18" w:rsidRDefault="001C05E4" w:rsidP="001C05E4">
                <w:pPr>
                  <w:spacing w:before="80" w:after="80" w:line="260" w:lineRule="atLeast"/>
                  <w:rPr>
                    <w:rFonts w:eastAsia="Times New Roman"/>
                    <w:lang w:eastAsia="en-GB"/>
                  </w:rPr>
                </w:pPr>
              </w:p>
              <w:p w14:paraId="7AAE9CDB" w14:textId="77777777" w:rsidR="001C05E4" w:rsidRPr="00424B18" w:rsidRDefault="001C05E4" w:rsidP="001C05E4">
                <w:pPr>
                  <w:spacing w:before="80" w:after="80" w:line="260" w:lineRule="atLeast"/>
                  <w:rPr>
                    <w:rFonts w:eastAsia="Times New Roman"/>
                    <w:lang w:eastAsia="en-GB"/>
                  </w:rPr>
                </w:pPr>
                <w:r w:rsidRPr="00424B18">
                  <w:rPr>
                    <w:rFonts w:eastAsia="Times New Roman"/>
                    <w:lang w:eastAsia="en-GB"/>
                  </w:rPr>
                  <w:t xml:space="preserve">By way of background, the Cornwall and Isles of Scilly Growth Hub (CIOSGH) is part 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17C479DE" w14:textId="77777777" w:rsidR="001C05E4" w:rsidRPr="00424B18" w:rsidRDefault="001C05E4" w:rsidP="001C05E4">
                <w:pPr>
                  <w:spacing w:before="80" w:after="80" w:line="260" w:lineRule="atLeast"/>
                  <w:rPr>
                    <w:rFonts w:eastAsia="Times New Roman"/>
                    <w:lang w:eastAsia="en-GB"/>
                  </w:rPr>
                </w:pPr>
              </w:p>
              <w:p w14:paraId="6783FA4F" w14:textId="77777777" w:rsidR="001C05E4" w:rsidRPr="00424B18" w:rsidRDefault="001C05E4" w:rsidP="001C05E4">
                <w:pPr>
                  <w:numPr>
                    <w:ilvl w:val="0"/>
                    <w:numId w:val="17"/>
                  </w:numPr>
                  <w:spacing w:before="80" w:after="80" w:line="260" w:lineRule="atLeast"/>
                  <w:contextualSpacing/>
                  <w:rPr>
                    <w:rFonts w:eastAsia="Times New Roman"/>
                    <w:lang w:eastAsia="en-GB"/>
                  </w:rPr>
                </w:pPr>
                <w:r w:rsidRPr="00424B18">
                  <w:rPr>
                    <w:rFonts w:eastAsia="Times New Roman"/>
                    <w:lang w:eastAsia="en-GB"/>
                  </w:rPr>
                  <w:t>Business Navigators- Phone based service; limited advice, appointment management (for Connectors), eligibility checks, Growth assessment, CRM Management etc</w:t>
                </w:r>
              </w:p>
              <w:p w14:paraId="4D269F89" w14:textId="77777777" w:rsidR="001C05E4" w:rsidRPr="00424B18" w:rsidRDefault="001C05E4" w:rsidP="001C05E4">
                <w:pPr>
                  <w:numPr>
                    <w:ilvl w:val="0"/>
                    <w:numId w:val="17"/>
                  </w:numPr>
                  <w:spacing w:before="80" w:after="80" w:line="260" w:lineRule="atLeast"/>
                  <w:contextualSpacing/>
                  <w:rPr>
                    <w:rFonts w:eastAsia="Times New Roman"/>
                    <w:lang w:eastAsia="en-GB"/>
                  </w:rPr>
                </w:pPr>
                <w:r w:rsidRPr="00424B18">
                  <w:rPr>
                    <w:rFonts w:eastAsia="Times New Roman"/>
                    <w:lang w:eastAsia="en-GB"/>
                  </w:rPr>
                  <w:t>Business Connectors- Information, Diagnostic and Brokerage (IDB) service, client account management, support knowledge experts, networking and marketing</w:t>
                </w:r>
              </w:p>
              <w:p w14:paraId="5DC327C1" w14:textId="77777777" w:rsidR="001C05E4" w:rsidRPr="00424B18" w:rsidRDefault="001C05E4" w:rsidP="001C05E4">
                <w:pPr>
                  <w:numPr>
                    <w:ilvl w:val="0"/>
                    <w:numId w:val="17"/>
                  </w:numPr>
                  <w:spacing w:before="80" w:after="80" w:line="260" w:lineRule="atLeast"/>
                  <w:contextualSpacing/>
                  <w:rPr>
                    <w:rFonts w:eastAsia="Times New Roman"/>
                    <w:lang w:eastAsia="en-GB"/>
                  </w:rPr>
                </w:pPr>
                <w:r w:rsidRPr="00424B18">
                  <w:rPr>
                    <w:rFonts w:eastAsia="Times New Roman"/>
                    <w:lang w:eastAsia="en-GB"/>
                  </w:rPr>
                  <w:t>Website- Comprehensive website to provide the ‘Hub’ and focus for businesses seeking to grow in CIOS, communication of ‘Growth Ecosystem’ advice on service, provide case studies/PR for client businesses, news, listings, events etc</w:t>
                </w:r>
              </w:p>
              <w:p w14:paraId="22D900EA" w14:textId="77777777" w:rsidR="001C05E4" w:rsidRPr="00424B18" w:rsidRDefault="001C05E4" w:rsidP="001C05E4">
                <w:pPr>
                  <w:numPr>
                    <w:ilvl w:val="0"/>
                    <w:numId w:val="17"/>
                  </w:numPr>
                  <w:spacing w:before="80" w:after="80" w:line="260" w:lineRule="atLeast"/>
                  <w:contextualSpacing/>
                  <w:rPr>
                    <w:rFonts w:eastAsia="Times New Roman"/>
                    <w:lang w:eastAsia="en-GB"/>
                  </w:rPr>
                </w:pPr>
                <w:r w:rsidRPr="00424B18">
                  <w:rPr>
                    <w:rFonts w:eastAsia="Times New Roman"/>
                    <w:lang w:eastAsia="en-GB"/>
                  </w:rPr>
                  <w:t>Data Management- Reporting, CRM Management, intelligence</w:t>
                </w:r>
              </w:p>
              <w:p w14:paraId="7A04D6C3" w14:textId="77777777" w:rsidR="001C05E4" w:rsidRPr="00424B18" w:rsidRDefault="001C05E4" w:rsidP="001C05E4">
                <w:pPr>
                  <w:numPr>
                    <w:ilvl w:val="0"/>
                    <w:numId w:val="17"/>
                  </w:numPr>
                  <w:spacing w:before="80" w:after="80" w:line="260" w:lineRule="atLeast"/>
                  <w:contextualSpacing/>
                  <w:rPr>
                    <w:rFonts w:eastAsia="Times New Roman"/>
                    <w:lang w:eastAsia="en-GB"/>
                  </w:rPr>
                </w:pPr>
                <w:r w:rsidRPr="00424B18">
                  <w:rPr>
                    <w:rFonts w:eastAsia="Times New Roman"/>
                    <w:lang w:eastAsia="en-GB"/>
                  </w:rPr>
                  <w:t>Communications- Comprehensive communications and PR function including marketing, website management and social media delivery to market and showcase service.</w:t>
                </w:r>
              </w:p>
              <w:p w14:paraId="26AFFB2A" w14:textId="77777777" w:rsidR="001C05E4" w:rsidRPr="00424B18" w:rsidRDefault="001C05E4" w:rsidP="001C05E4">
                <w:pPr>
                  <w:spacing w:before="80" w:after="80" w:line="260" w:lineRule="atLeast"/>
                  <w:rPr>
                    <w:rFonts w:eastAsia="Times New Roman"/>
                    <w:lang w:eastAsia="en-GB"/>
                  </w:rPr>
                </w:pPr>
              </w:p>
              <w:p w14:paraId="1A8675EE" w14:textId="163703EC" w:rsidR="00CF7E76" w:rsidRPr="00424B18" w:rsidRDefault="001C05E4" w:rsidP="00D4763C">
                <w:pPr>
                  <w:spacing w:before="80" w:after="80" w:line="260" w:lineRule="atLeast"/>
                  <w:rPr>
                    <w:rFonts w:eastAsia="Times New Roman"/>
                    <w:lang w:eastAsia="en-GB"/>
                  </w:rPr>
                </w:pPr>
                <w:r w:rsidRPr="00424B18">
                  <w:rPr>
                    <w:rFonts w:eastAsia="Times New Roman"/>
                    <w:lang w:eastAsia="en-GB"/>
                  </w:rPr>
                  <w:t>The project works closely with other ERDF funded business support in Cornwall, the private sector support and national support to ensure pre-starts and SME businesses get the support and advice they need to grow. Locally it does this through regular meetings with partners and a more formal quarterly meeting of the Business Support Delivery Board Exec. Group that is chaired by the Growth Hub Operations Director.</w:t>
                </w:r>
              </w:p>
              <w:p w14:paraId="1E903D63" w14:textId="413D786B" w:rsidR="00D802F5" w:rsidRPr="00424B18" w:rsidRDefault="00D802F5" w:rsidP="00494DEE">
                <w:pPr>
                  <w:spacing w:after="0" w:line="240" w:lineRule="auto"/>
                  <w:jc w:val="both"/>
                  <w:rPr>
                    <w:rFonts w:eastAsia="Times New Roman"/>
                    <w:b/>
                    <w:bCs/>
                    <w:color w:val="000000"/>
                    <w:lang w:eastAsia="en-GB"/>
                  </w:rPr>
                </w:pPr>
              </w:p>
            </w:tc>
          </w:sdtContent>
        </w:sdt>
      </w:tr>
    </w:tbl>
    <w:p w14:paraId="4D823E71" w14:textId="77777777" w:rsidR="00757916" w:rsidRPr="00424B18" w:rsidRDefault="00757916" w:rsidP="00C744C6">
      <w:pPr>
        <w:spacing w:after="0" w:line="240" w:lineRule="auto"/>
        <w:rPr>
          <w:rFonts w:eastAsia="Times New Roman"/>
          <w:b/>
          <w:bCs/>
          <w:lang w:eastAsia="en-GB"/>
        </w:rPr>
      </w:pPr>
    </w:p>
    <w:p w14:paraId="14192D0C" w14:textId="7B002800" w:rsidR="5B89BAA6" w:rsidRPr="00424B18" w:rsidRDefault="00757916" w:rsidP="00A3616E">
      <w:pPr>
        <w:spacing w:after="0" w:line="240" w:lineRule="auto"/>
        <w:rPr>
          <w:rFonts w:eastAsia="Times New Roman"/>
          <w:b/>
          <w:lang w:eastAsia="en-GB"/>
        </w:rPr>
      </w:pPr>
      <w:r w:rsidRPr="00424B18">
        <w:rPr>
          <w:rFonts w:eastAsia="Times New Roman"/>
          <w:b/>
          <w:bCs/>
          <w:lang w:eastAsia="en-GB"/>
        </w:rPr>
        <w:t>P</w:t>
      </w:r>
      <w:r w:rsidR="5B89BAA6" w:rsidRPr="00424B18">
        <w:rPr>
          <w:rFonts w:eastAsia="Times New Roman"/>
          <w:b/>
          <w:bCs/>
          <w:lang w:eastAsia="en-GB"/>
        </w:rPr>
        <w:t xml:space="preserve">art 2 Summative Assessment Plan </w:t>
      </w:r>
    </w:p>
    <w:p w14:paraId="02500A69" w14:textId="77777777" w:rsidR="00C744C6" w:rsidRPr="00424B18" w:rsidRDefault="00C744C6" w:rsidP="00D802F5">
      <w:pPr>
        <w:spacing w:after="0"/>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A6D1C" w:rsidRPr="00424B18" w14:paraId="67186F49" w14:textId="77777777" w:rsidTr="00323949">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C0C4D" w14:textId="07DDAFAF" w:rsidR="006A6D1C" w:rsidRPr="00424B18" w:rsidRDefault="006816E8" w:rsidP="00C744C6">
            <w:pPr>
              <w:spacing w:after="0" w:line="240" w:lineRule="auto"/>
              <w:rPr>
                <w:rFonts w:eastAsia="Times New Roman"/>
                <w:b/>
                <w:bCs/>
                <w:color w:val="000000"/>
                <w:lang w:eastAsia="en-GB"/>
              </w:rPr>
            </w:pPr>
            <w:r w:rsidRPr="00424B18">
              <w:rPr>
                <w:rFonts w:eastAsia="Times New Roman"/>
                <w:b/>
                <w:bCs/>
                <w:color w:val="000000"/>
                <w:lang w:eastAsia="en-GB"/>
              </w:rPr>
              <w:t>2.1</w:t>
            </w:r>
            <w:r w:rsidR="009D37F1" w:rsidRPr="00424B18">
              <w:rPr>
                <w:rFonts w:eastAsia="Times New Roman"/>
                <w:b/>
                <w:bCs/>
                <w:color w:val="000000"/>
                <w:lang w:eastAsia="en-GB"/>
              </w:rPr>
              <w:t xml:space="preserve"> </w:t>
            </w:r>
            <w:r w:rsidR="00E54973" w:rsidRPr="00424B18">
              <w:rPr>
                <w:rFonts w:eastAsia="Times New Roman"/>
                <w:b/>
                <w:bCs/>
                <w:color w:val="000000"/>
                <w:lang w:eastAsia="en-GB"/>
              </w:rPr>
              <w:t>Summative Assessment</w:t>
            </w:r>
            <w:r w:rsidR="00C744C6" w:rsidRPr="00424B18">
              <w:rPr>
                <w:rFonts w:eastAsia="Times New Roman"/>
                <w:b/>
                <w:bCs/>
                <w:color w:val="000000"/>
                <w:lang w:eastAsia="en-GB"/>
              </w:rPr>
              <w:t xml:space="preserve"> </w:t>
            </w:r>
            <w:r w:rsidR="00280AFF" w:rsidRPr="00424B18">
              <w:rPr>
                <w:rFonts w:eastAsia="Times New Roman"/>
                <w:b/>
                <w:bCs/>
                <w:color w:val="000000"/>
                <w:lang w:eastAsia="en-GB"/>
              </w:rPr>
              <w:t>O</w:t>
            </w:r>
            <w:r w:rsidR="00C744C6" w:rsidRPr="00424B18">
              <w:rPr>
                <w:rFonts w:eastAsia="Times New Roman"/>
                <w:b/>
                <w:bCs/>
                <w:color w:val="000000"/>
                <w:lang w:eastAsia="en-GB"/>
              </w:rPr>
              <w:t>bjectives</w:t>
            </w:r>
            <w:r w:rsidR="00D30D51" w:rsidRPr="00424B18">
              <w:rPr>
                <w:rFonts w:eastAsia="Times New Roman"/>
                <w:b/>
                <w:bCs/>
                <w:color w:val="000000"/>
                <w:lang w:eastAsia="en-GB"/>
              </w:rPr>
              <w:t xml:space="preserve"> (max 500 words)</w:t>
            </w:r>
          </w:p>
          <w:p w14:paraId="0A60BB9F" w14:textId="77777777" w:rsidR="009E2315" w:rsidRPr="00424B18" w:rsidRDefault="009E2315" w:rsidP="00C744C6">
            <w:pPr>
              <w:spacing w:after="0" w:line="240" w:lineRule="auto"/>
              <w:rPr>
                <w:rFonts w:eastAsia="Times New Roman"/>
                <w:bCs/>
                <w:color w:val="000000"/>
                <w:lang w:eastAsia="en-GB"/>
              </w:rPr>
            </w:pPr>
          </w:p>
          <w:p w14:paraId="3C0A7E7B" w14:textId="57BEEBCD" w:rsidR="00C744C6" w:rsidRPr="00424B18" w:rsidRDefault="00C744C6" w:rsidP="00C744C6">
            <w:pPr>
              <w:spacing w:after="0" w:line="240" w:lineRule="auto"/>
              <w:rPr>
                <w:rFonts w:eastAsia="Times New Roman"/>
                <w:bCs/>
                <w:color w:val="000000"/>
                <w:lang w:eastAsia="en-GB"/>
              </w:rPr>
            </w:pPr>
            <w:r w:rsidRPr="00424B18">
              <w:rPr>
                <w:rFonts w:eastAsia="Times New Roman"/>
                <w:bCs/>
                <w:color w:val="000000"/>
                <w:lang w:eastAsia="en-GB"/>
              </w:rPr>
              <w:t xml:space="preserve">Please </w:t>
            </w:r>
            <w:r w:rsidR="00E8006D" w:rsidRPr="00424B18">
              <w:rPr>
                <w:rFonts w:eastAsia="Times New Roman"/>
                <w:bCs/>
                <w:color w:val="000000"/>
                <w:lang w:eastAsia="en-GB"/>
              </w:rPr>
              <w:t xml:space="preserve">provide your objectives. Objectives should focus </w:t>
            </w:r>
            <w:r w:rsidR="00C65ACD" w:rsidRPr="00424B18">
              <w:rPr>
                <w:rFonts w:eastAsia="Times New Roman"/>
                <w:bCs/>
                <w:color w:val="000000"/>
                <w:lang w:eastAsia="en-GB"/>
              </w:rPr>
              <w:t>o</w:t>
            </w:r>
            <w:r w:rsidR="00E8006D" w:rsidRPr="00424B18">
              <w:rPr>
                <w:rFonts w:eastAsia="Times New Roman"/>
                <w:bCs/>
                <w:color w:val="000000"/>
                <w:lang w:eastAsia="en-GB"/>
              </w:rPr>
              <w:t>n d</w:t>
            </w:r>
            <w:r w:rsidRPr="00424B18">
              <w:rPr>
                <w:rFonts w:eastAsia="Times New Roman"/>
                <w:bCs/>
                <w:color w:val="000000"/>
                <w:lang w:eastAsia="en-GB"/>
              </w:rPr>
              <w:t>escrib</w:t>
            </w:r>
            <w:r w:rsidR="00E8006D" w:rsidRPr="00424B18">
              <w:rPr>
                <w:rFonts w:eastAsia="Times New Roman"/>
                <w:bCs/>
                <w:color w:val="000000"/>
                <w:lang w:eastAsia="en-GB"/>
              </w:rPr>
              <w:t>ing</w:t>
            </w:r>
            <w:r w:rsidRPr="00424B18">
              <w:rPr>
                <w:rFonts w:eastAsia="Times New Roman"/>
                <w:bCs/>
                <w:color w:val="000000"/>
                <w:lang w:eastAsia="en-GB"/>
              </w:rPr>
              <w:t xml:space="preserve"> what insights the </w:t>
            </w:r>
            <w:r w:rsidR="00114659" w:rsidRPr="00424B18">
              <w:rPr>
                <w:rFonts w:eastAsia="Times New Roman"/>
                <w:bCs/>
                <w:color w:val="000000"/>
                <w:lang w:eastAsia="en-GB"/>
              </w:rPr>
              <w:t>s</w:t>
            </w:r>
            <w:r w:rsidRPr="00424B18">
              <w:rPr>
                <w:rFonts w:eastAsia="Times New Roman"/>
                <w:bCs/>
                <w:color w:val="000000"/>
                <w:lang w:eastAsia="en-GB"/>
              </w:rPr>
              <w:t xml:space="preserve">ummative </w:t>
            </w:r>
            <w:r w:rsidR="00114659" w:rsidRPr="00424B18">
              <w:rPr>
                <w:rFonts w:eastAsia="Times New Roman"/>
                <w:bCs/>
                <w:color w:val="000000"/>
                <w:lang w:eastAsia="en-GB"/>
              </w:rPr>
              <w:t>a</w:t>
            </w:r>
            <w:r w:rsidRPr="00424B18">
              <w:rPr>
                <w:rFonts w:eastAsia="Times New Roman"/>
                <w:bCs/>
                <w:color w:val="000000"/>
                <w:lang w:eastAsia="en-GB"/>
              </w:rPr>
              <w:t xml:space="preserve">ssessment will seek to provide in respect of: </w:t>
            </w:r>
          </w:p>
          <w:p w14:paraId="79A3059A" w14:textId="77777777" w:rsidR="00C744C6" w:rsidRPr="00424B18" w:rsidRDefault="00C744C6" w:rsidP="00C744C6">
            <w:pPr>
              <w:pStyle w:val="ListParagraph"/>
              <w:numPr>
                <w:ilvl w:val="0"/>
                <w:numId w:val="14"/>
              </w:numPr>
              <w:spacing w:after="0" w:line="240" w:lineRule="auto"/>
              <w:rPr>
                <w:rFonts w:eastAsia="Times New Roman"/>
                <w:bCs/>
                <w:color w:val="000000"/>
                <w:lang w:eastAsia="en-GB"/>
              </w:rPr>
            </w:pPr>
            <w:r w:rsidRPr="00424B18">
              <w:rPr>
                <w:rFonts w:eastAsia="Times New Roman"/>
                <w:bCs/>
                <w:color w:val="000000"/>
                <w:lang w:eastAsia="en-GB"/>
              </w:rPr>
              <w:t>The design of the project</w:t>
            </w:r>
            <w:r w:rsidR="00114659" w:rsidRPr="00424B18">
              <w:rPr>
                <w:rFonts w:eastAsia="Times New Roman"/>
                <w:bCs/>
                <w:color w:val="000000"/>
                <w:lang w:eastAsia="en-GB"/>
              </w:rPr>
              <w:t>;</w:t>
            </w:r>
            <w:r w:rsidRPr="00424B18">
              <w:rPr>
                <w:rFonts w:eastAsia="Times New Roman"/>
                <w:bCs/>
                <w:color w:val="000000"/>
                <w:lang w:eastAsia="en-GB"/>
              </w:rPr>
              <w:t xml:space="preserve"> </w:t>
            </w:r>
          </w:p>
          <w:p w14:paraId="7E1AEBBD" w14:textId="77777777" w:rsidR="00C744C6" w:rsidRPr="00424B18" w:rsidRDefault="00C744C6" w:rsidP="00C744C6">
            <w:pPr>
              <w:pStyle w:val="ListParagraph"/>
              <w:numPr>
                <w:ilvl w:val="0"/>
                <w:numId w:val="14"/>
              </w:numPr>
              <w:spacing w:after="0" w:line="240" w:lineRule="auto"/>
              <w:rPr>
                <w:rFonts w:eastAsia="Times New Roman"/>
                <w:bCs/>
                <w:color w:val="000000"/>
                <w:lang w:eastAsia="en-GB"/>
              </w:rPr>
            </w:pPr>
            <w:r w:rsidRPr="00424B18">
              <w:rPr>
                <w:rFonts w:eastAsia="Times New Roman"/>
                <w:bCs/>
                <w:color w:val="000000"/>
                <w:lang w:eastAsia="en-GB"/>
              </w:rPr>
              <w:t>How the project has performed against its targets</w:t>
            </w:r>
            <w:r w:rsidR="00114659" w:rsidRPr="00424B18">
              <w:rPr>
                <w:rFonts w:eastAsia="Times New Roman"/>
                <w:bCs/>
                <w:color w:val="000000"/>
                <w:lang w:eastAsia="en-GB"/>
              </w:rPr>
              <w:t>;</w:t>
            </w:r>
          </w:p>
          <w:p w14:paraId="69D2A92B" w14:textId="77777777" w:rsidR="00C744C6" w:rsidRPr="00424B18" w:rsidRDefault="00C744C6" w:rsidP="00C744C6">
            <w:pPr>
              <w:pStyle w:val="ListParagraph"/>
              <w:numPr>
                <w:ilvl w:val="0"/>
                <w:numId w:val="14"/>
              </w:numPr>
              <w:spacing w:after="0" w:line="240" w:lineRule="auto"/>
              <w:rPr>
                <w:rFonts w:eastAsia="Times New Roman"/>
                <w:bCs/>
                <w:color w:val="000000"/>
                <w:lang w:eastAsia="en-GB"/>
              </w:rPr>
            </w:pPr>
            <w:r w:rsidRPr="00424B18">
              <w:rPr>
                <w:rFonts w:eastAsia="Times New Roman"/>
                <w:bCs/>
                <w:color w:val="000000"/>
                <w:lang w:eastAsia="en-GB"/>
              </w:rPr>
              <w:t>The nature of the project’s outcomes and impacts and the value for money that has been achieved</w:t>
            </w:r>
            <w:r w:rsidR="00114659" w:rsidRPr="00424B18">
              <w:rPr>
                <w:rFonts w:eastAsia="Times New Roman"/>
                <w:bCs/>
                <w:color w:val="000000"/>
                <w:lang w:eastAsia="en-GB"/>
              </w:rPr>
              <w:t>;</w:t>
            </w:r>
          </w:p>
          <w:p w14:paraId="51B0CC08" w14:textId="576F3252" w:rsidR="00E8006D" w:rsidRPr="00424B18" w:rsidRDefault="00E8006D" w:rsidP="00C744C6">
            <w:pPr>
              <w:pStyle w:val="ListParagraph"/>
              <w:numPr>
                <w:ilvl w:val="0"/>
                <w:numId w:val="14"/>
              </w:numPr>
              <w:spacing w:after="0" w:line="240" w:lineRule="auto"/>
              <w:rPr>
                <w:rFonts w:eastAsia="Times New Roman"/>
                <w:bCs/>
                <w:color w:val="000000"/>
                <w:lang w:eastAsia="en-GB"/>
              </w:rPr>
            </w:pPr>
            <w:r w:rsidRPr="00424B18">
              <w:rPr>
                <w:rFonts w:eastAsia="Times New Roman"/>
                <w:bCs/>
                <w:color w:val="000000"/>
                <w:lang w:eastAsia="en-GB"/>
              </w:rPr>
              <w:lastRenderedPageBreak/>
              <w:t>The lessons which have emerged through the experience of delivering the project</w:t>
            </w:r>
            <w:r w:rsidR="00C65ACD" w:rsidRPr="00424B18">
              <w:rPr>
                <w:rFonts w:eastAsia="Times New Roman"/>
                <w:bCs/>
                <w:color w:val="000000"/>
                <w:lang w:eastAsia="en-GB"/>
              </w:rPr>
              <w:t>.</w:t>
            </w:r>
          </w:p>
          <w:p w14:paraId="5FEA4E3A" w14:textId="77777777" w:rsidR="00C41D43" w:rsidRPr="00424B18" w:rsidRDefault="00C41D43" w:rsidP="00C41D43">
            <w:pPr>
              <w:pStyle w:val="ListParagraph"/>
              <w:spacing w:after="0" w:line="240" w:lineRule="auto"/>
              <w:rPr>
                <w:rFonts w:eastAsia="Times New Roman"/>
                <w:bCs/>
                <w:color w:val="000000"/>
                <w:lang w:eastAsia="en-GB"/>
              </w:rPr>
            </w:pPr>
          </w:p>
          <w:p w14:paraId="069040F3" w14:textId="77777777" w:rsidR="00C744C6" w:rsidRPr="00424B18" w:rsidRDefault="00C744C6" w:rsidP="00C744C6">
            <w:pPr>
              <w:spacing w:after="0" w:line="240" w:lineRule="auto"/>
              <w:rPr>
                <w:rFonts w:eastAsia="Times New Roman"/>
                <w:b/>
                <w:bCs/>
                <w:color w:val="000000"/>
                <w:lang w:eastAsia="en-GB"/>
              </w:rPr>
            </w:pPr>
          </w:p>
        </w:tc>
      </w:tr>
      <w:tr w:rsidR="006A6D1C" w:rsidRPr="00424B18" w14:paraId="1B6BA4CA" w14:textId="77777777" w:rsidTr="00391C22">
        <w:trPr>
          <w:trHeight w:val="323"/>
        </w:trPr>
        <w:sdt>
          <w:sdtPr>
            <w:rPr>
              <w:rFonts w:eastAsia="Times New Roman"/>
              <w:lang w:eastAsia="en-GB"/>
            </w:rPr>
            <w:tag w:val="DeliverOP"/>
            <w:id w:val="1616721770"/>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D7BFA59" w14:textId="06F8542A" w:rsidR="00EA1BE6" w:rsidRPr="00424B18" w:rsidRDefault="00EA1BE6" w:rsidP="00EA1BE6">
                <w:pPr>
                  <w:spacing w:before="80" w:after="80" w:line="260" w:lineRule="atLeast"/>
                  <w:jc w:val="both"/>
                  <w:rPr>
                    <w:rFonts w:eastAsia="Times New Roman"/>
                    <w:lang w:eastAsia="en-GB"/>
                  </w:rPr>
                </w:pPr>
                <w:r w:rsidRPr="00424B18">
                  <w:rPr>
                    <w:rFonts w:eastAsia="Times New Roman"/>
                    <w:lang w:eastAsia="en-GB"/>
                  </w:rPr>
                  <w:t>The specific activities that will be undertaken by the CIOSGH will be an Information, Diagnostic and Brokerage (IDB) service to enable Cornwall and IoS SMEs to access bespoke support for growth from the myriad of services on offer both within and outside of Cornwall and IoS. We will engage with 2,</w:t>
                </w:r>
                <w:r w:rsidR="004F3698">
                  <w:rPr>
                    <w:rFonts w:eastAsia="Times New Roman"/>
                    <w:lang w:eastAsia="en-GB"/>
                  </w:rPr>
                  <w:t>400</w:t>
                </w:r>
                <w:r w:rsidRPr="00424B18">
                  <w:rPr>
                    <w:rFonts w:eastAsia="Times New Roman"/>
                    <w:lang w:eastAsia="en-GB"/>
                  </w:rPr>
                  <w:t xml:space="preserve"> pre-start businesses and SMEs in the life of the project undertaking a 3-hour diagnostic under Indicator P13. There is a growing demand for this service, evidenced by a growing pipeline of new and ‘hard to reach’ SMEs accessing the service in addition to positive feedback from clients, who state the service is of significant value to them in their growth plans. </w:t>
                </w:r>
              </w:p>
              <w:p w14:paraId="283FF762" w14:textId="77777777" w:rsidR="00EA1BE6" w:rsidRPr="00424B18" w:rsidRDefault="00EA1BE6" w:rsidP="00EA1BE6">
                <w:pPr>
                  <w:spacing w:before="80" w:after="80" w:line="260" w:lineRule="atLeast"/>
                  <w:jc w:val="both"/>
                  <w:rPr>
                    <w:rFonts w:eastAsia="Times New Roman"/>
                    <w:lang w:eastAsia="en-GB"/>
                  </w:rPr>
                </w:pPr>
              </w:p>
              <w:p w14:paraId="59CA438E" w14:textId="0DB859C8" w:rsidR="00EA1BE6" w:rsidRPr="00424B18" w:rsidRDefault="00EA1BE6" w:rsidP="00D35082">
                <w:pPr>
                  <w:spacing w:before="80" w:after="80" w:line="260" w:lineRule="atLeast"/>
                  <w:jc w:val="both"/>
                  <w:rPr>
                    <w:rFonts w:eastAsia="Times New Roman"/>
                    <w:lang w:eastAsia="en-GB"/>
                  </w:rPr>
                </w:pPr>
                <w:r w:rsidRPr="00424B18">
                  <w:rPr>
                    <w:rFonts w:eastAsia="Times New Roman"/>
                    <w:lang w:eastAsia="en-GB"/>
                  </w:rPr>
                  <w:t xml:space="preserve">Phase 2 builds on current delivery by addressing an identified gap in the CIOSGH IDB process to foster efficiency in the client journey (a tiered approach- see below). Additionally, phase 2 will operate a ‘Growth Access Fund, enabling </w:t>
                </w:r>
                <w:r w:rsidR="00AF19DD">
                  <w:rPr>
                    <w:rFonts w:eastAsia="Times New Roman"/>
                    <w:lang w:eastAsia="en-GB"/>
                  </w:rPr>
                  <w:t>100 SMEs (C1/C2/C6)</w:t>
                </w:r>
                <w:r w:rsidRPr="00424B18">
                  <w:rPr>
                    <w:rFonts w:eastAsia="Times New Roman"/>
                    <w:lang w:eastAsia="en-GB"/>
                  </w:rPr>
                  <w:t xml:space="preserve"> to apply for funding of £1,000 (with a £500 match from the business) to secure bespoke support from the private sector to deliver short, sharp interventions with significant impact on the businesses growth plans. Typically, this will either prepare a business for more intensive support from an ERDF Business Support Partner, accelerate growth post intervention, or accelerate growth plans for a business that does not want or have time for further funded intervention. The ‘Growth Access Fund’ will enhance the offer from partner organisations where the funding will both allow SMEs to be ‘support ready’,</w:t>
                </w:r>
                <w:r w:rsidR="00D45776" w:rsidRPr="00424B18">
                  <w:rPr>
                    <w:rFonts w:eastAsia="Times New Roman"/>
                    <w:lang w:eastAsia="en-GB"/>
                  </w:rPr>
                  <w:t xml:space="preserve"> </w:t>
                </w:r>
                <w:r w:rsidRPr="00424B18">
                  <w:rPr>
                    <w:rFonts w:eastAsia="Times New Roman"/>
                    <w:lang w:eastAsia="en-GB"/>
                  </w:rPr>
                  <w:t>or be able to further develop growth plans post support.</w:t>
                </w:r>
                <w:r w:rsidRPr="00424B18">
                  <w:rPr>
                    <w:rFonts w:eastAsia="Times New Roman"/>
                    <w:lang w:eastAsia="en-GB"/>
                  </w:rPr>
                  <w:tab/>
                </w:r>
              </w:p>
              <w:p w14:paraId="4A6F0D5D" w14:textId="77777777" w:rsidR="00D45776" w:rsidRPr="00424B18" w:rsidRDefault="00D45776" w:rsidP="00D35082">
                <w:pPr>
                  <w:spacing w:before="80" w:after="80" w:line="260" w:lineRule="atLeast"/>
                  <w:jc w:val="both"/>
                  <w:rPr>
                    <w:rFonts w:eastAsia="Times New Roman"/>
                    <w:lang w:eastAsia="en-GB"/>
                  </w:rPr>
                </w:pPr>
              </w:p>
              <w:p w14:paraId="5048D74C" w14:textId="5966DA1C" w:rsidR="00D35082" w:rsidRPr="00424B18" w:rsidRDefault="00D35082" w:rsidP="00D35082">
                <w:pPr>
                  <w:spacing w:before="80" w:after="80" w:line="260" w:lineRule="atLeast"/>
                  <w:jc w:val="both"/>
                  <w:rPr>
                    <w:rFonts w:eastAsia="Times New Roman"/>
                    <w:lang w:eastAsia="en-GB"/>
                  </w:rPr>
                </w:pPr>
                <w:r w:rsidRPr="00424B18">
                  <w:rPr>
                    <w:rFonts w:eastAsia="Times New Roman"/>
                    <w:lang w:eastAsia="en-GB"/>
                  </w:rPr>
                  <w:t>The objectives for the Summative Assessment can be grouped under the following headings.</w:t>
                </w:r>
              </w:p>
              <w:p w14:paraId="157859F3" w14:textId="77777777" w:rsidR="00D35082" w:rsidRPr="00424B18" w:rsidRDefault="00D35082" w:rsidP="00D35082">
                <w:pPr>
                  <w:spacing w:before="80" w:after="80" w:line="260" w:lineRule="atLeast"/>
                  <w:rPr>
                    <w:rFonts w:eastAsia="Times New Roman"/>
                    <w:lang w:eastAsia="en-GB"/>
                  </w:rPr>
                </w:pPr>
              </w:p>
              <w:p w14:paraId="451F82DD" w14:textId="73D528E7" w:rsidR="00D35082" w:rsidRPr="00424B18" w:rsidRDefault="00D35082" w:rsidP="00D35082">
                <w:pPr>
                  <w:pStyle w:val="ListParagraph"/>
                  <w:numPr>
                    <w:ilvl w:val="0"/>
                    <w:numId w:val="18"/>
                  </w:numPr>
                  <w:spacing w:before="80" w:after="80" w:line="260" w:lineRule="atLeast"/>
                  <w:jc w:val="both"/>
                  <w:rPr>
                    <w:rFonts w:eastAsia="Times New Roman"/>
                    <w:lang w:eastAsia="en-GB"/>
                  </w:rPr>
                </w:pPr>
                <w:r w:rsidRPr="00424B18">
                  <w:rPr>
                    <w:rFonts w:eastAsia="Times New Roman"/>
                    <w:b/>
                    <w:lang w:eastAsia="en-GB"/>
                  </w:rPr>
                  <w:t>Project design</w:t>
                </w:r>
                <w:r w:rsidRPr="00424B18">
                  <w:rPr>
                    <w:rFonts w:eastAsia="Times New Roman"/>
                    <w:lang w:eastAsia="en-GB"/>
                  </w:rPr>
                  <w:t xml:space="preserve"> - The Summative Assessment will critically assess the design of the project and explore all aspects of the rationale for intervention by the programme. This will be considered both at the time the project was conceived</w:t>
                </w:r>
                <w:r w:rsidR="00876008" w:rsidRPr="00424B18">
                  <w:rPr>
                    <w:rFonts w:eastAsia="Times New Roman"/>
                    <w:lang w:eastAsia="en-GB"/>
                  </w:rPr>
                  <w:t xml:space="preserve"> at the start of Phase 2</w:t>
                </w:r>
                <w:r w:rsidRPr="00424B18">
                  <w:rPr>
                    <w:rFonts w:eastAsia="Times New Roman"/>
                    <w:lang w:eastAsia="en-GB"/>
                  </w:rPr>
                  <w:t xml:space="preserve">, as well as throughout delivery. In simple terms, the Summative Assessment will assess whether the project’s aims (ie. </w:t>
                </w:r>
                <w:r w:rsidR="007B0EA4" w:rsidRPr="00424B18">
                  <w:rPr>
                    <w:rFonts w:eastAsia="Times New Roman"/>
                    <w:lang w:eastAsia="en-GB"/>
                  </w:rPr>
                  <w:t>Simplifying the pathway to Business Support for SMEs</w:t>
                </w:r>
                <w:r w:rsidRPr="00424B18">
                  <w:rPr>
                    <w:rFonts w:eastAsia="Times New Roman"/>
                    <w:lang w:eastAsia="en-GB"/>
                  </w:rPr>
                  <w:t xml:space="preserve">) remain relevant, and whether the way </w:t>
                </w:r>
                <w:r w:rsidR="007B0EA4" w:rsidRPr="00424B18">
                  <w:rPr>
                    <w:rFonts w:eastAsia="Times New Roman"/>
                    <w:lang w:eastAsia="en-GB"/>
                  </w:rPr>
                  <w:t>the CIOSGH</w:t>
                </w:r>
                <w:r w:rsidRPr="00424B18">
                  <w:rPr>
                    <w:rFonts w:eastAsia="Times New Roman"/>
                    <w:lang w:eastAsia="en-GB"/>
                  </w:rPr>
                  <w:t xml:space="preserve"> has been designed remains appropriate.</w:t>
                </w:r>
                <w:r w:rsidR="00D943D3">
                  <w:rPr>
                    <w:rFonts w:eastAsia="Times New Roman"/>
                    <w:lang w:eastAsia="en-GB"/>
                  </w:rPr>
                  <w:t xml:space="preserve"> The design consideration are important foe any further iterations of the CIOSGH post EU support.</w:t>
                </w:r>
              </w:p>
              <w:p w14:paraId="64EC2BFA" w14:textId="77777777" w:rsidR="00D35082" w:rsidRPr="00424B18" w:rsidRDefault="00D35082" w:rsidP="00D35082">
                <w:pPr>
                  <w:pStyle w:val="ListParagraph"/>
                  <w:spacing w:before="80" w:after="80" w:line="260" w:lineRule="atLeast"/>
                  <w:jc w:val="both"/>
                  <w:rPr>
                    <w:rFonts w:eastAsia="Times New Roman"/>
                    <w:lang w:eastAsia="en-GB"/>
                  </w:rPr>
                </w:pPr>
              </w:p>
              <w:p w14:paraId="536011E7" w14:textId="6DBD21BA" w:rsidR="00D35082" w:rsidRPr="00424B18" w:rsidRDefault="00D35082" w:rsidP="00D35082">
                <w:pPr>
                  <w:pStyle w:val="ListParagraph"/>
                  <w:numPr>
                    <w:ilvl w:val="0"/>
                    <w:numId w:val="18"/>
                  </w:numPr>
                  <w:spacing w:before="80" w:after="80" w:line="260" w:lineRule="atLeast"/>
                  <w:jc w:val="both"/>
                  <w:rPr>
                    <w:rFonts w:eastAsia="Times New Roman"/>
                    <w:lang w:eastAsia="en-GB"/>
                  </w:rPr>
                </w:pPr>
                <w:r w:rsidRPr="00424B18">
                  <w:rPr>
                    <w:rFonts w:eastAsia="Times New Roman"/>
                    <w:b/>
                    <w:lang w:eastAsia="en-GB"/>
                  </w:rPr>
                  <w:t>Project performance</w:t>
                </w:r>
                <w:r w:rsidRPr="00424B18">
                  <w:rPr>
                    <w:rFonts w:eastAsia="Times New Roman"/>
                    <w:lang w:eastAsia="en-GB"/>
                  </w:rPr>
                  <w:t xml:space="preserve"> - The Summative Assessment will analyse the programme’s performance against its contractual spend and output targets. This will identify and explore the factors behind the programme’s performance, focussing in particular on </w:t>
                </w:r>
                <w:r w:rsidR="00801F73" w:rsidRPr="00424B18">
                  <w:rPr>
                    <w:rFonts w:eastAsia="Times New Roman"/>
                    <w:lang w:eastAsia="en-GB"/>
                  </w:rPr>
                  <w:t>the feedback from the business base and partner</w:t>
                </w:r>
                <w:r w:rsidR="00B30671">
                  <w:rPr>
                    <w:rFonts w:eastAsia="Times New Roman"/>
                    <w:lang w:eastAsia="en-GB"/>
                  </w:rPr>
                  <w:t>s</w:t>
                </w:r>
                <w:r w:rsidR="00801F73" w:rsidRPr="00424B18">
                  <w:rPr>
                    <w:rFonts w:eastAsia="Times New Roman"/>
                    <w:lang w:eastAsia="en-GB"/>
                  </w:rPr>
                  <w:t xml:space="preserve"> to whom the project has referred into</w:t>
                </w:r>
                <w:r w:rsidR="00B30671">
                  <w:rPr>
                    <w:rFonts w:eastAsia="Times New Roman"/>
                    <w:lang w:eastAsia="en-GB"/>
                  </w:rPr>
                  <w:t xml:space="preserve"> (ie other ERDF Funded Business support and the Skills Hub)</w:t>
                </w:r>
                <w:r w:rsidRPr="00424B18">
                  <w:rPr>
                    <w:rFonts w:eastAsia="Times New Roman"/>
                    <w:lang w:eastAsia="en-GB"/>
                  </w:rPr>
                  <w:t xml:space="preserve">. </w:t>
                </w:r>
              </w:p>
              <w:p w14:paraId="279B9CF7" w14:textId="77777777" w:rsidR="00D35082" w:rsidRPr="00424B18" w:rsidRDefault="00D35082" w:rsidP="00D35082">
                <w:pPr>
                  <w:pStyle w:val="ListParagraph"/>
                  <w:spacing w:before="80" w:after="80" w:line="260" w:lineRule="atLeast"/>
                  <w:jc w:val="both"/>
                  <w:rPr>
                    <w:rFonts w:eastAsia="Times New Roman"/>
                    <w:lang w:eastAsia="en-GB"/>
                  </w:rPr>
                </w:pPr>
              </w:p>
              <w:p w14:paraId="17E1859A" w14:textId="2D97F95A" w:rsidR="00D35082" w:rsidRPr="00424B18" w:rsidRDefault="00D35082" w:rsidP="00D35082">
                <w:pPr>
                  <w:pStyle w:val="ListParagraph"/>
                  <w:numPr>
                    <w:ilvl w:val="0"/>
                    <w:numId w:val="18"/>
                  </w:numPr>
                  <w:spacing w:before="80" w:after="80" w:line="260" w:lineRule="atLeast"/>
                  <w:jc w:val="both"/>
                  <w:rPr>
                    <w:rFonts w:eastAsia="Times New Roman"/>
                    <w:lang w:eastAsia="en-GB"/>
                  </w:rPr>
                </w:pPr>
                <w:r w:rsidRPr="00424B18">
                  <w:rPr>
                    <w:rFonts w:eastAsia="Times New Roman"/>
                    <w:b/>
                    <w:lang w:eastAsia="en-GB"/>
                  </w:rPr>
                  <w:t xml:space="preserve">Project process evaluation </w:t>
                </w:r>
                <w:r w:rsidRPr="00424B18">
                  <w:rPr>
                    <w:rFonts w:eastAsia="Times New Roman"/>
                    <w:lang w:eastAsia="en-GB"/>
                  </w:rPr>
                  <w:t xml:space="preserve">- The Summative Assessment will consider the overall delivery and management processes of the </w:t>
                </w:r>
                <w:r w:rsidR="00801F73" w:rsidRPr="00424B18">
                  <w:rPr>
                    <w:rFonts w:eastAsia="Times New Roman"/>
                    <w:lang w:eastAsia="en-GB"/>
                  </w:rPr>
                  <w:t>CIOSGH</w:t>
                </w:r>
                <w:r w:rsidRPr="00424B18">
                  <w:rPr>
                    <w:rFonts w:eastAsia="Times New Roman"/>
                    <w:lang w:eastAsia="en-GB"/>
                  </w:rPr>
                  <w:t xml:space="preserve">. In particular, the </w:t>
                </w:r>
                <w:r w:rsidRPr="00424B18">
                  <w:rPr>
                    <w:rFonts w:eastAsia="Times New Roman"/>
                    <w:lang w:eastAsia="en-GB"/>
                  </w:rPr>
                  <w:lastRenderedPageBreak/>
                  <w:t xml:space="preserve">study will consider the aspects of delivery which have worked well, and others which have worked less well. This will allow CDC to reflect on past delivery and improve ongoing delivery </w:t>
                </w:r>
                <w:r w:rsidR="00424072" w:rsidRPr="00424B18">
                  <w:rPr>
                    <w:rFonts w:eastAsia="Times New Roman"/>
                    <w:lang w:eastAsia="en-GB"/>
                  </w:rPr>
                  <w:t>for the CIOSGH post EU Funding when designing new delivery models to link businesses with support.</w:t>
                </w:r>
              </w:p>
              <w:p w14:paraId="41CF1E91" w14:textId="77777777" w:rsidR="00D35082" w:rsidRPr="00424B18" w:rsidRDefault="00D35082" w:rsidP="00D35082">
                <w:pPr>
                  <w:pStyle w:val="ListParagraph"/>
                  <w:rPr>
                    <w:rFonts w:eastAsia="Times New Roman"/>
                    <w:lang w:eastAsia="en-GB"/>
                  </w:rPr>
                </w:pPr>
              </w:p>
              <w:p w14:paraId="41D46E4D" w14:textId="429EEF5B" w:rsidR="00D35082" w:rsidRPr="00424B18" w:rsidRDefault="00D35082" w:rsidP="00D35082">
                <w:pPr>
                  <w:pStyle w:val="ListParagraph"/>
                  <w:spacing w:before="80" w:after="80" w:line="260" w:lineRule="atLeast"/>
                  <w:jc w:val="both"/>
                  <w:rPr>
                    <w:rFonts w:eastAsia="Times New Roman"/>
                    <w:lang w:eastAsia="en-GB"/>
                  </w:rPr>
                </w:pPr>
                <w:r w:rsidRPr="00424B18">
                  <w:rPr>
                    <w:rFonts w:eastAsia="Times New Roman"/>
                    <w:lang w:eastAsia="en-GB"/>
                  </w:rPr>
                  <w:t>The study will also consider whether the management and delivery structures set in place were (and still are) appropriate, and the ways these have been influenced by project design and their effect on overall project performance. This will consider beneficiaries’ experience, satisfaction with the services on offer, satisfaction amongst partners and wider stakeholders as well as views about programme marketing</w:t>
                </w:r>
                <w:r w:rsidR="00505708">
                  <w:rPr>
                    <w:rFonts w:eastAsia="Times New Roman"/>
                    <w:lang w:eastAsia="en-GB"/>
                  </w:rPr>
                  <w:t xml:space="preserve"> that have all led to SMEs ease of access to the CIOSGH.</w:t>
                </w:r>
              </w:p>
              <w:p w14:paraId="0D9860B5" w14:textId="77777777" w:rsidR="00D35082" w:rsidRPr="00424B18" w:rsidRDefault="00D35082" w:rsidP="00D35082">
                <w:pPr>
                  <w:pStyle w:val="ListParagraph"/>
                  <w:spacing w:before="80" w:after="80" w:line="260" w:lineRule="atLeast"/>
                  <w:rPr>
                    <w:rFonts w:eastAsia="Times New Roman"/>
                    <w:lang w:eastAsia="en-GB"/>
                  </w:rPr>
                </w:pPr>
              </w:p>
              <w:p w14:paraId="29C2C657" w14:textId="27532A92" w:rsidR="00D35082" w:rsidRPr="00424B18" w:rsidRDefault="00D35082" w:rsidP="00D35082">
                <w:pPr>
                  <w:pStyle w:val="ListParagraph"/>
                  <w:numPr>
                    <w:ilvl w:val="0"/>
                    <w:numId w:val="18"/>
                  </w:numPr>
                  <w:spacing w:before="80" w:after="80" w:line="260" w:lineRule="atLeast"/>
                  <w:jc w:val="both"/>
                  <w:rPr>
                    <w:rFonts w:eastAsia="Times New Roman"/>
                    <w:lang w:eastAsia="en-GB"/>
                  </w:rPr>
                </w:pPr>
                <w:r w:rsidRPr="00424B18">
                  <w:rPr>
                    <w:rFonts w:eastAsia="Times New Roman"/>
                    <w:b/>
                    <w:lang w:eastAsia="en-GB"/>
                  </w:rPr>
                  <w:t>Impact and effectiveness</w:t>
                </w:r>
                <w:r w:rsidRPr="00424B18">
                  <w:rPr>
                    <w:rFonts w:eastAsia="Times New Roman"/>
                    <w:lang w:eastAsia="en-GB"/>
                  </w:rPr>
                  <w:t xml:space="preserve"> - The Summative Assessment will assess the </w:t>
                </w:r>
                <w:r w:rsidR="00C7648D" w:rsidRPr="00424B18">
                  <w:rPr>
                    <w:rFonts w:eastAsia="Times New Roman"/>
                    <w:lang w:eastAsia="en-GB"/>
                  </w:rPr>
                  <w:t>simplification of the pathway to business support for the SMEs who have accessed the service</w:t>
                </w:r>
                <w:r w:rsidRPr="00424B18">
                  <w:rPr>
                    <w:rFonts w:eastAsia="Times New Roman"/>
                    <w:lang w:eastAsia="en-GB"/>
                  </w:rPr>
                  <w:t xml:space="preserve">, especially whether the outcomes and impacts set out in the logic model have materialised. </w:t>
                </w:r>
                <w:r w:rsidR="007056E2" w:rsidRPr="00424B18">
                  <w:rPr>
                    <w:rFonts w:eastAsia="Times New Roman"/>
                    <w:lang w:eastAsia="en-GB"/>
                  </w:rPr>
                  <w:t>Furthermore</w:t>
                </w:r>
                <w:r w:rsidR="003D2E37">
                  <w:rPr>
                    <w:rFonts w:eastAsia="Times New Roman"/>
                    <w:lang w:eastAsia="en-GB"/>
                  </w:rPr>
                  <w:t>,</w:t>
                </w:r>
                <w:r w:rsidR="007056E2" w:rsidRPr="00424B18">
                  <w:rPr>
                    <w:rFonts w:eastAsia="Times New Roman"/>
                    <w:lang w:eastAsia="en-GB"/>
                  </w:rPr>
                  <w:t xml:space="preserve"> an assessment of the</w:t>
                </w:r>
                <w:r w:rsidR="00222FD6" w:rsidRPr="00424B18">
                  <w:rPr>
                    <w:rFonts w:eastAsia="Times New Roman"/>
                    <w:lang w:eastAsia="en-GB"/>
                  </w:rPr>
                  <w:t xml:space="preserve"> marketing of the project and co-ordination (where possible) of business support messaging </w:t>
                </w:r>
                <w:r w:rsidR="00693D95" w:rsidRPr="00424B18">
                  <w:rPr>
                    <w:rFonts w:eastAsia="Times New Roman"/>
                    <w:lang w:eastAsia="en-GB"/>
                  </w:rPr>
                  <w:t>across CIOS will be examined.</w:t>
                </w:r>
              </w:p>
              <w:p w14:paraId="303FAF21" w14:textId="77777777" w:rsidR="00D35082" w:rsidRPr="00424B18" w:rsidRDefault="00D35082" w:rsidP="00D35082">
                <w:pPr>
                  <w:pStyle w:val="ListParagraph"/>
                  <w:spacing w:before="80" w:after="80" w:line="260" w:lineRule="atLeast"/>
                  <w:rPr>
                    <w:rFonts w:eastAsia="Times New Roman"/>
                    <w:lang w:eastAsia="en-GB"/>
                  </w:rPr>
                </w:pPr>
              </w:p>
              <w:p w14:paraId="58965C9C" w14:textId="60B9BB30" w:rsidR="006A6D1C" w:rsidRPr="00424B18" w:rsidRDefault="00D35082" w:rsidP="003D2E37">
                <w:pPr>
                  <w:jc w:val="both"/>
                  <w:rPr>
                    <w:rFonts w:eastAsia="Times New Roman"/>
                    <w:lang w:eastAsia="en-GB"/>
                  </w:rPr>
                </w:pPr>
                <w:r w:rsidRPr="00424B18">
                  <w:rPr>
                    <w:rFonts w:eastAsia="Times New Roman"/>
                    <w:b/>
                    <w:lang w:eastAsia="en-GB"/>
                  </w:rPr>
                  <w:t>Economy</w:t>
                </w:r>
                <w:r w:rsidRPr="00424B18">
                  <w:rPr>
                    <w:rFonts w:eastAsia="Times New Roman"/>
                    <w:lang w:eastAsia="en-GB"/>
                  </w:rPr>
                  <w:t xml:space="preserve"> - Finally, the Summative Assessment will also assess whether the programme has created a positive return on investment, especially for public sector investment. The impact assessment will quantify the overall net additional impacts of the project, value for money and return on investment</w:t>
                </w:r>
              </w:p>
            </w:tc>
          </w:sdtContent>
        </w:sdt>
      </w:tr>
    </w:tbl>
    <w:p w14:paraId="0B9DA43D" w14:textId="77777777" w:rsidR="006A6D1C" w:rsidRPr="00424B18" w:rsidRDefault="006A6D1C" w:rsidP="006A6D1C">
      <w:pPr>
        <w:spacing w:after="0" w:line="240" w:lineRule="auto"/>
        <w:rPr>
          <w:rFonts w:eastAsia="Times New Roman"/>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912"/>
        <w:gridCol w:w="1134"/>
        <w:gridCol w:w="1021"/>
      </w:tblGrid>
      <w:tr w:rsidR="009E2315" w:rsidRPr="00424B18" w14:paraId="14A29B2A" w14:textId="77777777" w:rsidTr="007127DF">
        <w:trPr>
          <w:trHeight w:val="360"/>
        </w:trPr>
        <w:tc>
          <w:tcPr>
            <w:tcW w:w="9067" w:type="dxa"/>
            <w:gridSpan w:val="3"/>
            <w:shd w:val="clear" w:color="auto" w:fill="FFFFFF"/>
            <w:vAlign w:val="center"/>
          </w:tcPr>
          <w:p w14:paraId="0F7B9F80" w14:textId="68C0B399" w:rsidR="00962812" w:rsidRPr="00424B18" w:rsidRDefault="006816E8" w:rsidP="00B65AA5">
            <w:pPr>
              <w:spacing w:before="100" w:beforeAutospacing="1" w:after="0" w:line="240" w:lineRule="auto"/>
              <w:rPr>
                <w:rFonts w:eastAsia="Times New Roman"/>
                <w:b/>
                <w:bCs/>
                <w:iCs/>
              </w:rPr>
            </w:pPr>
            <w:r w:rsidRPr="00424B18">
              <w:rPr>
                <w:rFonts w:eastAsia="Times New Roman"/>
                <w:b/>
                <w:bCs/>
                <w:iCs/>
              </w:rPr>
              <w:t>2.2</w:t>
            </w:r>
            <w:r w:rsidR="009E2315" w:rsidRPr="00424B18">
              <w:rPr>
                <w:rFonts w:eastAsia="Times New Roman"/>
                <w:b/>
                <w:bCs/>
                <w:iCs/>
              </w:rPr>
              <w:t xml:space="preserve"> Logic </w:t>
            </w:r>
            <w:r w:rsidR="00280AFF" w:rsidRPr="00424B18">
              <w:rPr>
                <w:rFonts w:eastAsia="Times New Roman"/>
                <w:b/>
                <w:bCs/>
                <w:iCs/>
              </w:rPr>
              <w:t>M</w:t>
            </w:r>
            <w:r w:rsidR="009E2315" w:rsidRPr="00424B18">
              <w:rPr>
                <w:rFonts w:eastAsia="Times New Roman"/>
                <w:b/>
                <w:bCs/>
                <w:iCs/>
              </w:rPr>
              <w:t>odel:</w:t>
            </w:r>
          </w:p>
        </w:tc>
      </w:tr>
      <w:tr w:rsidR="009E2315" w:rsidRPr="00424B18" w14:paraId="78AE0BB4" w14:textId="77777777" w:rsidTr="007127DF">
        <w:trPr>
          <w:trHeight w:val="718"/>
        </w:trPr>
        <w:tc>
          <w:tcPr>
            <w:tcW w:w="6912" w:type="dxa"/>
            <w:shd w:val="clear" w:color="auto" w:fill="FFFFFF"/>
            <w:vAlign w:val="center"/>
          </w:tcPr>
          <w:p w14:paraId="1B02E8CB" w14:textId="77777777" w:rsidR="00CF7E76" w:rsidRPr="00424B18" w:rsidRDefault="00CF7E76" w:rsidP="00114659">
            <w:pPr>
              <w:spacing w:after="0" w:line="240" w:lineRule="auto"/>
              <w:rPr>
                <w:rFonts w:eastAsia="Times New Roman"/>
                <w:lang w:eastAsia="en-GB"/>
              </w:rPr>
            </w:pPr>
          </w:p>
          <w:p w14:paraId="3D274D6F" w14:textId="3E3BE668" w:rsidR="009E2315" w:rsidRPr="00424B18" w:rsidRDefault="006816E8" w:rsidP="00114659">
            <w:pPr>
              <w:spacing w:after="0" w:line="240" w:lineRule="auto"/>
              <w:rPr>
                <w:rFonts w:eastAsia="Times New Roman"/>
                <w:lang w:eastAsia="en-GB"/>
              </w:rPr>
            </w:pPr>
            <w:r w:rsidRPr="00424B18">
              <w:rPr>
                <w:rFonts w:eastAsia="Times New Roman"/>
                <w:lang w:eastAsia="en-GB"/>
              </w:rPr>
              <w:t>H</w:t>
            </w:r>
            <w:r w:rsidR="009E2315" w:rsidRPr="00424B18">
              <w:rPr>
                <w:rFonts w:eastAsia="Times New Roman"/>
                <w:lang w:eastAsia="en-GB"/>
              </w:rPr>
              <w:t xml:space="preserve">ave </w:t>
            </w:r>
            <w:r w:rsidR="00D30D51" w:rsidRPr="00424B18">
              <w:rPr>
                <w:rFonts w:eastAsia="Times New Roman"/>
                <w:lang w:eastAsia="en-GB"/>
              </w:rPr>
              <w:t xml:space="preserve">you </w:t>
            </w:r>
            <w:r w:rsidR="009E2315" w:rsidRPr="00424B18">
              <w:rPr>
                <w:rFonts w:eastAsia="Times New Roman"/>
                <w:lang w:eastAsia="en-GB"/>
              </w:rPr>
              <w:t xml:space="preserve">completed the project logic model </w:t>
            </w:r>
            <w:r w:rsidR="00901FD5" w:rsidRPr="00424B18">
              <w:rPr>
                <w:rFonts w:eastAsia="Times New Roman"/>
                <w:lang w:eastAsia="en-GB"/>
              </w:rPr>
              <w:t>form</w:t>
            </w:r>
            <w:r w:rsidR="00114659" w:rsidRPr="00424B18">
              <w:rPr>
                <w:rFonts w:eastAsia="Times New Roman"/>
                <w:lang w:eastAsia="en-GB"/>
              </w:rPr>
              <w:t xml:space="preserve"> and </w:t>
            </w:r>
            <w:r w:rsidR="00280AFF" w:rsidRPr="00424B18">
              <w:rPr>
                <w:rFonts w:eastAsia="Times New Roman"/>
                <w:lang w:eastAsia="en-GB"/>
              </w:rPr>
              <w:t xml:space="preserve">submitted it </w:t>
            </w:r>
            <w:r w:rsidR="00114659" w:rsidRPr="00424B18">
              <w:rPr>
                <w:rFonts w:eastAsia="Times New Roman"/>
                <w:lang w:eastAsia="en-GB"/>
              </w:rPr>
              <w:t xml:space="preserve">to us (see </w:t>
            </w:r>
            <w:r w:rsidR="00280AFF" w:rsidRPr="00424B18">
              <w:rPr>
                <w:rFonts w:eastAsia="Times New Roman"/>
                <w:lang w:eastAsia="en-GB"/>
              </w:rPr>
              <w:t>A</w:t>
            </w:r>
            <w:r w:rsidR="00114659" w:rsidRPr="00424B18">
              <w:rPr>
                <w:rFonts w:eastAsia="Times New Roman"/>
                <w:lang w:eastAsia="en-GB"/>
              </w:rPr>
              <w:t xml:space="preserve">ppendix A of the summative assessment </w:t>
            </w:r>
            <w:r w:rsidR="00901FD5" w:rsidRPr="00424B18">
              <w:rPr>
                <w:rFonts w:eastAsia="Times New Roman"/>
                <w:lang w:eastAsia="en-GB"/>
              </w:rPr>
              <w:t>appendices</w:t>
            </w:r>
            <w:r w:rsidR="00114659" w:rsidRPr="00424B18">
              <w:rPr>
                <w:rFonts w:eastAsia="Times New Roman"/>
                <w:lang w:eastAsia="en-GB"/>
              </w:rPr>
              <w:t>)?</w:t>
            </w:r>
          </w:p>
          <w:p w14:paraId="27D2777D" w14:textId="77777777" w:rsidR="00114659" w:rsidRPr="00424B18" w:rsidRDefault="00114659" w:rsidP="00114659">
            <w:pPr>
              <w:spacing w:after="0" w:line="240" w:lineRule="auto"/>
              <w:rPr>
                <w:rFonts w:eastAsia="Times New Roman"/>
                <w:b/>
                <w:bCs/>
                <w:iCs/>
                <w:lang w:eastAsia="en-GB"/>
              </w:rPr>
            </w:pPr>
          </w:p>
        </w:tc>
        <w:tc>
          <w:tcPr>
            <w:tcW w:w="1134" w:type="dxa"/>
            <w:shd w:val="clear" w:color="auto" w:fill="FFFFFF"/>
            <w:vAlign w:val="center"/>
          </w:tcPr>
          <w:p w14:paraId="503EB9EB" w14:textId="6B586692" w:rsidR="009E2315" w:rsidRPr="00424B18" w:rsidRDefault="009E2315" w:rsidP="009E2315">
            <w:pPr>
              <w:spacing w:after="0"/>
              <w:rPr>
                <w:rFonts w:eastAsia="Times New Roman"/>
                <w:lang w:eastAsia="en-GB"/>
              </w:rPr>
            </w:pPr>
            <w:r w:rsidRPr="00424B18">
              <w:rPr>
                <w:rFonts w:eastAsia="Times New Roman"/>
                <w:lang w:eastAsia="en-GB"/>
              </w:rPr>
              <w:t xml:space="preserve">Yes </w:t>
            </w:r>
            <w:r w:rsidR="00D60F9C" w:rsidRPr="00424B18">
              <w:rPr>
                <w:rFonts w:eastAsia="MS Gothic"/>
                <w:lang w:eastAsia="en-GB"/>
              </w:rPr>
              <w:t xml:space="preserve"> X</w:t>
            </w:r>
          </w:p>
        </w:tc>
        <w:tc>
          <w:tcPr>
            <w:tcW w:w="1021" w:type="dxa"/>
            <w:shd w:val="clear" w:color="auto" w:fill="FFFFFF"/>
            <w:vAlign w:val="center"/>
          </w:tcPr>
          <w:p w14:paraId="116F5F77" w14:textId="77777777" w:rsidR="009E2315" w:rsidRPr="00424B18" w:rsidRDefault="009E2315" w:rsidP="009E2315">
            <w:pPr>
              <w:spacing w:after="0"/>
              <w:rPr>
                <w:rFonts w:eastAsia="Times New Roman"/>
                <w:lang w:eastAsia="en-GB"/>
              </w:rPr>
            </w:pPr>
            <w:r w:rsidRPr="00424B18">
              <w:rPr>
                <w:rFonts w:eastAsia="Times New Roman"/>
                <w:lang w:eastAsia="en-GB"/>
              </w:rPr>
              <w:t xml:space="preserve">No </w:t>
            </w:r>
            <w:r w:rsidRPr="00424B18">
              <w:rPr>
                <w:rFonts w:ascii="Segoe UI Symbol" w:eastAsia="MS Gothic" w:hAnsi="Segoe UI Symbol" w:cs="Segoe UI Symbol"/>
                <w:lang w:eastAsia="en-GB"/>
              </w:rPr>
              <w:t>☐</w:t>
            </w:r>
          </w:p>
        </w:tc>
      </w:tr>
    </w:tbl>
    <w:p w14:paraId="4803F06D" w14:textId="77777777" w:rsidR="009E2315" w:rsidRPr="00424B18" w:rsidRDefault="009E2315" w:rsidP="006A6D1C">
      <w:pPr>
        <w:spacing w:after="0" w:line="240" w:lineRule="auto"/>
        <w:rPr>
          <w:rFonts w:eastAsia="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9E2315" w:rsidRPr="00424B18" w14:paraId="3C9FEBA9" w14:textId="77777777" w:rsidTr="009E2315">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2B5F23" w14:textId="48BB0A5D" w:rsidR="009E2315" w:rsidRPr="00424B18" w:rsidRDefault="006816E8" w:rsidP="009E2315">
            <w:pPr>
              <w:spacing w:after="0" w:line="240" w:lineRule="auto"/>
              <w:rPr>
                <w:rFonts w:eastAsia="Times New Roman"/>
                <w:b/>
                <w:bCs/>
                <w:color w:val="000000"/>
                <w:lang w:eastAsia="en-GB"/>
              </w:rPr>
            </w:pPr>
            <w:r w:rsidRPr="00424B18">
              <w:rPr>
                <w:rFonts w:eastAsia="Times New Roman"/>
                <w:b/>
                <w:bCs/>
                <w:color w:val="000000"/>
                <w:lang w:eastAsia="en-GB"/>
              </w:rPr>
              <w:t>2.3</w:t>
            </w:r>
            <w:r w:rsidR="009E2315" w:rsidRPr="00424B18">
              <w:rPr>
                <w:rFonts w:eastAsia="Times New Roman"/>
                <w:b/>
                <w:bCs/>
                <w:color w:val="000000"/>
                <w:lang w:eastAsia="en-GB"/>
              </w:rPr>
              <w:t xml:space="preserve"> Approach, Methods and Tasks</w:t>
            </w:r>
            <w:r w:rsidR="00D30D51" w:rsidRPr="00424B18">
              <w:rPr>
                <w:rFonts w:eastAsia="Times New Roman"/>
                <w:b/>
                <w:bCs/>
                <w:color w:val="000000"/>
                <w:lang w:eastAsia="en-GB"/>
              </w:rPr>
              <w:t xml:space="preserve"> (max </w:t>
            </w:r>
            <w:r w:rsidR="00F0733B" w:rsidRPr="00424B18">
              <w:rPr>
                <w:rFonts w:eastAsia="Times New Roman"/>
                <w:b/>
                <w:bCs/>
                <w:color w:val="000000"/>
                <w:lang w:eastAsia="en-GB"/>
              </w:rPr>
              <w:t>1,0</w:t>
            </w:r>
            <w:r w:rsidR="00D30D51" w:rsidRPr="00424B18">
              <w:rPr>
                <w:rFonts w:eastAsia="Times New Roman"/>
                <w:b/>
                <w:bCs/>
                <w:color w:val="000000"/>
                <w:lang w:eastAsia="en-GB"/>
              </w:rPr>
              <w:t>00 words)</w:t>
            </w:r>
          </w:p>
          <w:p w14:paraId="4CED9DE0" w14:textId="77777777" w:rsidR="009E2315" w:rsidRPr="00424B18" w:rsidRDefault="009E2315" w:rsidP="009E2315">
            <w:pPr>
              <w:spacing w:after="0" w:line="240" w:lineRule="auto"/>
              <w:rPr>
                <w:rFonts w:eastAsia="Times New Roman"/>
                <w:bCs/>
                <w:color w:val="000000"/>
                <w:lang w:eastAsia="en-GB"/>
              </w:rPr>
            </w:pPr>
          </w:p>
          <w:p w14:paraId="52CE843F" w14:textId="7E904A69" w:rsidR="006816E8" w:rsidRPr="00424B18" w:rsidRDefault="006816E8" w:rsidP="006816E8">
            <w:pPr>
              <w:spacing w:after="0" w:line="240" w:lineRule="auto"/>
              <w:rPr>
                <w:rFonts w:eastAsia="Times New Roman"/>
                <w:bCs/>
                <w:color w:val="000000"/>
                <w:lang w:eastAsia="en-GB"/>
              </w:rPr>
            </w:pPr>
            <w:r w:rsidRPr="00424B18">
              <w:rPr>
                <w:rFonts w:eastAsia="Times New Roman"/>
                <w:bCs/>
                <w:color w:val="000000"/>
                <w:lang w:eastAsia="en-GB"/>
              </w:rPr>
              <w:t xml:space="preserve">Referring back to the objectives of the </w:t>
            </w:r>
            <w:r w:rsidR="00901FD5" w:rsidRPr="00424B18">
              <w:rPr>
                <w:rFonts w:eastAsia="Times New Roman"/>
                <w:bCs/>
                <w:color w:val="000000"/>
                <w:lang w:eastAsia="en-GB"/>
              </w:rPr>
              <w:t>s</w:t>
            </w:r>
            <w:r w:rsidRPr="00424B18">
              <w:rPr>
                <w:rFonts w:eastAsia="Times New Roman"/>
                <w:bCs/>
                <w:color w:val="000000"/>
                <w:lang w:eastAsia="en-GB"/>
              </w:rPr>
              <w:t xml:space="preserve">ummative </w:t>
            </w:r>
            <w:r w:rsidR="00901FD5" w:rsidRPr="00424B18">
              <w:rPr>
                <w:rFonts w:eastAsia="Times New Roman"/>
                <w:bCs/>
                <w:color w:val="000000"/>
                <w:lang w:eastAsia="en-GB"/>
              </w:rPr>
              <w:t>a</w:t>
            </w:r>
            <w:r w:rsidRPr="00424B18">
              <w:rPr>
                <w:rFonts w:eastAsia="Times New Roman"/>
                <w:bCs/>
                <w:color w:val="000000"/>
                <w:lang w:eastAsia="en-GB"/>
              </w:rPr>
              <w:t>ssessment, please outline the methods that will be used to deliver the insights. The consideration of methods</w:t>
            </w:r>
            <w:r w:rsidR="00114659" w:rsidRPr="00424B18">
              <w:rPr>
                <w:rFonts w:eastAsia="Times New Roman"/>
                <w:bCs/>
                <w:color w:val="000000"/>
                <w:lang w:eastAsia="en-GB"/>
              </w:rPr>
              <w:t xml:space="preserve"> (see </w:t>
            </w:r>
            <w:r w:rsidR="00503491" w:rsidRPr="00424B18">
              <w:rPr>
                <w:rFonts w:eastAsia="Times New Roman"/>
                <w:bCs/>
                <w:color w:val="000000"/>
                <w:lang w:eastAsia="en-GB"/>
              </w:rPr>
              <w:t>A</w:t>
            </w:r>
            <w:r w:rsidR="00114659" w:rsidRPr="00424B18">
              <w:rPr>
                <w:rFonts w:eastAsia="Times New Roman"/>
                <w:bCs/>
                <w:color w:val="000000"/>
                <w:lang w:eastAsia="en-GB"/>
              </w:rPr>
              <w:t xml:space="preserve">ppendix C of the summative assessment </w:t>
            </w:r>
            <w:r w:rsidR="00901FD5" w:rsidRPr="00424B18">
              <w:rPr>
                <w:rFonts w:eastAsia="Times New Roman"/>
                <w:bCs/>
                <w:color w:val="000000"/>
                <w:lang w:eastAsia="en-GB"/>
              </w:rPr>
              <w:t>appendices</w:t>
            </w:r>
            <w:r w:rsidR="00114659" w:rsidRPr="00424B18">
              <w:rPr>
                <w:rFonts w:eastAsia="Times New Roman"/>
                <w:bCs/>
                <w:color w:val="000000"/>
                <w:lang w:eastAsia="en-GB"/>
              </w:rPr>
              <w:t>)</w:t>
            </w:r>
            <w:r w:rsidRPr="00424B18">
              <w:rPr>
                <w:rFonts w:eastAsia="Times New Roman"/>
                <w:bCs/>
                <w:color w:val="000000"/>
                <w:lang w:eastAsia="en-GB"/>
              </w:rPr>
              <w:t xml:space="preserve"> needs to encompass the progress, process and impact focused elements of the </w:t>
            </w:r>
            <w:r w:rsidR="00901FD5" w:rsidRPr="00424B18">
              <w:rPr>
                <w:rFonts w:eastAsia="Times New Roman"/>
                <w:bCs/>
                <w:color w:val="000000"/>
                <w:lang w:eastAsia="en-GB"/>
              </w:rPr>
              <w:t>s</w:t>
            </w:r>
            <w:r w:rsidRPr="00424B18">
              <w:rPr>
                <w:rFonts w:eastAsia="Times New Roman"/>
                <w:bCs/>
                <w:color w:val="000000"/>
                <w:lang w:eastAsia="en-GB"/>
              </w:rPr>
              <w:t xml:space="preserve">ummative </w:t>
            </w:r>
            <w:r w:rsidR="00901FD5" w:rsidRPr="00424B18">
              <w:rPr>
                <w:rFonts w:eastAsia="Times New Roman"/>
                <w:bCs/>
                <w:color w:val="000000"/>
                <w:lang w:eastAsia="en-GB"/>
              </w:rPr>
              <w:t>a</w:t>
            </w:r>
            <w:r w:rsidRPr="00424B18">
              <w:rPr>
                <w:rFonts w:eastAsia="Times New Roman"/>
                <w:bCs/>
                <w:color w:val="000000"/>
                <w:lang w:eastAsia="en-GB"/>
              </w:rPr>
              <w:t>ssessment.</w:t>
            </w:r>
          </w:p>
          <w:p w14:paraId="00839848" w14:textId="77777777" w:rsidR="00962812" w:rsidRPr="00424B18" w:rsidRDefault="00962812" w:rsidP="006816E8">
            <w:pPr>
              <w:spacing w:after="0" w:line="240" w:lineRule="auto"/>
              <w:rPr>
                <w:rFonts w:eastAsia="Times New Roman"/>
                <w:bCs/>
                <w:color w:val="000000"/>
                <w:lang w:eastAsia="en-GB"/>
              </w:rPr>
            </w:pPr>
          </w:p>
          <w:p w14:paraId="57B457FA" w14:textId="77777777" w:rsidR="009E2315" w:rsidRPr="00424B18" w:rsidRDefault="009E2315" w:rsidP="006816E8">
            <w:pPr>
              <w:spacing w:after="0" w:line="240" w:lineRule="auto"/>
              <w:rPr>
                <w:rFonts w:eastAsia="Times New Roman"/>
                <w:b/>
                <w:bCs/>
                <w:color w:val="000000"/>
                <w:lang w:eastAsia="en-GB"/>
              </w:rPr>
            </w:pPr>
          </w:p>
        </w:tc>
      </w:tr>
      <w:tr w:rsidR="009E2315" w:rsidRPr="00424B18" w14:paraId="04573C77" w14:textId="77777777" w:rsidTr="009E2315">
        <w:trPr>
          <w:trHeight w:val="323"/>
        </w:trPr>
        <w:sdt>
          <w:sdtPr>
            <w:rPr>
              <w:rFonts w:eastAsia="Times New Roman"/>
              <w:lang w:eastAsia="en-GB"/>
            </w:rPr>
            <w:tag w:val="DeliverOP"/>
            <w:id w:val="1352075119"/>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84F324" w14:textId="11E1949F" w:rsidR="00845258" w:rsidRPr="00424B18" w:rsidRDefault="00845258" w:rsidP="00845258">
                <w:pPr>
                  <w:spacing w:before="80" w:after="80" w:line="260" w:lineRule="atLeast"/>
                  <w:jc w:val="both"/>
                  <w:rPr>
                    <w:rFonts w:eastAsia="Calibri"/>
                    <w:color w:val="000000"/>
                  </w:rPr>
                </w:pPr>
                <w:r w:rsidRPr="00424B18">
                  <w:rPr>
                    <w:rFonts w:eastAsia="Calibri"/>
                    <w:color w:val="000000"/>
                  </w:rPr>
                  <w:t xml:space="preserve">Our approach to delivering the Summative Assessment is based on best practice guidance (such as that set out in the Good Project Evaluation Principles, and The Magenta Book) and experience assessing similar projects (especially by the external consultants selected to deliver this work). </w:t>
                </w:r>
                <w:r w:rsidR="000613DC" w:rsidRPr="00424B18">
                  <w:rPr>
                    <w:rFonts w:eastAsia="Calibri"/>
                    <w:color w:val="000000"/>
                  </w:rPr>
                  <w:t>We will also draw on the experiences of the evaluation from Phase 1</w:t>
                </w:r>
                <w:r w:rsidR="00282FDA">
                  <w:rPr>
                    <w:rFonts w:eastAsia="Calibri"/>
                    <w:color w:val="000000"/>
                  </w:rPr>
                  <w:t xml:space="preserve"> that was completed by Ash Futures in September 2018</w:t>
                </w:r>
                <w:r w:rsidR="000613DC" w:rsidRPr="00424B18">
                  <w:rPr>
                    <w:rFonts w:eastAsia="Calibri"/>
                    <w:color w:val="000000"/>
                  </w:rPr>
                  <w:t>.</w:t>
                </w:r>
              </w:p>
              <w:p w14:paraId="6670ADB4" w14:textId="77777777" w:rsidR="00845258" w:rsidRPr="00845258" w:rsidRDefault="00845258" w:rsidP="00845258">
                <w:pPr>
                  <w:spacing w:before="80" w:after="80" w:line="260" w:lineRule="atLeast"/>
                  <w:jc w:val="both"/>
                  <w:rPr>
                    <w:rFonts w:eastAsia="Calibri"/>
                    <w:color w:val="000000"/>
                  </w:rPr>
                </w:pPr>
              </w:p>
              <w:p w14:paraId="0BC4B586" w14:textId="02568A53" w:rsidR="00845258" w:rsidRPr="00845258" w:rsidRDefault="00845258" w:rsidP="00845258">
                <w:pPr>
                  <w:spacing w:before="80" w:after="80" w:line="260" w:lineRule="atLeast"/>
                  <w:jc w:val="both"/>
                  <w:rPr>
                    <w:rFonts w:eastAsia="Calibri"/>
                    <w:color w:val="000000"/>
                  </w:rPr>
                </w:pPr>
                <w:r w:rsidRPr="00845258">
                  <w:rPr>
                    <w:rFonts w:eastAsia="Calibri"/>
                    <w:color w:val="000000"/>
                  </w:rPr>
                  <w:lastRenderedPageBreak/>
                  <w:t xml:space="preserve">The work programme </w:t>
                </w:r>
                <w:r w:rsidR="001D47AF" w:rsidRPr="00424B18">
                  <w:rPr>
                    <w:rFonts w:eastAsia="Calibri"/>
                    <w:color w:val="000000"/>
                  </w:rPr>
                  <w:t xml:space="preserve">being </w:t>
                </w:r>
                <w:r w:rsidRPr="00845258">
                  <w:rPr>
                    <w:rFonts w:eastAsia="Calibri"/>
                    <w:color w:val="000000"/>
                  </w:rPr>
                  <w:t xml:space="preserve">developed for the Summative Assessment of the </w:t>
                </w:r>
                <w:r w:rsidR="001D47AF" w:rsidRPr="00424B18">
                  <w:rPr>
                    <w:rFonts w:eastAsia="Calibri"/>
                    <w:color w:val="000000"/>
                  </w:rPr>
                  <w:t>CIOSGH</w:t>
                </w:r>
                <w:r w:rsidRPr="00845258">
                  <w:rPr>
                    <w:rFonts w:eastAsia="Calibri"/>
                    <w:color w:val="000000"/>
                  </w:rPr>
                  <w:t xml:space="preserve"> consists of three distinctive stages - a baseline evaluation, a second interim evaluation, and final a Summative Assessment - all of which build one on the other to assess the project’s impacts. An ongoing theme throughout this process will be the feedback provided to CDC and its partners on how management and project delivery could be improved and the benefits generated maximised. </w:t>
                </w:r>
              </w:p>
              <w:p w14:paraId="14749512" w14:textId="77777777" w:rsidR="00845258" w:rsidRPr="00845258" w:rsidRDefault="00845258" w:rsidP="00845258">
                <w:pPr>
                  <w:spacing w:before="80" w:after="80" w:line="260" w:lineRule="atLeast"/>
                  <w:jc w:val="both"/>
                  <w:rPr>
                    <w:rFonts w:eastAsia="Calibri"/>
                    <w:color w:val="000000"/>
                  </w:rPr>
                </w:pPr>
              </w:p>
              <w:p w14:paraId="26D38703" w14:textId="33723098" w:rsidR="00C26EF1" w:rsidRPr="00424B18" w:rsidRDefault="00845258" w:rsidP="00845258">
                <w:pPr>
                  <w:spacing w:before="80" w:after="80" w:line="260" w:lineRule="atLeast"/>
                  <w:jc w:val="both"/>
                  <w:rPr>
                    <w:rFonts w:eastAsia="Calibri"/>
                    <w:color w:val="000000"/>
                  </w:rPr>
                </w:pPr>
                <w:r w:rsidRPr="00845258">
                  <w:rPr>
                    <w:rFonts w:eastAsia="Calibri"/>
                    <w:color w:val="000000"/>
                  </w:rPr>
                  <w:t xml:space="preserve">The </w:t>
                </w:r>
                <w:r w:rsidRPr="00845258">
                  <w:rPr>
                    <w:rFonts w:eastAsia="Calibri"/>
                    <w:b/>
                    <w:bCs/>
                    <w:color w:val="000000"/>
                  </w:rPr>
                  <w:t>baseline</w:t>
                </w:r>
                <w:r w:rsidRPr="00845258">
                  <w:rPr>
                    <w:rFonts w:eastAsia="Calibri"/>
                    <w:color w:val="000000"/>
                  </w:rPr>
                  <w:t xml:space="preserve"> </w:t>
                </w:r>
                <w:r w:rsidRPr="00845258">
                  <w:rPr>
                    <w:rFonts w:eastAsia="Calibri"/>
                    <w:b/>
                    <w:bCs/>
                    <w:color w:val="000000"/>
                  </w:rPr>
                  <w:t>interim evaluation</w:t>
                </w:r>
                <w:r w:rsidRPr="00845258">
                  <w:rPr>
                    <w:rFonts w:eastAsia="Calibri"/>
                    <w:color w:val="000000"/>
                  </w:rPr>
                  <w:t xml:space="preserve"> will undertake a detailed review of the project’s rationale and will focus primarily on programme design</w:t>
                </w:r>
                <w:r w:rsidR="00A473E8">
                  <w:rPr>
                    <w:rFonts w:eastAsia="Calibri"/>
                    <w:color w:val="000000"/>
                  </w:rPr>
                  <w:t>, delivery systems</w:t>
                </w:r>
                <w:r w:rsidRPr="00845258">
                  <w:rPr>
                    <w:rFonts w:eastAsia="Calibri"/>
                    <w:color w:val="000000"/>
                  </w:rPr>
                  <w:t xml:space="preserve"> and delivery of activities</w:t>
                </w:r>
                <w:r w:rsidR="00A309BE" w:rsidRPr="00424B18">
                  <w:rPr>
                    <w:rFonts w:eastAsia="Calibri"/>
                    <w:color w:val="000000"/>
                  </w:rPr>
                  <w:t>. This will also examine a number of examples of best practice from other Growth Hubs around England</w:t>
                </w:r>
                <w:r w:rsidRPr="00845258">
                  <w:rPr>
                    <w:rFonts w:eastAsia="Calibri"/>
                    <w:color w:val="000000"/>
                  </w:rPr>
                  <w:t xml:space="preserve"> (to be completed by </w:t>
                </w:r>
                <w:r w:rsidR="00042827" w:rsidRPr="00424B18">
                  <w:rPr>
                    <w:rFonts w:eastAsia="Calibri"/>
                    <w:color w:val="000000"/>
                  </w:rPr>
                  <w:t>End of January</w:t>
                </w:r>
                <w:r w:rsidRPr="00845258">
                  <w:rPr>
                    <w:rFonts w:eastAsia="Calibri"/>
                    <w:color w:val="000000"/>
                  </w:rPr>
                  <w:t xml:space="preserve"> 201</w:t>
                </w:r>
                <w:r w:rsidR="00A02DCC" w:rsidRPr="00424B18">
                  <w:rPr>
                    <w:rFonts w:eastAsia="Calibri"/>
                    <w:color w:val="000000"/>
                  </w:rPr>
                  <w:t>9</w:t>
                </w:r>
                <w:r w:rsidRPr="00845258">
                  <w:rPr>
                    <w:rFonts w:eastAsia="Calibri"/>
                    <w:color w:val="000000"/>
                  </w:rPr>
                  <w:t xml:space="preserve">). </w:t>
                </w:r>
              </w:p>
              <w:p w14:paraId="46440BB2" w14:textId="77777777" w:rsidR="00C26EF1" w:rsidRPr="00424B18" w:rsidRDefault="00C26EF1" w:rsidP="00845258">
                <w:pPr>
                  <w:spacing w:before="80" w:after="80" w:line="260" w:lineRule="atLeast"/>
                  <w:jc w:val="both"/>
                  <w:rPr>
                    <w:rFonts w:eastAsia="Calibri"/>
                    <w:color w:val="000000"/>
                  </w:rPr>
                </w:pPr>
              </w:p>
              <w:p w14:paraId="5787A0A4" w14:textId="6E715A30" w:rsidR="00845258" w:rsidRPr="00845258" w:rsidRDefault="00845258" w:rsidP="00845258">
                <w:pPr>
                  <w:spacing w:before="80" w:after="80" w:line="260" w:lineRule="atLeast"/>
                  <w:jc w:val="both"/>
                  <w:rPr>
                    <w:rFonts w:eastAsia="Calibri"/>
                    <w:color w:val="000000"/>
                  </w:rPr>
                </w:pPr>
                <w:r w:rsidRPr="00845258">
                  <w:rPr>
                    <w:rFonts w:eastAsia="Calibri"/>
                    <w:color w:val="000000"/>
                  </w:rPr>
                  <w:t xml:space="preserve">The </w:t>
                </w:r>
                <w:r w:rsidRPr="00845258">
                  <w:rPr>
                    <w:rFonts w:eastAsia="Calibri"/>
                    <w:b/>
                    <w:bCs/>
                    <w:color w:val="000000"/>
                  </w:rPr>
                  <w:t>second interim evaluation</w:t>
                </w:r>
                <w:r w:rsidRPr="00845258">
                  <w:rPr>
                    <w:rFonts w:eastAsia="Calibri"/>
                    <w:color w:val="000000"/>
                  </w:rPr>
                  <w:t xml:space="preserve"> (to be completed by the end of </w:t>
                </w:r>
                <w:r w:rsidR="00A02DCC" w:rsidRPr="00424B18">
                  <w:rPr>
                    <w:rFonts w:eastAsia="Calibri"/>
                    <w:color w:val="000000"/>
                  </w:rPr>
                  <w:t>August</w:t>
                </w:r>
                <w:r w:rsidRPr="00845258">
                  <w:rPr>
                    <w:rFonts w:eastAsia="Calibri"/>
                    <w:color w:val="000000"/>
                  </w:rPr>
                  <w:t xml:space="preserve"> 20</w:t>
                </w:r>
                <w:r w:rsidR="00A02DCC" w:rsidRPr="00424B18">
                  <w:rPr>
                    <w:rFonts w:eastAsia="Calibri"/>
                    <w:color w:val="000000"/>
                  </w:rPr>
                  <w:t>20</w:t>
                </w:r>
                <w:r w:rsidRPr="00845258">
                  <w:rPr>
                    <w:rFonts w:eastAsia="Calibri"/>
                    <w:color w:val="000000"/>
                  </w:rPr>
                  <w:t>) will focus on project delivery</w:t>
                </w:r>
                <w:r w:rsidR="00042827" w:rsidRPr="00424B18">
                  <w:rPr>
                    <w:rFonts w:eastAsia="Calibri"/>
                    <w:color w:val="000000"/>
                  </w:rPr>
                  <w:t xml:space="preserve"> and</w:t>
                </w:r>
                <w:r w:rsidRPr="00845258">
                  <w:rPr>
                    <w:rFonts w:eastAsia="Calibri"/>
                    <w:color w:val="000000"/>
                  </w:rPr>
                  <w:t xml:space="preserve"> consider outcomes and explore strategic added value</w:t>
                </w:r>
                <w:r w:rsidR="00AA07F7" w:rsidRPr="00424B18">
                  <w:rPr>
                    <w:rFonts w:eastAsia="Calibri"/>
                    <w:color w:val="000000"/>
                  </w:rPr>
                  <w:t xml:space="preserve"> in relation to the design of CIOSGH and models going forward.</w:t>
                </w:r>
                <w:r w:rsidR="004142E4">
                  <w:rPr>
                    <w:rFonts w:eastAsia="Calibri"/>
                    <w:color w:val="000000"/>
                  </w:rPr>
                  <w:t xml:space="preserve"> Again, design in relation to other Growth Hubs around England will be considered.</w:t>
                </w:r>
              </w:p>
              <w:p w14:paraId="092A89E6" w14:textId="77777777" w:rsidR="00845258" w:rsidRPr="00845258" w:rsidRDefault="00845258" w:rsidP="00845258">
                <w:pPr>
                  <w:spacing w:before="80" w:after="80" w:line="260" w:lineRule="atLeast"/>
                  <w:jc w:val="both"/>
                  <w:rPr>
                    <w:rFonts w:eastAsia="Calibri"/>
                    <w:color w:val="000000"/>
                  </w:rPr>
                </w:pPr>
              </w:p>
              <w:p w14:paraId="3FF8F99F" w14:textId="50E15962" w:rsidR="00845258" w:rsidRPr="00845258" w:rsidRDefault="00845258" w:rsidP="00845258">
                <w:pPr>
                  <w:spacing w:before="80" w:after="80" w:line="260" w:lineRule="atLeast"/>
                  <w:jc w:val="both"/>
                  <w:rPr>
                    <w:rFonts w:eastAsia="Calibri"/>
                    <w:color w:val="000000"/>
                  </w:rPr>
                </w:pPr>
                <w:r w:rsidRPr="00845258">
                  <w:rPr>
                    <w:rFonts w:eastAsia="Calibri"/>
                    <w:color w:val="000000"/>
                  </w:rPr>
                  <w:t xml:space="preserve">The </w:t>
                </w:r>
                <w:r w:rsidRPr="00845258">
                  <w:rPr>
                    <w:rFonts w:eastAsia="Calibri"/>
                    <w:b/>
                    <w:bCs/>
                    <w:color w:val="000000"/>
                  </w:rPr>
                  <w:t>third stage (ie. the Summative Assessment)</w:t>
                </w:r>
                <w:r w:rsidRPr="00845258">
                  <w:rPr>
                    <w:rFonts w:eastAsia="Calibri"/>
                    <w:color w:val="000000"/>
                  </w:rPr>
                  <w:t xml:space="preserve"> will take place in the final six months of delivery and will be completed by the end of </w:t>
                </w:r>
                <w:r w:rsidR="00C26EF1" w:rsidRPr="00424B18">
                  <w:rPr>
                    <w:rFonts w:eastAsia="Calibri"/>
                    <w:color w:val="000000"/>
                  </w:rPr>
                  <w:t>August</w:t>
                </w:r>
                <w:r w:rsidRPr="00845258">
                  <w:rPr>
                    <w:rFonts w:eastAsia="Calibri"/>
                    <w:color w:val="000000"/>
                  </w:rPr>
                  <w:t xml:space="preserve"> </w:t>
                </w:r>
                <w:r w:rsidR="00C26EF1" w:rsidRPr="00424B18">
                  <w:rPr>
                    <w:rFonts w:eastAsia="Calibri"/>
                    <w:color w:val="000000"/>
                  </w:rPr>
                  <w:t>20</w:t>
                </w:r>
                <w:r w:rsidR="00E02F06" w:rsidRPr="00424B18">
                  <w:rPr>
                    <w:rFonts w:eastAsia="Calibri"/>
                    <w:color w:val="000000"/>
                  </w:rPr>
                  <w:t>21</w:t>
                </w:r>
                <w:r w:rsidRPr="00845258">
                  <w:rPr>
                    <w:rFonts w:eastAsia="Calibri"/>
                    <w:color w:val="000000"/>
                  </w:rPr>
                  <w:t>. This stage will build on the research undertaken in stages 1 and 2 of the study and will synthesise the various strands of research to address the objectives identified in Section 2.1 above. The key research tasks are likely to include the following:</w:t>
                </w:r>
              </w:p>
              <w:p w14:paraId="4D8D2406" w14:textId="77777777" w:rsidR="00845258" w:rsidRPr="00845258" w:rsidRDefault="00845258" w:rsidP="00845258">
                <w:pPr>
                  <w:spacing w:before="80" w:after="80" w:line="260" w:lineRule="atLeast"/>
                  <w:jc w:val="both"/>
                  <w:rPr>
                    <w:rFonts w:eastAsia="Calibri"/>
                    <w:color w:val="000000"/>
                  </w:rPr>
                </w:pPr>
              </w:p>
              <w:p w14:paraId="3AABDD29" w14:textId="77777777" w:rsidR="00845258" w:rsidRPr="00845258" w:rsidRDefault="00845258" w:rsidP="00845258">
                <w:pPr>
                  <w:numPr>
                    <w:ilvl w:val="0"/>
                    <w:numId w:val="19"/>
                  </w:numPr>
                  <w:spacing w:before="80" w:after="80" w:line="260" w:lineRule="atLeast"/>
                  <w:contextualSpacing/>
                  <w:jc w:val="both"/>
                  <w:rPr>
                    <w:rFonts w:eastAsia="Calibri"/>
                    <w:color w:val="000000"/>
                  </w:rPr>
                </w:pPr>
                <w:r w:rsidRPr="00845258">
                  <w:rPr>
                    <w:rFonts w:eastAsia="Calibri"/>
                    <w:color w:val="000000"/>
                  </w:rPr>
                  <w:t xml:space="preserve">Analysis of the </w:t>
                </w:r>
                <w:r w:rsidRPr="00845258">
                  <w:rPr>
                    <w:rFonts w:eastAsia="Calibri"/>
                    <w:b/>
                    <w:color w:val="000000"/>
                  </w:rPr>
                  <w:t>logic model</w:t>
                </w:r>
                <w:r w:rsidRPr="00845258">
                  <w:rPr>
                    <w:rFonts w:eastAsia="Calibri"/>
                    <w:color w:val="000000"/>
                  </w:rPr>
                  <w:t xml:space="preserve"> and the programme’s </w:t>
                </w:r>
                <w:r w:rsidRPr="00845258">
                  <w:rPr>
                    <w:rFonts w:eastAsia="Calibri"/>
                    <w:b/>
                    <w:color w:val="000000"/>
                  </w:rPr>
                  <w:t>rationale</w:t>
                </w:r>
                <w:r w:rsidRPr="00845258">
                  <w:rPr>
                    <w:rFonts w:eastAsia="Calibri"/>
                    <w:color w:val="000000"/>
                  </w:rPr>
                  <w:t xml:space="preserve"> both at project inception and throughout delivery, to consider whether these were/ are still appropriate. This process would be informed by desk-based research of key documentation and discussions with programme stakeholders. </w:t>
                </w:r>
              </w:p>
              <w:p w14:paraId="6E5045B5" w14:textId="77777777" w:rsidR="00845258" w:rsidRPr="00845258" w:rsidRDefault="00845258" w:rsidP="00845258">
                <w:pPr>
                  <w:spacing w:before="80" w:after="80" w:line="260" w:lineRule="atLeast"/>
                  <w:ind w:left="720"/>
                  <w:contextualSpacing/>
                  <w:jc w:val="both"/>
                  <w:rPr>
                    <w:rFonts w:eastAsia="Calibri"/>
                    <w:color w:val="000000"/>
                  </w:rPr>
                </w:pPr>
              </w:p>
              <w:p w14:paraId="188F2C77" w14:textId="77777777" w:rsidR="00845258" w:rsidRPr="00845258" w:rsidRDefault="00845258" w:rsidP="00845258">
                <w:pPr>
                  <w:numPr>
                    <w:ilvl w:val="0"/>
                    <w:numId w:val="19"/>
                  </w:numPr>
                  <w:spacing w:before="80" w:after="80" w:line="260" w:lineRule="atLeast"/>
                  <w:contextualSpacing/>
                  <w:jc w:val="both"/>
                  <w:rPr>
                    <w:rFonts w:eastAsia="Times New Roman"/>
                    <w:lang w:eastAsia="en-GB"/>
                  </w:rPr>
                </w:pPr>
                <w:r w:rsidRPr="00845258">
                  <w:rPr>
                    <w:rFonts w:eastAsia="Calibri"/>
                    <w:color w:val="000000"/>
                  </w:rPr>
                  <w:t xml:space="preserve">Analysis of </w:t>
                </w:r>
                <w:r w:rsidRPr="00845258">
                  <w:rPr>
                    <w:rFonts w:eastAsia="Calibri"/>
                    <w:b/>
                    <w:color w:val="000000"/>
                  </w:rPr>
                  <w:t>project performance data</w:t>
                </w:r>
                <w:r w:rsidRPr="00845258">
                  <w:rPr>
                    <w:rFonts w:eastAsia="Calibri"/>
                    <w:color w:val="000000"/>
                  </w:rPr>
                  <w:t xml:space="preserve"> to explore key trends in overall performance.</w:t>
                </w:r>
              </w:p>
              <w:p w14:paraId="47A98083" w14:textId="77777777" w:rsidR="00845258" w:rsidRPr="00845258" w:rsidRDefault="00845258" w:rsidP="00845258">
                <w:pPr>
                  <w:ind w:left="720"/>
                  <w:contextualSpacing/>
                  <w:rPr>
                    <w:rFonts w:eastAsia="Times New Roman"/>
                    <w:lang w:eastAsia="en-GB"/>
                  </w:rPr>
                </w:pPr>
              </w:p>
              <w:p w14:paraId="4CB3ECAB" w14:textId="77777777" w:rsidR="00845258" w:rsidRPr="00845258" w:rsidRDefault="00845258" w:rsidP="00845258">
                <w:pPr>
                  <w:numPr>
                    <w:ilvl w:val="0"/>
                    <w:numId w:val="19"/>
                  </w:numPr>
                  <w:spacing w:before="80" w:after="80" w:line="260" w:lineRule="atLeast"/>
                  <w:contextualSpacing/>
                  <w:jc w:val="both"/>
                  <w:rPr>
                    <w:rFonts w:eastAsia="Times New Roman"/>
                    <w:lang w:eastAsia="en-GB"/>
                  </w:rPr>
                </w:pPr>
                <w:r w:rsidRPr="00845258">
                  <w:rPr>
                    <w:rFonts w:eastAsia="Calibri"/>
                    <w:b/>
                    <w:color w:val="000000"/>
                  </w:rPr>
                  <w:t>Project delivery review</w:t>
                </w:r>
                <w:r w:rsidRPr="00845258">
                  <w:rPr>
                    <w:rFonts w:eastAsia="Calibri"/>
                    <w:color w:val="000000"/>
                  </w:rPr>
                  <w:t xml:space="preserve"> providing a more qualitative analysis of performance, drawing on discussions with the delivery team.</w:t>
                </w:r>
                <w:r w:rsidRPr="00845258">
                  <w:rPr>
                    <w:rFonts w:eastAsia="Times New Roman"/>
                    <w:lang w:eastAsia="en-GB"/>
                  </w:rPr>
                  <w:t xml:space="preserve"> </w:t>
                </w:r>
              </w:p>
              <w:p w14:paraId="2D8B361D" w14:textId="77777777" w:rsidR="00845258" w:rsidRPr="00845258" w:rsidRDefault="00845258" w:rsidP="00845258">
                <w:pPr>
                  <w:ind w:left="720"/>
                  <w:contextualSpacing/>
                  <w:rPr>
                    <w:rFonts w:eastAsia="Times New Roman"/>
                    <w:lang w:eastAsia="en-GB"/>
                  </w:rPr>
                </w:pPr>
              </w:p>
              <w:p w14:paraId="50A7AFC8" w14:textId="77777777" w:rsidR="00845258" w:rsidRPr="00845258" w:rsidRDefault="00845258" w:rsidP="00845258">
                <w:pPr>
                  <w:numPr>
                    <w:ilvl w:val="0"/>
                    <w:numId w:val="19"/>
                  </w:numPr>
                  <w:spacing w:before="80" w:after="80" w:line="260" w:lineRule="atLeast"/>
                  <w:contextualSpacing/>
                  <w:jc w:val="both"/>
                  <w:rPr>
                    <w:rFonts w:eastAsia="Times New Roman"/>
                    <w:lang w:eastAsia="en-GB"/>
                  </w:rPr>
                </w:pPr>
                <w:r w:rsidRPr="00845258">
                  <w:rPr>
                    <w:rFonts w:eastAsia="Times New Roman"/>
                    <w:b/>
                    <w:lang w:eastAsia="en-GB"/>
                  </w:rPr>
                  <w:t>Primary research</w:t>
                </w:r>
                <w:r w:rsidRPr="00845258">
                  <w:rPr>
                    <w:rFonts w:eastAsia="Times New Roman"/>
                    <w:lang w:eastAsia="en-GB"/>
                  </w:rPr>
                  <w:t xml:space="preserve"> with project beneficiaries will establish overall satisfaction with the programme, identify best practice, and provide the basis for the project’s impact assessment.</w:t>
                </w:r>
              </w:p>
              <w:p w14:paraId="4C0F5CCE" w14:textId="77777777" w:rsidR="00845258" w:rsidRPr="00845258" w:rsidRDefault="00845258" w:rsidP="00845258">
                <w:pPr>
                  <w:ind w:left="720"/>
                  <w:contextualSpacing/>
                  <w:rPr>
                    <w:rFonts w:eastAsia="Times New Roman"/>
                    <w:lang w:eastAsia="en-GB"/>
                  </w:rPr>
                </w:pPr>
              </w:p>
              <w:p w14:paraId="046819D0" w14:textId="7065DDE4" w:rsidR="00845258" w:rsidRPr="00845258" w:rsidRDefault="00845258" w:rsidP="00845258">
                <w:pPr>
                  <w:numPr>
                    <w:ilvl w:val="0"/>
                    <w:numId w:val="19"/>
                  </w:numPr>
                  <w:spacing w:before="80" w:after="80" w:line="260" w:lineRule="atLeast"/>
                  <w:contextualSpacing/>
                  <w:jc w:val="both"/>
                  <w:rPr>
                    <w:rFonts w:eastAsia="Times New Roman"/>
                    <w:lang w:eastAsia="en-GB"/>
                  </w:rPr>
                </w:pPr>
                <w:r w:rsidRPr="00845258">
                  <w:rPr>
                    <w:rFonts w:eastAsia="Times New Roman"/>
                    <w:lang w:eastAsia="en-GB"/>
                  </w:rPr>
                  <w:t xml:space="preserve">A </w:t>
                </w:r>
                <w:r w:rsidRPr="00845258">
                  <w:rPr>
                    <w:rFonts w:eastAsia="Times New Roman"/>
                    <w:b/>
                    <w:lang w:eastAsia="en-GB"/>
                  </w:rPr>
                  <w:t>quantitative impact analysis</w:t>
                </w:r>
                <w:r w:rsidRPr="00845258">
                  <w:rPr>
                    <w:rFonts w:eastAsia="Times New Roman"/>
                    <w:lang w:eastAsia="en-GB"/>
                  </w:rPr>
                  <w:t xml:space="preserve"> which draws on primary research, monitoring data and a counterfactual impact assessment to identify the (net) impacts generated by the </w:t>
                </w:r>
                <w:r w:rsidR="00B64372" w:rsidRPr="00424B18">
                  <w:rPr>
                    <w:rFonts w:eastAsia="Times New Roman"/>
                    <w:lang w:eastAsia="en-GB"/>
                  </w:rPr>
                  <w:t>CIOSGH</w:t>
                </w:r>
                <w:r w:rsidRPr="00845258">
                  <w:rPr>
                    <w:rFonts w:eastAsia="Times New Roman"/>
                    <w:lang w:eastAsia="en-GB"/>
                  </w:rPr>
                  <w:t xml:space="preserve">. An assessment of the most appropriate (and feasible) impact evaluation options will be undertaken and signed-off by the end of Stage 1. However, if none of the options are deemed feasible, a self-reported approach gathered through a beneficiary survey would be applied. This would ensure that all data needed to produce the Summative Assessment is being collected from all beneficiaries. </w:t>
                </w:r>
              </w:p>
              <w:p w14:paraId="28B30546" w14:textId="77777777" w:rsidR="00845258" w:rsidRPr="00845258" w:rsidRDefault="00845258" w:rsidP="00845258">
                <w:pPr>
                  <w:ind w:left="720"/>
                  <w:contextualSpacing/>
                  <w:rPr>
                    <w:rFonts w:eastAsia="Times New Roman"/>
                    <w:lang w:eastAsia="en-GB"/>
                  </w:rPr>
                </w:pPr>
              </w:p>
              <w:p w14:paraId="76DE178F" w14:textId="78095D80" w:rsidR="00845258" w:rsidRPr="00845258" w:rsidRDefault="00845258" w:rsidP="00845258">
                <w:pPr>
                  <w:spacing w:before="80" w:after="80" w:line="260" w:lineRule="atLeast"/>
                  <w:ind w:left="720"/>
                  <w:contextualSpacing/>
                  <w:jc w:val="both"/>
                  <w:rPr>
                    <w:rFonts w:eastAsia="Times New Roman"/>
                    <w:lang w:eastAsia="en-GB"/>
                  </w:rPr>
                </w:pPr>
                <w:r w:rsidRPr="00845258">
                  <w:rPr>
                    <w:rFonts w:eastAsia="Times New Roman"/>
                    <w:lang w:eastAsia="en-GB"/>
                  </w:rPr>
                  <w:t xml:space="preserve">The project’s logic model sets out a target to support </w:t>
                </w:r>
                <w:r w:rsidR="0072346C" w:rsidRPr="00424B18">
                  <w:rPr>
                    <w:rFonts w:eastAsia="Times New Roman"/>
                    <w:lang w:eastAsia="en-GB"/>
                  </w:rPr>
                  <w:t>2400</w:t>
                </w:r>
                <w:r w:rsidRPr="00845258">
                  <w:rPr>
                    <w:rFonts w:eastAsia="Times New Roman"/>
                    <w:lang w:eastAsia="en-GB"/>
                  </w:rPr>
                  <w:t xml:space="preserve"> </w:t>
                </w:r>
                <w:r w:rsidR="0072346C" w:rsidRPr="00424B18">
                  <w:rPr>
                    <w:rFonts w:eastAsia="Times New Roman"/>
                    <w:lang w:eastAsia="en-GB"/>
                  </w:rPr>
                  <w:t>SMEs</w:t>
                </w:r>
                <w:r w:rsidRPr="00845258">
                  <w:rPr>
                    <w:rFonts w:eastAsia="Times New Roman"/>
                    <w:lang w:eastAsia="en-GB"/>
                  </w:rPr>
                  <w:t xml:space="preserve">. The Summative Assessment will ensure the sample of beneficiaries surveyed is representative and gather evidence </w:t>
                </w:r>
                <w:r w:rsidR="00415E4C" w:rsidRPr="00424B18">
                  <w:rPr>
                    <w:rFonts w:eastAsia="Times New Roman"/>
                    <w:lang w:eastAsia="en-GB"/>
                  </w:rPr>
                  <w:t>from a range of clients</w:t>
                </w:r>
                <w:r w:rsidRPr="00845258">
                  <w:rPr>
                    <w:rFonts w:eastAsia="Times New Roman"/>
                    <w:lang w:eastAsia="en-GB"/>
                  </w:rPr>
                  <w:t>. At this stage, it is too early to confirm whether a web-based or telephone-based survey is the most appropriate approach</w:t>
                </w:r>
                <w:r w:rsidR="002B4FF2" w:rsidRPr="00424B18">
                  <w:rPr>
                    <w:rFonts w:eastAsia="Times New Roman"/>
                    <w:lang w:eastAsia="en-GB"/>
                  </w:rPr>
                  <w:t>, this will be discussed based on our experience of the Phase 1 Evaluation.</w:t>
                </w:r>
              </w:p>
              <w:p w14:paraId="1854B2AC" w14:textId="77777777" w:rsidR="009E2315" w:rsidRPr="00424B18" w:rsidRDefault="009E2315" w:rsidP="009E2315">
                <w:pPr>
                  <w:spacing w:before="80" w:after="80" w:line="260" w:lineRule="atLeast"/>
                  <w:rPr>
                    <w:rFonts w:eastAsia="Times New Roman"/>
                    <w:lang w:eastAsia="en-GB"/>
                  </w:rPr>
                </w:pPr>
              </w:p>
            </w:tc>
          </w:sdtContent>
        </w:sdt>
      </w:tr>
    </w:tbl>
    <w:p w14:paraId="27C2FDD3" w14:textId="49D48A21" w:rsidR="00962812" w:rsidRPr="00424B18" w:rsidRDefault="00962812" w:rsidP="006A6D1C">
      <w:pPr>
        <w:spacing w:after="0" w:line="240" w:lineRule="auto"/>
        <w:rPr>
          <w:rFonts w:eastAsia="Times New Roman"/>
          <w:lang w:eastAsia="en-GB"/>
        </w:rPr>
      </w:pPr>
    </w:p>
    <w:p w14:paraId="56BF3021" w14:textId="36FCAF03" w:rsidR="00CF7E76" w:rsidRPr="00424B18" w:rsidRDefault="00CF7E76" w:rsidP="006A6D1C">
      <w:pPr>
        <w:spacing w:after="0" w:line="240" w:lineRule="auto"/>
        <w:rPr>
          <w:rFonts w:eastAsia="Times New Roman"/>
          <w:lang w:eastAsia="en-GB"/>
        </w:rPr>
      </w:pPr>
    </w:p>
    <w:p w14:paraId="16D2EA32" w14:textId="77777777" w:rsidR="008A3187" w:rsidRPr="00424B18" w:rsidRDefault="008A3187" w:rsidP="006A6D1C">
      <w:pPr>
        <w:spacing w:after="0" w:line="240" w:lineRule="auto"/>
        <w:rPr>
          <w:rFonts w:eastAsia="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816E8" w:rsidRPr="00424B18" w14:paraId="53DCDDC7" w14:textId="77777777" w:rsidTr="00302C6B">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7A946" w14:textId="77777777" w:rsidR="006816E8" w:rsidRPr="00424B18" w:rsidRDefault="006816E8" w:rsidP="00302C6B">
            <w:pPr>
              <w:spacing w:after="0" w:line="240" w:lineRule="auto"/>
              <w:rPr>
                <w:rFonts w:eastAsia="Times New Roman"/>
                <w:b/>
                <w:bCs/>
                <w:color w:val="000000"/>
                <w:lang w:eastAsia="en-GB"/>
              </w:rPr>
            </w:pPr>
            <w:r w:rsidRPr="00424B18">
              <w:rPr>
                <w:rFonts w:eastAsia="Times New Roman"/>
                <w:b/>
                <w:bCs/>
                <w:color w:val="000000"/>
                <w:lang w:eastAsia="en-GB"/>
              </w:rPr>
              <w:t>2.4 Data and Monitoring</w:t>
            </w:r>
            <w:r w:rsidR="00D30D51" w:rsidRPr="00424B18">
              <w:rPr>
                <w:rFonts w:eastAsia="Times New Roman"/>
                <w:b/>
                <w:bCs/>
                <w:color w:val="000000"/>
                <w:lang w:eastAsia="en-GB"/>
              </w:rPr>
              <w:t xml:space="preserve"> (max 500 words)</w:t>
            </w:r>
          </w:p>
          <w:p w14:paraId="623591B5" w14:textId="77777777" w:rsidR="006816E8" w:rsidRPr="00424B18" w:rsidRDefault="006816E8" w:rsidP="00302C6B">
            <w:pPr>
              <w:spacing w:after="0" w:line="240" w:lineRule="auto"/>
              <w:rPr>
                <w:rFonts w:eastAsia="Times New Roman"/>
                <w:bCs/>
                <w:color w:val="000000"/>
                <w:lang w:eastAsia="en-GB"/>
              </w:rPr>
            </w:pPr>
          </w:p>
          <w:p w14:paraId="3C23BE32" w14:textId="77777777" w:rsidR="006816E8" w:rsidRPr="00424B18" w:rsidRDefault="006816E8" w:rsidP="006816E8">
            <w:pPr>
              <w:spacing w:after="0" w:line="240" w:lineRule="auto"/>
              <w:rPr>
                <w:rFonts w:eastAsia="Times New Roman"/>
                <w:bCs/>
                <w:color w:val="000000"/>
                <w:lang w:eastAsia="en-GB"/>
              </w:rPr>
            </w:pPr>
            <w:r w:rsidRPr="00424B18">
              <w:rPr>
                <w:rFonts w:eastAsia="Times New Roman"/>
                <w:bCs/>
                <w:color w:val="000000"/>
                <w:lang w:eastAsia="en-GB"/>
              </w:rPr>
              <w:t xml:space="preserve">Please briefly demonstrate that appropriate monitoring arrangements are in place to support strong and insightful </w:t>
            </w:r>
            <w:r w:rsidR="00114659" w:rsidRPr="00424B18">
              <w:rPr>
                <w:rFonts w:eastAsia="Times New Roman"/>
                <w:bCs/>
                <w:color w:val="000000"/>
                <w:lang w:eastAsia="en-GB"/>
              </w:rPr>
              <w:t>s</w:t>
            </w:r>
            <w:r w:rsidRPr="00424B18">
              <w:rPr>
                <w:rFonts w:eastAsia="Times New Roman"/>
                <w:bCs/>
                <w:color w:val="000000"/>
                <w:lang w:eastAsia="en-GB"/>
              </w:rPr>
              <w:t xml:space="preserve">ummative </w:t>
            </w:r>
            <w:r w:rsidR="00114659" w:rsidRPr="00424B18">
              <w:rPr>
                <w:rFonts w:eastAsia="Times New Roman"/>
                <w:bCs/>
                <w:color w:val="000000"/>
                <w:lang w:eastAsia="en-GB"/>
              </w:rPr>
              <w:t>a</w:t>
            </w:r>
            <w:r w:rsidRPr="00424B18">
              <w:rPr>
                <w:rFonts w:eastAsia="Times New Roman"/>
                <w:bCs/>
                <w:color w:val="000000"/>
                <w:lang w:eastAsia="en-GB"/>
              </w:rPr>
              <w:t xml:space="preserve">ssessment and confirm your commitment to collecting the minimum / compulsory data set out in </w:t>
            </w:r>
            <w:r w:rsidR="00503491" w:rsidRPr="00424B18">
              <w:rPr>
                <w:rFonts w:eastAsia="Times New Roman"/>
                <w:bCs/>
                <w:color w:val="000000"/>
                <w:lang w:eastAsia="en-GB"/>
              </w:rPr>
              <w:t>A</w:t>
            </w:r>
            <w:r w:rsidRPr="00424B18">
              <w:rPr>
                <w:rFonts w:eastAsia="Times New Roman"/>
                <w:bCs/>
                <w:color w:val="000000"/>
                <w:lang w:eastAsia="en-GB"/>
              </w:rPr>
              <w:t xml:space="preserve">ppendix </w:t>
            </w:r>
            <w:r w:rsidR="00142F99" w:rsidRPr="00424B18">
              <w:rPr>
                <w:rFonts w:eastAsia="Times New Roman"/>
                <w:bCs/>
                <w:color w:val="000000"/>
                <w:lang w:eastAsia="en-GB"/>
              </w:rPr>
              <w:t>D</w:t>
            </w:r>
            <w:r w:rsidRPr="00424B18">
              <w:rPr>
                <w:rFonts w:eastAsia="Times New Roman"/>
                <w:bCs/>
                <w:color w:val="000000"/>
                <w:lang w:eastAsia="en-GB"/>
              </w:rPr>
              <w:t xml:space="preserve"> </w:t>
            </w:r>
            <w:r w:rsidR="00114659" w:rsidRPr="00424B18">
              <w:rPr>
                <w:rFonts w:eastAsia="Times New Roman"/>
                <w:bCs/>
                <w:color w:val="000000"/>
                <w:lang w:eastAsia="en-GB"/>
              </w:rPr>
              <w:t xml:space="preserve">of the summative assessment </w:t>
            </w:r>
            <w:r w:rsidR="00901FD5" w:rsidRPr="00424B18">
              <w:rPr>
                <w:rFonts w:eastAsia="Times New Roman"/>
                <w:bCs/>
                <w:color w:val="000000"/>
                <w:lang w:eastAsia="en-GB"/>
              </w:rPr>
              <w:t>appendices</w:t>
            </w:r>
            <w:r w:rsidR="00114659" w:rsidRPr="00424B18">
              <w:rPr>
                <w:rFonts w:eastAsia="Times New Roman"/>
                <w:bCs/>
                <w:color w:val="000000"/>
                <w:lang w:eastAsia="en-GB"/>
              </w:rPr>
              <w:t xml:space="preserve"> </w:t>
            </w:r>
            <w:r w:rsidRPr="00424B18">
              <w:rPr>
                <w:rFonts w:eastAsia="Times New Roman"/>
                <w:bCs/>
                <w:color w:val="000000"/>
                <w:lang w:eastAsia="en-GB"/>
              </w:rPr>
              <w:t xml:space="preserve">and also outline any additional monitoring data. </w:t>
            </w:r>
          </w:p>
          <w:p w14:paraId="42445E27" w14:textId="77777777" w:rsidR="006816E8" w:rsidRPr="00424B18" w:rsidRDefault="006816E8" w:rsidP="006816E8">
            <w:pPr>
              <w:spacing w:after="0" w:line="240" w:lineRule="auto"/>
              <w:rPr>
                <w:rFonts w:eastAsia="Times New Roman"/>
                <w:b/>
                <w:bCs/>
                <w:color w:val="000000"/>
                <w:lang w:eastAsia="en-GB"/>
              </w:rPr>
            </w:pPr>
          </w:p>
        </w:tc>
      </w:tr>
      <w:tr w:rsidR="006816E8" w:rsidRPr="00424B18" w14:paraId="498F86A7" w14:textId="77777777" w:rsidTr="00302C6B">
        <w:trPr>
          <w:trHeight w:val="323"/>
        </w:trPr>
        <w:sdt>
          <w:sdtPr>
            <w:rPr>
              <w:rFonts w:eastAsia="Times New Roman"/>
              <w:lang w:eastAsia="en-GB"/>
            </w:rPr>
            <w:tag w:val="DeliverOP"/>
            <w:id w:val="-241721891"/>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848D" w14:textId="55ADA9F6" w:rsidR="00C82072" w:rsidRPr="00424B18" w:rsidRDefault="00C82072" w:rsidP="00CC4C91">
                <w:pPr>
                  <w:jc w:val="both"/>
                  <w:rPr>
                    <w:rFonts w:eastAsia="Times New Roman"/>
                    <w:lang w:eastAsia="en-GB"/>
                  </w:rPr>
                </w:pPr>
                <w:r w:rsidRPr="00424B18">
                  <w:rPr>
                    <w:rFonts w:eastAsia="Times New Roman"/>
                    <w:lang w:eastAsia="en-GB"/>
                  </w:rPr>
                  <w:t xml:space="preserve">The CIOSGH has identified several indicators that need to be measured in order to support the delivery of the Summative Assessment, and aide in the ongoing monitoring of its performance. </w:t>
                </w:r>
              </w:p>
              <w:p w14:paraId="5632D6A2" w14:textId="532F6629" w:rsidR="00C82072" w:rsidRPr="00424B18" w:rsidRDefault="00C82072" w:rsidP="00C82072">
                <w:pPr>
                  <w:spacing w:before="80" w:after="80" w:line="260" w:lineRule="atLeast"/>
                  <w:jc w:val="both"/>
                  <w:rPr>
                    <w:rFonts w:eastAsia="Times New Roman"/>
                    <w:vertAlign w:val="subscript"/>
                    <w:lang w:eastAsia="en-GB"/>
                  </w:rPr>
                </w:pPr>
                <w:r w:rsidRPr="00424B18">
                  <w:rPr>
                    <w:rFonts w:eastAsia="Times New Roman"/>
                    <w:lang w:eastAsia="en-GB"/>
                  </w:rPr>
                  <w:t>The following indicators are identified as “required” in Appendix D of the Summative Assessment guidance and will therefore be collected for each beneficiary receiving support</w:t>
                </w:r>
                <w:r w:rsidR="0063521D" w:rsidRPr="00424B18">
                  <w:rPr>
                    <w:rFonts w:eastAsia="Times New Roman"/>
                    <w:lang w:eastAsia="en-GB"/>
                  </w:rPr>
                  <w:t xml:space="preserve">. </w:t>
                </w:r>
                <w:r w:rsidRPr="00424B18">
                  <w:rPr>
                    <w:rFonts w:eastAsia="Times New Roman"/>
                    <w:lang w:eastAsia="en-GB"/>
                  </w:rPr>
                  <w:t xml:space="preserve">Most of this information will be gathered at registration and will be updated on an ongoing basis to reflect the most up-to-date position throughout delivery. </w:t>
                </w:r>
              </w:p>
              <w:p w14:paraId="7760F4A4"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Named contact, telephone number and email address;</w:t>
                </w:r>
              </w:p>
              <w:p w14:paraId="5D963814"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Business sector (SIC code);</w:t>
                </w:r>
              </w:p>
              <w:p w14:paraId="66F244E2"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Business start-date;</w:t>
                </w:r>
              </w:p>
              <w:p w14:paraId="77498856"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Business trading age at the start of support;</w:t>
                </w:r>
              </w:p>
              <w:p w14:paraId="5B003D35"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FTE employment at the start of support;</w:t>
                </w:r>
              </w:p>
              <w:p w14:paraId="3338FEBC" w14:textId="77777777"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Financial turnover for last complete financial year prior to receiving support;</w:t>
                </w:r>
              </w:p>
              <w:p w14:paraId="5AB8A831" w14:textId="1692A46B" w:rsidR="00C82072" w:rsidRPr="00424B18" w:rsidRDefault="00F6669B" w:rsidP="00C82072">
                <w:pPr>
                  <w:pStyle w:val="ListParagraph"/>
                  <w:numPr>
                    <w:ilvl w:val="0"/>
                    <w:numId w:val="20"/>
                  </w:numPr>
                  <w:spacing w:after="0" w:line="240" w:lineRule="auto"/>
                  <w:jc w:val="both"/>
                  <w:rPr>
                    <w:rFonts w:eastAsia="Times New Roman"/>
                    <w:bCs/>
                    <w:color w:val="000000"/>
                    <w:lang w:eastAsia="en-GB"/>
                  </w:rPr>
                </w:pPr>
                <w:r>
                  <w:rPr>
                    <w:rFonts w:eastAsia="Times New Roman"/>
                    <w:bCs/>
                    <w:color w:val="000000"/>
                    <w:lang w:eastAsia="en-GB"/>
                  </w:rPr>
                  <w:t>State Aid</w:t>
                </w:r>
                <w:r w:rsidR="00C82072" w:rsidRPr="00424B18">
                  <w:rPr>
                    <w:rFonts w:eastAsia="Times New Roman"/>
                    <w:bCs/>
                    <w:color w:val="000000"/>
                    <w:lang w:eastAsia="en-GB"/>
                  </w:rPr>
                  <w:t xml:space="preserve"> in last three financial years prior to receiving support; and</w:t>
                </w:r>
              </w:p>
              <w:p w14:paraId="79193CDC" w14:textId="1AB7A9D0"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Date when support first accessed;</w:t>
                </w:r>
              </w:p>
              <w:p w14:paraId="5840B4B0" w14:textId="77777777" w:rsidR="00C82072" w:rsidRPr="00424B18" w:rsidRDefault="00C82072" w:rsidP="00C82072">
                <w:pPr>
                  <w:spacing w:after="0" w:line="240" w:lineRule="auto"/>
                  <w:jc w:val="both"/>
                  <w:rPr>
                    <w:rFonts w:eastAsia="Times New Roman"/>
                    <w:bCs/>
                    <w:color w:val="000000"/>
                    <w:lang w:eastAsia="en-GB"/>
                  </w:rPr>
                </w:pPr>
              </w:p>
              <w:p w14:paraId="4560AC03" w14:textId="77777777" w:rsidR="00C82072" w:rsidRPr="00424B18" w:rsidRDefault="00C82072" w:rsidP="00C82072">
                <w:pPr>
                  <w:spacing w:after="0" w:line="240" w:lineRule="auto"/>
                  <w:jc w:val="both"/>
                  <w:rPr>
                    <w:rFonts w:eastAsia="Times New Roman"/>
                    <w:bCs/>
                    <w:color w:val="000000"/>
                    <w:lang w:eastAsia="en-GB"/>
                  </w:rPr>
                </w:pPr>
                <w:r w:rsidRPr="00424B18">
                  <w:rPr>
                    <w:rFonts w:eastAsia="Times New Roman"/>
                    <w:bCs/>
                    <w:color w:val="000000"/>
                    <w:lang w:eastAsia="en-GB"/>
                  </w:rPr>
                  <w:t>The Summative Assessment guidance (Appendix D), identifies the following data as useful (ie. “advised”) for the Summative Assessment process. Wherever possible, this information will be collected and may be passed onto the external evaluators to assist with the Summative Assessment of the programme.</w:t>
                </w:r>
              </w:p>
              <w:p w14:paraId="28B3D465" w14:textId="13721544"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 xml:space="preserve">A measure of intensity of support, such as the value of the assistance </w:t>
                </w:r>
                <w:r w:rsidR="009B14CC">
                  <w:rPr>
                    <w:rFonts w:eastAsia="Times New Roman"/>
                    <w:bCs/>
                    <w:color w:val="000000"/>
                    <w:lang w:eastAsia="en-GB"/>
                  </w:rPr>
                  <w:t xml:space="preserve">(P13 or C1 etc) </w:t>
                </w:r>
              </w:p>
              <w:p w14:paraId="15E7F059" w14:textId="29753E2F" w:rsidR="00C82072" w:rsidRPr="00424B18" w:rsidRDefault="00C82072" w:rsidP="00C82072">
                <w:pPr>
                  <w:pStyle w:val="ListParagraph"/>
                  <w:numPr>
                    <w:ilvl w:val="0"/>
                    <w:numId w:val="20"/>
                  </w:numPr>
                  <w:spacing w:after="0" w:line="240" w:lineRule="auto"/>
                  <w:jc w:val="both"/>
                  <w:rPr>
                    <w:rFonts w:eastAsia="Times New Roman"/>
                    <w:bCs/>
                    <w:color w:val="000000"/>
                    <w:lang w:eastAsia="en-GB"/>
                  </w:rPr>
                </w:pPr>
                <w:r w:rsidRPr="00424B18">
                  <w:rPr>
                    <w:rFonts w:eastAsia="Times New Roman"/>
                    <w:bCs/>
                    <w:color w:val="000000"/>
                    <w:lang w:eastAsia="en-GB"/>
                  </w:rPr>
                  <w:t>Adoption of new technologies</w:t>
                </w:r>
                <w:r w:rsidR="00DB1A28">
                  <w:rPr>
                    <w:rFonts w:eastAsia="Times New Roman"/>
                    <w:bCs/>
                    <w:color w:val="000000"/>
                    <w:lang w:eastAsia="en-GB"/>
                  </w:rPr>
                  <w:t xml:space="preserve"> (for example through the A2GF Grant)</w:t>
                </w:r>
              </w:p>
              <w:p w14:paraId="222A3DBF" w14:textId="77777777" w:rsidR="006816E8" w:rsidRPr="00424B18" w:rsidRDefault="006816E8" w:rsidP="00302C6B">
                <w:pPr>
                  <w:spacing w:before="80" w:after="80" w:line="260" w:lineRule="atLeast"/>
                  <w:rPr>
                    <w:rFonts w:eastAsia="Times New Roman"/>
                    <w:lang w:eastAsia="en-GB"/>
                  </w:rPr>
                </w:pPr>
              </w:p>
            </w:tc>
          </w:sdtContent>
        </w:sdt>
      </w:tr>
    </w:tbl>
    <w:p w14:paraId="222D8C56" w14:textId="77777777" w:rsidR="009E2315" w:rsidRPr="00424B18" w:rsidRDefault="009E2315" w:rsidP="006A6D1C">
      <w:pPr>
        <w:spacing w:after="0" w:line="240" w:lineRule="auto"/>
        <w:rPr>
          <w:rFonts w:eastAsia="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816E8" w:rsidRPr="00424B18" w14:paraId="639B0C0B" w14:textId="77777777" w:rsidTr="00302C6B">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D86A6" w14:textId="77777777" w:rsidR="006816E8" w:rsidRPr="00424B18" w:rsidRDefault="006816E8" w:rsidP="00302C6B">
            <w:pPr>
              <w:spacing w:after="0" w:line="240" w:lineRule="auto"/>
              <w:rPr>
                <w:rFonts w:eastAsia="Times New Roman"/>
                <w:b/>
                <w:bCs/>
                <w:color w:val="000000"/>
                <w:lang w:eastAsia="en-GB"/>
              </w:rPr>
            </w:pPr>
            <w:r w:rsidRPr="00424B18">
              <w:rPr>
                <w:rFonts w:eastAsia="Times New Roman"/>
                <w:b/>
                <w:bCs/>
                <w:color w:val="000000"/>
                <w:lang w:eastAsia="en-GB"/>
              </w:rPr>
              <w:t>2.5 Implementing the Summative Assessment</w:t>
            </w:r>
            <w:r w:rsidR="00D30D51" w:rsidRPr="00424B18">
              <w:rPr>
                <w:rFonts w:eastAsia="Times New Roman"/>
                <w:b/>
                <w:bCs/>
                <w:color w:val="000000"/>
                <w:lang w:eastAsia="en-GB"/>
              </w:rPr>
              <w:t xml:space="preserve"> (max 500 words)</w:t>
            </w:r>
          </w:p>
          <w:p w14:paraId="2CD36C1E" w14:textId="77777777" w:rsidR="006816E8" w:rsidRPr="00424B18" w:rsidRDefault="006816E8" w:rsidP="00302C6B">
            <w:pPr>
              <w:spacing w:after="0" w:line="240" w:lineRule="auto"/>
              <w:rPr>
                <w:rFonts w:eastAsia="Times New Roman"/>
                <w:bCs/>
                <w:color w:val="000000"/>
                <w:lang w:eastAsia="en-GB"/>
              </w:rPr>
            </w:pPr>
          </w:p>
          <w:p w14:paraId="45E77E42" w14:textId="77777777" w:rsidR="006816E8" w:rsidRPr="00424B18" w:rsidRDefault="006816E8" w:rsidP="006816E8">
            <w:pPr>
              <w:spacing w:after="0" w:line="240" w:lineRule="auto"/>
              <w:rPr>
                <w:rFonts w:eastAsia="Times New Roman"/>
                <w:bCs/>
                <w:color w:val="000000"/>
                <w:lang w:eastAsia="en-GB"/>
              </w:rPr>
            </w:pPr>
            <w:r w:rsidRPr="00424B18">
              <w:rPr>
                <w:rFonts w:eastAsia="Times New Roman"/>
                <w:bCs/>
                <w:color w:val="000000"/>
                <w:lang w:eastAsia="en-GB"/>
              </w:rPr>
              <w:lastRenderedPageBreak/>
              <w:t xml:space="preserve">Please set out the practical steps involved in implementing the </w:t>
            </w:r>
            <w:r w:rsidR="00114659" w:rsidRPr="00424B18">
              <w:rPr>
                <w:rFonts w:eastAsia="Times New Roman"/>
                <w:bCs/>
                <w:color w:val="000000"/>
                <w:lang w:eastAsia="en-GB"/>
              </w:rPr>
              <w:t>s</w:t>
            </w:r>
            <w:r w:rsidRPr="00424B18">
              <w:rPr>
                <w:rFonts w:eastAsia="Times New Roman"/>
                <w:bCs/>
                <w:color w:val="000000"/>
                <w:lang w:eastAsia="en-GB"/>
              </w:rPr>
              <w:t xml:space="preserve">ummative </w:t>
            </w:r>
            <w:r w:rsidR="00114659" w:rsidRPr="00424B18">
              <w:rPr>
                <w:rFonts w:eastAsia="Times New Roman"/>
                <w:bCs/>
                <w:color w:val="000000"/>
                <w:lang w:eastAsia="en-GB"/>
              </w:rPr>
              <w:t>a</w:t>
            </w:r>
            <w:r w:rsidRPr="00424B18">
              <w:rPr>
                <w:rFonts w:eastAsia="Times New Roman"/>
                <w:bCs/>
                <w:color w:val="000000"/>
                <w:lang w:eastAsia="en-GB"/>
              </w:rPr>
              <w:t xml:space="preserve">ssessment. This should cover the following. </w:t>
            </w:r>
          </w:p>
          <w:p w14:paraId="5CE38F21" w14:textId="77777777" w:rsidR="006816E8" w:rsidRPr="00424B18" w:rsidRDefault="006816E8" w:rsidP="006816E8">
            <w:pPr>
              <w:pStyle w:val="ListParagraph"/>
              <w:numPr>
                <w:ilvl w:val="0"/>
                <w:numId w:val="16"/>
              </w:numPr>
              <w:spacing w:after="0" w:line="240" w:lineRule="auto"/>
              <w:rPr>
                <w:rFonts w:eastAsia="Times New Roman"/>
                <w:bCs/>
                <w:color w:val="000000"/>
                <w:lang w:eastAsia="en-GB"/>
              </w:rPr>
            </w:pPr>
            <w:r w:rsidRPr="00424B18">
              <w:rPr>
                <w:rFonts w:eastAsia="Times New Roman"/>
                <w:bCs/>
                <w:color w:val="000000"/>
                <w:lang w:eastAsia="en-GB"/>
              </w:rPr>
              <w:t>The assessment route: who will undertake the assessment and whether the assessment will be carried out internally or by external evaluators</w:t>
            </w:r>
            <w:r w:rsidR="00503491" w:rsidRPr="00424B18">
              <w:rPr>
                <w:rFonts w:eastAsia="Times New Roman"/>
                <w:bCs/>
                <w:color w:val="000000"/>
                <w:lang w:eastAsia="en-GB"/>
              </w:rPr>
              <w:t>,</w:t>
            </w:r>
            <w:r w:rsidRPr="00424B18">
              <w:rPr>
                <w:rFonts w:eastAsia="Times New Roman"/>
                <w:bCs/>
                <w:color w:val="000000"/>
                <w:lang w:eastAsia="en-GB"/>
              </w:rPr>
              <w:t xml:space="preserve"> explain</w:t>
            </w:r>
            <w:r w:rsidR="00503491" w:rsidRPr="00424B18">
              <w:rPr>
                <w:rFonts w:eastAsia="Times New Roman"/>
                <w:bCs/>
                <w:color w:val="000000"/>
                <w:lang w:eastAsia="en-GB"/>
              </w:rPr>
              <w:t>ing</w:t>
            </w:r>
            <w:r w:rsidRPr="00424B18">
              <w:rPr>
                <w:rFonts w:eastAsia="Times New Roman"/>
                <w:bCs/>
                <w:color w:val="000000"/>
                <w:lang w:eastAsia="en-GB"/>
              </w:rPr>
              <w:t xml:space="preserve"> the rationale for this decision. </w:t>
            </w:r>
            <w:r w:rsidR="00A37A10" w:rsidRPr="00424B18">
              <w:rPr>
                <w:rFonts w:eastAsia="Times New Roman"/>
                <w:bCs/>
                <w:color w:val="000000"/>
                <w:lang w:eastAsia="en-GB"/>
              </w:rPr>
              <w:t>I</w:t>
            </w:r>
            <w:r w:rsidRPr="00424B18">
              <w:rPr>
                <w:rFonts w:eastAsia="Times New Roman"/>
                <w:bCs/>
                <w:color w:val="000000"/>
                <w:lang w:eastAsia="en-GB"/>
              </w:rPr>
              <w:t xml:space="preserve">f external support will be procured, this section should set out the process for procurement and ensure compliance with ERDF regulations. </w:t>
            </w:r>
          </w:p>
          <w:p w14:paraId="20F6C712" w14:textId="77777777" w:rsidR="006816E8" w:rsidRPr="00424B18" w:rsidRDefault="006816E8" w:rsidP="006816E8">
            <w:pPr>
              <w:pStyle w:val="ListParagraph"/>
              <w:numPr>
                <w:ilvl w:val="0"/>
                <w:numId w:val="16"/>
              </w:numPr>
              <w:spacing w:after="0" w:line="240" w:lineRule="auto"/>
              <w:rPr>
                <w:rFonts w:eastAsia="Times New Roman"/>
                <w:bCs/>
                <w:color w:val="000000"/>
                <w:lang w:eastAsia="en-GB"/>
              </w:rPr>
            </w:pPr>
            <w:r w:rsidRPr="00424B18">
              <w:rPr>
                <w:rFonts w:eastAsia="Times New Roman"/>
                <w:bCs/>
                <w:color w:val="000000"/>
                <w:lang w:eastAsia="en-GB"/>
              </w:rPr>
              <w:t>Timescale and Outputs</w:t>
            </w:r>
            <w:r w:rsidR="00A37A10" w:rsidRPr="00424B18">
              <w:rPr>
                <w:rFonts w:eastAsia="Times New Roman"/>
                <w:bCs/>
                <w:color w:val="000000"/>
                <w:lang w:eastAsia="en-GB"/>
              </w:rPr>
              <w:t>: de</w:t>
            </w:r>
            <w:r w:rsidRPr="00424B18">
              <w:rPr>
                <w:rFonts w:eastAsia="Times New Roman"/>
                <w:bCs/>
                <w:color w:val="000000"/>
                <w:lang w:eastAsia="en-GB"/>
              </w:rPr>
              <w:t xml:space="preserve">livery plan identifying key milestones and output dates. </w:t>
            </w:r>
          </w:p>
          <w:p w14:paraId="363FCE76" w14:textId="77777777" w:rsidR="00A37A10" w:rsidRPr="00424B18" w:rsidRDefault="006816E8" w:rsidP="00114659">
            <w:pPr>
              <w:pStyle w:val="ListParagraph"/>
              <w:numPr>
                <w:ilvl w:val="0"/>
                <w:numId w:val="16"/>
              </w:numPr>
              <w:spacing w:after="0" w:line="240" w:lineRule="auto"/>
              <w:rPr>
                <w:rFonts w:eastAsia="Times New Roman"/>
                <w:b/>
                <w:bCs/>
                <w:color w:val="000000"/>
                <w:lang w:eastAsia="en-GB"/>
              </w:rPr>
            </w:pPr>
            <w:r w:rsidRPr="00424B18">
              <w:rPr>
                <w:rFonts w:eastAsia="Times New Roman"/>
                <w:bCs/>
                <w:color w:val="000000"/>
                <w:lang w:eastAsia="en-GB"/>
              </w:rPr>
              <w:t>Management and Quality Assurance</w:t>
            </w:r>
            <w:r w:rsidR="00114659" w:rsidRPr="00424B18">
              <w:rPr>
                <w:rFonts w:eastAsia="Times New Roman"/>
                <w:bCs/>
                <w:color w:val="000000"/>
                <w:lang w:eastAsia="en-GB"/>
              </w:rPr>
              <w:t xml:space="preserve"> plans.</w:t>
            </w:r>
          </w:p>
          <w:p w14:paraId="48E0654D" w14:textId="77777777" w:rsidR="00114659" w:rsidRPr="00424B18" w:rsidRDefault="00114659" w:rsidP="00114659">
            <w:pPr>
              <w:pStyle w:val="ListParagraph"/>
              <w:spacing w:after="0" w:line="240" w:lineRule="auto"/>
              <w:rPr>
                <w:rFonts w:eastAsia="Times New Roman"/>
                <w:b/>
                <w:bCs/>
                <w:color w:val="000000"/>
                <w:lang w:eastAsia="en-GB"/>
              </w:rPr>
            </w:pPr>
          </w:p>
        </w:tc>
      </w:tr>
      <w:tr w:rsidR="006816E8" w:rsidRPr="00424B18" w14:paraId="55DA6583" w14:textId="77777777" w:rsidTr="00302C6B">
        <w:trPr>
          <w:trHeight w:val="323"/>
        </w:trPr>
        <w:sdt>
          <w:sdtPr>
            <w:rPr>
              <w:rFonts w:eastAsia="Times New Roman"/>
              <w:lang w:eastAsia="en-GB"/>
            </w:rPr>
            <w:tag w:val="DeliverOP"/>
            <w:id w:val="-1888330648"/>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29F05D" w14:textId="12D6735A" w:rsidR="006816E8" w:rsidRPr="00424B18" w:rsidRDefault="006816E8" w:rsidP="00302C6B">
                <w:pPr>
                  <w:jc w:val="both"/>
                  <w:rPr>
                    <w:rFonts w:eastAsia="Times New Roman"/>
                    <w:lang w:eastAsia="en-GB"/>
                  </w:rPr>
                </w:pPr>
              </w:p>
              <w:p w14:paraId="369536B4" w14:textId="3DA386B6" w:rsidR="00424B18" w:rsidRPr="00424B18" w:rsidRDefault="00424B18" w:rsidP="00424B18">
                <w:pPr>
                  <w:jc w:val="both"/>
                  <w:rPr>
                    <w:rFonts w:eastAsia="Calibri"/>
                    <w:color w:val="000000"/>
                  </w:rPr>
                </w:pPr>
                <w:r w:rsidRPr="00424B18">
                  <w:rPr>
                    <w:rFonts w:eastAsia="Calibri"/>
                    <w:color w:val="000000"/>
                  </w:rPr>
                  <w:t xml:space="preserve">The Summative Assessment of </w:t>
                </w:r>
                <w:r>
                  <w:rPr>
                    <w:rFonts w:eastAsia="Calibri"/>
                    <w:color w:val="000000"/>
                  </w:rPr>
                  <w:t>CIOSGH</w:t>
                </w:r>
                <w:r w:rsidRPr="00424B18">
                  <w:rPr>
                    <w:rFonts w:eastAsia="Calibri"/>
                    <w:color w:val="000000"/>
                  </w:rPr>
                  <w:t xml:space="preserve"> will be undertaken by external consultants that </w:t>
                </w:r>
                <w:r>
                  <w:rPr>
                    <w:rFonts w:eastAsia="Calibri"/>
                    <w:color w:val="000000"/>
                  </w:rPr>
                  <w:t>will be commissioned from a competitive tender process</w:t>
                </w:r>
                <w:r w:rsidRPr="00424B18">
                  <w:rPr>
                    <w:rFonts w:eastAsia="Calibri"/>
                    <w:color w:val="000000"/>
                  </w:rPr>
                  <w:t xml:space="preserve">. </w:t>
                </w:r>
              </w:p>
              <w:p w14:paraId="2DA0103B" w14:textId="77777777" w:rsidR="00424B18" w:rsidRPr="00424B18" w:rsidRDefault="00424B18" w:rsidP="00424B18">
                <w:pPr>
                  <w:jc w:val="both"/>
                  <w:rPr>
                    <w:rFonts w:eastAsia="Calibri"/>
                    <w:color w:val="000000"/>
                  </w:rPr>
                </w:pPr>
                <w:r w:rsidRPr="00424B18">
                  <w:rPr>
                    <w:rFonts w:eastAsia="Calibri"/>
                    <w:color w:val="000000"/>
                  </w:rPr>
                  <w:t>The proposed timeline for undertaking the Summative Assessment for the programme, follows that set out in the attached ITT (see Section 6. Tender and commission timetable) and covers the key milestones from publication of the ITT, to submission of the final report.</w:t>
                </w:r>
              </w:p>
              <w:tbl>
                <w:tblPr>
                  <w:tblStyle w:val="TableGrid"/>
                  <w:tblW w:w="0" w:type="auto"/>
                  <w:tblLook w:val="04A0" w:firstRow="1" w:lastRow="0" w:firstColumn="1" w:lastColumn="0" w:noHBand="0" w:noVBand="1"/>
                </w:tblPr>
                <w:tblGrid>
                  <w:gridCol w:w="5545"/>
                  <w:gridCol w:w="3323"/>
                </w:tblGrid>
                <w:tr w:rsidR="004C0D00" w14:paraId="3476B3B9"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6BFED4BD" w14:textId="77777777" w:rsidR="004C0D00" w:rsidRDefault="004C0D00" w:rsidP="004C0D00">
                      <w:pPr>
                        <w:jc w:val="center"/>
                        <w:rPr>
                          <w:rFonts w:ascii="Helvetica 45 Light" w:eastAsia="Calibri" w:hAnsi="Helvetica 45 Light" w:cs="Helvetica 45 Light"/>
                          <w:b/>
                          <w:color w:val="000000"/>
                          <w:sz w:val="23"/>
                          <w:szCs w:val="23"/>
                        </w:rPr>
                      </w:pPr>
                      <w:r>
                        <w:rPr>
                          <w:rFonts w:ascii="Helvetica 45 Light" w:eastAsia="Calibri" w:hAnsi="Helvetica 45 Light" w:cs="Helvetica 45 Light"/>
                          <w:b/>
                          <w:color w:val="000000"/>
                          <w:sz w:val="23"/>
                          <w:szCs w:val="23"/>
                        </w:rPr>
                        <w:t>Milestone</w:t>
                      </w:r>
                    </w:p>
                  </w:tc>
                  <w:tc>
                    <w:tcPr>
                      <w:tcW w:w="3323" w:type="dxa"/>
                      <w:tcBorders>
                        <w:top w:val="single" w:sz="4" w:space="0" w:color="auto"/>
                        <w:left w:val="single" w:sz="4" w:space="0" w:color="auto"/>
                        <w:bottom w:val="single" w:sz="4" w:space="0" w:color="auto"/>
                        <w:right w:val="single" w:sz="4" w:space="0" w:color="auto"/>
                      </w:tcBorders>
                      <w:hideMark/>
                    </w:tcPr>
                    <w:p w14:paraId="2A345391" w14:textId="77777777" w:rsidR="004C0D00" w:rsidRDefault="004C0D00" w:rsidP="004C0D00">
                      <w:pPr>
                        <w:jc w:val="center"/>
                        <w:rPr>
                          <w:rFonts w:ascii="Helvetica 45 Light" w:eastAsia="Calibri" w:hAnsi="Helvetica 45 Light" w:cs="Helvetica 45 Light"/>
                          <w:b/>
                          <w:color w:val="000000"/>
                          <w:sz w:val="23"/>
                          <w:szCs w:val="23"/>
                        </w:rPr>
                      </w:pPr>
                      <w:r>
                        <w:rPr>
                          <w:rFonts w:ascii="Helvetica 45 Light" w:eastAsia="Calibri" w:hAnsi="Helvetica 45 Light" w:cs="Helvetica 45 Light"/>
                          <w:b/>
                          <w:color w:val="000000"/>
                          <w:sz w:val="23"/>
                          <w:szCs w:val="23"/>
                        </w:rPr>
                        <w:t>Date</w:t>
                      </w:r>
                    </w:p>
                  </w:tc>
                </w:tr>
                <w:tr w:rsidR="0081491B" w14:paraId="722D3F21" w14:textId="77777777" w:rsidTr="008C0539">
                  <w:tc>
                    <w:tcPr>
                      <w:tcW w:w="5545" w:type="dxa"/>
                      <w:tcBorders>
                        <w:top w:val="single" w:sz="4" w:space="0" w:color="auto"/>
                        <w:left w:val="single" w:sz="4" w:space="0" w:color="auto"/>
                        <w:bottom w:val="single" w:sz="4" w:space="0" w:color="auto"/>
                        <w:right w:val="single" w:sz="4" w:space="0" w:color="auto"/>
                      </w:tcBorders>
                      <w:hideMark/>
                    </w:tcPr>
                    <w:p w14:paraId="4AF4ABB4" w14:textId="77777777" w:rsidR="0081491B" w:rsidRDefault="0081491B" w:rsidP="008C0539">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Submission of Summative Assessment Plan</w:t>
                      </w:r>
                    </w:p>
                  </w:tc>
                  <w:tc>
                    <w:tcPr>
                      <w:tcW w:w="3323" w:type="dxa"/>
                      <w:tcBorders>
                        <w:top w:val="single" w:sz="4" w:space="0" w:color="auto"/>
                        <w:left w:val="single" w:sz="4" w:space="0" w:color="auto"/>
                        <w:bottom w:val="single" w:sz="4" w:space="0" w:color="auto"/>
                        <w:right w:val="single" w:sz="4" w:space="0" w:color="auto"/>
                      </w:tcBorders>
                      <w:hideMark/>
                    </w:tcPr>
                    <w:p w14:paraId="276BEB43" w14:textId="77777777" w:rsidR="0081491B" w:rsidRDefault="0081491B" w:rsidP="008C0539">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September  2019</w:t>
                      </w:r>
                    </w:p>
                  </w:tc>
                </w:tr>
                <w:tr w:rsidR="004C0D00" w14:paraId="05C97018"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48D99613" w14:textId="77777777"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Publication of ITT</w:t>
                      </w:r>
                    </w:p>
                  </w:tc>
                  <w:tc>
                    <w:tcPr>
                      <w:tcW w:w="3323" w:type="dxa"/>
                      <w:tcBorders>
                        <w:top w:val="single" w:sz="4" w:space="0" w:color="auto"/>
                        <w:left w:val="single" w:sz="4" w:space="0" w:color="auto"/>
                        <w:bottom w:val="single" w:sz="4" w:space="0" w:color="auto"/>
                        <w:right w:val="single" w:sz="4" w:space="0" w:color="auto"/>
                      </w:tcBorders>
                      <w:hideMark/>
                    </w:tcPr>
                    <w:p w14:paraId="5E5F36E2" w14:textId="367739B4" w:rsidR="004C0D00" w:rsidRDefault="004C0D00"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October 2019</w:t>
                      </w:r>
                    </w:p>
                  </w:tc>
                </w:tr>
                <w:tr w:rsidR="004C0D00" w14:paraId="5EEC8812"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1BDE0317" w14:textId="77777777"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Appointment of external consultants</w:t>
                      </w:r>
                    </w:p>
                  </w:tc>
                  <w:tc>
                    <w:tcPr>
                      <w:tcW w:w="3323" w:type="dxa"/>
                      <w:tcBorders>
                        <w:top w:val="single" w:sz="4" w:space="0" w:color="auto"/>
                        <w:left w:val="single" w:sz="4" w:space="0" w:color="auto"/>
                        <w:bottom w:val="single" w:sz="4" w:space="0" w:color="auto"/>
                        <w:right w:val="single" w:sz="4" w:space="0" w:color="auto"/>
                      </w:tcBorders>
                      <w:hideMark/>
                    </w:tcPr>
                    <w:p w14:paraId="2F294FF0" w14:textId="4BE0C295" w:rsidR="004C0D00" w:rsidRDefault="004C0D00"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November 2019</w:t>
                      </w:r>
                    </w:p>
                  </w:tc>
                </w:tr>
                <w:tr w:rsidR="004C0D00" w14:paraId="4FCF32B0"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332D0B3B" w14:textId="77777777"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Project inception meeting</w:t>
                      </w:r>
                    </w:p>
                  </w:tc>
                  <w:tc>
                    <w:tcPr>
                      <w:tcW w:w="3323" w:type="dxa"/>
                      <w:tcBorders>
                        <w:top w:val="single" w:sz="4" w:space="0" w:color="auto"/>
                        <w:left w:val="single" w:sz="4" w:space="0" w:color="auto"/>
                        <w:bottom w:val="single" w:sz="4" w:space="0" w:color="auto"/>
                        <w:right w:val="single" w:sz="4" w:space="0" w:color="auto"/>
                      </w:tcBorders>
                      <w:hideMark/>
                    </w:tcPr>
                    <w:p w14:paraId="6214B777" w14:textId="2A74BC4B" w:rsidR="004C0D00" w:rsidRDefault="004C0D00"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November 2019</w:t>
                      </w:r>
                    </w:p>
                  </w:tc>
                </w:tr>
                <w:tr w:rsidR="004C0D00" w14:paraId="46E915C4"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17E3A4D5" w14:textId="77777777"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Baseline evaluation </w:t>
                      </w:r>
                    </w:p>
                  </w:tc>
                  <w:tc>
                    <w:tcPr>
                      <w:tcW w:w="3323" w:type="dxa"/>
                      <w:tcBorders>
                        <w:top w:val="single" w:sz="4" w:space="0" w:color="auto"/>
                        <w:left w:val="single" w:sz="4" w:space="0" w:color="auto"/>
                        <w:bottom w:val="single" w:sz="4" w:space="0" w:color="auto"/>
                        <w:right w:val="single" w:sz="4" w:space="0" w:color="auto"/>
                      </w:tcBorders>
                      <w:hideMark/>
                    </w:tcPr>
                    <w:p w14:paraId="13372DEA" w14:textId="49A8EEEA" w:rsidR="004C0D00" w:rsidRDefault="0081491B"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Ja</w:t>
                      </w:r>
                      <w:r w:rsidR="00062847">
                        <w:rPr>
                          <w:rFonts w:ascii="Helvetica 45 Light" w:eastAsia="Calibri" w:hAnsi="Helvetica 45 Light" w:cs="Helvetica 45 Light"/>
                          <w:color w:val="000000"/>
                          <w:sz w:val="23"/>
                          <w:szCs w:val="23"/>
                        </w:rPr>
                        <w:t>nuary 2020</w:t>
                      </w:r>
                    </w:p>
                  </w:tc>
                </w:tr>
                <w:tr w:rsidR="004C0D00" w14:paraId="21436A4A"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76F4DD09" w14:textId="23D42DEA"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Interim evaluation </w:t>
                      </w:r>
                    </w:p>
                  </w:tc>
                  <w:tc>
                    <w:tcPr>
                      <w:tcW w:w="3323" w:type="dxa"/>
                      <w:tcBorders>
                        <w:top w:val="single" w:sz="4" w:space="0" w:color="auto"/>
                        <w:left w:val="single" w:sz="4" w:space="0" w:color="auto"/>
                        <w:bottom w:val="single" w:sz="4" w:space="0" w:color="auto"/>
                        <w:right w:val="single" w:sz="4" w:space="0" w:color="auto"/>
                      </w:tcBorders>
                      <w:hideMark/>
                    </w:tcPr>
                    <w:p w14:paraId="2AD0A47F" w14:textId="01455396" w:rsidR="004C0D00" w:rsidRDefault="0081491B"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August</w:t>
                      </w:r>
                      <w:r w:rsidR="004C0D00">
                        <w:rPr>
                          <w:rFonts w:ascii="Helvetica 45 Light" w:eastAsia="Calibri" w:hAnsi="Helvetica 45 Light" w:cs="Helvetica 45 Light"/>
                          <w:color w:val="000000"/>
                          <w:sz w:val="23"/>
                          <w:szCs w:val="23"/>
                        </w:rPr>
                        <w:t xml:space="preserve"> 20</w:t>
                      </w:r>
                      <w:r>
                        <w:rPr>
                          <w:rFonts w:ascii="Helvetica 45 Light" w:eastAsia="Calibri" w:hAnsi="Helvetica 45 Light" w:cs="Helvetica 45 Light"/>
                          <w:color w:val="000000"/>
                          <w:sz w:val="23"/>
                          <w:szCs w:val="23"/>
                        </w:rPr>
                        <w:t>20</w:t>
                      </w:r>
                    </w:p>
                  </w:tc>
                </w:tr>
                <w:tr w:rsidR="004C0D00" w14:paraId="2336F9DA" w14:textId="77777777" w:rsidTr="004C0D00">
                  <w:tc>
                    <w:tcPr>
                      <w:tcW w:w="5545" w:type="dxa"/>
                      <w:tcBorders>
                        <w:top w:val="single" w:sz="4" w:space="0" w:color="auto"/>
                        <w:left w:val="single" w:sz="4" w:space="0" w:color="auto"/>
                        <w:bottom w:val="single" w:sz="4" w:space="0" w:color="auto"/>
                        <w:right w:val="single" w:sz="4" w:space="0" w:color="auto"/>
                      </w:tcBorders>
                      <w:hideMark/>
                    </w:tcPr>
                    <w:p w14:paraId="32515DAB" w14:textId="77777777" w:rsidR="004C0D00" w:rsidRDefault="004C0D00" w:rsidP="004C0D0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Summative Assessment and presentation</w:t>
                      </w:r>
                    </w:p>
                  </w:tc>
                  <w:tc>
                    <w:tcPr>
                      <w:tcW w:w="3323" w:type="dxa"/>
                      <w:tcBorders>
                        <w:top w:val="single" w:sz="4" w:space="0" w:color="auto"/>
                        <w:left w:val="single" w:sz="4" w:space="0" w:color="auto"/>
                        <w:bottom w:val="single" w:sz="4" w:space="0" w:color="auto"/>
                        <w:right w:val="single" w:sz="4" w:space="0" w:color="auto"/>
                      </w:tcBorders>
                      <w:hideMark/>
                    </w:tcPr>
                    <w:p w14:paraId="76833937" w14:textId="163FC46C" w:rsidR="004C0D00" w:rsidRDefault="0081491B" w:rsidP="004C0D00">
                      <w:pPr>
                        <w:jc w:val="center"/>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August</w:t>
                      </w:r>
                      <w:r w:rsidR="004C0D00">
                        <w:rPr>
                          <w:rFonts w:ascii="Helvetica 45 Light" w:eastAsia="Calibri" w:hAnsi="Helvetica 45 Light" w:cs="Helvetica 45 Light"/>
                          <w:color w:val="000000"/>
                          <w:sz w:val="23"/>
                          <w:szCs w:val="23"/>
                        </w:rPr>
                        <w:t xml:space="preserve"> 20</w:t>
                      </w:r>
                      <w:r>
                        <w:rPr>
                          <w:rFonts w:ascii="Helvetica 45 Light" w:eastAsia="Calibri" w:hAnsi="Helvetica 45 Light" w:cs="Helvetica 45 Light"/>
                          <w:color w:val="000000"/>
                          <w:sz w:val="23"/>
                          <w:szCs w:val="23"/>
                        </w:rPr>
                        <w:t>21</w:t>
                      </w:r>
                    </w:p>
                  </w:tc>
                </w:tr>
              </w:tbl>
              <w:p w14:paraId="299BB0D8" w14:textId="77777777" w:rsidR="00424B18" w:rsidRPr="00424B18" w:rsidRDefault="00424B18" w:rsidP="00424B18">
                <w:pPr>
                  <w:jc w:val="both"/>
                  <w:rPr>
                    <w:rFonts w:eastAsia="Calibri"/>
                    <w:color w:val="000000"/>
                  </w:rPr>
                </w:pPr>
              </w:p>
              <w:p w14:paraId="54DC1773" w14:textId="275F1404" w:rsidR="00424B18" w:rsidRPr="00424B18" w:rsidRDefault="00424B18" w:rsidP="00424B18">
                <w:pPr>
                  <w:jc w:val="both"/>
                  <w:rPr>
                    <w:rFonts w:eastAsia="Calibri"/>
                    <w:color w:val="000000"/>
                  </w:rPr>
                </w:pPr>
                <w:r w:rsidRPr="00424B18">
                  <w:rPr>
                    <w:rFonts w:eastAsia="Calibri"/>
                    <w:color w:val="000000"/>
                  </w:rPr>
                  <w:t xml:space="preserve">The timetable set out above has been designed to allow CDC to consider project design, ongoing performance, delivery and management processes, and progress towards the programme’s outcomes at different stages of delivery. This process will provide feedback about the programme’s overall progress towards its intended outputs and outcomes and ensure that delivery is reviewed and improved on an ongoing basis. </w:t>
                </w:r>
              </w:p>
              <w:p w14:paraId="51CD8E56" w14:textId="502E06F8" w:rsidR="006816E8" w:rsidRPr="00147F4C" w:rsidRDefault="00424B18" w:rsidP="00147F4C">
                <w:pPr>
                  <w:jc w:val="both"/>
                  <w:rPr>
                    <w:rFonts w:eastAsia="Calibri"/>
                    <w:color w:val="000000"/>
                  </w:rPr>
                </w:pPr>
                <w:r w:rsidRPr="00424B18">
                  <w:rPr>
                    <w:rFonts w:eastAsia="Calibri"/>
                    <w:color w:val="000000"/>
                  </w:rPr>
                  <w:t>As CDC will oversee delivery of the Summative Assessment, undertaking strategic oversight, ensuring quality assurance and managing performance of the external evaluators to ensure that the outputs delivered are fit for purpose and meet the evaluation objectives for the programme.</w:t>
                </w:r>
              </w:p>
            </w:tc>
          </w:sdtContent>
        </w:sdt>
      </w:tr>
    </w:tbl>
    <w:p w14:paraId="36753E7D" w14:textId="77777777" w:rsidR="006816E8" w:rsidRPr="00424B18" w:rsidRDefault="006816E8" w:rsidP="006A6D1C">
      <w:pPr>
        <w:spacing w:after="0" w:line="240" w:lineRule="auto"/>
        <w:rPr>
          <w:rFonts w:eastAsia="Times New Roman"/>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912"/>
        <w:gridCol w:w="1134"/>
        <w:gridCol w:w="1021"/>
      </w:tblGrid>
      <w:tr w:rsidR="00A37A10" w:rsidRPr="00424B18" w14:paraId="1D7FDB4C" w14:textId="77777777" w:rsidTr="00C41D43">
        <w:trPr>
          <w:trHeight w:val="360"/>
        </w:trPr>
        <w:tc>
          <w:tcPr>
            <w:tcW w:w="9067" w:type="dxa"/>
            <w:gridSpan w:val="3"/>
            <w:shd w:val="clear" w:color="auto" w:fill="FFFFFF"/>
          </w:tcPr>
          <w:p w14:paraId="4AEB0A77" w14:textId="77777777" w:rsidR="00A37A10" w:rsidRPr="00424B18" w:rsidRDefault="00A37A10" w:rsidP="00302C6B">
            <w:pPr>
              <w:spacing w:after="0" w:line="240" w:lineRule="auto"/>
              <w:rPr>
                <w:rFonts w:eastAsia="Times New Roman"/>
                <w:b/>
                <w:bCs/>
                <w:iCs/>
              </w:rPr>
            </w:pPr>
            <w:r w:rsidRPr="00424B18">
              <w:rPr>
                <w:rFonts w:eastAsia="Times New Roman"/>
                <w:b/>
                <w:bCs/>
                <w:iCs/>
              </w:rPr>
              <w:t>2.6 Dissemination</w:t>
            </w:r>
            <w:r w:rsidR="00D30D51" w:rsidRPr="00424B18">
              <w:rPr>
                <w:rFonts w:eastAsia="Times New Roman"/>
                <w:b/>
                <w:bCs/>
                <w:iCs/>
              </w:rPr>
              <w:t xml:space="preserve"> (max 500 words)</w:t>
            </w:r>
          </w:p>
          <w:p w14:paraId="35FD54E4" w14:textId="77777777" w:rsidR="00A37A10" w:rsidRPr="00424B18" w:rsidRDefault="00A37A10" w:rsidP="00302C6B">
            <w:pPr>
              <w:spacing w:after="0" w:line="240" w:lineRule="auto"/>
              <w:rPr>
                <w:rFonts w:eastAsia="Times New Roman"/>
                <w:b/>
                <w:bCs/>
                <w:iCs/>
              </w:rPr>
            </w:pPr>
          </w:p>
          <w:p w14:paraId="52AE8A9D" w14:textId="77777777" w:rsidR="00A37A10" w:rsidRPr="00424B18" w:rsidRDefault="00EB0E3D" w:rsidP="00302C6B">
            <w:pPr>
              <w:spacing w:after="0" w:line="240" w:lineRule="auto"/>
              <w:rPr>
                <w:rFonts w:eastAsia="Times New Roman"/>
                <w:bCs/>
                <w:iCs/>
              </w:rPr>
            </w:pPr>
            <w:r w:rsidRPr="00424B18">
              <w:rPr>
                <w:rFonts w:eastAsia="Times New Roman"/>
                <w:bCs/>
                <w:iCs/>
              </w:rPr>
              <w:t xml:space="preserve">Please </w:t>
            </w:r>
            <w:r w:rsidR="00A37A10" w:rsidRPr="00424B18">
              <w:rPr>
                <w:rFonts w:eastAsia="Times New Roman"/>
                <w:bCs/>
                <w:iCs/>
              </w:rPr>
              <w:t xml:space="preserve">set out how you propose to disseminate and share the findings from the </w:t>
            </w:r>
            <w:r w:rsidR="00114659" w:rsidRPr="00424B18">
              <w:rPr>
                <w:rFonts w:eastAsia="Times New Roman"/>
                <w:bCs/>
                <w:iCs/>
              </w:rPr>
              <w:t>s</w:t>
            </w:r>
            <w:r w:rsidR="00A37A10" w:rsidRPr="00424B18">
              <w:rPr>
                <w:rFonts w:eastAsia="Times New Roman"/>
                <w:bCs/>
                <w:iCs/>
              </w:rPr>
              <w:t xml:space="preserve">ummative </w:t>
            </w:r>
            <w:r w:rsidR="00114659" w:rsidRPr="00424B18">
              <w:rPr>
                <w:rFonts w:eastAsia="Times New Roman"/>
                <w:bCs/>
                <w:iCs/>
              </w:rPr>
              <w:t>a</w:t>
            </w:r>
            <w:r w:rsidR="00A37A10" w:rsidRPr="00424B18">
              <w:rPr>
                <w:rFonts w:eastAsia="Times New Roman"/>
                <w:bCs/>
                <w:iCs/>
              </w:rPr>
              <w:t xml:space="preserve">ssessment. </w:t>
            </w:r>
          </w:p>
          <w:p w14:paraId="0D08966F" w14:textId="77777777" w:rsidR="00A37A10" w:rsidRPr="00424B18" w:rsidRDefault="00A37A10" w:rsidP="00302C6B">
            <w:pPr>
              <w:spacing w:after="0" w:line="240" w:lineRule="auto"/>
              <w:rPr>
                <w:rFonts w:eastAsia="Times New Roman"/>
                <w:b/>
                <w:bCs/>
                <w:iCs/>
              </w:rPr>
            </w:pPr>
          </w:p>
        </w:tc>
      </w:tr>
      <w:tr w:rsidR="00A37A10" w:rsidRPr="00424B18" w14:paraId="5685B86F" w14:textId="77777777" w:rsidTr="00C41D43">
        <w:trPr>
          <w:trHeight w:val="718"/>
        </w:trPr>
        <w:tc>
          <w:tcPr>
            <w:tcW w:w="6912" w:type="dxa"/>
            <w:shd w:val="clear" w:color="auto" w:fill="FFFFFF"/>
            <w:vAlign w:val="center"/>
          </w:tcPr>
          <w:p w14:paraId="4D0CA436" w14:textId="77777777" w:rsidR="00A37A10" w:rsidRPr="00424B18" w:rsidRDefault="00A37A10" w:rsidP="00114659">
            <w:pPr>
              <w:spacing w:after="0" w:line="240" w:lineRule="auto"/>
              <w:rPr>
                <w:rFonts w:eastAsia="Times New Roman"/>
                <w:bCs/>
                <w:iCs/>
              </w:rPr>
            </w:pPr>
            <w:r w:rsidRPr="00424B18">
              <w:rPr>
                <w:rFonts w:eastAsia="Times New Roman"/>
                <w:lang w:eastAsia="en-GB"/>
              </w:rPr>
              <w:lastRenderedPageBreak/>
              <w:t>I understand that, a</w:t>
            </w:r>
            <w:r w:rsidRPr="00424B18">
              <w:rPr>
                <w:rFonts w:eastAsia="Times New Roman"/>
                <w:bCs/>
                <w:iCs/>
              </w:rPr>
              <w:t xml:space="preserve">s a minimum, the full report needs to be shared with DCLG and the </w:t>
            </w:r>
            <w:r w:rsidR="00114659" w:rsidRPr="00424B18">
              <w:rPr>
                <w:rFonts w:eastAsia="Times New Roman"/>
                <w:bCs/>
                <w:iCs/>
              </w:rPr>
              <w:t>summative assessment s</w:t>
            </w:r>
            <w:r w:rsidRPr="00424B18">
              <w:rPr>
                <w:rFonts w:eastAsia="Times New Roman"/>
                <w:bCs/>
                <w:iCs/>
              </w:rPr>
              <w:t xml:space="preserve">ummary </w:t>
            </w:r>
            <w:r w:rsidR="00114659" w:rsidRPr="00424B18">
              <w:rPr>
                <w:rFonts w:eastAsia="Times New Roman"/>
                <w:bCs/>
                <w:iCs/>
              </w:rPr>
              <w:t>f</w:t>
            </w:r>
            <w:r w:rsidRPr="00424B18">
              <w:rPr>
                <w:rFonts w:eastAsia="Times New Roman"/>
                <w:bCs/>
                <w:iCs/>
              </w:rPr>
              <w:t xml:space="preserve">indings </w:t>
            </w:r>
            <w:r w:rsidR="00114659" w:rsidRPr="00424B18">
              <w:rPr>
                <w:rFonts w:eastAsia="Times New Roman"/>
                <w:bCs/>
                <w:iCs/>
              </w:rPr>
              <w:t>t</w:t>
            </w:r>
            <w:r w:rsidRPr="00424B18">
              <w:rPr>
                <w:rFonts w:eastAsia="Times New Roman"/>
                <w:bCs/>
                <w:iCs/>
              </w:rPr>
              <w:t>emplate</w:t>
            </w:r>
            <w:r w:rsidR="00114659" w:rsidRPr="00424B18">
              <w:rPr>
                <w:rFonts w:eastAsia="Times New Roman"/>
                <w:bCs/>
                <w:iCs/>
              </w:rPr>
              <w:t xml:space="preserve"> (ref</w:t>
            </w:r>
            <w:r w:rsidR="00901FD5" w:rsidRPr="00424B18">
              <w:rPr>
                <w:rFonts w:eastAsia="Times New Roman"/>
                <w:bCs/>
                <w:iCs/>
              </w:rPr>
              <w:t>.</w:t>
            </w:r>
            <w:r w:rsidR="00114659" w:rsidRPr="00424B18">
              <w:rPr>
                <w:rFonts w:eastAsia="Times New Roman"/>
                <w:bCs/>
                <w:iCs/>
              </w:rPr>
              <w:t xml:space="preserve"> </w:t>
            </w:r>
            <w:r w:rsidR="00901FD5" w:rsidRPr="00424B18">
              <w:rPr>
                <w:rFonts w:eastAsia="Times New Roman"/>
                <w:bCs/>
                <w:iCs/>
              </w:rPr>
              <w:t>ESIF-Form-1-014</w:t>
            </w:r>
            <w:r w:rsidR="00114659" w:rsidRPr="00424B18">
              <w:rPr>
                <w:rFonts w:eastAsia="Times New Roman"/>
                <w:bCs/>
                <w:iCs/>
              </w:rPr>
              <w:t>)</w:t>
            </w:r>
            <w:r w:rsidRPr="00424B18">
              <w:rPr>
                <w:rFonts w:eastAsia="Times New Roman"/>
                <w:bCs/>
                <w:iCs/>
              </w:rPr>
              <w:t xml:space="preserve"> must be freely available.</w:t>
            </w:r>
          </w:p>
          <w:p w14:paraId="79048EE5" w14:textId="77777777" w:rsidR="00114659" w:rsidRPr="00424B18" w:rsidRDefault="00114659" w:rsidP="00114659">
            <w:pPr>
              <w:spacing w:after="0" w:line="240" w:lineRule="auto"/>
              <w:rPr>
                <w:rFonts w:eastAsia="Times New Roman"/>
                <w:b/>
                <w:bCs/>
                <w:iCs/>
                <w:lang w:eastAsia="en-GB"/>
              </w:rPr>
            </w:pPr>
          </w:p>
        </w:tc>
        <w:tc>
          <w:tcPr>
            <w:tcW w:w="1134" w:type="dxa"/>
            <w:shd w:val="clear" w:color="auto" w:fill="FFFFFF"/>
            <w:vAlign w:val="center"/>
          </w:tcPr>
          <w:p w14:paraId="3EEADAE2" w14:textId="2A037855" w:rsidR="00A37A10" w:rsidRPr="00424B18" w:rsidRDefault="00A37A10" w:rsidP="00302C6B">
            <w:pPr>
              <w:spacing w:after="0"/>
              <w:rPr>
                <w:rFonts w:eastAsia="Times New Roman"/>
                <w:lang w:eastAsia="en-GB"/>
              </w:rPr>
            </w:pPr>
            <w:r w:rsidRPr="00424B18">
              <w:rPr>
                <w:rFonts w:eastAsia="Times New Roman"/>
                <w:lang w:eastAsia="en-GB"/>
              </w:rPr>
              <w:t xml:space="preserve">Yes </w:t>
            </w:r>
            <w:r w:rsidR="00CA40DF">
              <w:rPr>
                <w:rFonts w:ascii="Segoe UI Symbol" w:eastAsia="MS Gothic" w:hAnsi="Segoe UI Symbol" w:cs="Segoe UI Symbol"/>
                <w:lang w:eastAsia="en-GB"/>
              </w:rPr>
              <w:t>X</w:t>
            </w:r>
          </w:p>
        </w:tc>
        <w:tc>
          <w:tcPr>
            <w:tcW w:w="1021" w:type="dxa"/>
            <w:shd w:val="clear" w:color="auto" w:fill="FFFFFF"/>
            <w:vAlign w:val="center"/>
          </w:tcPr>
          <w:p w14:paraId="52DBD4F6" w14:textId="77777777" w:rsidR="00A37A10" w:rsidRPr="00424B18" w:rsidRDefault="00A37A10" w:rsidP="00302C6B">
            <w:pPr>
              <w:spacing w:after="0"/>
              <w:rPr>
                <w:rFonts w:eastAsia="Times New Roman"/>
                <w:lang w:eastAsia="en-GB"/>
              </w:rPr>
            </w:pPr>
            <w:r w:rsidRPr="00424B18">
              <w:rPr>
                <w:rFonts w:eastAsia="Times New Roman"/>
                <w:lang w:eastAsia="en-GB"/>
              </w:rPr>
              <w:t xml:space="preserve">No </w:t>
            </w:r>
            <w:r w:rsidRPr="00424B18">
              <w:rPr>
                <w:rFonts w:ascii="Segoe UI Symbol" w:eastAsia="MS Gothic" w:hAnsi="Segoe UI Symbol" w:cs="Segoe UI Symbol"/>
                <w:lang w:eastAsia="en-GB"/>
              </w:rPr>
              <w:t>☐</w:t>
            </w:r>
          </w:p>
        </w:tc>
      </w:tr>
      <w:tr w:rsidR="00A37A10" w:rsidRPr="00424B18" w14:paraId="68E38588" w14:textId="77777777" w:rsidTr="00C41D43">
        <w:trPr>
          <w:trHeight w:val="718"/>
        </w:trPr>
        <w:tc>
          <w:tcPr>
            <w:tcW w:w="9067" w:type="dxa"/>
            <w:gridSpan w:val="3"/>
            <w:shd w:val="clear" w:color="auto" w:fill="FFFFFF"/>
            <w:vAlign w:val="center"/>
          </w:tcPr>
          <w:p w14:paraId="630156B6" w14:textId="69BCB905" w:rsidR="00A37A10" w:rsidRDefault="00A37A10" w:rsidP="00302C6B">
            <w:pPr>
              <w:spacing w:after="0"/>
              <w:rPr>
                <w:rFonts w:eastAsia="Times New Roman"/>
                <w:lang w:eastAsia="en-GB"/>
              </w:rPr>
            </w:pPr>
          </w:p>
          <w:p w14:paraId="67603E39" w14:textId="2B37FF93" w:rsidR="00CA40DF" w:rsidRDefault="00CA40DF" w:rsidP="00CA40DF">
            <w:pPr>
              <w:spacing w:after="0"/>
              <w:jc w:val="both"/>
              <w:rPr>
                <w:rFonts w:eastAsia="Times New Roman"/>
                <w:lang w:eastAsia="en-GB"/>
              </w:rPr>
            </w:pPr>
            <w:r>
              <w:rPr>
                <w:rFonts w:eastAsia="Times New Roman"/>
                <w:lang w:eastAsia="en-GB"/>
              </w:rPr>
              <w:t>The baseline evaluation will be made available to partners at CDC, the programme’s Steering Group and funders (incl. CIoS LEP, Cornwall CC and MHCLG)</w:t>
            </w:r>
            <w:r w:rsidR="008A3641">
              <w:rPr>
                <w:rFonts w:eastAsia="Times New Roman"/>
                <w:lang w:eastAsia="en-GB"/>
              </w:rPr>
              <w:t xml:space="preserve"> to </w:t>
            </w:r>
            <w:r>
              <w:rPr>
                <w:rFonts w:eastAsia="Times New Roman"/>
                <w:lang w:eastAsia="en-GB"/>
              </w:rPr>
              <w:t xml:space="preserve">ensure that any emerging lessons can be passed on, and delivery improved. </w:t>
            </w:r>
            <w:r w:rsidR="008A3641">
              <w:rPr>
                <w:rFonts w:eastAsia="Times New Roman"/>
                <w:lang w:eastAsia="en-GB"/>
              </w:rPr>
              <w:t>This is particularly important to feed into any design of the CIOSGH in the future and develop the LIS.</w:t>
            </w:r>
          </w:p>
          <w:p w14:paraId="7240104F" w14:textId="77777777" w:rsidR="00CA40DF" w:rsidRDefault="00CA40DF" w:rsidP="00CA40DF">
            <w:pPr>
              <w:spacing w:after="0"/>
              <w:jc w:val="both"/>
              <w:rPr>
                <w:rFonts w:eastAsia="Times New Roman"/>
                <w:lang w:eastAsia="en-GB"/>
              </w:rPr>
            </w:pPr>
          </w:p>
          <w:p w14:paraId="1EBE8D5A" w14:textId="253A117B" w:rsidR="00CA40DF" w:rsidRDefault="00CA40DF" w:rsidP="00CA40DF">
            <w:pPr>
              <w:spacing w:after="0"/>
              <w:jc w:val="both"/>
              <w:rPr>
                <w:rFonts w:eastAsia="Times New Roman"/>
                <w:lang w:eastAsia="en-GB"/>
              </w:rPr>
            </w:pPr>
            <w:r>
              <w:rPr>
                <w:rFonts w:eastAsia="Times New Roman"/>
                <w:lang w:eastAsia="en-GB"/>
              </w:rPr>
              <w:t xml:space="preserve">Once produced, the interim evaluation and Summative Assessment will be distributed more widely including to the Steering Group, key stakeholders, delivery partners, relevant sector bodies in Cornwall as well as funders (ie. CIoS LEP, Cornwall CC and MHCLG). </w:t>
            </w:r>
          </w:p>
          <w:p w14:paraId="0F4189D8" w14:textId="77777777" w:rsidR="00CA40DF" w:rsidRDefault="00CA40DF" w:rsidP="00CA40DF">
            <w:pPr>
              <w:spacing w:after="0"/>
              <w:jc w:val="both"/>
              <w:rPr>
                <w:rFonts w:eastAsia="Times New Roman"/>
                <w:lang w:eastAsia="en-GB"/>
              </w:rPr>
            </w:pPr>
          </w:p>
          <w:p w14:paraId="6051D645" w14:textId="124B8A26" w:rsidR="00CA40DF" w:rsidRDefault="00CA40DF" w:rsidP="00CA40DF">
            <w:pPr>
              <w:spacing w:after="0"/>
              <w:jc w:val="both"/>
              <w:rPr>
                <w:rFonts w:eastAsia="Times New Roman"/>
                <w:lang w:eastAsia="en-GB"/>
              </w:rPr>
            </w:pPr>
            <w:r>
              <w:rPr>
                <w:rFonts w:eastAsia="Times New Roman"/>
                <w:lang w:eastAsia="en-GB"/>
              </w:rPr>
              <w:t xml:space="preserve">A shorter, distilled version of the second interim evaluation and Summative Assessment will be drafted and shared more widely amongst programme beneficiaries, and businesses within the CIoS LEP area. The distilled version of the second interim evaluation and Summative Assessment will be distributed via relevant social medial channels and the </w:t>
            </w:r>
            <w:r w:rsidR="00AB0F22">
              <w:rPr>
                <w:rFonts w:eastAsia="Times New Roman"/>
                <w:lang w:eastAsia="en-GB"/>
              </w:rPr>
              <w:t>CIOSGH</w:t>
            </w:r>
            <w:r>
              <w:rPr>
                <w:rFonts w:eastAsia="Times New Roman"/>
                <w:lang w:eastAsia="en-GB"/>
              </w:rPr>
              <w:t xml:space="preserve"> newsletter</w:t>
            </w:r>
            <w:r w:rsidR="00AB0F22">
              <w:rPr>
                <w:rFonts w:eastAsia="Times New Roman"/>
                <w:lang w:eastAsia="en-GB"/>
              </w:rPr>
              <w:t xml:space="preserve"> to ensure ‘good news’ project performance is reported.</w:t>
            </w:r>
          </w:p>
          <w:p w14:paraId="15B55751" w14:textId="77777777" w:rsidR="00E8006D" w:rsidRPr="00424B18" w:rsidRDefault="00E8006D" w:rsidP="00302C6B">
            <w:pPr>
              <w:spacing w:after="0"/>
              <w:rPr>
                <w:rFonts w:eastAsia="Times New Roman"/>
                <w:lang w:eastAsia="en-GB"/>
              </w:rPr>
            </w:pPr>
          </w:p>
        </w:tc>
      </w:tr>
    </w:tbl>
    <w:p w14:paraId="7B869AB4" w14:textId="77777777" w:rsidR="009E2315" w:rsidRPr="00424B18" w:rsidRDefault="009E2315" w:rsidP="006A6D1C">
      <w:pPr>
        <w:spacing w:after="0" w:line="240" w:lineRule="auto"/>
        <w:rPr>
          <w:rFonts w:eastAsia="Times New Roman"/>
          <w:lang w:eastAsia="en-GB"/>
        </w:rPr>
      </w:pPr>
    </w:p>
    <w:sectPr w:rsidR="009E2315" w:rsidRPr="00424B18" w:rsidSect="00CF7E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CBE6" w14:textId="77777777" w:rsidR="00D016E5" w:rsidRDefault="00D016E5" w:rsidP="00056850">
      <w:pPr>
        <w:spacing w:after="0" w:line="240" w:lineRule="auto"/>
      </w:pPr>
      <w:r>
        <w:separator/>
      </w:r>
    </w:p>
  </w:endnote>
  <w:endnote w:type="continuationSeparator" w:id="0">
    <w:p w14:paraId="37365350" w14:textId="77777777" w:rsidR="00D016E5" w:rsidRDefault="00D016E5"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5608" w14:textId="77777777" w:rsidR="00FA6EAF" w:rsidRDefault="00FA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11484129"/>
      <w:docPartObj>
        <w:docPartGallery w:val="Page Numbers (Bottom of Page)"/>
        <w:docPartUnique/>
      </w:docPartObj>
    </w:sdtPr>
    <w:sdtEndPr>
      <w:rPr>
        <w:noProof/>
      </w:rPr>
    </w:sdtEndPr>
    <w:sdtContent>
      <w:p w14:paraId="0FF4C657" w14:textId="77777777" w:rsidR="009E2315" w:rsidRDefault="006D3EE0" w:rsidP="00AF549F">
        <w:pPr>
          <w:pStyle w:val="Footer"/>
          <w:rPr>
            <w:b/>
            <w:sz w:val="16"/>
            <w:szCs w:val="16"/>
          </w:rPr>
        </w:pPr>
        <w:r w:rsidRPr="006D3EE0">
          <w:rPr>
            <w:b/>
            <w:sz w:val="16"/>
            <w:szCs w:val="16"/>
          </w:rPr>
          <w:t>ERDF</w:t>
        </w:r>
        <w:r>
          <w:rPr>
            <w:sz w:val="20"/>
            <w:szCs w:val="20"/>
          </w:rPr>
          <w:t xml:space="preserve"> </w:t>
        </w:r>
        <w:r w:rsidR="00A37A10">
          <w:rPr>
            <w:b/>
            <w:sz w:val="16"/>
            <w:szCs w:val="16"/>
          </w:rPr>
          <w:t>S</w:t>
        </w:r>
        <w:r w:rsidR="009E2315">
          <w:rPr>
            <w:b/>
            <w:sz w:val="16"/>
            <w:szCs w:val="16"/>
          </w:rPr>
          <w:t>u</w:t>
        </w:r>
        <w:r w:rsidR="00A37A10">
          <w:rPr>
            <w:b/>
            <w:sz w:val="16"/>
            <w:szCs w:val="16"/>
          </w:rPr>
          <w:t xml:space="preserve">mmative </w:t>
        </w:r>
        <w:r w:rsidR="009E2315">
          <w:rPr>
            <w:b/>
            <w:sz w:val="16"/>
            <w:szCs w:val="16"/>
          </w:rPr>
          <w:t xml:space="preserve">Assessment </w:t>
        </w:r>
        <w:r w:rsidR="00A37A10">
          <w:rPr>
            <w:b/>
            <w:sz w:val="16"/>
            <w:szCs w:val="16"/>
          </w:rPr>
          <w:t xml:space="preserve">Plan </w:t>
        </w:r>
        <w:r w:rsidR="009E2315">
          <w:rPr>
            <w:b/>
            <w:sz w:val="16"/>
            <w:szCs w:val="16"/>
          </w:rPr>
          <w:t>Form</w:t>
        </w:r>
      </w:p>
      <w:p w14:paraId="3C69B319" w14:textId="558FB68C" w:rsidR="009E2315" w:rsidRDefault="009E2315" w:rsidP="00AF549F">
        <w:pPr>
          <w:pStyle w:val="Footer"/>
          <w:rPr>
            <w:sz w:val="16"/>
            <w:szCs w:val="16"/>
          </w:rPr>
        </w:pPr>
        <w:r>
          <w:rPr>
            <w:sz w:val="16"/>
            <w:szCs w:val="16"/>
          </w:rPr>
          <w:t>ESIF-Form-</w:t>
        </w:r>
        <w:r w:rsidR="00901FD5">
          <w:rPr>
            <w:sz w:val="16"/>
            <w:szCs w:val="16"/>
          </w:rPr>
          <w:t>1</w:t>
        </w:r>
        <w:r>
          <w:rPr>
            <w:sz w:val="16"/>
            <w:szCs w:val="16"/>
          </w:rPr>
          <w:t>-</w:t>
        </w:r>
        <w:r w:rsidR="00901FD5">
          <w:rPr>
            <w:sz w:val="16"/>
            <w:szCs w:val="16"/>
          </w:rPr>
          <w:t>012</w:t>
        </w:r>
        <w:r>
          <w:rPr>
            <w:sz w:val="16"/>
            <w:szCs w:val="16"/>
          </w:rPr>
          <w:t xml:space="preserve"> </w:t>
        </w:r>
        <w:r w:rsidR="006D3EE0">
          <w:rPr>
            <w:sz w:val="16"/>
            <w:szCs w:val="16"/>
          </w:rPr>
          <w:t xml:space="preserve">Version </w:t>
        </w:r>
        <w:r w:rsidR="00155770">
          <w:rPr>
            <w:sz w:val="16"/>
            <w:szCs w:val="16"/>
          </w:rPr>
          <w:t>2</w:t>
        </w:r>
      </w:p>
      <w:p w14:paraId="3E08A877" w14:textId="68D4AE2A" w:rsidR="009E2315" w:rsidRPr="00005135" w:rsidRDefault="009E2315" w:rsidP="00AF549F">
        <w:pPr>
          <w:pStyle w:val="Footer"/>
          <w:rPr>
            <w:sz w:val="16"/>
            <w:szCs w:val="16"/>
          </w:rPr>
        </w:pPr>
        <w:r>
          <w:rPr>
            <w:sz w:val="16"/>
            <w:szCs w:val="16"/>
          </w:rPr>
          <w:t xml:space="preserve">Date published </w:t>
        </w:r>
        <w:r w:rsidR="00155770">
          <w:rPr>
            <w:sz w:val="16"/>
            <w:szCs w:val="16"/>
          </w:rPr>
          <w:t>10 April</w:t>
        </w:r>
        <w:r w:rsidR="006D3EE0">
          <w:rPr>
            <w:sz w:val="16"/>
            <w:szCs w:val="16"/>
          </w:rPr>
          <w:t xml:space="preserve"> </w:t>
        </w:r>
        <w:r>
          <w:rPr>
            <w:sz w:val="16"/>
            <w:szCs w:val="16"/>
          </w:rPr>
          <w:t>201</w:t>
        </w:r>
        <w:r w:rsidR="00155770">
          <w:rPr>
            <w:sz w:val="16"/>
            <w:szCs w:val="16"/>
          </w:rPr>
          <w:t>9</w:t>
        </w:r>
      </w:p>
      <w:p w14:paraId="6D33A3A9" w14:textId="77777777" w:rsidR="009E2315" w:rsidRPr="00965F49" w:rsidRDefault="009E2315" w:rsidP="00AF549F">
        <w:pPr>
          <w:pStyle w:val="Footer"/>
          <w:jc w:val="right"/>
          <w:rPr>
            <w:sz w:val="20"/>
            <w:szCs w:val="20"/>
          </w:rPr>
        </w:pPr>
        <w:r w:rsidRPr="00965F49">
          <w:rPr>
            <w:sz w:val="20"/>
            <w:szCs w:val="20"/>
          </w:rPr>
          <w:fldChar w:fldCharType="begin"/>
        </w:r>
        <w:r w:rsidRPr="00965F49">
          <w:rPr>
            <w:sz w:val="20"/>
            <w:szCs w:val="20"/>
          </w:rPr>
          <w:instrText xml:space="preserve"> PAGE   \* MERGEFORMAT </w:instrText>
        </w:r>
        <w:r w:rsidRPr="00965F49">
          <w:rPr>
            <w:sz w:val="20"/>
            <w:szCs w:val="20"/>
          </w:rPr>
          <w:fldChar w:fldCharType="separate"/>
        </w:r>
        <w:r w:rsidR="006D3EE0">
          <w:rPr>
            <w:noProof/>
            <w:sz w:val="20"/>
            <w:szCs w:val="20"/>
          </w:rPr>
          <w:t>1</w:t>
        </w:r>
        <w:r w:rsidRPr="00965F49">
          <w:rPr>
            <w:noProof/>
            <w:sz w:val="20"/>
            <w:szCs w:val="20"/>
          </w:rPr>
          <w:fldChar w:fldCharType="end"/>
        </w:r>
      </w:p>
    </w:sdtContent>
  </w:sdt>
  <w:p w14:paraId="711A80B4" w14:textId="77777777" w:rsidR="009E2315" w:rsidRDefault="009E2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017C" w14:textId="77777777" w:rsidR="003C6248" w:rsidRPr="003C6248" w:rsidRDefault="003C6248" w:rsidP="003C6248">
    <w:pPr>
      <w:pStyle w:val="Footer"/>
      <w:rPr>
        <w:b/>
        <w:sz w:val="16"/>
        <w:szCs w:val="16"/>
      </w:rPr>
    </w:pPr>
    <w:r w:rsidRPr="003C6248">
      <w:rPr>
        <w:b/>
        <w:sz w:val="16"/>
        <w:szCs w:val="16"/>
      </w:rPr>
      <w:t>ERDF</w:t>
    </w:r>
    <w:r w:rsidRPr="003C6248">
      <w:rPr>
        <w:sz w:val="16"/>
        <w:szCs w:val="16"/>
      </w:rPr>
      <w:t xml:space="preserve"> </w:t>
    </w:r>
    <w:r w:rsidRPr="003C6248">
      <w:rPr>
        <w:b/>
        <w:sz w:val="16"/>
        <w:szCs w:val="16"/>
      </w:rPr>
      <w:t>Summative Assessment Plan Form</w:t>
    </w:r>
  </w:p>
  <w:p w14:paraId="7722B1A8" w14:textId="5FA916B5" w:rsidR="003C6248" w:rsidRPr="003C6248" w:rsidRDefault="003C6248" w:rsidP="003C6248">
    <w:pPr>
      <w:pStyle w:val="Footer"/>
      <w:rPr>
        <w:sz w:val="16"/>
        <w:szCs w:val="16"/>
      </w:rPr>
    </w:pPr>
    <w:r w:rsidRPr="003C6248">
      <w:rPr>
        <w:sz w:val="16"/>
        <w:szCs w:val="16"/>
      </w:rPr>
      <w:t xml:space="preserve">ESIF-Form-1-012 Version </w:t>
    </w:r>
    <w:r w:rsidR="00155770">
      <w:rPr>
        <w:sz w:val="16"/>
        <w:szCs w:val="16"/>
      </w:rPr>
      <w:t>2</w:t>
    </w:r>
  </w:p>
  <w:p w14:paraId="09068268" w14:textId="55A3E2A5" w:rsidR="003C6248" w:rsidRPr="003C6248" w:rsidRDefault="003C6248" w:rsidP="003C6248">
    <w:pPr>
      <w:pStyle w:val="Footer"/>
      <w:rPr>
        <w:sz w:val="16"/>
        <w:szCs w:val="16"/>
      </w:rPr>
    </w:pPr>
    <w:r w:rsidRPr="003C6248">
      <w:rPr>
        <w:sz w:val="16"/>
        <w:szCs w:val="16"/>
      </w:rPr>
      <w:t xml:space="preserve">Date published </w:t>
    </w:r>
    <w:r w:rsidR="006B425E">
      <w:rPr>
        <w:sz w:val="16"/>
        <w:szCs w:val="16"/>
      </w:rPr>
      <w:t>10</w:t>
    </w:r>
    <w:r w:rsidR="00155770">
      <w:rPr>
        <w:sz w:val="16"/>
        <w:szCs w:val="16"/>
      </w:rPr>
      <w:t xml:space="preserve"> April</w:t>
    </w:r>
    <w:r w:rsidRPr="003C6248">
      <w:rPr>
        <w:sz w:val="16"/>
        <w:szCs w:val="16"/>
      </w:rPr>
      <w:t xml:space="preserve"> 201</w:t>
    </w:r>
    <w:r w:rsidR="00155770">
      <w:rPr>
        <w:sz w:val="16"/>
        <w:szCs w:val="16"/>
      </w:rPr>
      <w:t>9</w:t>
    </w:r>
  </w:p>
  <w:p w14:paraId="462C5242" w14:textId="2D5C85B8" w:rsidR="003C6248" w:rsidRDefault="003C6248">
    <w:pPr>
      <w:pStyle w:val="Footer"/>
    </w:pPr>
  </w:p>
  <w:p w14:paraId="64016501" w14:textId="77777777" w:rsidR="003C6248" w:rsidRDefault="003C6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10AA" w14:textId="77777777" w:rsidR="00D016E5" w:rsidRDefault="00D016E5" w:rsidP="00056850">
      <w:pPr>
        <w:spacing w:after="0" w:line="240" w:lineRule="auto"/>
      </w:pPr>
      <w:r>
        <w:separator/>
      </w:r>
    </w:p>
  </w:footnote>
  <w:footnote w:type="continuationSeparator" w:id="0">
    <w:p w14:paraId="26E561C5" w14:textId="77777777" w:rsidR="00D016E5" w:rsidRDefault="00D016E5" w:rsidP="00056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FD8D" w14:textId="77777777" w:rsidR="00FA6EAF" w:rsidRDefault="00FA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1BBB" w14:textId="34AC2BCD" w:rsidR="009E2315" w:rsidRDefault="00FA6EAF" w:rsidP="00AF549F">
    <w:pPr>
      <w:pStyle w:val="Header"/>
      <w:jc w:val="center"/>
    </w:pPr>
    <w:r>
      <w:rPr>
        <w:noProof/>
      </w:rPr>
      <mc:AlternateContent>
        <mc:Choice Requires="wps">
          <w:drawing>
            <wp:anchor distT="0" distB="0" distL="114300" distR="114300" simplePos="0" relativeHeight="251659264" behindDoc="0" locked="0" layoutInCell="0" allowOverlap="1" wp14:anchorId="4C19325C" wp14:editId="6F0C2BD4">
              <wp:simplePos x="0" y="0"/>
              <wp:positionH relativeFrom="page">
                <wp:posOffset>0</wp:posOffset>
              </wp:positionH>
              <wp:positionV relativeFrom="page">
                <wp:posOffset>190500</wp:posOffset>
              </wp:positionV>
              <wp:extent cx="7560310" cy="273050"/>
              <wp:effectExtent l="0" t="0" r="0" b="12700"/>
              <wp:wrapNone/>
              <wp:docPr id="2" name="MSIPCMb63b467cb1d3499d70759a6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B680D" w14:textId="7D5D6FCD" w:rsidR="00FA6EAF" w:rsidRPr="00FA6EAF" w:rsidRDefault="00FA6EAF" w:rsidP="00FA6EAF">
                          <w:pPr>
                            <w:spacing w:after="0"/>
                            <w:jc w:val="right"/>
                            <w:rPr>
                              <w:rFonts w:ascii="Calibri" w:hAnsi="Calibri" w:cs="Calibri"/>
                              <w:color w:val="FF8C00"/>
                              <w:sz w:val="20"/>
                            </w:rPr>
                          </w:pPr>
                          <w:r w:rsidRPr="00FA6EA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C19325C" id="_x0000_t202" coordsize="21600,21600" o:spt="202" path="m,l,21600r21600,l21600,xe">
              <v:stroke joinstyle="miter"/>
              <v:path gradientshapeok="t" o:connecttype="rect"/>
            </v:shapetype>
            <v:shape id="MSIPCMb63b467cb1d3499d70759a6b"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Po+awS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128B680D" w14:textId="7D5D6FCD" w:rsidR="00FA6EAF" w:rsidRPr="00FA6EAF" w:rsidRDefault="00FA6EAF" w:rsidP="00FA6EAF">
                    <w:pPr>
                      <w:spacing w:after="0"/>
                      <w:jc w:val="right"/>
                      <w:rPr>
                        <w:rFonts w:ascii="Calibri" w:hAnsi="Calibri" w:cs="Calibri"/>
                        <w:color w:val="FF8C00"/>
                        <w:sz w:val="20"/>
                      </w:rPr>
                    </w:pPr>
                    <w:r w:rsidRPr="00FA6EAF">
                      <w:rPr>
                        <w:rFonts w:ascii="Calibri" w:hAnsi="Calibri" w:cs="Calibri"/>
                        <w:color w:val="FF8C00"/>
                        <w:sz w:val="20"/>
                      </w:rPr>
                      <w:t>Information Classification: CONTROLLED</w:t>
                    </w:r>
                  </w:p>
                </w:txbxContent>
              </v:textbox>
              <w10:wrap anchorx="page" anchory="page"/>
            </v:shape>
          </w:pict>
        </mc:Fallback>
      </mc:AlternateContent>
    </w:r>
    <w:r w:rsidR="009E2315">
      <w:tab/>
    </w:r>
    <w:r w:rsidR="009E231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9A61" w14:textId="5C2680AA" w:rsidR="00280AFF" w:rsidRDefault="00FA6EAF" w:rsidP="00B47ABE">
    <w:pPr>
      <w:pStyle w:val="Header"/>
      <w:jc w:val="right"/>
    </w:pPr>
    <w:r>
      <w:rPr>
        <w:rFonts w:eastAsia="Times New Roman"/>
        <w:noProof/>
        <w:lang w:eastAsia="en-GB"/>
      </w:rPr>
      <mc:AlternateContent>
        <mc:Choice Requires="wps">
          <w:drawing>
            <wp:anchor distT="0" distB="0" distL="114300" distR="114300" simplePos="0" relativeHeight="251660288" behindDoc="0" locked="0" layoutInCell="0" allowOverlap="1" wp14:anchorId="4C22E6DA" wp14:editId="1CAF11E6">
              <wp:simplePos x="0" y="0"/>
              <wp:positionH relativeFrom="page">
                <wp:posOffset>0</wp:posOffset>
              </wp:positionH>
              <wp:positionV relativeFrom="page">
                <wp:posOffset>190500</wp:posOffset>
              </wp:positionV>
              <wp:extent cx="7560310" cy="273050"/>
              <wp:effectExtent l="0" t="0" r="0" b="12700"/>
              <wp:wrapNone/>
              <wp:docPr id="3" name="MSIPCM71ec4a4bb1ccb7f139e3497a"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269D9" w14:textId="291689D4" w:rsidR="00FA6EAF" w:rsidRPr="00FA6EAF" w:rsidRDefault="00FA6EAF" w:rsidP="00FA6EAF">
                          <w:pPr>
                            <w:spacing w:after="0"/>
                            <w:jc w:val="right"/>
                            <w:rPr>
                              <w:rFonts w:ascii="Calibri" w:hAnsi="Calibri" w:cs="Calibri"/>
                              <w:color w:val="FF8C00"/>
                              <w:sz w:val="20"/>
                            </w:rPr>
                          </w:pPr>
                          <w:r w:rsidRPr="00FA6EA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C22E6DA" id="_x0000_t202" coordsize="21600,21600" o:spt="202" path="m,l,21600r21600,l21600,xe">
              <v:stroke joinstyle="miter"/>
              <v:path gradientshapeok="t" o:connecttype="rect"/>
            </v:shapetype>
            <v:shape id="MSIPCM71ec4a4bb1ccb7f139e3497a"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" o:allowincell="f" filled="f" stroked="f" strokeweight=".5pt">
              <v:fill o:detectmouseclick="t"/>
              <v:textbox inset=",0,20pt,0">
                <w:txbxContent>
                  <w:p w14:paraId="6AE269D9" w14:textId="291689D4" w:rsidR="00FA6EAF" w:rsidRPr="00FA6EAF" w:rsidRDefault="00FA6EAF" w:rsidP="00FA6EAF">
                    <w:pPr>
                      <w:spacing w:after="0"/>
                      <w:jc w:val="right"/>
                      <w:rPr>
                        <w:rFonts w:ascii="Calibri" w:hAnsi="Calibri" w:cs="Calibri"/>
                        <w:color w:val="FF8C00"/>
                        <w:sz w:val="20"/>
                      </w:rPr>
                    </w:pPr>
                    <w:r w:rsidRPr="00FA6EAF">
                      <w:rPr>
                        <w:rFonts w:ascii="Calibri" w:hAnsi="Calibri" w:cs="Calibri"/>
                        <w:color w:val="FF8C00"/>
                        <w:sz w:val="20"/>
                      </w:rPr>
                      <w:t>Information Classification: CONTROLLED</w:t>
                    </w:r>
                  </w:p>
                </w:txbxContent>
              </v:textbox>
              <w10:wrap anchorx="page" anchory="page"/>
            </v:shape>
          </w:pict>
        </mc:Fallback>
      </mc:AlternateContent>
    </w:r>
    <w:r w:rsidR="00CF7E76">
      <w:rPr>
        <w:rFonts w:eastAsia="Times New Roman"/>
        <w:noProof/>
        <w:lang w:eastAsia="en-GB"/>
      </w:rPr>
      <w:drawing>
        <wp:inline distT="0" distB="0" distL="0" distR="0" wp14:anchorId="0C5EB6FF" wp14:editId="289EFC5A">
          <wp:extent cx="2027734"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SI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2512" cy="456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672"/>
    <w:multiLevelType w:val="multilevel"/>
    <w:tmpl w:val="3D9E2FFA"/>
    <w:lvl w:ilvl="0">
      <w:start w:val="1"/>
      <w:numFmt w:val="decimal"/>
      <w:lvlText w:val="%1."/>
      <w:lvlJc w:val="left"/>
      <w:pPr>
        <w:ind w:left="720"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AD54C9"/>
    <w:multiLevelType w:val="hybridMultilevel"/>
    <w:tmpl w:val="1BCA91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4BB4BC5"/>
    <w:multiLevelType w:val="hybridMultilevel"/>
    <w:tmpl w:val="5074FA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0C3614"/>
    <w:multiLevelType w:val="hybridMultilevel"/>
    <w:tmpl w:val="9454F0F4"/>
    <w:lvl w:ilvl="0" w:tplc="08090001">
      <w:start w:val="1"/>
      <w:numFmt w:val="bullet"/>
      <w:lvlText w:val=""/>
      <w:lvlJc w:val="left"/>
      <w:pPr>
        <w:ind w:left="720" w:hanging="360"/>
      </w:pPr>
      <w:rPr>
        <w:rFonts w:ascii="Symbol" w:hAnsi="Symbol" w:hint="default"/>
      </w:rPr>
    </w:lvl>
    <w:lvl w:ilvl="1" w:tplc="EABCB3B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F02E3"/>
    <w:multiLevelType w:val="multilevel"/>
    <w:tmpl w:val="FBDA9C7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427762"/>
    <w:multiLevelType w:val="hybridMultilevel"/>
    <w:tmpl w:val="C8D4E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94802"/>
    <w:multiLevelType w:val="hybridMultilevel"/>
    <w:tmpl w:val="4F084C00"/>
    <w:lvl w:ilvl="0" w:tplc="08090001">
      <w:start w:val="1"/>
      <w:numFmt w:val="bullet"/>
      <w:lvlText w:val=""/>
      <w:lvlJc w:val="left"/>
      <w:pPr>
        <w:ind w:left="-524" w:hanging="360"/>
      </w:pPr>
      <w:rPr>
        <w:rFonts w:ascii="Symbol" w:hAnsi="Symbol" w:hint="default"/>
      </w:rPr>
    </w:lvl>
    <w:lvl w:ilvl="1" w:tplc="08090003">
      <w:start w:val="1"/>
      <w:numFmt w:val="bullet"/>
      <w:lvlText w:val="o"/>
      <w:lvlJc w:val="left"/>
      <w:pPr>
        <w:ind w:left="196" w:hanging="360"/>
      </w:pPr>
      <w:rPr>
        <w:rFonts w:ascii="Courier New" w:hAnsi="Courier New" w:cs="Courier New" w:hint="default"/>
      </w:rPr>
    </w:lvl>
    <w:lvl w:ilvl="2" w:tplc="08090001">
      <w:start w:val="1"/>
      <w:numFmt w:val="bullet"/>
      <w:lvlText w:val=""/>
      <w:lvlJc w:val="left"/>
      <w:pPr>
        <w:ind w:left="916" w:hanging="360"/>
      </w:pPr>
      <w:rPr>
        <w:rFonts w:ascii="Symbol" w:hAnsi="Symbol"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7" w15:restartNumberingAfterBreak="0">
    <w:nsid w:val="3C2048D9"/>
    <w:multiLevelType w:val="hybridMultilevel"/>
    <w:tmpl w:val="BE10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0D15E7"/>
    <w:multiLevelType w:val="hybridMultilevel"/>
    <w:tmpl w:val="E938B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70ADF"/>
    <w:multiLevelType w:val="hybridMultilevel"/>
    <w:tmpl w:val="7752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D2980"/>
    <w:multiLevelType w:val="hybridMultilevel"/>
    <w:tmpl w:val="8C447334"/>
    <w:lvl w:ilvl="0" w:tplc="08090001">
      <w:start w:val="1"/>
      <w:numFmt w:val="bullet"/>
      <w:lvlText w:val=""/>
      <w:lvlJc w:val="left"/>
      <w:pPr>
        <w:ind w:left="-524" w:hanging="360"/>
      </w:pPr>
      <w:rPr>
        <w:rFonts w:ascii="Symbol" w:hAnsi="Symbol" w:hint="default"/>
      </w:rPr>
    </w:lvl>
    <w:lvl w:ilvl="1" w:tplc="08090001">
      <w:start w:val="1"/>
      <w:numFmt w:val="bullet"/>
      <w:lvlText w:val=""/>
      <w:lvlJc w:val="left"/>
      <w:pPr>
        <w:ind w:left="196" w:hanging="360"/>
      </w:pPr>
      <w:rPr>
        <w:rFonts w:ascii="Symbol" w:hAnsi="Symbol" w:hint="default"/>
      </w:rPr>
    </w:lvl>
    <w:lvl w:ilvl="2" w:tplc="08090001">
      <w:start w:val="1"/>
      <w:numFmt w:val="bullet"/>
      <w:lvlText w:val=""/>
      <w:lvlJc w:val="left"/>
      <w:pPr>
        <w:ind w:left="916" w:hanging="360"/>
      </w:pPr>
      <w:rPr>
        <w:rFonts w:ascii="Symbol" w:hAnsi="Symbol"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11" w15:restartNumberingAfterBreak="0">
    <w:nsid w:val="4AD518DB"/>
    <w:multiLevelType w:val="hybridMultilevel"/>
    <w:tmpl w:val="5BEC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B22D4"/>
    <w:multiLevelType w:val="multilevel"/>
    <w:tmpl w:val="FBDA9C7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5B3376"/>
    <w:multiLevelType w:val="hybridMultilevel"/>
    <w:tmpl w:val="04C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35D67"/>
    <w:multiLevelType w:val="hybridMultilevel"/>
    <w:tmpl w:val="27B6C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F333C"/>
    <w:multiLevelType w:val="hybridMultilevel"/>
    <w:tmpl w:val="8512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A77B2"/>
    <w:multiLevelType w:val="hybridMultilevel"/>
    <w:tmpl w:val="83F83FEA"/>
    <w:lvl w:ilvl="0" w:tplc="08090001">
      <w:start w:val="1"/>
      <w:numFmt w:val="bullet"/>
      <w:lvlText w:val=""/>
      <w:lvlJc w:val="left"/>
      <w:pPr>
        <w:ind w:left="-524" w:hanging="360"/>
      </w:pPr>
      <w:rPr>
        <w:rFonts w:ascii="Symbol" w:hAnsi="Symbol" w:hint="default"/>
      </w:rPr>
    </w:lvl>
    <w:lvl w:ilvl="1" w:tplc="08090003">
      <w:start w:val="1"/>
      <w:numFmt w:val="bullet"/>
      <w:lvlText w:val="o"/>
      <w:lvlJc w:val="left"/>
      <w:pPr>
        <w:ind w:left="196" w:hanging="360"/>
      </w:pPr>
      <w:rPr>
        <w:rFonts w:ascii="Courier New" w:hAnsi="Courier New" w:cs="Courier New" w:hint="default"/>
      </w:rPr>
    </w:lvl>
    <w:lvl w:ilvl="2" w:tplc="08090005">
      <w:start w:val="1"/>
      <w:numFmt w:val="bullet"/>
      <w:lvlText w:val=""/>
      <w:lvlJc w:val="left"/>
      <w:pPr>
        <w:ind w:left="916" w:hanging="360"/>
      </w:pPr>
      <w:rPr>
        <w:rFonts w:ascii="Wingdings" w:hAnsi="Wingdings"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17" w15:restartNumberingAfterBreak="0">
    <w:nsid w:val="7A6B1B7D"/>
    <w:multiLevelType w:val="multilevel"/>
    <w:tmpl w:val="83C8F0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CDA001E"/>
    <w:multiLevelType w:val="hybridMultilevel"/>
    <w:tmpl w:val="6D0A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9"/>
  </w:num>
  <w:num w:numId="5">
    <w:abstractNumId w:val="16"/>
  </w:num>
  <w:num w:numId="6">
    <w:abstractNumId w:val="7"/>
  </w:num>
  <w:num w:numId="7">
    <w:abstractNumId w:val="6"/>
  </w:num>
  <w:num w:numId="8">
    <w:abstractNumId w:val="10"/>
  </w:num>
  <w:num w:numId="9">
    <w:abstractNumId w:val="14"/>
  </w:num>
  <w:num w:numId="10">
    <w:abstractNumId w:val="17"/>
  </w:num>
  <w:num w:numId="11">
    <w:abstractNumId w:val="8"/>
  </w:num>
  <w:num w:numId="12">
    <w:abstractNumId w:val="11"/>
  </w:num>
  <w:num w:numId="13">
    <w:abstractNumId w:val="18"/>
  </w:num>
  <w:num w:numId="14">
    <w:abstractNumId w:val="3"/>
  </w:num>
  <w:num w:numId="15">
    <w:abstractNumId w:val="13"/>
  </w:num>
  <w:num w:numId="16">
    <w:abstractNumId w:val="5"/>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1C"/>
    <w:rsid w:val="00035BBC"/>
    <w:rsid w:val="00042827"/>
    <w:rsid w:val="00056850"/>
    <w:rsid w:val="000613DC"/>
    <w:rsid w:val="00062847"/>
    <w:rsid w:val="00073D8C"/>
    <w:rsid w:val="00092347"/>
    <w:rsid w:val="000923A8"/>
    <w:rsid w:val="000B44B9"/>
    <w:rsid w:val="000D37CD"/>
    <w:rsid w:val="000E209F"/>
    <w:rsid w:val="00100D80"/>
    <w:rsid w:val="00114659"/>
    <w:rsid w:val="001309E5"/>
    <w:rsid w:val="00131DC3"/>
    <w:rsid w:val="00142F99"/>
    <w:rsid w:val="00147F4C"/>
    <w:rsid w:val="001508AB"/>
    <w:rsid w:val="00155770"/>
    <w:rsid w:val="00156505"/>
    <w:rsid w:val="00175518"/>
    <w:rsid w:val="00181709"/>
    <w:rsid w:val="001C05E4"/>
    <w:rsid w:val="001C3887"/>
    <w:rsid w:val="001D47AF"/>
    <w:rsid w:val="001F2E98"/>
    <w:rsid w:val="001F6FA3"/>
    <w:rsid w:val="00222FD6"/>
    <w:rsid w:val="00274DF6"/>
    <w:rsid w:val="00280AFF"/>
    <w:rsid w:val="00282FDA"/>
    <w:rsid w:val="002A2C52"/>
    <w:rsid w:val="002B4FF2"/>
    <w:rsid w:val="002B52B5"/>
    <w:rsid w:val="002E63FB"/>
    <w:rsid w:val="00311CB6"/>
    <w:rsid w:val="003147F7"/>
    <w:rsid w:val="00323949"/>
    <w:rsid w:val="003553BD"/>
    <w:rsid w:val="00364995"/>
    <w:rsid w:val="00367CF0"/>
    <w:rsid w:val="00390FBD"/>
    <w:rsid w:val="00391C22"/>
    <w:rsid w:val="0039429A"/>
    <w:rsid w:val="003C6248"/>
    <w:rsid w:val="003D2E37"/>
    <w:rsid w:val="003E42D2"/>
    <w:rsid w:val="004142E4"/>
    <w:rsid w:val="00415E4C"/>
    <w:rsid w:val="00416E80"/>
    <w:rsid w:val="004212FA"/>
    <w:rsid w:val="004227A2"/>
    <w:rsid w:val="00424072"/>
    <w:rsid w:val="00424B18"/>
    <w:rsid w:val="00441AA1"/>
    <w:rsid w:val="004473D8"/>
    <w:rsid w:val="00452934"/>
    <w:rsid w:val="004553F5"/>
    <w:rsid w:val="00457B51"/>
    <w:rsid w:val="00494DEE"/>
    <w:rsid w:val="004A2474"/>
    <w:rsid w:val="004A5A4C"/>
    <w:rsid w:val="004A5F3B"/>
    <w:rsid w:val="004B1B0F"/>
    <w:rsid w:val="004C0D00"/>
    <w:rsid w:val="004C42B0"/>
    <w:rsid w:val="004D6CFF"/>
    <w:rsid w:val="004E1E50"/>
    <w:rsid w:val="004E6584"/>
    <w:rsid w:val="004F3698"/>
    <w:rsid w:val="00501C41"/>
    <w:rsid w:val="00503491"/>
    <w:rsid w:val="00505708"/>
    <w:rsid w:val="00507948"/>
    <w:rsid w:val="00514AE6"/>
    <w:rsid w:val="0052212D"/>
    <w:rsid w:val="00526E66"/>
    <w:rsid w:val="00541BE5"/>
    <w:rsid w:val="005471CC"/>
    <w:rsid w:val="005A4F50"/>
    <w:rsid w:val="005A5468"/>
    <w:rsid w:val="005C035A"/>
    <w:rsid w:val="006332D9"/>
    <w:rsid w:val="0063521D"/>
    <w:rsid w:val="006460B5"/>
    <w:rsid w:val="006816E8"/>
    <w:rsid w:val="00693D95"/>
    <w:rsid w:val="006A5D7F"/>
    <w:rsid w:val="006A6D1C"/>
    <w:rsid w:val="006B425E"/>
    <w:rsid w:val="006D3EE0"/>
    <w:rsid w:val="006D65FF"/>
    <w:rsid w:val="007056E2"/>
    <w:rsid w:val="007076A7"/>
    <w:rsid w:val="007127DF"/>
    <w:rsid w:val="0072346C"/>
    <w:rsid w:val="00741588"/>
    <w:rsid w:val="00757916"/>
    <w:rsid w:val="007B0EA4"/>
    <w:rsid w:val="007D2056"/>
    <w:rsid w:val="007D5629"/>
    <w:rsid w:val="007D5A73"/>
    <w:rsid w:val="007F3414"/>
    <w:rsid w:val="00801F73"/>
    <w:rsid w:val="00802704"/>
    <w:rsid w:val="00804224"/>
    <w:rsid w:val="0081491B"/>
    <w:rsid w:val="0081728C"/>
    <w:rsid w:val="00833A30"/>
    <w:rsid w:val="00845258"/>
    <w:rsid w:val="00874C63"/>
    <w:rsid w:val="00876008"/>
    <w:rsid w:val="00883609"/>
    <w:rsid w:val="00887057"/>
    <w:rsid w:val="008A3187"/>
    <w:rsid w:val="008A3641"/>
    <w:rsid w:val="008B3EBB"/>
    <w:rsid w:val="008B5001"/>
    <w:rsid w:val="008D22B0"/>
    <w:rsid w:val="008D6CEA"/>
    <w:rsid w:val="008E76F1"/>
    <w:rsid w:val="00901FD5"/>
    <w:rsid w:val="00914946"/>
    <w:rsid w:val="009175F4"/>
    <w:rsid w:val="00920098"/>
    <w:rsid w:val="0092796C"/>
    <w:rsid w:val="009370EA"/>
    <w:rsid w:val="00940547"/>
    <w:rsid w:val="00944CFE"/>
    <w:rsid w:val="00961C80"/>
    <w:rsid w:val="00962812"/>
    <w:rsid w:val="00967578"/>
    <w:rsid w:val="00971486"/>
    <w:rsid w:val="009B14CC"/>
    <w:rsid w:val="009D37F1"/>
    <w:rsid w:val="009D4F43"/>
    <w:rsid w:val="009E2315"/>
    <w:rsid w:val="009E3D7C"/>
    <w:rsid w:val="009E79CA"/>
    <w:rsid w:val="009F5BB5"/>
    <w:rsid w:val="00A02DCC"/>
    <w:rsid w:val="00A309BE"/>
    <w:rsid w:val="00A35964"/>
    <w:rsid w:val="00A3616E"/>
    <w:rsid w:val="00A367BF"/>
    <w:rsid w:val="00A37A10"/>
    <w:rsid w:val="00A46E97"/>
    <w:rsid w:val="00A473E8"/>
    <w:rsid w:val="00A54B97"/>
    <w:rsid w:val="00A66A3C"/>
    <w:rsid w:val="00A93263"/>
    <w:rsid w:val="00AA07F7"/>
    <w:rsid w:val="00AB0F22"/>
    <w:rsid w:val="00AF19DD"/>
    <w:rsid w:val="00AF22CD"/>
    <w:rsid w:val="00AF549F"/>
    <w:rsid w:val="00B202B1"/>
    <w:rsid w:val="00B22598"/>
    <w:rsid w:val="00B23258"/>
    <w:rsid w:val="00B24637"/>
    <w:rsid w:val="00B27DA3"/>
    <w:rsid w:val="00B27EDE"/>
    <w:rsid w:val="00B30671"/>
    <w:rsid w:val="00B35458"/>
    <w:rsid w:val="00B47ABE"/>
    <w:rsid w:val="00B64372"/>
    <w:rsid w:val="00B65AA5"/>
    <w:rsid w:val="00B758A0"/>
    <w:rsid w:val="00BC2CA1"/>
    <w:rsid w:val="00BC69BF"/>
    <w:rsid w:val="00BD7C94"/>
    <w:rsid w:val="00BE09A9"/>
    <w:rsid w:val="00BE5F3E"/>
    <w:rsid w:val="00C0061A"/>
    <w:rsid w:val="00C20868"/>
    <w:rsid w:val="00C23D3A"/>
    <w:rsid w:val="00C26EF1"/>
    <w:rsid w:val="00C41D43"/>
    <w:rsid w:val="00C65ACD"/>
    <w:rsid w:val="00C744C6"/>
    <w:rsid w:val="00C7648D"/>
    <w:rsid w:val="00C82072"/>
    <w:rsid w:val="00C95BD6"/>
    <w:rsid w:val="00CA40DF"/>
    <w:rsid w:val="00CB5EEE"/>
    <w:rsid w:val="00CC4C91"/>
    <w:rsid w:val="00CF048B"/>
    <w:rsid w:val="00CF7E76"/>
    <w:rsid w:val="00D016E5"/>
    <w:rsid w:val="00D30D51"/>
    <w:rsid w:val="00D35082"/>
    <w:rsid w:val="00D4571A"/>
    <w:rsid w:val="00D45776"/>
    <w:rsid w:val="00D4763C"/>
    <w:rsid w:val="00D60F9C"/>
    <w:rsid w:val="00D66BF3"/>
    <w:rsid w:val="00D802F5"/>
    <w:rsid w:val="00D943D3"/>
    <w:rsid w:val="00DA1D39"/>
    <w:rsid w:val="00DB1A28"/>
    <w:rsid w:val="00DE0555"/>
    <w:rsid w:val="00E02F06"/>
    <w:rsid w:val="00E144ED"/>
    <w:rsid w:val="00E20D93"/>
    <w:rsid w:val="00E54973"/>
    <w:rsid w:val="00E66D90"/>
    <w:rsid w:val="00E8006D"/>
    <w:rsid w:val="00EA1BE6"/>
    <w:rsid w:val="00EB0E3D"/>
    <w:rsid w:val="00EB7D5D"/>
    <w:rsid w:val="00EC1BE3"/>
    <w:rsid w:val="00EC1E45"/>
    <w:rsid w:val="00EF7368"/>
    <w:rsid w:val="00F04F63"/>
    <w:rsid w:val="00F0733B"/>
    <w:rsid w:val="00F46071"/>
    <w:rsid w:val="00F57188"/>
    <w:rsid w:val="00F60E96"/>
    <w:rsid w:val="00F6669B"/>
    <w:rsid w:val="00F7039B"/>
    <w:rsid w:val="00F82F21"/>
    <w:rsid w:val="00FA6EAF"/>
    <w:rsid w:val="00FE23DE"/>
    <w:rsid w:val="5B89B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26EF5"/>
  <w15:docId w15:val="{46B16CE6-A010-4695-912A-2A110479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6A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D1C"/>
    <w:rPr>
      <w:rFonts w:ascii="Tahoma" w:hAnsi="Tahoma" w:cs="Tahoma"/>
      <w:sz w:val="16"/>
      <w:szCs w:val="16"/>
    </w:rPr>
  </w:style>
  <w:style w:type="table" w:styleId="TableGrid">
    <w:name w:val="Table Grid"/>
    <w:basedOn w:val="TableNormal"/>
    <w:uiPriority w:val="59"/>
    <w:rsid w:val="006A6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6D1C"/>
    <w:rPr>
      <w:color w:val="808080"/>
    </w:rPr>
  </w:style>
  <w:style w:type="character" w:customStyle="1" w:styleId="cqlabel1">
    <w:name w:val="cqlabel1"/>
    <w:rsid w:val="006A6D1C"/>
    <w:rPr>
      <w:rFonts w:ascii="Verdana" w:hAnsi="Verdana" w:hint="default"/>
      <w:color w:val="000000"/>
    </w:rPr>
  </w:style>
  <w:style w:type="paragraph" w:styleId="ListParagraph">
    <w:name w:val="List Paragraph"/>
    <w:basedOn w:val="Normal"/>
    <w:uiPriority w:val="34"/>
    <w:qFormat/>
    <w:rsid w:val="006A6D1C"/>
    <w:pPr>
      <w:ind w:left="720"/>
      <w:contextualSpacing/>
    </w:pPr>
  </w:style>
  <w:style w:type="paragraph" w:customStyle="1" w:styleId="Default">
    <w:name w:val="Default"/>
    <w:rsid w:val="006A6D1C"/>
    <w:pPr>
      <w:autoSpaceDE w:val="0"/>
      <w:autoSpaceDN w:val="0"/>
      <w:adjustRightInd w:val="0"/>
      <w:spacing w:after="0" w:line="240" w:lineRule="auto"/>
    </w:pPr>
    <w:rPr>
      <w:rFonts w:ascii="Symbol" w:hAnsi="Symbol" w:cs="Symbol"/>
      <w:color w:val="000000"/>
    </w:rPr>
  </w:style>
  <w:style w:type="character" w:styleId="CommentReference">
    <w:name w:val="annotation reference"/>
    <w:basedOn w:val="DefaultParagraphFont"/>
    <w:uiPriority w:val="99"/>
    <w:semiHidden/>
    <w:unhideWhenUsed/>
    <w:rsid w:val="008D6CEA"/>
    <w:rPr>
      <w:sz w:val="16"/>
      <w:szCs w:val="16"/>
    </w:rPr>
  </w:style>
  <w:style w:type="paragraph" w:styleId="CommentText">
    <w:name w:val="annotation text"/>
    <w:basedOn w:val="Normal"/>
    <w:link w:val="CommentTextChar"/>
    <w:uiPriority w:val="99"/>
    <w:semiHidden/>
    <w:unhideWhenUsed/>
    <w:rsid w:val="008D6CEA"/>
    <w:pPr>
      <w:spacing w:line="240" w:lineRule="auto"/>
    </w:pPr>
    <w:rPr>
      <w:sz w:val="20"/>
      <w:szCs w:val="20"/>
    </w:rPr>
  </w:style>
  <w:style w:type="character" w:customStyle="1" w:styleId="CommentTextChar">
    <w:name w:val="Comment Text Char"/>
    <w:basedOn w:val="DefaultParagraphFont"/>
    <w:link w:val="CommentText"/>
    <w:uiPriority w:val="99"/>
    <w:semiHidden/>
    <w:rsid w:val="008D6CEA"/>
    <w:rPr>
      <w:sz w:val="20"/>
      <w:szCs w:val="20"/>
    </w:rPr>
  </w:style>
  <w:style w:type="paragraph" w:styleId="CommentSubject">
    <w:name w:val="annotation subject"/>
    <w:basedOn w:val="CommentText"/>
    <w:next w:val="CommentText"/>
    <w:link w:val="CommentSubjectChar"/>
    <w:uiPriority w:val="99"/>
    <w:semiHidden/>
    <w:unhideWhenUsed/>
    <w:rsid w:val="008D6CEA"/>
    <w:rPr>
      <w:b/>
      <w:bCs/>
    </w:rPr>
  </w:style>
  <w:style w:type="character" w:customStyle="1" w:styleId="CommentSubjectChar">
    <w:name w:val="Comment Subject Char"/>
    <w:basedOn w:val="CommentTextChar"/>
    <w:link w:val="CommentSubject"/>
    <w:uiPriority w:val="99"/>
    <w:semiHidden/>
    <w:rsid w:val="008D6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54">
      <w:bodyDiv w:val="1"/>
      <w:marLeft w:val="0"/>
      <w:marRight w:val="0"/>
      <w:marTop w:val="0"/>
      <w:marBottom w:val="0"/>
      <w:divBdr>
        <w:top w:val="none" w:sz="0" w:space="0" w:color="auto"/>
        <w:left w:val="none" w:sz="0" w:space="0" w:color="auto"/>
        <w:bottom w:val="none" w:sz="0" w:space="0" w:color="auto"/>
        <w:right w:val="none" w:sz="0" w:space="0" w:color="auto"/>
      </w:divBdr>
    </w:div>
    <w:div w:id="511258381">
      <w:bodyDiv w:val="1"/>
      <w:marLeft w:val="0"/>
      <w:marRight w:val="0"/>
      <w:marTop w:val="0"/>
      <w:marBottom w:val="0"/>
      <w:divBdr>
        <w:top w:val="none" w:sz="0" w:space="0" w:color="auto"/>
        <w:left w:val="none" w:sz="0" w:space="0" w:color="auto"/>
        <w:bottom w:val="none" w:sz="0" w:space="0" w:color="auto"/>
        <w:right w:val="none" w:sz="0" w:space="0" w:color="auto"/>
      </w:divBdr>
    </w:div>
    <w:div w:id="553392482">
      <w:bodyDiv w:val="1"/>
      <w:marLeft w:val="0"/>
      <w:marRight w:val="0"/>
      <w:marTop w:val="0"/>
      <w:marBottom w:val="0"/>
      <w:divBdr>
        <w:top w:val="none" w:sz="0" w:space="0" w:color="auto"/>
        <w:left w:val="none" w:sz="0" w:space="0" w:color="auto"/>
        <w:bottom w:val="none" w:sz="0" w:space="0" w:color="auto"/>
        <w:right w:val="none" w:sz="0" w:space="0" w:color="auto"/>
      </w:divBdr>
    </w:div>
    <w:div w:id="991981298">
      <w:bodyDiv w:val="1"/>
      <w:marLeft w:val="0"/>
      <w:marRight w:val="0"/>
      <w:marTop w:val="0"/>
      <w:marBottom w:val="0"/>
      <w:divBdr>
        <w:top w:val="none" w:sz="0" w:space="0" w:color="auto"/>
        <w:left w:val="none" w:sz="0" w:space="0" w:color="auto"/>
        <w:bottom w:val="none" w:sz="0" w:space="0" w:color="auto"/>
        <w:right w:val="none" w:sz="0" w:space="0" w:color="auto"/>
      </w:divBdr>
    </w:div>
    <w:div w:id="14117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E6122BC1741628C1CD574B45CE0D5"/>
        <w:category>
          <w:name w:val="General"/>
          <w:gallery w:val="placeholder"/>
        </w:category>
        <w:types>
          <w:type w:val="bbPlcHdr"/>
        </w:types>
        <w:behaviors>
          <w:behavior w:val="content"/>
        </w:behaviors>
        <w:guid w:val="{B334B264-6D85-48B8-9846-E4197793A5BD}"/>
      </w:docPartPr>
      <w:docPartBody>
        <w:p w:rsidR="0058651A" w:rsidRDefault="00A32F46" w:rsidP="00A32F46">
          <w:pPr>
            <w:pStyle w:val="753E6122BC1741628C1CD574B45CE0D5"/>
          </w:pPr>
          <w:r w:rsidRPr="00A43BA1">
            <w:rPr>
              <w:rStyle w:val="PlaceholderText"/>
            </w:rPr>
            <w:t>Click here to enter text.</w:t>
          </w:r>
        </w:p>
      </w:docPartBody>
    </w:docPart>
    <w:docPart>
      <w:docPartPr>
        <w:name w:val="10D21CB85400453B8ACB735C8F4CA2E3"/>
        <w:category>
          <w:name w:val="General"/>
          <w:gallery w:val="placeholder"/>
        </w:category>
        <w:types>
          <w:type w:val="bbPlcHdr"/>
        </w:types>
        <w:behaviors>
          <w:behavior w:val="content"/>
        </w:behaviors>
        <w:guid w:val="{8934EF2B-A207-4ED9-A596-CF709C8B266B}"/>
      </w:docPartPr>
      <w:docPartBody>
        <w:p w:rsidR="0058651A" w:rsidRDefault="00A32F46" w:rsidP="00A32F46">
          <w:pPr>
            <w:pStyle w:val="10D21CB85400453B8ACB735C8F4CA2E3"/>
          </w:pPr>
          <w:r w:rsidRPr="00A43BA1">
            <w:rPr>
              <w:rStyle w:val="PlaceholderText"/>
            </w:rPr>
            <w:t>Click here to enter text.</w:t>
          </w:r>
        </w:p>
      </w:docPartBody>
    </w:docPart>
    <w:docPart>
      <w:docPartPr>
        <w:name w:val="9BE6AB8D054F4ED9BDF285BAD0D65F63"/>
        <w:category>
          <w:name w:val="General"/>
          <w:gallery w:val="placeholder"/>
        </w:category>
        <w:types>
          <w:type w:val="bbPlcHdr"/>
        </w:types>
        <w:behaviors>
          <w:behavior w:val="content"/>
        </w:behaviors>
        <w:guid w:val="{1F8151CC-77CF-417C-B4D1-F43183599FD5}"/>
      </w:docPartPr>
      <w:docPartBody>
        <w:p w:rsidR="00B76595" w:rsidRDefault="00AE6FBC" w:rsidP="00AE6FBC">
          <w:pPr>
            <w:pStyle w:val="9BE6AB8D054F4ED9BDF285BAD0D65F63"/>
          </w:pPr>
          <w:r w:rsidRPr="004A5863">
            <w:rPr>
              <w:rStyle w:val="PlaceholderText"/>
            </w:rPr>
            <w:t>Click here to enter text.</w:t>
          </w:r>
        </w:p>
      </w:docPartBody>
    </w:docPart>
    <w:docPart>
      <w:docPartPr>
        <w:name w:val="A9722A339BBE4D14A02842FEC189F4F2"/>
        <w:category>
          <w:name w:val="General"/>
          <w:gallery w:val="placeholder"/>
        </w:category>
        <w:types>
          <w:type w:val="bbPlcHdr"/>
        </w:types>
        <w:behaviors>
          <w:behavior w:val="content"/>
        </w:behaviors>
        <w:guid w:val="{C958782A-CBB8-48C0-B1F1-1C2C6936C1C3}"/>
      </w:docPartPr>
      <w:docPartBody>
        <w:p w:rsidR="00B76595" w:rsidRDefault="00AE6FBC" w:rsidP="00AE6FBC">
          <w:pPr>
            <w:pStyle w:val="A9722A339BBE4D14A02842FEC189F4F2"/>
          </w:pPr>
          <w:r w:rsidRPr="004A5863">
            <w:rPr>
              <w:rStyle w:val="PlaceholderText"/>
            </w:rPr>
            <w:t>Click here to enter text.</w:t>
          </w:r>
        </w:p>
      </w:docPartBody>
    </w:docPart>
    <w:docPart>
      <w:docPartPr>
        <w:name w:val="CB62971C0162424FA071CAD489FB5BD0"/>
        <w:category>
          <w:name w:val="General"/>
          <w:gallery w:val="placeholder"/>
        </w:category>
        <w:types>
          <w:type w:val="bbPlcHdr"/>
        </w:types>
        <w:behaviors>
          <w:behavior w:val="content"/>
        </w:behaviors>
        <w:guid w:val="{1D178F15-6267-4542-9712-9156AB5FAB45}"/>
      </w:docPartPr>
      <w:docPartBody>
        <w:p w:rsidR="00B76595" w:rsidRDefault="00AE6FBC" w:rsidP="00AE6FBC">
          <w:pPr>
            <w:pStyle w:val="CB62971C0162424FA071CAD489FB5BD0"/>
          </w:pPr>
          <w:r w:rsidRPr="004A5863">
            <w:rPr>
              <w:rStyle w:val="PlaceholderText"/>
            </w:rPr>
            <w:t>Click here to enter text.</w:t>
          </w:r>
        </w:p>
      </w:docPartBody>
    </w:docPart>
    <w:docPart>
      <w:docPartPr>
        <w:name w:val="18281F70C09A434CA011AB40A53CFF48"/>
        <w:category>
          <w:name w:val="General"/>
          <w:gallery w:val="placeholder"/>
        </w:category>
        <w:types>
          <w:type w:val="bbPlcHdr"/>
        </w:types>
        <w:behaviors>
          <w:behavior w:val="content"/>
        </w:behaviors>
        <w:guid w:val="{B789FC01-0DEE-4FC9-8434-C869A4B6A573}"/>
      </w:docPartPr>
      <w:docPartBody>
        <w:p w:rsidR="00B76595" w:rsidRDefault="00AE6FBC" w:rsidP="00AE6FBC">
          <w:pPr>
            <w:pStyle w:val="18281F70C09A434CA011AB40A53CFF48"/>
          </w:pPr>
          <w:r w:rsidRPr="004A5863">
            <w:rPr>
              <w:rStyle w:val="PlaceholderText"/>
            </w:rPr>
            <w:t>Click here to enter text.</w:t>
          </w:r>
        </w:p>
      </w:docPartBody>
    </w:docPart>
    <w:docPart>
      <w:docPartPr>
        <w:name w:val="921CBD03C27547F9A7B669C97FB2992B"/>
        <w:category>
          <w:name w:val="General"/>
          <w:gallery w:val="placeholder"/>
        </w:category>
        <w:types>
          <w:type w:val="bbPlcHdr"/>
        </w:types>
        <w:behaviors>
          <w:behavior w:val="content"/>
        </w:behaviors>
        <w:guid w:val="{D4A7E2EF-21FC-4E90-846B-3547254207CE}"/>
      </w:docPartPr>
      <w:docPartBody>
        <w:p w:rsidR="00B76595" w:rsidRDefault="00AE6FBC" w:rsidP="00AE6FBC">
          <w:pPr>
            <w:pStyle w:val="921CBD03C27547F9A7B669C97FB2992B"/>
          </w:pPr>
          <w:r w:rsidRPr="004A5863">
            <w:rPr>
              <w:rStyle w:val="PlaceholderText"/>
            </w:rPr>
            <w:t>Click here to enter text.</w:t>
          </w:r>
        </w:p>
      </w:docPartBody>
    </w:docPart>
    <w:docPart>
      <w:docPartPr>
        <w:name w:val="EEDC5B3566C84EEBBE96AC37F62DA3FF"/>
        <w:category>
          <w:name w:val="General"/>
          <w:gallery w:val="placeholder"/>
        </w:category>
        <w:types>
          <w:type w:val="bbPlcHdr"/>
        </w:types>
        <w:behaviors>
          <w:behavior w:val="content"/>
        </w:behaviors>
        <w:guid w:val="{676F7FBD-2798-4763-9531-28316FF8FADC}"/>
      </w:docPartPr>
      <w:docPartBody>
        <w:p w:rsidR="00F83386" w:rsidRDefault="00A16E07" w:rsidP="00A16E07">
          <w:pPr>
            <w:pStyle w:val="EEDC5B3566C84EEBBE96AC37F62DA3FF"/>
          </w:pPr>
          <w:r w:rsidRPr="00A43B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F46"/>
    <w:rsid w:val="00140AAD"/>
    <w:rsid w:val="00260280"/>
    <w:rsid w:val="0026505E"/>
    <w:rsid w:val="003231EF"/>
    <w:rsid w:val="00532D28"/>
    <w:rsid w:val="0058651A"/>
    <w:rsid w:val="00672C9D"/>
    <w:rsid w:val="00814302"/>
    <w:rsid w:val="009071F1"/>
    <w:rsid w:val="00994A9F"/>
    <w:rsid w:val="00A16E07"/>
    <w:rsid w:val="00A32F46"/>
    <w:rsid w:val="00AE6FBC"/>
    <w:rsid w:val="00B76595"/>
    <w:rsid w:val="00B92FA7"/>
    <w:rsid w:val="00BB487B"/>
    <w:rsid w:val="00CE3F78"/>
    <w:rsid w:val="00D749A7"/>
    <w:rsid w:val="00EE2CD6"/>
    <w:rsid w:val="00F8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6E07"/>
    <w:rPr>
      <w:color w:val="808080"/>
    </w:rPr>
  </w:style>
  <w:style w:type="paragraph" w:customStyle="1" w:styleId="753E6122BC1741628C1CD574B45CE0D5">
    <w:name w:val="753E6122BC1741628C1CD574B45CE0D5"/>
    <w:rsid w:val="00A32F46"/>
  </w:style>
  <w:style w:type="paragraph" w:customStyle="1" w:styleId="10D21CB85400453B8ACB735C8F4CA2E3">
    <w:name w:val="10D21CB85400453B8ACB735C8F4CA2E3"/>
    <w:rsid w:val="00A32F46"/>
  </w:style>
  <w:style w:type="paragraph" w:customStyle="1" w:styleId="9BE6AB8D054F4ED9BDF285BAD0D65F63">
    <w:name w:val="9BE6AB8D054F4ED9BDF285BAD0D65F63"/>
    <w:rsid w:val="00AE6FBC"/>
  </w:style>
  <w:style w:type="paragraph" w:customStyle="1" w:styleId="A9722A339BBE4D14A02842FEC189F4F2">
    <w:name w:val="A9722A339BBE4D14A02842FEC189F4F2"/>
    <w:rsid w:val="00AE6FBC"/>
  </w:style>
  <w:style w:type="paragraph" w:customStyle="1" w:styleId="CB62971C0162424FA071CAD489FB5BD0">
    <w:name w:val="CB62971C0162424FA071CAD489FB5BD0"/>
    <w:rsid w:val="00AE6FBC"/>
  </w:style>
  <w:style w:type="paragraph" w:customStyle="1" w:styleId="18281F70C09A434CA011AB40A53CFF48">
    <w:name w:val="18281F70C09A434CA011AB40A53CFF48"/>
    <w:rsid w:val="00AE6FBC"/>
  </w:style>
  <w:style w:type="paragraph" w:customStyle="1" w:styleId="921CBD03C27547F9A7B669C97FB2992B">
    <w:name w:val="921CBD03C27547F9A7B669C97FB2992B"/>
    <w:rsid w:val="00AE6FBC"/>
  </w:style>
  <w:style w:type="paragraph" w:customStyle="1" w:styleId="EEDC5B3566C84EEBBE96AC37F62DA3FF">
    <w:name w:val="EEDC5B3566C84EEBBE96AC37F62DA3FF"/>
    <w:rsid w:val="00A16E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E89F902FB920408B94D9E06B522EDA" ma:contentTypeVersion="13" ma:contentTypeDescription="Create a new document." ma:contentTypeScope="" ma:versionID="01d079ff60939e847c67130df78c91e3">
  <xsd:schema xmlns:xsd="http://www.w3.org/2001/XMLSchema" xmlns:xs="http://www.w3.org/2001/XMLSchema" xmlns:p="http://schemas.microsoft.com/office/2006/metadata/properties" xmlns:ns3="e7c7708f-3771-4814-9ac3-218aefcaa494" xmlns:ns4="c4f6a99e-20f7-47fe-b9d2-ac2533d09f61" targetNamespace="http://schemas.microsoft.com/office/2006/metadata/properties" ma:root="true" ma:fieldsID="5ba15c973280cd14570437f704c71b27" ns3:_="" ns4:_="">
    <xsd:import namespace="e7c7708f-3771-4814-9ac3-218aefcaa494"/>
    <xsd:import namespace="c4f6a99e-20f7-47fe-b9d2-ac2533d09f61"/>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708f-3771-4814-9ac3-218aefcaa49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f6a99e-20f7-47fe-b9d2-ac2533d09f6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7E000963-EB93-4339-92FB-D45EBD393A0A}">
  <ds:schemaRefs>
    <ds:schemaRef ds:uri="http://schemas.microsoft.com/sharepoint/v3/contenttype/forms"/>
  </ds:schemaRefs>
</ds:datastoreItem>
</file>

<file path=customXml/itemProps2.xml><?xml version="1.0" encoding="utf-8"?>
<ds:datastoreItem xmlns:ds="http://schemas.openxmlformats.org/officeDocument/2006/customXml" ds:itemID="{50692AE9-1031-4316-81B5-BB300614E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BDDF7-B939-4AFC-904E-0CC59BB6CB0A}">
  <ds:schemaRefs>
    <ds:schemaRef ds:uri="http://schemas.openxmlformats.org/officeDocument/2006/bibliography"/>
  </ds:schemaRefs>
</ds:datastoreItem>
</file>

<file path=customXml/itemProps4.xml><?xml version="1.0" encoding="utf-8"?>
<ds:datastoreItem xmlns:ds="http://schemas.openxmlformats.org/officeDocument/2006/customXml" ds:itemID="{8CC29D12-2823-44E5-A0B0-0D7D0806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708f-3771-4814-9ac3-218aefcaa494"/>
    <ds:schemaRef ds:uri="c4f6a99e-20f7-47fe-b9d2-ac2533d09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0E3D2C-D088-414D-A5A5-43082EAE59A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2579</Words>
  <Characters>14702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Jmcclou1</dc:creator>
  <cp:lastModifiedBy>Graham Woodworth</cp:lastModifiedBy>
  <cp:revision>2</cp:revision>
  <cp:lastPrinted>2016-05-25T12:18:00Z</cp:lastPrinted>
  <dcterms:created xsi:type="dcterms:W3CDTF">2022-07-28T15:11:00Z</dcterms:created>
  <dcterms:modified xsi:type="dcterms:W3CDTF">2022-07-28T15:11:00Z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e0ba9a29-2ba7-44db-ac01-b6f9ce392e8f</vt:lpwstr>
  </property>
  <property fmtid="{D5CDD505-2E9C-101B-9397-08002B2CF9AE}" pid="3" name="bjSaver">
    <vt:lpwstr>nf20OTp6NyxLAW3calwBDOYl95bdpngm</vt:lpwstr>
  </property>
  <property fmtid="{D5CDD505-2E9C-101B-9397-08002B2CF9AE}" pid="4" name="_NewReviewCycle">
    <vt:lpwstr/>
  </property>
  <property fmtid="{D5CDD505-2E9C-101B-9397-08002B2CF9AE}" pid="5" name="bjDocumentSecurityLabel">
    <vt:lpwstr>No Marking</vt:lpwstr>
  </property>
  <property fmtid="{D5CDD505-2E9C-101B-9397-08002B2CF9AE}" pid="6" name="ContentTypeId">
    <vt:lpwstr>0x010100F6E89F902FB920408B94D9E06B522EDA</vt:lpwstr>
  </property>
  <property fmtid="{D5CDD505-2E9C-101B-9397-08002B2CF9AE}" pid="7" name="MSIP_Label_65bade86-969a-4cfc-8d70-99d1f0adeaba_Enabled">
    <vt:lpwstr>true</vt:lpwstr>
  </property>
  <property fmtid="{D5CDD505-2E9C-101B-9397-08002B2CF9AE}" pid="8" name="MSIP_Label_65bade86-969a-4cfc-8d70-99d1f0adeaba_SetDate">
    <vt:lpwstr>2022-07-28T15:10:59Z</vt:lpwstr>
  </property>
  <property fmtid="{D5CDD505-2E9C-101B-9397-08002B2CF9AE}" pid="9" name="MSIP_Label_65bade86-969a-4cfc-8d70-99d1f0adeaba_Method">
    <vt:lpwstr>Privileged</vt:lpwstr>
  </property>
  <property fmtid="{D5CDD505-2E9C-101B-9397-08002B2CF9AE}" pid="10" name="MSIP_Label_65bade86-969a-4cfc-8d70-99d1f0adeaba_Name">
    <vt:lpwstr>65bade86-969a-4cfc-8d70-99d1f0adeaba</vt:lpwstr>
  </property>
  <property fmtid="{D5CDD505-2E9C-101B-9397-08002B2CF9AE}" pid="11" name="MSIP_Label_65bade86-969a-4cfc-8d70-99d1f0adeaba_SiteId">
    <vt:lpwstr>efaa16aa-d1de-4d58-ba2e-2833fdfdd29f</vt:lpwstr>
  </property>
  <property fmtid="{D5CDD505-2E9C-101B-9397-08002B2CF9AE}" pid="12" name="MSIP_Label_65bade86-969a-4cfc-8d70-99d1f0adeaba_ActionId">
    <vt:lpwstr>529d3526-6f43-418d-a013-d5b4a4b762a4</vt:lpwstr>
  </property>
  <property fmtid="{D5CDD505-2E9C-101B-9397-08002B2CF9AE}" pid="13" name="MSIP_Label_65bade86-969a-4cfc-8d70-99d1f0adeaba_ContentBits">
    <vt:lpwstr>1</vt:lpwstr>
  </property>
</Properties>
</file>