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25" w:rsidRDefault="009524A2" w:rsidP="006062B5">
      <w:pPr>
        <w:spacing w:after="0" w:line="240" w:lineRule="auto"/>
        <w:rPr>
          <w:rFonts w:ascii="Arial" w:hAnsi="Arial" w:cs="Arial"/>
          <w:b/>
          <w:sz w:val="24"/>
          <w:szCs w:val="24"/>
        </w:rPr>
      </w:pPr>
      <w:r>
        <w:rPr>
          <w:rFonts w:ascii="Arial" w:hAnsi="Arial" w:cs="Arial"/>
          <w:b/>
          <w:sz w:val="24"/>
          <w:szCs w:val="24"/>
        </w:rPr>
        <w:t>APPENDIX 4 EVALUATION PROCESS</w:t>
      </w:r>
    </w:p>
    <w:p w:rsidR="00AB78DF" w:rsidRDefault="00AB78DF" w:rsidP="006062B5">
      <w:pPr>
        <w:spacing w:after="0" w:line="240" w:lineRule="auto"/>
        <w:rPr>
          <w:rFonts w:ascii="Arial" w:hAnsi="Arial" w:cs="Arial"/>
          <w:b/>
          <w:sz w:val="24"/>
          <w:szCs w:val="24"/>
        </w:rPr>
      </w:pPr>
    </w:p>
    <w:p w:rsidR="001C3E09" w:rsidRPr="00C55FC5" w:rsidRDefault="00FC2DEB" w:rsidP="006062B5">
      <w:pPr>
        <w:spacing w:after="0" w:line="240" w:lineRule="auto"/>
        <w:rPr>
          <w:rFonts w:ascii="Arial" w:hAnsi="Arial" w:cs="Arial"/>
          <w:b/>
          <w:sz w:val="28"/>
          <w:szCs w:val="28"/>
        </w:rPr>
      </w:pPr>
      <w:proofErr w:type="gramStart"/>
      <w:r>
        <w:rPr>
          <w:rFonts w:ascii="Arial" w:hAnsi="Arial" w:cs="Arial"/>
          <w:b/>
          <w:sz w:val="28"/>
          <w:szCs w:val="28"/>
        </w:rPr>
        <w:t>P1545  IMPROVEMENTS</w:t>
      </w:r>
      <w:proofErr w:type="gramEnd"/>
      <w:r>
        <w:rPr>
          <w:rFonts w:ascii="Arial" w:hAnsi="Arial" w:cs="Arial"/>
          <w:b/>
          <w:sz w:val="28"/>
          <w:szCs w:val="28"/>
        </w:rPr>
        <w:t xml:space="preserve"> TO MANOR GROVE BIN STORES</w:t>
      </w:r>
    </w:p>
    <w:p w:rsidR="00C55FC5" w:rsidRPr="001C3E09" w:rsidRDefault="00C55FC5" w:rsidP="006062B5">
      <w:pPr>
        <w:spacing w:after="0" w:line="240" w:lineRule="auto"/>
        <w:rPr>
          <w:rFonts w:ascii="Arial" w:hAnsi="Arial" w:cs="Arial"/>
          <w:b/>
          <w:i/>
          <w:sz w:val="24"/>
          <w:szCs w:val="24"/>
        </w:rPr>
      </w:pPr>
    </w:p>
    <w:p w:rsidR="00F65942" w:rsidRDefault="00F65942" w:rsidP="006062B5">
      <w:pPr>
        <w:spacing w:after="0" w:line="240" w:lineRule="auto"/>
        <w:rPr>
          <w:rFonts w:ascii="Arial" w:hAnsi="Arial" w:cs="Arial"/>
          <w:sz w:val="24"/>
          <w:szCs w:val="24"/>
        </w:rPr>
      </w:pPr>
      <w:r w:rsidRPr="00F65942">
        <w:rPr>
          <w:rFonts w:ascii="Arial" w:hAnsi="Arial" w:cs="Arial"/>
          <w:sz w:val="24"/>
          <w:szCs w:val="24"/>
        </w:rPr>
        <w:t>The</w:t>
      </w:r>
      <w:r>
        <w:rPr>
          <w:rFonts w:ascii="Arial" w:hAnsi="Arial" w:cs="Arial"/>
          <w:sz w:val="24"/>
          <w:szCs w:val="24"/>
        </w:rPr>
        <w:t xml:space="preserve"> following components co</w:t>
      </w:r>
      <w:r w:rsidR="00AB78DF">
        <w:rPr>
          <w:rFonts w:ascii="Arial" w:hAnsi="Arial" w:cs="Arial"/>
          <w:sz w:val="24"/>
          <w:szCs w:val="24"/>
        </w:rPr>
        <w:t>ntribute to the award criteria:</w:t>
      </w:r>
    </w:p>
    <w:p w:rsidR="00AB78DF" w:rsidRDefault="00AB78DF" w:rsidP="006062B5">
      <w:pPr>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3544"/>
        <w:gridCol w:w="4536"/>
        <w:gridCol w:w="1054"/>
      </w:tblGrid>
      <w:tr w:rsidR="006062B5" w:rsidTr="006062B5">
        <w:tc>
          <w:tcPr>
            <w:tcW w:w="3544" w:type="dxa"/>
          </w:tcPr>
          <w:p w:rsidR="006062B5" w:rsidRPr="00D16C25" w:rsidRDefault="006062B5" w:rsidP="006062B5">
            <w:pPr>
              <w:pStyle w:val="ListParagraph"/>
              <w:numPr>
                <w:ilvl w:val="0"/>
                <w:numId w:val="8"/>
              </w:numPr>
              <w:ind w:left="338" w:hanging="284"/>
              <w:rPr>
                <w:rFonts w:ascii="Arial" w:hAnsi="Arial" w:cs="Arial"/>
                <w:sz w:val="24"/>
                <w:szCs w:val="24"/>
              </w:rPr>
            </w:pPr>
            <w:r w:rsidRPr="00D16C25">
              <w:rPr>
                <w:rFonts w:ascii="Arial" w:hAnsi="Arial" w:cs="Arial"/>
                <w:sz w:val="24"/>
                <w:szCs w:val="24"/>
              </w:rPr>
              <w:t>Cost of proposals</w:t>
            </w:r>
          </w:p>
        </w:tc>
        <w:tc>
          <w:tcPr>
            <w:tcW w:w="4536" w:type="dxa"/>
          </w:tcPr>
          <w:p w:rsidR="006062B5" w:rsidRPr="00D16C25" w:rsidRDefault="006062B5" w:rsidP="006062B5">
            <w:pPr>
              <w:pStyle w:val="ListParagraph"/>
              <w:numPr>
                <w:ilvl w:val="0"/>
                <w:numId w:val="2"/>
              </w:numPr>
              <w:ind w:left="317" w:hanging="283"/>
              <w:rPr>
                <w:rFonts w:ascii="Arial" w:hAnsi="Arial" w:cs="Arial"/>
                <w:sz w:val="24"/>
                <w:szCs w:val="24"/>
              </w:rPr>
            </w:pPr>
            <w:r w:rsidRPr="00D16C25">
              <w:rPr>
                <w:rFonts w:ascii="Arial" w:hAnsi="Arial" w:cs="Arial"/>
                <w:sz w:val="24"/>
                <w:szCs w:val="24"/>
              </w:rPr>
              <w:t>Price Schedule</w:t>
            </w:r>
          </w:p>
        </w:tc>
        <w:tc>
          <w:tcPr>
            <w:tcW w:w="1054" w:type="dxa"/>
          </w:tcPr>
          <w:p w:rsidR="006062B5" w:rsidRPr="00D16C25" w:rsidRDefault="009524A2" w:rsidP="006062B5">
            <w:pPr>
              <w:jc w:val="center"/>
              <w:rPr>
                <w:rFonts w:ascii="Arial" w:hAnsi="Arial" w:cs="Arial"/>
                <w:sz w:val="24"/>
                <w:szCs w:val="24"/>
              </w:rPr>
            </w:pPr>
            <w:r>
              <w:rPr>
                <w:rFonts w:ascii="Arial" w:hAnsi="Arial" w:cs="Arial"/>
                <w:sz w:val="24"/>
                <w:szCs w:val="24"/>
              </w:rPr>
              <w:t>80%</w:t>
            </w:r>
          </w:p>
        </w:tc>
      </w:tr>
      <w:tr w:rsidR="006062B5" w:rsidTr="006062B5">
        <w:tc>
          <w:tcPr>
            <w:tcW w:w="3544" w:type="dxa"/>
          </w:tcPr>
          <w:p w:rsidR="006062B5" w:rsidRPr="00D16C25" w:rsidRDefault="009524A2" w:rsidP="006062B5">
            <w:pPr>
              <w:pStyle w:val="ListParagraph"/>
              <w:numPr>
                <w:ilvl w:val="0"/>
                <w:numId w:val="8"/>
              </w:numPr>
              <w:ind w:left="338" w:hanging="284"/>
              <w:rPr>
                <w:rFonts w:ascii="Arial" w:hAnsi="Arial" w:cs="Arial"/>
                <w:sz w:val="24"/>
                <w:szCs w:val="24"/>
              </w:rPr>
            </w:pPr>
            <w:r>
              <w:rPr>
                <w:rFonts w:ascii="Arial" w:hAnsi="Arial" w:cs="Arial"/>
                <w:sz w:val="24"/>
                <w:szCs w:val="24"/>
              </w:rPr>
              <w:t>Method Statement</w:t>
            </w:r>
          </w:p>
        </w:tc>
        <w:tc>
          <w:tcPr>
            <w:tcW w:w="4536" w:type="dxa"/>
          </w:tcPr>
          <w:p w:rsidR="006062B5" w:rsidRPr="00D16C25" w:rsidRDefault="008055EE" w:rsidP="006062B5">
            <w:pPr>
              <w:pStyle w:val="ListParagraph"/>
              <w:numPr>
                <w:ilvl w:val="0"/>
                <w:numId w:val="2"/>
              </w:numPr>
              <w:ind w:left="317" w:hanging="283"/>
              <w:rPr>
                <w:rFonts w:ascii="Arial" w:hAnsi="Arial" w:cs="Arial"/>
                <w:sz w:val="24"/>
                <w:szCs w:val="24"/>
              </w:rPr>
            </w:pPr>
            <w:r>
              <w:rPr>
                <w:rFonts w:ascii="Arial" w:hAnsi="Arial" w:cs="Arial"/>
                <w:sz w:val="24"/>
                <w:szCs w:val="24"/>
              </w:rPr>
              <w:t>Project Experience</w:t>
            </w:r>
            <w:bookmarkStart w:id="0" w:name="_GoBack"/>
            <w:bookmarkEnd w:id="0"/>
          </w:p>
        </w:tc>
        <w:tc>
          <w:tcPr>
            <w:tcW w:w="1054" w:type="dxa"/>
          </w:tcPr>
          <w:p w:rsidR="006062B5" w:rsidRPr="00D16C25" w:rsidRDefault="00FC2DEB" w:rsidP="006062B5">
            <w:pPr>
              <w:jc w:val="center"/>
              <w:rPr>
                <w:rFonts w:ascii="Arial" w:hAnsi="Arial" w:cs="Arial"/>
                <w:sz w:val="24"/>
                <w:szCs w:val="24"/>
              </w:rPr>
            </w:pPr>
            <w:r>
              <w:rPr>
                <w:rFonts w:ascii="Arial" w:hAnsi="Arial" w:cs="Arial"/>
                <w:sz w:val="24"/>
                <w:szCs w:val="24"/>
              </w:rPr>
              <w:t>20%</w:t>
            </w:r>
          </w:p>
        </w:tc>
      </w:tr>
    </w:tbl>
    <w:p w:rsidR="006062B5" w:rsidRDefault="006062B5" w:rsidP="006062B5">
      <w:pPr>
        <w:spacing w:after="0" w:line="240" w:lineRule="auto"/>
        <w:rPr>
          <w:rFonts w:ascii="Arial" w:hAnsi="Arial" w:cs="Arial"/>
          <w:sz w:val="24"/>
          <w:szCs w:val="24"/>
        </w:rPr>
      </w:pPr>
    </w:p>
    <w:p w:rsidR="00075DD7" w:rsidRDefault="00075DD7" w:rsidP="006062B5">
      <w:pPr>
        <w:spacing w:after="0" w:line="240" w:lineRule="auto"/>
        <w:ind w:left="1080"/>
        <w:rPr>
          <w:rFonts w:ascii="Arial" w:hAnsi="Arial" w:cs="Arial"/>
          <w:sz w:val="24"/>
          <w:szCs w:val="24"/>
        </w:rPr>
      </w:pPr>
    </w:p>
    <w:p w:rsidR="00F65942" w:rsidRPr="00F11CD6" w:rsidRDefault="00F65942" w:rsidP="006062B5">
      <w:pPr>
        <w:spacing w:after="0" w:line="240" w:lineRule="auto"/>
        <w:rPr>
          <w:rFonts w:ascii="Arial" w:hAnsi="Arial" w:cs="Arial"/>
          <w:b/>
          <w:sz w:val="24"/>
          <w:szCs w:val="24"/>
        </w:rPr>
      </w:pPr>
      <w:r w:rsidRPr="00F11CD6">
        <w:rPr>
          <w:rFonts w:ascii="Arial" w:hAnsi="Arial" w:cs="Arial"/>
          <w:b/>
          <w:sz w:val="24"/>
          <w:szCs w:val="24"/>
        </w:rPr>
        <w:t>Cost of proposals</w:t>
      </w:r>
    </w:p>
    <w:p w:rsidR="00F65942" w:rsidRDefault="00F65942" w:rsidP="006062B5">
      <w:pPr>
        <w:pStyle w:val="ListParagraph"/>
        <w:spacing w:after="0" w:line="240" w:lineRule="auto"/>
        <w:ind w:left="0"/>
        <w:rPr>
          <w:rFonts w:ascii="Arial" w:hAnsi="Arial" w:cs="Arial"/>
          <w:sz w:val="24"/>
          <w:szCs w:val="24"/>
        </w:rPr>
      </w:pPr>
      <w:r>
        <w:rPr>
          <w:rFonts w:ascii="Arial" w:hAnsi="Arial" w:cs="Arial"/>
          <w:sz w:val="24"/>
          <w:szCs w:val="24"/>
        </w:rPr>
        <w:t>The company will award maximum marks to the lowest tender sum of each bid when compared against the ot</w:t>
      </w:r>
      <w:r w:rsidR="00AB78DF">
        <w:rPr>
          <w:rFonts w:ascii="Arial" w:hAnsi="Arial" w:cs="Arial"/>
          <w:sz w:val="24"/>
          <w:szCs w:val="24"/>
        </w:rPr>
        <w:t>her bids from the other bidders.</w:t>
      </w:r>
    </w:p>
    <w:p w:rsidR="00AB78DF" w:rsidRDefault="00AB78DF" w:rsidP="006062B5">
      <w:pPr>
        <w:pStyle w:val="ListParagraph"/>
        <w:spacing w:after="0" w:line="240" w:lineRule="auto"/>
        <w:ind w:left="0"/>
        <w:rPr>
          <w:rFonts w:ascii="Arial" w:hAnsi="Arial" w:cs="Arial"/>
          <w:sz w:val="24"/>
          <w:szCs w:val="24"/>
        </w:rPr>
      </w:pPr>
    </w:p>
    <w:p w:rsidR="00F65942" w:rsidRDefault="00F65942" w:rsidP="006062B5">
      <w:pPr>
        <w:pStyle w:val="ListParagraph"/>
        <w:spacing w:after="0" w:line="240" w:lineRule="auto"/>
        <w:ind w:left="0"/>
        <w:rPr>
          <w:rFonts w:ascii="Arial" w:hAnsi="Arial" w:cs="Arial"/>
          <w:sz w:val="24"/>
          <w:szCs w:val="24"/>
        </w:rPr>
      </w:pPr>
      <w:r>
        <w:rPr>
          <w:rFonts w:ascii="Arial" w:hAnsi="Arial" w:cs="Arial"/>
          <w:sz w:val="24"/>
          <w:szCs w:val="24"/>
        </w:rPr>
        <w:t>The lowest bid will achieve full marks available. Marks are then allocated to other bidders on a pro-rata basis as demonstrated in the example below.</w:t>
      </w:r>
    </w:p>
    <w:p w:rsidR="00AB78DF" w:rsidRDefault="00AB78DF" w:rsidP="006062B5">
      <w:pPr>
        <w:pStyle w:val="ListParagraph"/>
        <w:spacing w:after="0" w:line="240" w:lineRule="auto"/>
        <w:ind w:left="405"/>
        <w:rPr>
          <w:rFonts w:ascii="Arial" w:hAnsi="Arial" w:cs="Arial"/>
          <w:sz w:val="24"/>
          <w:szCs w:val="24"/>
        </w:rPr>
      </w:pPr>
    </w:p>
    <w:p w:rsidR="009E687A" w:rsidRDefault="009E687A" w:rsidP="006062B5">
      <w:pPr>
        <w:pStyle w:val="ListParagraph"/>
        <w:spacing w:after="0" w:line="240" w:lineRule="auto"/>
        <w:ind w:left="405"/>
        <w:rPr>
          <w:rFonts w:ascii="Arial" w:hAnsi="Arial" w:cs="Arial"/>
          <w:sz w:val="24"/>
          <w:szCs w:val="24"/>
        </w:rPr>
      </w:pPr>
    </w:p>
    <w:p w:rsidR="009E687A" w:rsidRDefault="009E687A" w:rsidP="006062B5">
      <w:pPr>
        <w:pStyle w:val="ListParagraph"/>
        <w:spacing w:after="0" w:line="240" w:lineRule="auto"/>
        <w:ind w:left="405"/>
        <w:rPr>
          <w:rFonts w:ascii="Arial" w:hAnsi="Arial" w:cs="Arial"/>
          <w:sz w:val="24"/>
          <w:szCs w:val="24"/>
        </w:rPr>
      </w:pPr>
    </w:p>
    <w:tbl>
      <w:tblPr>
        <w:tblStyle w:val="TableGrid"/>
        <w:tblpPr w:leftFromText="180" w:rightFromText="180" w:vertAnchor="text" w:horzAnchor="margin" w:tblpX="108" w:tblpY="-509"/>
        <w:tblW w:w="0" w:type="auto"/>
        <w:tblLook w:val="04A0" w:firstRow="1" w:lastRow="0" w:firstColumn="1" w:lastColumn="0" w:noHBand="0" w:noVBand="1"/>
      </w:tblPr>
      <w:tblGrid>
        <w:gridCol w:w="2119"/>
        <w:gridCol w:w="2228"/>
        <w:gridCol w:w="2424"/>
        <w:gridCol w:w="2268"/>
      </w:tblGrid>
      <w:tr w:rsidR="009E687A" w:rsidTr="00AB78DF">
        <w:trPr>
          <w:trHeight w:val="451"/>
        </w:trPr>
        <w:tc>
          <w:tcPr>
            <w:tcW w:w="2119" w:type="dxa"/>
          </w:tcPr>
          <w:p w:rsidR="009E687A" w:rsidRPr="009E687A" w:rsidRDefault="009E687A" w:rsidP="006062B5">
            <w:pPr>
              <w:pStyle w:val="ListParagraph"/>
              <w:ind w:left="0"/>
              <w:jc w:val="center"/>
              <w:rPr>
                <w:rFonts w:ascii="Arial" w:hAnsi="Arial" w:cs="Arial"/>
                <w:b/>
                <w:sz w:val="24"/>
                <w:szCs w:val="24"/>
              </w:rPr>
            </w:pPr>
            <w:r w:rsidRPr="009E687A">
              <w:rPr>
                <w:rFonts w:ascii="Arial" w:hAnsi="Arial" w:cs="Arial"/>
                <w:b/>
                <w:sz w:val="24"/>
                <w:szCs w:val="24"/>
              </w:rPr>
              <w:t>Tenderer</w:t>
            </w:r>
          </w:p>
        </w:tc>
        <w:tc>
          <w:tcPr>
            <w:tcW w:w="2228" w:type="dxa"/>
          </w:tcPr>
          <w:p w:rsidR="009E687A" w:rsidRPr="009E687A" w:rsidRDefault="009E687A" w:rsidP="006062B5">
            <w:pPr>
              <w:pStyle w:val="ListParagraph"/>
              <w:ind w:left="0"/>
              <w:jc w:val="center"/>
              <w:rPr>
                <w:rFonts w:ascii="Arial" w:hAnsi="Arial" w:cs="Arial"/>
                <w:b/>
                <w:sz w:val="24"/>
                <w:szCs w:val="24"/>
              </w:rPr>
            </w:pPr>
            <w:r w:rsidRPr="009E687A">
              <w:rPr>
                <w:rFonts w:ascii="Arial" w:hAnsi="Arial" w:cs="Arial"/>
                <w:b/>
                <w:sz w:val="24"/>
                <w:szCs w:val="24"/>
              </w:rPr>
              <w:t>Tendered Price</w:t>
            </w:r>
          </w:p>
        </w:tc>
        <w:tc>
          <w:tcPr>
            <w:tcW w:w="2424" w:type="dxa"/>
          </w:tcPr>
          <w:p w:rsidR="009E687A" w:rsidRPr="009E687A" w:rsidRDefault="009E687A" w:rsidP="006062B5">
            <w:pPr>
              <w:pStyle w:val="ListParagraph"/>
              <w:ind w:left="0"/>
              <w:jc w:val="center"/>
              <w:rPr>
                <w:rFonts w:ascii="Arial" w:hAnsi="Arial" w:cs="Arial"/>
                <w:b/>
                <w:sz w:val="24"/>
                <w:szCs w:val="24"/>
              </w:rPr>
            </w:pPr>
            <w:r w:rsidRPr="009E687A">
              <w:rPr>
                <w:rFonts w:ascii="Arial" w:hAnsi="Arial" w:cs="Arial"/>
                <w:b/>
                <w:sz w:val="24"/>
                <w:szCs w:val="24"/>
              </w:rPr>
              <w:t>Calculation</w:t>
            </w:r>
          </w:p>
        </w:tc>
        <w:tc>
          <w:tcPr>
            <w:tcW w:w="2268" w:type="dxa"/>
          </w:tcPr>
          <w:p w:rsidR="009E687A" w:rsidRPr="009E687A" w:rsidRDefault="009E687A" w:rsidP="006062B5">
            <w:pPr>
              <w:pStyle w:val="ListParagraph"/>
              <w:ind w:left="0"/>
              <w:jc w:val="center"/>
              <w:rPr>
                <w:rFonts w:ascii="Arial" w:hAnsi="Arial" w:cs="Arial"/>
                <w:b/>
                <w:sz w:val="24"/>
                <w:szCs w:val="24"/>
              </w:rPr>
            </w:pPr>
            <w:r w:rsidRPr="009E687A">
              <w:rPr>
                <w:rFonts w:ascii="Arial" w:hAnsi="Arial" w:cs="Arial"/>
                <w:b/>
                <w:sz w:val="24"/>
                <w:szCs w:val="24"/>
              </w:rPr>
              <w:t>Score</w:t>
            </w:r>
          </w:p>
        </w:tc>
      </w:tr>
      <w:tr w:rsidR="009E687A" w:rsidTr="00AB78DF">
        <w:trPr>
          <w:trHeight w:val="451"/>
        </w:trPr>
        <w:tc>
          <w:tcPr>
            <w:tcW w:w="2119" w:type="dxa"/>
          </w:tcPr>
          <w:p w:rsidR="009E687A" w:rsidRPr="002C2F5C" w:rsidRDefault="009E687A" w:rsidP="006062B5">
            <w:pPr>
              <w:pStyle w:val="ListParagraph"/>
              <w:ind w:left="0"/>
              <w:jc w:val="center"/>
              <w:rPr>
                <w:rFonts w:ascii="Arial" w:hAnsi="Arial" w:cs="Arial"/>
                <w:sz w:val="24"/>
                <w:szCs w:val="24"/>
              </w:rPr>
            </w:pPr>
            <w:r w:rsidRPr="002C2F5C">
              <w:rPr>
                <w:rFonts w:ascii="Arial" w:hAnsi="Arial" w:cs="Arial"/>
                <w:sz w:val="24"/>
                <w:szCs w:val="24"/>
              </w:rPr>
              <w:t>Tenderer 1</w:t>
            </w:r>
          </w:p>
          <w:p w:rsidR="009E687A" w:rsidRPr="002C2F5C" w:rsidRDefault="009E687A" w:rsidP="006062B5">
            <w:pPr>
              <w:pStyle w:val="ListParagraph"/>
              <w:ind w:left="0"/>
              <w:jc w:val="center"/>
              <w:rPr>
                <w:rFonts w:ascii="Arial" w:hAnsi="Arial" w:cs="Arial"/>
                <w:sz w:val="24"/>
                <w:szCs w:val="24"/>
              </w:rPr>
            </w:pPr>
          </w:p>
        </w:tc>
        <w:tc>
          <w:tcPr>
            <w:tcW w:w="2228" w:type="dxa"/>
          </w:tcPr>
          <w:p w:rsidR="009E687A" w:rsidRPr="002C2F5C" w:rsidRDefault="009524A2" w:rsidP="006062B5">
            <w:pPr>
              <w:pStyle w:val="ListParagraph"/>
              <w:ind w:left="0"/>
              <w:jc w:val="center"/>
              <w:rPr>
                <w:rFonts w:ascii="Arial" w:hAnsi="Arial" w:cs="Arial"/>
                <w:sz w:val="24"/>
                <w:szCs w:val="24"/>
              </w:rPr>
            </w:pPr>
            <w:r>
              <w:rPr>
                <w:rFonts w:ascii="Arial" w:hAnsi="Arial" w:cs="Arial"/>
                <w:sz w:val="24"/>
                <w:szCs w:val="24"/>
              </w:rPr>
              <w:t>£80,000.00</w:t>
            </w:r>
          </w:p>
        </w:tc>
        <w:tc>
          <w:tcPr>
            <w:tcW w:w="2424" w:type="dxa"/>
          </w:tcPr>
          <w:p w:rsidR="009E687A" w:rsidRPr="00A81104" w:rsidRDefault="009E687A" w:rsidP="006062B5">
            <w:pPr>
              <w:pStyle w:val="ListParagraph"/>
              <w:ind w:left="0"/>
              <w:jc w:val="center"/>
              <w:rPr>
                <w:rFonts w:ascii="Arial" w:hAnsi="Arial" w:cs="Arial"/>
                <w:sz w:val="24"/>
                <w:szCs w:val="24"/>
              </w:rPr>
            </w:pPr>
            <w:r w:rsidRPr="00A81104">
              <w:rPr>
                <w:rFonts w:ascii="Arial" w:hAnsi="Arial" w:cs="Arial"/>
                <w:sz w:val="24"/>
                <w:szCs w:val="24"/>
              </w:rPr>
              <w:t>Maximum Score</w:t>
            </w:r>
          </w:p>
        </w:tc>
        <w:tc>
          <w:tcPr>
            <w:tcW w:w="2268" w:type="dxa"/>
          </w:tcPr>
          <w:p w:rsidR="009E687A" w:rsidRPr="00A81104" w:rsidRDefault="009524A2" w:rsidP="006062B5">
            <w:pPr>
              <w:pStyle w:val="ListParagraph"/>
              <w:ind w:left="0"/>
              <w:jc w:val="center"/>
              <w:rPr>
                <w:rFonts w:ascii="Arial" w:hAnsi="Arial" w:cs="Arial"/>
                <w:sz w:val="24"/>
                <w:szCs w:val="24"/>
              </w:rPr>
            </w:pPr>
            <w:r>
              <w:rPr>
                <w:rFonts w:ascii="Arial" w:hAnsi="Arial" w:cs="Arial"/>
                <w:sz w:val="24"/>
                <w:szCs w:val="24"/>
              </w:rPr>
              <w:t>80%</w:t>
            </w:r>
          </w:p>
        </w:tc>
      </w:tr>
      <w:tr w:rsidR="009E687A" w:rsidTr="00AB78DF">
        <w:trPr>
          <w:trHeight w:val="451"/>
        </w:trPr>
        <w:tc>
          <w:tcPr>
            <w:tcW w:w="2119" w:type="dxa"/>
          </w:tcPr>
          <w:p w:rsidR="009E687A" w:rsidRPr="002C2F5C" w:rsidRDefault="009E687A" w:rsidP="006062B5">
            <w:pPr>
              <w:pStyle w:val="ListParagraph"/>
              <w:ind w:left="0"/>
              <w:jc w:val="center"/>
              <w:rPr>
                <w:rFonts w:ascii="Arial" w:hAnsi="Arial" w:cs="Arial"/>
                <w:sz w:val="24"/>
                <w:szCs w:val="24"/>
              </w:rPr>
            </w:pPr>
            <w:r w:rsidRPr="002C2F5C">
              <w:rPr>
                <w:rFonts w:ascii="Arial" w:hAnsi="Arial" w:cs="Arial"/>
                <w:sz w:val="24"/>
                <w:szCs w:val="24"/>
              </w:rPr>
              <w:t>Tenderer 2</w:t>
            </w:r>
          </w:p>
        </w:tc>
        <w:tc>
          <w:tcPr>
            <w:tcW w:w="2228" w:type="dxa"/>
          </w:tcPr>
          <w:p w:rsidR="009E687A" w:rsidRPr="002C2F5C" w:rsidRDefault="009524A2" w:rsidP="006062B5">
            <w:pPr>
              <w:pStyle w:val="ListParagraph"/>
              <w:ind w:left="0"/>
              <w:jc w:val="center"/>
              <w:rPr>
                <w:rFonts w:ascii="Arial" w:hAnsi="Arial" w:cs="Arial"/>
                <w:sz w:val="24"/>
                <w:szCs w:val="24"/>
              </w:rPr>
            </w:pPr>
            <w:r>
              <w:rPr>
                <w:rFonts w:ascii="Arial" w:hAnsi="Arial" w:cs="Arial"/>
                <w:sz w:val="24"/>
                <w:szCs w:val="24"/>
              </w:rPr>
              <w:t>£100,000.00</w:t>
            </w:r>
          </w:p>
        </w:tc>
        <w:tc>
          <w:tcPr>
            <w:tcW w:w="2424" w:type="dxa"/>
          </w:tcPr>
          <w:p w:rsidR="009E687A" w:rsidRPr="00A81104" w:rsidRDefault="009524A2" w:rsidP="006062B5">
            <w:pPr>
              <w:pStyle w:val="ListParagraph"/>
              <w:ind w:left="0"/>
              <w:jc w:val="center"/>
              <w:rPr>
                <w:rFonts w:ascii="Arial" w:hAnsi="Arial" w:cs="Arial"/>
                <w:sz w:val="24"/>
                <w:szCs w:val="24"/>
              </w:rPr>
            </w:pPr>
            <w:r>
              <w:rPr>
                <w:rFonts w:ascii="Arial" w:hAnsi="Arial" w:cs="Arial"/>
                <w:sz w:val="24"/>
                <w:szCs w:val="24"/>
              </w:rPr>
              <w:t>80/100 x 80</w:t>
            </w:r>
          </w:p>
        </w:tc>
        <w:tc>
          <w:tcPr>
            <w:tcW w:w="2268" w:type="dxa"/>
          </w:tcPr>
          <w:p w:rsidR="009E687A" w:rsidRPr="00A81104" w:rsidRDefault="009524A2" w:rsidP="006062B5">
            <w:pPr>
              <w:pStyle w:val="ListParagraph"/>
              <w:ind w:left="0"/>
              <w:jc w:val="center"/>
              <w:rPr>
                <w:rFonts w:ascii="Arial" w:hAnsi="Arial" w:cs="Arial"/>
                <w:sz w:val="24"/>
                <w:szCs w:val="24"/>
              </w:rPr>
            </w:pPr>
            <w:r>
              <w:rPr>
                <w:rFonts w:ascii="Arial" w:hAnsi="Arial" w:cs="Arial"/>
                <w:sz w:val="24"/>
                <w:szCs w:val="24"/>
              </w:rPr>
              <w:t>64%</w:t>
            </w:r>
          </w:p>
        </w:tc>
      </w:tr>
      <w:tr w:rsidR="009E687A" w:rsidTr="00AB78DF">
        <w:trPr>
          <w:trHeight w:val="476"/>
        </w:trPr>
        <w:tc>
          <w:tcPr>
            <w:tcW w:w="2119" w:type="dxa"/>
          </w:tcPr>
          <w:p w:rsidR="009E687A" w:rsidRPr="002C2F5C" w:rsidRDefault="009E687A" w:rsidP="006062B5">
            <w:pPr>
              <w:pStyle w:val="ListParagraph"/>
              <w:ind w:left="0"/>
              <w:jc w:val="center"/>
              <w:rPr>
                <w:rFonts w:ascii="Arial" w:hAnsi="Arial" w:cs="Arial"/>
                <w:sz w:val="24"/>
                <w:szCs w:val="24"/>
              </w:rPr>
            </w:pPr>
            <w:r w:rsidRPr="002C2F5C">
              <w:rPr>
                <w:rFonts w:ascii="Arial" w:hAnsi="Arial" w:cs="Arial"/>
                <w:sz w:val="24"/>
                <w:szCs w:val="24"/>
              </w:rPr>
              <w:t>Tenderer 3</w:t>
            </w:r>
          </w:p>
        </w:tc>
        <w:tc>
          <w:tcPr>
            <w:tcW w:w="2228" w:type="dxa"/>
          </w:tcPr>
          <w:p w:rsidR="009E687A" w:rsidRPr="002C2F5C" w:rsidRDefault="0000631E" w:rsidP="006062B5">
            <w:pPr>
              <w:pStyle w:val="ListParagraph"/>
              <w:ind w:left="0"/>
              <w:jc w:val="center"/>
              <w:rPr>
                <w:rFonts w:ascii="Arial" w:hAnsi="Arial" w:cs="Arial"/>
                <w:sz w:val="24"/>
                <w:szCs w:val="24"/>
              </w:rPr>
            </w:pPr>
            <w:r>
              <w:rPr>
                <w:rFonts w:ascii="Arial" w:hAnsi="Arial" w:cs="Arial"/>
                <w:sz w:val="24"/>
                <w:szCs w:val="24"/>
              </w:rPr>
              <w:t>£120,000.00</w:t>
            </w:r>
          </w:p>
        </w:tc>
        <w:tc>
          <w:tcPr>
            <w:tcW w:w="2424" w:type="dxa"/>
          </w:tcPr>
          <w:p w:rsidR="009E687A" w:rsidRPr="00A81104" w:rsidRDefault="0000631E" w:rsidP="0000631E">
            <w:pPr>
              <w:pStyle w:val="ListParagraph"/>
              <w:ind w:left="0"/>
              <w:jc w:val="center"/>
              <w:rPr>
                <w:rFonts w:ascii="Arial" w:hAnsi="Arial" w:cs="Arial"/>
                <w:sz w:val="24"/>
                <w:szCs w:val="24"/>
              </w:rPr>
            </w:pPr>
            <w:r>
              <w:rPr>
                <w:rFonts w:ascii="Arial" w:hAnsi="Arial" w:cs="Arial"/>
                <w:sz w:val="24"/>
                <w:szCs w:val="24"/>
              </w:rPr>
              <w:t>80/120</w:t>
            </w:r>
            <w:r w:rsidR="009524A2">
              <w:rPr>
                <w:rFonts w:ascii="Arial" w:hAnsi="Arial" w:cs="Arial"/>
                <w:sz w:val="24"/>
                <w:szCs w:val="24"/>
              </w:rPr>
              <w:t xml:space="preserve"> x 8</w:t>
            </w:r>
            <w:r w:rsidR="00A81104" w:rsidRPr="00A81104">
              <w:rPr>
                <w:rFonts w:ascii="Arial" w:hAnsi="Arial" w:cs="Arial"/>
                <w:sz w:val="24"/>
                <w:szCs w:val="24"/>
              </w:rPr>
              <w:t>0</w:t>
            </w:r>
          </w:p>
        </w:tc>
        <w:tc>
          <w:tcPr>
            <w:tcW w:w="2268" w:type="dxa"/>
          </w:tcPr>
          <w:p w:rsidR="009E687A" w:rsidRPr="00A81104" w:rsidRDefault="009524A2" w:rsidP="006062B5">
            <w:pPr>
              <w:pStyle w:val="ListParagraph"/>
              <w:ind w:left="0"/>
              <w:jc w:val="center"/>
              <w:rPr>
                <w:rFonts w:ascii="Arial" w:hAnsi="Arial" w:cs="Arial"/>
                <w:sz w:val="24"/>
                <w:szCs w:val="24"/>
              </w:rPr>
            </w:pPr>
            <w:r>
              <w:rPr>
                <w:rFonts w:ascii="Arial" w:hAnsi="Arial" w:cs="Arial"/>
                <w:sz w:val="24"/>
                <w:szCs w:val="24"/>
              </w:rPr>
              <w:t>53%</w:t>
            </w:r>
          </w:p>
        </w:tc>
      </w:tr>
    </w:tbl>
    <w:p w:rsidR="009E687A" w:rsidRDefault="009E687A" w:rsidP="006062B5">
      <w:pPr>
        <w:pStyle w:val="ListParagraph"/>
        <w:spacing w:after="0" w:line="240" w:lineRule="auto"/>
        <w:ind w:left="0"/>
        <w:rPr>
          <w:rFonts w:ascii="Arial" w:hAnsi="Arial" w:cs="Arial"/>
          <w:sz w:val="24"/>
          <w:szCs w:val="24"/>
        </w:rPr>
      </w:pPr>
      <w:r>
        <w:rPr>
          <w:rFonts w:ascii="Arial" w:hAnsi="Arial" w:cs="Arial"/>
          <w:sz w:val="24"/>
          <w:szCs w:val="24"/>
        </w:rPr>
        <w:t>Aggressi</w:t>
      </w:r>
      <w:r w:rsidR="009524A2">
        <w:rPr>
          <w:rFonts w:ascii="Arial" w:hAnsi="Arial" w:cs="Arial"/>
          <w:sz w:val="24"/>
          <w:szCs w:val="24"/>
        </w:rPr>
        <w:t>vely low bids will be awarded 8</w:t>
      </w:r>
      <w:r w:rsidR="00042B9D">
        <w:rPr>
          <w:rFonts w:ascii="Arial" w:hAnsi="Arial" w:cs="Arial"/>
          <w:sz w:val="24"/>
          <w:szCs w:val="24"/>
        </w:rPr>
        <w:t>0</w:t>
      </w:r>
      <w:r>
        <w:rPr>
          <w:rFonts w:ascii="Arial" w:hAnsi="Arial" w:cs="Arial"/>
          <w:sz w:val="24"/>
          <w:szCs w:val="24"/>
        </w:rPr>
        <w:t>%, but the company also reserves the right to award full marks to the next lowest bid in order to ensure that the standard deviation approa</w:t>
      </w:r>
      <w:r w:rsidR="005E7B13">
        <w:rPr>
          <w:rFonts w:ascii="Arial" w:hAnsi="Arial" w:cs="Arial"/>
          <w:sz w:val="24"/>
          <w:szCs w:val="24"/>
        </w:rPr>
        <w:t>ch explained above is not undermin</w:t>
      </w:r>
      <w:r>
        <w:rPr>
          <w:rFonts w:ascii="Arial" w:hAnsi="Arial" w:cs="Arial"/>
          <w:sz w:val="24"/>
          <w:szCs w:val="24"/>
        </w:rPr>
        <w:t>ed. It will then be weighed in accordance with the percentage we</w:t>
      </w:r>
      <w:r w:rsidR="00FC2DEB">
        <w:rPr>
          <w:rFonts w:ascii="Arial" w:hAnsi="Arial" w:cs="Arial"/>
          <w:sz w:val="24"/>
          <w:szCs w:val="24"/>
        </w:rPr>
        <w:t>ighing noted above.</w:t>
      </w:r>
    </w:p>
    <w:p w:rsidR="009E687A" w:rsidRDefault="009E687A" w:rsidP="006062B5">
      <w:pPr>
        <w:pStyle w:val="ListParagraph"/>
        <w:spacing w:after="0" w:line="240" w:lineRule="auto"/>
        <w:ind w:left="0"/>
        <w:rPr>
          <w:rFonts w:ascii="Arial" w:hAnsi="Arial" w:cs="Arial"/>
          <w:sz w:val="24"/>
          <w:szCs w:val="24"/>
        </w:rPr>
      </w:pPr>
      <w:r>
        <w:rPr>
          <w:rFonts w:ascii="Arial" w:hAnsi="Arial" w:cs="Arial"/>
          <w:sz w:val="24"/>
          <w:szCs w:val="24"/>
        </w:rPr>
        <w:br/>
        <w:t>Abnormally low bids will be rejected.</w:t>
      </w:r>
    </w:p>
    <w:p w:rsidR="00AB78DF" w:rsidRDefault="00AB78DF" w:rsidP="006062B5">
      <w:pPr>
        <w:pStyle w:val="ListParagraph"/>
        <w:spacing w:after="0" w:line="240" w:lineRule="auto"/>
        <w:ind w:left="405"/>
        <w:rPr>
          <w:rFonts w:ascii="Arial" w:hAnsi="Arial" w:cs="Arial"/>
          <w:sz w:val="24"/>
          <w:szCs w:val="24"/>
        </w:rPr>
      </w:pPr>
    </w:p>
    <w:p w:rsidR="00075DD7" w:rsidRDefault="0032353F" w:rsidP="006062B5">
      <w:pPr>
        <w:spacing w:after="0" w:line="240" w:lineRule="auto"/>
        <w:rPr>
          <w:rFonts w:ascii="Arial" w:hAnsi="Arial" w:cs="Arial"/>
          <w:sz w:val="24"/>
          <w:szCs w:val="24"/>
        </w:rPr>
      </w:pPr>
      <w:r>
        <w:rPr>
          <w:rFonts w:ascii="Arial" w:hAnsi="Arial" w:cs="Arial"/>
          <w:sz w:val="24"/>
          <w:szCs w:val="24"/>
        </w:rPr>
        <w:t xml:space="preserve">Tenderers should </w:t>
      </w:r>
      <w:r w:rsidR="00075DD7" w:rsidRPr="0032353F">
        <w:rPr>
          <w:rFonts w:ascii="Arial" w:hAnsi="Arial" w:cs="Arial"/>
          <w:sz w:val="24"/>
          <w:szCs w:val="24"/>
        </w:rPr>
        <w:t>note that each method statement will be evaluated and scored independently; therefore tenderers are responsible for submittin</w:t>
      </w:r>
      <w:r w:rsidR="00BF1D01" w:rsidRPr="0032353F">
        <w:rPr>
          <w:rFonts w:ascii="Arial" w:hAnsi="Arial" w:cs="Arial"/>
          <w:sz w:val="24"/>
          <w:szCs w:val="24"/>
        </w:rPr>
        <w:t>g the strongest response f</w:t>
      </w:r>
      <w:r w:rsidR="00075DD7" w:rsidRPr="0032353F">
        <w:rPr>
          <w:rFonts w:ascii="Arial" w:hAnsi="Arial" w:cs="Arial"/>
          <w:sz w:val="24"/>
          <w:szCs w:val="24"/>
        </w:rPr>
        <w:t>or each method statement. The evaluation team will not be respon</w:t>
      </w:r>
      <w:r w:rsidR="009073B9" w:rsidRPr="0032353F">
        <w:rPr>
          <w:rFonts w:ascii="Arial" w:hAnsi="Arial" w:cs="Arial"/>
          <w:sz w:val="24"/>
          <w:szCs w:val="24"/>
        </w:rPr>
        <w:t>sible for considering anything outside of the specific method statement response.</w:t>
      </w:r>
    </w:p>
    <w:p w:rsidR="00F11CD6" w:rsidRDefault="00F11CD6" w:rsidP="006062B5">
      <w:pPr>
        <w:pStyle w:val="ListParagraph"/>
        <w:spacing w:after="0" w:line="240" w:lineRule="auto"/>
        <w:ind w:left="405"/>
        <w:rPr>
          <w:rFonts w:ascii="Arial" w:hAnsi="Arial" w:cs="Arial"/>
          <w:sz w:val="24"/>
          <w:szCs w:val="24"/>
        </w:rPr>
      </w:pPr>
    </w:p>
    <w:p w:rsidR="001C3E09" w:rsidRDefault="001C3E09" w:rsidP="006062B5">
      <w:pPr>
        <w:pStyle w:val="ListParagraph"/>
        <w:spacing w:after="0" w:line="240" w:lineRule="auto"/>
        <w:ind w:left="405"/>
        <w:rPr>
          <w:rFonts w:ascii="Arial" w:hAnsi="Arial" w:cs="Arial"/>
          <w:sz w:val="24"/>
          <w:szCs w:val="24"/>
        </w:rPr>
      </w:pPr>
    </w:p>
    <w:p w:rsidR="00D16C25" w:rsidRDefault="00F11CD6" w:rsidP="006062B5">
      <w:pPr>
        <w:spacing w:after="0" w:line="240" w:lineRule="auto"/>
        <w:rPr>
          <w:rFonts w:ascii="Arial" w:hAnsi="Arial" w:cs="Arial"/>
          <w:sz w:val="24"/>
          <w:szCs w:val="24"/>
        </w:rPr>
      </w:pPr>
      <w:r w:rsidRPr="007A7F71">
        <w:rPr>
          <w:rFonts w:ascii="Arial" w:hAnsi="Arial" w:cs="Arial"/>
          <w:sz w:val="24"/>
          <w:szCs w:val="24"/>
        </w:rPr>
        <w:t xml:space="preserve">Tenderers are to respond to </w:t>
      </w:r>
      <w:r w:rsidR="00FC2DEB">
        <w:rPr>
          <w:rFonts w:ascii="Arial" w:hAnsi="Arial" w:cs="Arial"/>
          <w:sz w:val="24"/>
          <w:szCs w:val="24"/>
        </w:rPr>
        <w:t>the following method statement:</w:t>
      </w:r>
    </w:p>
    <w:p w:rsidR="009524A2" w:rsidRDefault="009524A2" w:rsidP="006062B5">
      <w:pPr>
        <w:spacing w:after="0" w:line="240" w:lineRule="auto"/>
        <w:rPr>
          <w:rFonts w:ascii="Arial" w:hAnsi="Arial" w:cs="Arial"/>
          <w:sz w:val="24"/>
          <w:szCs w:val="24"/>
        </w:rPr>
      </w:pPr>
    </w:p>
    <w:p w:rsidR="00CE568A" w:rsidRDefault="00CE568A" w:rsidP="006062B5">
      <w:pPr>
        <w:spacing w:after="0" w:line="240" w:lineRule="auto"/>
        <w:rPr>
          <w:rFonts w:ascii="Arial" w:hAnsi="Arial" w:cs="Arial"/>
          <w:b/>
          <w:sz w:val="24"/>
          <w:szCs w:val="24"/>
        </w:rPr>
      </w:pPr>
    </w:p>
    <w:p w:rsidR="00AB78DF" w:rsidRDefault="009524A2" w:rsidP="006062B5">
      <w:pPr>
        <w:pStyle w:val="ListParagraph"/>
        <w:spacing w:after="0" w:line="240" w:lineRule="auto"/>
        <w:ind w:left="405"/>
        <w:rPr>
          <w:rFonts w:ascii="Arial" w:hAnsi="Arial" w:cs="Arial"/>
          <w:b/>
          <w:sz w:val="24"/>
          <w:szCs w:val="24"/>
        </w:rPr>
      </w:pPr>
      <w:r>
        <w:rPr>
          <w:rFonts w:ascii="Arial" w:hAnsi="Arial" w:cs="Arial"/>
          <w:b/>
          <w:sz w:val="24"/>
          <w:szCs w:val="24"/>
        </w:rPr>
        <w:t xml:space="preserve">Method Statement </w:t>
      </w:r>
      <w:r w:rsidR="00FC2DEB">
        <w:rPr>
          <w:rFonts w:ascii="Arial" w:hAnsi="Arial" w:cs="Arial"/>
          <w:b/>
          <w:sz w:val="24"/>
          <w:szCs w:val="24"/>
        </w:rPr>
        <w:t>1 – Project Experience – weighting 2</w:t>
      </w:r>
      <w:r>
        <w:rPr>
          <w:rFonts w:ascii="Arial" w:hAnsi="Arial" w:cs="Arial"/>
          <w:b/>
          <w:sz w:val="24"/>
          <w:szCs w:val="24"/>
        </w:rPr>
        <w:t>0%</w:t>
      </w:r>
    </w:p>
    <w:p w:rsidR="009524A2" w:rsidRDefault="00FC2DEB" w:rsidP="006062B5">
      <w:pPr>
        <w:pStyle w:val="ListParagraph"/>
        <w:spacing w:after="0" w:line="240" w:lineRule="auto"/>
        <w:ind w:left="405"/>
        <w:rPr>
          <w:rFonts w:ascii="Arial" w:hAnsi="Arial" w:cs="Arial"/>
          <w:b/>
          <w:sz w:val="24"/>
          <w:szCs w:val="24"/>
        </w:rPr>
      </w:pPr>
      <w:r>
        <w:rPr>
          <w:rFonts w:ascii="Arial" w:hAnsi="Arial" w:cs="Arial"/>
          <w:b/>
          <w:sz w:val="24"/>
          <w:szCs w:val="24"/>
        </w:rPr>
        <w:t>(Maximum 75</w:t>
      </w:r>
      <w:r w:rsidR="009524A2">
        <w:rPr>
          <w:rFonts w:ascii="Arial" w:hAnsi="Arial" w:cs="Arial"/>
          <w:b/>
          <w:sz w:val="24"/>
          <w:szCs w:val="24"/>
        </w:rPr>
        <w:t>0 words)</w:t>
      </w:r>
    </w:p>
    <w:p w:rsidR="001C3E09" w:rsidRDefault="001C3E09" w:rsidP="006062B5">
      <w:pPr>
        <w:pStyle w:val="ListParagraph"/>
        <w:spacing w:after="0" w:line="240" w:lineRule="auto"/>
        <w:ind w:left="405"/>
        <w:rPr>
          <w:rFonts w:ascii="Arial" w:hAnsi="Arial" w:cs="Arial"/>
          <w:b/>
          <w:sz w:val="24"/>
          <w:szCs w:val="24"/>
        </w:rPr>
      </w:pPr>
    </w:p>
    <w:p w:rsidR="008055EE" w:rsidRPr="008055EE" w:rsidRDefault="008055EE" w:rsidP="008055EE">
      <w:pPr>
        <w:rPr>
          <w:rFonts w:ascii="Arial" w:hAnsi="Arial" w:cs="Arial"/>
          <w:sz w:val="24"/>
          <w:szCs w:val="24"/>
        </w:rPr>
      </w:pPr>
      <w:r w:rsidRPr="008055EE">
        <w:rPr>
          <w:rFonts w:ascii="Arial" w:hAnsi="Arial" w:cs="Arial"/>
          <w:sz w:val="24"/>
          <w:szCs w:val="24"/>
        </w:rPr>
        <w:t xml:space="preserve">Please provide details of relevant experience of works similar in size and nature to those required under this contract. Examples should be from schemes completed within the past five years and should include details of satisfactory completion of </w:t>
      </w:r>
      <w:r w:rsidRPr="008055EE">
        <w:rPr>
          <w:rFonts w:ascii="Arial" w:hAnsi="Arial" w:cs="Arial"/>
          <w:sz w:val="24"/>
          <w:szCs w:val="24"/>
        </w:rPr>
        <w:lastRenderedPageBreak/>
        <w:t>those works,  when and where the works were carried out, the total contract value, and a statement as to their proper completion.</w:t>
      </w:r>
    </w:p>
    <w:p w:rsidR="009524A2" w:rsidRPr="009524A2" w:rsidRDefault="009524A2" w:rsidP="006062B5">
      <w:pPr>
        <w:pStyle w:val="ListParagraph"/>
        <w:spacing w:after="0" w:line="240" w:lineRule="auto"/>
        <w:ind w:left="405"/>
        <w:rPr>
          <w:rFonts w:ascii="Arial" w:hAnsi="Arial" w:cs="Arial"/>
          <w:sz w:val="24"/>
          <w:szCs w:val="24"/>
        </w:rPr>
      </w:pPr>
    </w:p>
    <w:p w:rsidR="001C3E09" w:rsidRDefault="001C3E09" w:rsidP="006062B5">
      <w:pPr>
        <w:pStyle w:val="ListParagraph"/>
        <w:spacing w:after="0" w:line="240" w:lineRule="auto"/>
        <w:ind w:left="405"/>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
        <w:gridCol w:w="7800"/>
      </w:tblGrid>
      <w:tr w:rsidR="00CE568A" w:rsidRPr="00CE568A" w:rsidTr="00CE568A">
        <w:tc>
          <w:tcPr>
            <w:tcW w:w="960" w:type="dxa"/>
            <w:tcBorders>
              <w:top w:val="single" w:sz="4" w:space="0" w:color="auto"/>
              <w:left w:val="single" w:sz="4" w:space="0" w:color="auto"/>
              <w:bottom w:val="single" w:sz="4" w:space="0" w:color="auto"/>
              <w:right w:val="single" w:sz="4" w:space="0" w:color="auto"/>
            </w:tcBorders>
            <w:shd w:val="clear" w:color="auto" w:fill="D9D9D9"/>
            <w:hideMark/>
          </w:tcPr>
          <w:p w:rsidR="00CE568A" w:rsidRPr="00CE568A" w:rsidRDefault="00CE568A" w:rsidP="00CE568A">
            <w:pPr>
              <w:autoSpaceDE w:val="0"/>
              <w:autoSpaceDN w:val="0"/>
              <w:spacing w:after="0" w:line="240" w:lineRule="auto"/>
              <w:rPr>
                <w:rFonts w:ascii="Arial" w:eastAsia="Times New Roman" w:hAnsi="Arial" w:cs="Arial"/>
                <w:b/>
                <w:bCs/>
                <w:sz w:val="24"/>
                <w:szCs w:val="24"/>
              </w:rPr>
            </w:pPr>
            <w:r w:rsidRPr="00CE568A">
              <w:rPr>
                <w:rFonts w:ascii="Arial" w:eastAsia="Times New Roman" w:hAnsi="Arial" w:cs="Arial"/>
                <w:b/>
                <w:bCs/>
                <w:sz w:val="24"/>
                <w:szCs w:val="24"/>
              </w:rPr>
              <w:t>Score</w:t>
            </w:r>
          </w:p>
        </w:tc>
        <w:tc>
          <w:tcPr>
            <w:tcW w:w="7800" w:type="dxa"/>
            <w:tcBorders>
              <w:top w:val="single" w:sz="4" w:space="0" w:color="auto"/>
              <w:left w:val="single" w:sz="4" w:space="0" w:color="auto"/>
              <w:bottom w:val="single" w:sz="4" w:space="0" w:color="auto"/>
              <w:right w:val="single" w:sz="4" w:space="0" w:color="auto"/>
            </w:tcBorders>
            <w:shd w:val="clear" w:color="auto" w:fill="D9D9D9"/>
            <w:hideMark/>
          </w:tcPr>
          <w:p w:rsidR="00CE568A" w:rsidRPr="00CE568A" w:rsidRDefault="00CE568A" w:rsidP="00CE568A">
            <w:pPr>
              <w:autoSpaceDE w:val="0"/>
              <w:autoSpaceDN w:val="0"/>
              <w:spacing w:after="0" w:line="240" w:lineRule="auto"/>
              <w:ind w:left="42"/>
              <w:rPr>
                <w:rFonts w:ascii="Arial" w:eastAsia="Times New Roman" w:hAnsi="Arial" w:cs="Arial"/>
                <w:b/>
                <w:bCs/>
                <w:sz w:val="24"/>
                <w:szCs w:val="24"/>
              </w:rPr>
            </w:pPr>
            <w:r w:rsidRPr="00CE568A">
              <w:rPr>
                <w:rFonts w:ascii="Arial" w:eastAsia="Times New Roman" w:hAnsi="Arial" w:cs="Arial"/>
                <w:b/>
                <w:bCs/>
                <w:sz w:val="24"/>
                <w:szCs w:val="24"/>
              </w:rPr>
              <w:t>Classification</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100</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Exceptional response in all areas</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90</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Exceptional response with some minor shortcomings, or very good response with some exceptional elements</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80</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Very good response in all areas</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70</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Very good response with some minor shortcomings, or good response with very good elements</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 xml:space="preserve">60  </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Good response in all areas</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50</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Good response with some minor shortcomings, or acceptable response with good elements</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40</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Acceptable response in all areas</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 xml:space="preserve">30 </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Acceptable response with some minor shortcomings, or poor response with some acceptable elements</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20</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Poor response in all areas</w:t>
            </w:r>
          </w:p>
        </w:tc>
      </w:tr>
      <w:tr w:rsidR="00CE568A" w:rsidRPr="00CE568A" w:rsidTr="00CE568A">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10</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Very poor response that is significantly below expectations in all areas</w:t>
            </w:r>
          </w:p>
        </w:tc>
      </w:tr>
      <w:tr w:rsidR="00CE568A" w:rsidRPr="00CE568A" w:rsidTr="00CE568A">
        <w:trPr>
          <w:trHeight w:val="80"/>
        </w:trPr>
        <w:tc>
          <w:tcPr>
            <w:tcW w:w="96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0</w:t>
            </w:r>
          </w:p>
        </w:tc>
        <w:tc>
          <w:tcPr>
            <w:tcW w:w="7800" w:type="dxa"/>
            <w:tcBorders>
              <w:top w:val="single" w:sz="4" w:space="0" w:color="auto"/>
              <w:left w:val="single" w:sz="4" w:space="0" w:color="auto"/>
              <w:bottom w:val="single" w:sz="4" w:space="0" w:color="auto"/>
              <w:right w:val="single" w:sz="4" w:space="0" w:color="auto"/>
            </w:tcBorders>
            <w:hideMark/>
          </w:tcPr>
          <w:p w:rsidR="00CE568A" w:rsidRPr="00CE568A" w:rsidRDefault="00CE568A" w:rsidP="00CE568A">
            <w:pPr>
              <w:autoSpaceDE w:val="0"/>
              <w:autoSpaceDN w:val="0"/>
              <w:spacing w:after="0" w:line="240" w:lineRule="auto"/>
              <w:rPr>
                <w:rFonts w:ascii="Arial" w:eastAsia="Times New Roman" w:hAnsi="Arial" w:cs="Arial"/>
                <w:sz w:val="24"/>
                <w:szCs w:val="24"/>
              </w:rPr>
            </w:pPr>
            <w:r w:rsidRPr="00CE568A">
              <w:rPr>
                <w:rFonts w:ascii="Arial" w:eastAsia="Times New Roman" w:hAnsi="Arial" w:cs="Arial"/>
                <w:sz w:val="24"/>
                <w:szCs w:val="24"/>
              </w:rPr>
              <w:t>No response, or inappropriate response in all areas</w:t>
            </w:r>
          </w:p>
        </w:tc>
      </w:tr>
    </w:tbl>
    <w:p w:rsidR="00AB78DF" w:rsidRDefault="00AB78DF" w:rsidP="006062B5">
      <w:pPr>
        <w:spacing w:after="0" w:line="240" w:lineRule="auto"/>
        <w:rPr>
          <w:rFonts w:ascii="Arial" w:hAnsi="Arial" w:cs="Arial"/>
          <w:sz w:val="24"/>
          <w:szCs w:val="24"/>
          <w:u w:val="single"/>
        </w:rPr>
      </w:pPr>
    </w:p>
    <w:p w:rsidR="00900948" w:rsidRDefault="00900948" w:rsidP="006062B5">
      <w:pPr>
        <w:spacing w:after="0" w:line="240" w:lineRule="auto"/>
        <w:rPr>
          <w:rFonts w:ascii="Arial" w:hAnsi="Arial" w:cs="Arial"/>
          <w:sz w:val="24"/>
          <w:szCs w:val="24"/>
          <w:u w:val="single"/>
        </w:rPr>
      </w:pPr>
    </w:p>
    <w:p w:rsidR="00D16C25" w:rsidRDefault="00D16C25" w:rsidP="006062B5">
      <w:pPr>
        <w:spacing w:after="0" w:line="240" w:lineRule="auto"/>
        <w:rPr>
          <w:rFonts w:ascii="Arial" w:hAnsi="Arial" w:cs="Arial"/>
          <w:b/>
          <w:sz w:val="24"/>
          <w:szCs w:val="24"/>
        </w:rPr>
      </w:pPr>
    </w:p>
    <w:sectPr w:rsidR="00D16C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A2" w:rsidRDefault="009524A2" w:rsidP="006B00D6">
      <w:pPr>
        <w:spacing w:after="0" w:line="240" w:lineRule="auto"/>
      </w:pPr>
      <w:r>
        <w:separator/>
      </w:r>
    </w:p>
  </w:endnote>
  <w:endnote w:type="continuationSeparator" w:id="0">
    <w:p w:rsidR="009524A2" w:rsidRDefault="009524A2" w:rsidP="006B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axlinePro-LightItalic">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A2" w:rsidRDefault="009524A2" w:rsidP="006B00D6">
      <w:pPr>
        <w:spacing w:after="0" w:line="240" w:lineRule="auto"/>
      </w:pPr>
      <w:r>
        <w:separator/>
      </w:r>
    </w:p>
  </w:footnote>
  <w:footnote w:type="continuationSeparator" w:id="0">
    <w:p w:rsidR="009524A2" w:rsidRDefault="009524A2" w:rsidP="006B0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5CA4"/>
    <w:multiLevelType w:val="hybridMultilevel"/>
    <w:tmpl w:val="875E8F7E"/>
    <w:lvl w:ilvl="0" w:tplc="B602D92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3F83CEE"/>
    <w:multiLevelType w:val="hybridMultilevel"/>
    <w:tmpl w:val="66C4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60597D"/>
    <w:multiLevelType w:val="hybridMultilevel"/>
    <w:tmpl w:val="E7F661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30768F"/>
    <w:multiLevelType w:val="hybridMultilevel"/>
    <w:tmpl w:val="3B82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D5F30"/>
    <w:multiLevelType w:val="hybridMultilevel"/>
    <w:tmpl w:val="301E4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3B2993"/>
    <w:multiLevelType w:val="hybridMultilevel"/>
    <w:tmpl w:val="77E62E08"/>
    <w:lvl w:ilvl="0" w:tplc="96942346">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nsid w:val="3FF25F6C"/>
    <w:multiLevelType w:val="hybridMultilevel"/>
    <w:tmpl w:val="FC32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F3452F"/>
    <w:multiLevelType w:val="hybridMultilevel"/>
    <w:tmpl w:val="EAE6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1D0D43"/>
    <w:multiLevelType w:val="hybridMultilevel"/>
    <w:tmpl w:val="DACC4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A1739E"/>
    <w:multiLevelType w:val="hybridMultilevel"/>
    <w:tmpl w:val="B4B28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6D3344"/>
    <w:multiLevelType w:val="hybridMultilevel"/>
    <w:tmpl w:val="EF64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1873A4"/>
    <w:multiLevelType w:val="multilevel"/>
    <w:tmpl w:val="5ABC5EB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D3C3FDD"/>
    <w:multiLevelType w:val="hybridMultilevel"/>
    <w:tmpl w:val="90545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1"/>
  </w:num>
  <w:num w:numId="5">
    <w:abstractNumId w:val="5"/>
  </w:num>
  <w:num w:numId="6">
    <w:abstractNumId w:val="9"/>
  </w:num>
  <w:num w:numId="7">
    <w:abstractNumId w:val="4"/>
  </w:num>
  <w:num w:numId="8">
    <w:abstractNumId w:val="2"/>
  </w:num>
  <w:num w:numId="9">
    <w:abstractNumId w:val="10"/>
  </w:num>
  <w:num w:numId="10">
    <w:abstractNumId w:val="3"/>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42"/>
    <w:rsid w:val="0000209B"/>
    <w:rsid w:val="00004567"/>
    <w:rsid w:val="0000631E"/>
    <w:rsid w:val="00017DBA"/>
    <w:rsid w:val="00042B9D"/>
    <w:rsid w:val="0006798E"/>
    <w:rsid w:val="00075DD7"/>
    <w:rsid w:val="000A397F"/>
    <w:rsid w:val="001C3E09"/>
    <w:rsid w:val="00260ADB"/>
    <w:rsid w:val="00267ECD"/>
    <w:rsid w:val="00282A59"/>
    <w:rsid w:val="0029178F"/>
    <w:rsid w:val="002C2F5C"/>
    <w:rsid w:val="0032353F"/>
    <w:rsid w:val="00386A82"/>
    <w:rsid w:val="003C73B3"/>
    <w:rsid w:val="003D5D0E"/>
    <w:rsid w:val="00401A3A"/>
    <w:rsid w:val="004C516A"/>
    <w:rsid w:val="0051469A"/>
    <w:rsid w:val="00550E6F"/>
    <w:rsid w:val="00561FD9"/>
    <w:rsid w:val="005E7B13"/>
    <w:rsid w:val="006062B5"/>
    <w:rsid w:val="00634ED1"/>
    <w:rsid w:val="00671C4A"/>
    <w:rsid w:val="00677168"/>
    <w:rsid w:val="006B00D6"/>
    <w:rsid w:val="007A7F71"/>
    <w:rsid w:val="007E1BEC"/>
    <w:rsid w:val="008055EE"/>
    <w:rsid w:val="00812ABF"/>
    <w:rsid w:val="00856E34"/>
    <w:rsid w:val="008777E6"/>
    <w:rsid w:val="008B55AD"/>
    <w:rsid w:val="008C4B18"/>
    <w:rsid w:val="008E7960"/>
    <w:rsid w:val="00900948"/>
    <w:rsid w:val="009073B9"/>
    <w:rsid w:val="009524A2"/>
    <w:rsid w:val="009738B5"/>
    <w:rsid w:val="0098731B"/>
    <w:rsid w:val="009E3D57"/>
    <w:rsid w:val="009E687A"/>
    <w:rsid w:val="00A16CBB"/>
    <w:rsid w:val="00A81104"/>
    <w:rsid w:val="00A90EB7"/>
    <w:rsid w:val="00A96D35"/>
    <w:rsid w:val="00AB78DF"/>
    <w:rsid w:val="00B02D1C"/>
    <w:rsid w:val="00B26183"/>
    <w:rsid w:val="00B75855"/>
    <w:rsid w:val="00B825D2"/>
    <w:rsid w:val="00BC51BC"/>
    <w:rsid w:val="00BF1D01"/>
    <w:rsid w:val="00C55FC5"/>
    <w:rsid w:val="00C60D63"/>
    <w:rsid w:val="00CB5397"/>
    <w:rsid w:val="00CE568A"/>
    <w:rsid w:val="00D16C25"/>
    <w:rsid w:val="00D47A25"/>
    <w:rsid w:val="00E53BAD"/>
    <w:rsid w:val="00E63D7C"/>
    <w:rsid w:val="00E658C1"/>
    <w:rsid w:val="00F11CD6"/>
    <w:rsid w:val="00F65942"/>
    <w:rsid w:val="00FA4FEE"/>
    <w:rsid w:val="00FC2DEB"/>
    <w:rsid w:val="00FF4C8A"/>
    <w:rsid w:val="00FF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942"/>
    <w:pPr>
      <w:ind w:left="720"/>
      <w:contextualSpacing/>
    </w:pPr>
  </w:style>
  <w:style w:type="table" w:styleId="TableGrid">
    <w:name w:val="Table Grid"/>
    <w:basedOn w:val="TableNormal"/>
    <w:uiPriority w:val="59"/>
    <w:rsid w:val="00F65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0D6"/>
  </w:style>
  <w:style w:type="paragraph" w:styleId="Footer">
    <w:name w:val="footer"/>
    <w:basedOn w:val="Normal"/>
    <w:link w:val="FooterChar"/>
    <w:uiPriority w:val="99"/>
    <w:unhideWhenUsed/>
    <w:rsid w:val="006B0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0D6"/>
  </w:style>
  <w:style w:type="character" w:styleId="CommentReference">
    <w:name w:val="annotation reference"/>
    <w:basedOn w:val="DefaultParagraphFont"/>
    <w:uiPriority w:val="99"/>
    <w:semiHidden/>
    <w:unhideWhenUsed/>
    <w:rsid w:val="000A397F"/>
    <w:rPr>
      <w:sz w:val="16"/>
      <w:szCs w:val="16"/>
    </w:rPr>
  </w:style>
  <w:style w:type="paragraph" w:styleId="CommentText">
    <w:name w:val="annotation text"/>
    <w:basedOn w:val="Normal"/>
    <w:link w:val="CommentTextChar"/>
    <w:uiPriority w:val="99"/>
    <w:semiHidden/>
    <w:unhideWhenUsed/>
    <w:rsid w:val="000A397F"/>
    <w:pPr>
      <w:spacing w:line="240" w:lineRule="auto"/>
    </w:pPr>
    <w:rPr>
      <w:sz w:val="20"/>
      <w:szCs w:val="20"/>
    </w:rPr>
  </w:style>
  <w:style w:type="character" w:customStyle="1" w:styleId="CommentTextChar">
    <w:name w:val="Comment Text Char"/>
    <w:basedOn w:val="DefaultParagraphFont"/>
    <w:link w:val="CommentText"/>
    <w:uiPriority w:val="99"/>
    <w:semiHidden/>
    <w:rsid w:val="000A397F"/>
    <w:rPr>
      <w:sz w:val="20"/>
      <w:szCs w:val="20"/>
    </w:rPr>
  </w:style>
  <w:style w:type="paragraph" w:styleId="CommentSubject">
    <w:name w:val="annotation subject"/>
    <w:basedOn w:val="CommentText"/>
    <w:next w:val="CommentText"/>
    <w:link w:val="CommentSubjectChar"/>
    <w:uiPriority w:val="99"/>
    <w:semiHidden/>
    <w:unhideWhenUsed/>
    <w:rsid w:val="000A397F"/>
    <w:rPr>
      <w:b/>
      <w:bCs/>
    </w:rPr>
  </w:style>
  <w:style w:type="character" w:customStyle="1" w:styleId="CommentSubjectChar">
    <w:name w:val="Comment Subject Char"/>
    <w:basedOn w:val="CommentTextChar"/>
    <w:link w:val="CommentSubject"/>
    <w:uiPriority w:val="99"/>
    <w:semiHidden/>
    <w:rsid w:val="000A397F"/>
    <w:rPr>
      <w:b/>
      <w:bCs/>
      <w:sz w:val="20"/>
      <w:szCs w:val="20"/>
    </w:rPr>
  </w:style>
  <w:style w:type="paragraph" w:styleId="BalloonText">
    <w:name w:val="Balloon Text"/>
    <w:basedOn w:val="Normal"/>
    <w:link w:val="BalloonTextChar"/>
    <w:uiPriority w:val="99"/>
    <w:semiHidden/>
    <w:unhideWhenUsed/>
    <w:rsid w:val="000A3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97F"/>
    <w:rPr>
      <w:rFonts w:ascii="Tahoma" w:hAnsi="Tahoma" w:cs="Tahoma"/>
      <w:sz w:val="16"/>
      <w:szCs w:val="16"/>
    </w:rPr>
  </w:style>
  <w:style w:type="paragraph" w:customStyle="1" w:styleId="Pa7">
    <w:name w:val="Pa7"/>
    <w:basedOn w:val="Normal"/>
    <w:uiPriority w:val="99"/>
    <w:rsid w:val="00E658C1"/>
    <w:pPr>
      <w:autoSpaceDE w:val="0"/>
      <w:autoSpaceDN w:val="0"/>
      <w:spacing w:after="0" w:line="181" w:lineRule="atLeast"/>
    </w:pPr>
    <w:rPr>
      <w:rFonts w:ascii="DaxlinePro-LightItalic" w:hAnsi="DaxlinePro-LightItalic" w:cs="Times New Roman"/>
      <w:sz w:val="24"/>
      <w:szCs w:val="24"/>
      <w:lang w:eastAsia="en-GB"/>
    </w:rPr>
  </w:style>
  <w:style w:type="paragraph" w:customStyle="1" w:styleId="Pa8">
    <w:name w:val="Pa8"/>
    <w:basedOn w:val="Normal"/>
    <w:uiPriority w:val="99"/>
    <w:rsid w:val="00E658C1"/>
    <w:pPr>
      <w:autoSpaceDE w:val="0"/>
      <w:autoSpaceDN w:val="0"/>
      <w:spacing w:after="0" w:line="181" w:lineRule="atLeast"/>
    </w:pPr>
    <w:rPr>
      <w:rFonts w:ascii="DaxlinePro-LightItalic" w:hAnsi="DaxlinePro-LightItalic"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942"/>
    <w:pPr>
      <w:ind w:left="720"/>
      <w:contextualSpacing/>
    </w:pPr>
  </w:style>
  <w:style w:type="table" w:styleId="TableGrid">
    <w:name w:val="Table Grid"/>
    <w:basedOn w:val="TableNormal"/>
    <w:uiPriority w:val="59"/>
    <w:rsid w:val="00F65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0D6"/>
  </w:style>
  <w:style w:type="paragraph" w:styleId="Footer">
    <w:name w:val="footer"/>
    <w:basedOn w:val="Normal"/>
    <w:link w:val="FooterChar"/>
    <w:uiPriority w:val="99"/>
    <w:unhideWhenUsed/>
    <w:rsid w:val="006B0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0D6"/>
  </w:style>
  <w:style w:type="character" w:styleId="CommentReference">
    <w:name w:val="annotation reference"/>
    <w:basedOn w:val="DefaultParagraphFont"/>
    <w:uiPriority w:val="99"/>
    <w:semiHidden/>
    <w:unhideWhenUsed/>
    <w:rsid w:val="000A397F"/>
    <w:rPr>
      <w:sz w:val="16"/>
      <w:szCs w:val="16"/>
    </w:rPr>
  </w:style>
  <w:style w:type="paragraph" w:styleId="CommentText">
    <w:name w:val="annotation text"/>
    <w:basedOn w:val="Normal"/>
    <w:link w:val="CommentTextChar"/>
    <w:uiPriority w:val="99"/>
    <w:semiHidden/>
    <w:unhideWhenUsed/>
    <w:rsid w:val="000A397F"/>
    <w:pPr>
      <w:spacing w:line="240" w:lineRule="auto"/>
    </w:pPr>
    <w:rPr>
      <w:sz w:val="20"/>
      <w:szCs w:val="20"/>
    </w:rPr>
  </w:style>
  <w:style w:type="character" w:customStyle="1" w:styleId="CommentTextChar">
    <w:name w:val="Comment Text Char"/>
    <w:basedOn w:val="DefaultParagraphFont"/>
    <w:link w:val="CommentText"/>
    <w:uiPriority w:val="99"/>
    <w:semiHidden/>
    <w:rsid w:val="000A397F"/>
    <w:rPr>
      <w:sz w:val="20"/>
      <w:szCs w:val="20"/>
    </w:rPr>
  </w:style>
  <w:style w:type="paragraph" w:styleId="CommentSubject">
    <w:name w:val="annotation subject"/>
    <w:basedOn w:val="CommentText"/>
    <w:next w:val="CommentText"/>
    <w:link w:val="CommentSubjectChar"/>
    <w:uiPriority w:val="99"/>
    <w:semiHidden/>
    <w:unhideWhenUsed/>
    <w:rsid w:val="000A397F"/>
    <w:rPr>
      <w:b/>
      <w:bCs/>
    </w:rPr>
  </w:style>
  <w:style w:type="character" w:customStyle="1" w:styleId="CommentSubjectChar">
    <w:name w:val="Comment Subject Char"/>
    <w:basedOn w:val="CommentTextChar"/>
    <w:link w:val="CommentSubject"/>
    <w:uiPriority w:val="99"/>
    <w:semiHidden/>
    <w:rsid w:val="000A397F"/>
    <w:rPr>
      <w:b/>
      <w:bCs/>
      <w:sz w:val="20"/>
      <w:szCs w:val="20"/>
    </w:rPr>
  </w:style>
  <w:style w:type="paragraph" w:styleId="BalloonText">
    <w:name w:val="Balloon Text"/>
    <w:basedOn w:val="Normal"/>
    <w:link w:val="BalloonTextChar"/>
    <w:uiPriority w:val="99"/>
    <w:semiHidden/>
    <w:unhideWhenUsed/>
    <w:rsid w:val="000A3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97F"/>
    <w:rPr>
      <w:rFonts w:ascii="Tahoma" w:hAnsi="Tahoma" w:cs="Tahoma"/>
      <w:sz w:val="16"/>
      <w:szCs w:val="16"/>
    </w:rPr>
  </w:style>
  <w:style w:type="paragraph" w:customStyle="1" w:styleId="Pa7">
    <w:name w:val="Pa7"/>
    <w:basedOn w:val="Normal"/>
    <w:uiPriority w:val="99"/>
    <w:rsid w:val="00E658C1"/>
    <w:pPr>
      <w:autoSpaceDE w:val="0"/>
      <w:autoSpaceDN w:val="0"/>
      <w:spacing w:after="0" w:line="181" w:lineRule="atLeast"/>
    </w:pPr>
    <w:rPr>
      <w:rFonts w:ascii="DaxlinePro-LightItalic" w:hAnsi="DaxlinePro-LightItalic" w:cs="Times New Roman"/>
      <w:sz w:val="24"/>
      <w:szCs w:val="24"/>
      <w:lang w:eastAsia="en-GB"/>
    </w:rPr>
  </w:style>
  <w:style w:type="paragraph" w:customStyle="1" w:styleId="Pa8">
    <w:name w:val="Pa8"/>
    <w:basedOn w:val="Normal"/>
    <w:uiPriority w:val="99"/>
    <w:rsid w:val="00E658C1"/>
    <w:pPr>
      <w:autoSpaceDE w:val="0"/>
      <w:autoSpaceDN w:val="0"/>
      <w:spacing w:after="0" w:line="181" w:lineRule="atLeast"/>
    </w:pPr>
    <w:rPr>
      <w:rFonts w:ascii="DaxlinePro-LightItalic" w:hAnsi="DaxlinePro-LightItalic"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0848">
      <w:bodyDiv w:val="1"/>
      <w:marLeft w:val="0"/>
      <w:marRight w:val="0"/>
      <w:marTop w:val="0"/>
      <w:marBottom w:val="0"/>
      <w:divBdr>
        <w:top w:val="none" w:sz="0" w:space="0" w:color="auto"/>
        <w:left w:val="none" w:sz="0" w:space="0" w:color="auto"/>
        <w:bottom w:val="none" w:sz="0" w:space="0" w:color="auto"/>
        <w:right w:val="none" w:sz="0" w:space="0" w:color="auto"/>
      </w:divBdr>
    </w:div>
    <w:div w:id="928806669">
      <w:bodyDiv w:val="1"/>
      <w:marLeft w:val="0"/>
      <w:marRight w:val="0"/>
      <w:marTop w:val="0"/>
      <w:marBottom w:val="0"/>
      <w:divBdr>
        <w:top w:val="none" w:sz="0" w:space="0" w:color="auto"/>
        <w:left w:val="none" w:sz="0" w:space="0" w:color="auto"/>
        <w:bottom w:val="none" w:sz="0" w:space="0" w:color="auto"/>
        <w:right w:val="none" w:sz="0" w:space="0" w:color="auto"/>
      </w:divBdr>
    </w:div>
    <w:div w:id="1586113416">
      <w:bodyDiv w:val="1"/>
      <w:marLeft w:val="0"/>
      <w:marRight w:val="0"/>
      <w:marTop w:val="0"/>
      <w:marBottom w:val="0"/>
      <w:divBdr>
        <w:top w:val="none" w:sz="0" w:space="0" w:color="auto"/>
        <w:left w:val="none" w:sz="0" w:space="0" w:color="auto"/>
        <w:bottom w:val="none" w:sz="0" w:space="0" w:color="auto"/>
        <w:right w:val="none" w:sz="0" w:space="0" w:color="auto"/>
      </w:divBdr>
    </w:div>
    <w:div w:id="20878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5E7A1-340A-4705-AC97-6DB9E0F0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20599EE5</Template>
  <TotalTime>5</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Emma (YHN)</dc:creator>
  <cp:lastModifiedBy>Weaver, Cathy (YHN)</cp:lastModifiedBy>
  <cp:revision>4</cp:revision>
  <cp:lastPrinted>2014-12-05T15:02:00Z</cp:lastPrinted>
  <dcterms:created xsi:type="dcterms:W3CDTF">2017-02-06T15:43:00Z</dcterms:created>
  <dcterms:modified xsi:type="dcterms:W3CDTF">2017-02-06T15:51:00Z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