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563B4" w14:textId="77777777" w:rsidR="00972AEF" w:rsidRDefault="00BA6050">
      <w:pPr>
        <w:pStyle w:val="Heading1"/>
        <w:numPr>
          <w:ilvl w:val="1"/>
          <w:numId w:val="2"/>
        </w:numPr>
        <w:tabs>
          <w:tab w:val="left" w:pos="0"/>
        </w:tabs>
        <w:spacing w:before="0" w:after="80"/>
      </w:pPr>
      <w:bookmarkStart w:id="0" w:name="_30j0zll"/>
      <w:bookmarkEnd w:id="0"/>
      <w:r>
        <w:rPr>
          <w:b/>
          <w:sz w:val="36"/>
          <w:szCs w:val="36"/>
        </w:rPr>
        <w:t>Framework Schedule 6 (Order Form and Call-Off Schedules)</w:t>
      </w:r>
    </w:p>
    <w:p w14:paraId="30CEEFB2" w14:textId="77777777" w:rsidR="00972AEF" w:rsidRDefault="00972AEF">
      <w:pPr>
        <w:pStyle w:val="Standard"/>
        <w:spacing w:line="240" w:lineRule="auto"/>
        <w:rPr>
          <w:b/>
          <w:sz w:val="36"/>
          <w:szCs w:val="36"/>
        </w:rPr>
      </w:pPr>
    </w:p>
    <w:p w14:paraId="0DCE4A85" w14:textId="77777777" w:rsidR="00972AEF" w:rsidRDefault="00BA6050">
      <w:pPr>
        <w:pStyle w:val="Heading2"/>
        <w:numPr>
          <w:ilvl w:val="1"/>
          <w:numId w:val="2"/>
        </w:numPr>
      </w:pPr>
      <w:bookmarkStart w:id="1" w:name="_1fob9te"/>
      <w:bookmarkEnd w:id="1"/>
      <w:r>
        <w:t>Order Form</w:t>
      </w:r>
    </w:p>
    <w:p w14:paraId="3E0D9567" w14:textId="77777777" w:rsidR="00972AEF" w:rsidRDefault="00972AEF">
      <w:pPr>
        <w:pStyle w:val="Standard"/>
        <w:spacing w:line="240" w:lineRule="auto"/>
        <w:rPr>
          <w:b/>
          <w:sz w:val="24"/>
          <w:szCs w:val="24"/>
        </w:rPr>
      </w:pPr>
    </w:p>
    <w:p w14:paraId="2A295607" w14:textId="77777777" w:rsidR="00972AEF" w:rsidRDefault="00972AEF">
      <w:pPr>
        <w:pStyle w:val="Standard"/>
        <w:spacing w:line="254" w:lineRule="auto"/>
        <w:rPr>
          <w:b/>
          <w:sz w:val="24"/>
          <w:szCs w:val="24"/>
        </w:rPr>
      </w:pPr>
    </w:p>
    <w:p w14:paraId="0ED61A92" w14:textId="65434AC0" w:rsidR="00972AEF" w:rsidRDefault="00BA6050">
      <w:pPr>
        <w:pStyle w:val="Standard"/>
        <w:spacing w:line="254" w:lineRule="auto"/>
      </w:pPr>
      <w:r>
        <w:rPr>
          <w:sz w:val="24"/>
          <w:szCs w:val="24"/>
        </w:rPr>
        <w:t>CALL-OFF REFERENCE:</w:t>
      </w:r>
      <w:r>
        <w:rPr>
          <w:sz w:val="24"/>
          <w:szCs w:val="24"/>
        </w:rPr>
        <w:tab/>
      </w:r>
      <w:r>
        <w:rPr>
          <w:sz w:val="24"/>
          <w:szCs w:val="24"/>
        </w:rPr>
        <w:tab/>
      </w:r>
      <w:r w:rsidR="00FD6749">
        <w:rPr>
          <w:sz w:val="24"/>
          <w:szCs w:val="24"/>
        </w:rPr>
        <w:t>SR8247</w:t>
      </w:r>
      <w:r w:rsidR="00957B50">
        <w:rPr>
          <w:sz w:val="24"/>
          <w:szCs w:val="24"/>
        </w:rPr>
        <w:t>90539</w:t>
      </w:r>
    </w:p>
    <w:p w14:paraId="46C60637" w14:textId="77777777" w:rsidR="00972AEF" w:rsidRDefault="00972AEF">
      <w:pPr>
        <w:pStyle w:val="Standard"/>
        <w:spacing w:line="254" w:lineRule="auto"/>
        <w:rPr>
          <w:sz w:val="24"/>
          <w:szCs w:val="24"/>
        </w:rPr>
      </w:pPr>
    </w:p>
    <w:p w14:paraId="35E94825" w14:textId="183BD71D" w:rsidR="00972AEF" w:rsidRDefault="00BA6050">
      <w:pPr>
        <w:pStyle w:val="Standard"/>
        <w:spacing w:line="254" w:lineRule="auto"/>
      </w:pPr>
      <w:r>
        <w:rPr>
          <w:sz w:val="24"/>
          <w:szCs w:val="24"/>
        </w:rPr>
        <w:t>THE BUYER:</w:t>
      </w:r>
      <w:r>
        <w:rPr>
          <w:sz w:val="24"/>
          <w:szCs w:val="24"/>
        </w:rPr>
        <w:tab/>
      </w:r>
      <w:r>
        <w:rPr>
          <w:sz w:val="24"/>
          <w:szCs w:val="24"/>
        </w:rPr>
        <w:tab/>
      </w:r>
      <w:r>
        <w:rPr>
          <w:sz w:val="24"/>
          <w:szCs w:val="24"/>
        </w:rPr>
        <w:tab/>
      </w:r>
      <w:r w:rsidR="00957B50">
        <w:rPr>
          <w:sz w:val="24"/>
          <w:szCs w:val="24"/>
        </w:rPr>
        <w:t>HM Revenue &amp; Customs</w:t>
      </w:r>
    </w:p>
    <w:p w14:paraId="518176F3" w14:textId="77777777" w:rsidR="00972AEF" w:rsidRDefault="00BA6050">
      <w:pPr>
        <w:pStyle w:val="Standard"/>
        <w:spacing w:line="254" w:lineRule="auto"/>
      </w:pPr>
      <w:r>
        <w:rPr>
          <w:sz w:val="24"/>
          <w:szCs w:val="24"/>
        </w:rPr>
        <w:t xml:space="preserve"> </w:t>
      </w:r>
    </w:p>
    <w:p w14:paraId="6EBD3B5D" w14:textId="5DDBFD47" w:rsidR="00972AEF" w:rsidRDefault="00BA6050">
      <w:pPr>
        <w:pStyle w:val="Standard"/>
        <w:spacing w:line="254" w:lineRule="auto"/>
      </w:pPr>
      <w:r>
        <w:rPr>
          <w:sz w:val="24"/>
          <w:szCs w:val="24"/>
        </w:rPr>
        <w:t>BUYER ADDRESS</w:t>
      </w:r>
      <w:r>
        <w:rPr>
          <w:sz w:val="24"/>
          <w:szCs w:val="24"/>
        </w:rPr>
        <w:tab/>
      </w:r>
      <w:r>
        <w:rPr>
          <w:sz w:val="24"/>
          <w:szCs w:val="24"/>
        </w:rPr>
        <w:tab/>
      </w:r>
      <w:r>
        <w:rPr>
          <w:sz w:val="24"/>
          <w:szCs w:val="24"/>
        </w:rPr>
        <w:tab/>
      </w:r>
      <w:r w:rsidR="00FC7A0D">
        <w:rPr>
          <w:sz w:val="24"/>
          <w:szCs w:val="24"/>
        </w:rPr>
        <w:t>Ralli Quays,</w:t>
      </w:r>
      <w:r>
        <w:rPr>
          <w:b/>
          <w:sz w:val="24"/>
          <w:szCs w:val="24"/>
        </w:rPr>
        <w:t xml:space="preserve"> </w:t>
      </w:r>
      <w:r w:rsidR="00FC7A0D">
        <w:rPr>
          <w:sz w:val="24"/>
          <w:szCs w:val="24"/>
          <w:shd w:val="clear" w:color="auto" w:fill="FFFFFF"/>
        </w:rPr>
        <w:t>Stanley Street, Salford, M60 9HL</w:t>
      </w:r>
    </w:p>
    <w:p w14:paraId="6C9B5EFC" w14:textId="77777777" w:rsidR="00972AEF" w:rsidRDefault="00972AEF">
      <w:pPr>
        <w:pStyle w:val="Standard"/>
        <w:spacing w:line="254" w:lineRule="auto"/>
        <w:rPr>
          <w:sz w:val="24"/>
          <w:szCs w:val="24"/>
        </w:rPr>
      </w:pPr>
    </w:p>
    <w:p w14:paraId="1F97E1A9" w14:textId="36CFB559" w:rsidR="00972AEF" w:rsidRDefault="00BA6050">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542D22" w:rsidRPr="00542D22">
        <w:rPr>
          <w:sz w:val="24"/>
          <w:szCs w:val="24"/>
        </w:rPr>
        <w:t>Ernst &amp; Young LLP</w:t>
      </w:r>
    </w:p>
    <w:p w14:paraId="20B8CA77" w14:textId="18A0B428" w:rsidR="00972AEF" w:rsidRDefault="00BA6050">
      <w:pPr>
        <w:pStyle w:val="Standard"/>
        <w:spacing w:after="200" w:line="240" w:lineRule="auto"/>
      </w:pPr>
      <w:r>
        <w:rPr>
          <w:sz w:val="24"/>
          <w:szCs w:val="24"/>
        </w:rPr>
        <w:t>SUPPLIER ADDRESS:</w:t>
      </w:r>
      <w:r>
        <w:rPr>
          <w:b/>
          <w:sz w:val="24"/>
          <w:szCs w:val="24"/>
        </w:rPr>
        <w:t xml:space="preserve"> </w:t>
      </w:r>
      <w:r>
        <w:rPr>
          <w:b/>
          <w:sz w:val="24"/>
          <w:szCs w:val="24"/>
        </w:rPr>
        <w:tab/>
      </w:r>
      <w:r>
        <w:rPr>
          <w:b/>
          <w:sz w:val="24"/>
          <w:szCs w:val="24"/>
        </w:rPr>
        <w:tab/>
      </w:r>
      <w:r w:rsidR="00023C3D" w:rsidRPr="00F76E3A">
        <w:rPr>
          <w:bCs/>
          <w:sz w:val="24"/>
          <w:szCs w:val="24"/>
        </w:rPr>
        <w:t xml:space="preserve">1 More London Place, London, SE1 </w:t>
      </w:r>
      <w:r w:rsidR="00F76E3A" w:rsidRPr="00F76E3A">
        <w:rPr>
          <w:bCs/>
          <w:sz w:val="24"/>
          <w:szCs w:val="24"/>
        </w:rPr>
        <w:t>2AF</w:t>
      </w:r>
    </w:p>
    <w:p w14:paraId="6C3C084D" w14:textId="1956BC1C" w:rsidR="00972AEF" w:rsidRDefault="00BA6050">
      <w:pPr>
        <w:pStyle w:val="Standard"/>
        <w:spacing w:after="200" w:line="240" w:lineRule="auto"/>
      </w:pPr>
      <w:r>
        <w:rPr>
          <w:sz w:val="24"/>
          <w:szCs w:val="24"/>
        </w:rPr>
        <w:t>REGISTRATION NUMBER:</w:t>
      </w:r>
      <w:r>
        <w:rPr>
          <w:b/>
          <w:sz w:val="24"/>
          <w:szCs w:val="24"/>
        </w:rPr>
        <w:t xml:space="preserve"> </w:t>
      </w:r>
      <w:r>
        <w:rPr>
          <w:b/>
          <w:sz w:val="24"/>
          <w:szCs w:val="24"/>
        </w:rPr>
        <w:tab/>
      </w:r>
      <w:r w:rsidR="005301EC" w:rsidRPr="0038171D">
        <w:rPr>
          <w:bCs/>
          <w:sz w:val="24"/>
          <w:szCs w:val="24"/>
        </w:rPr>
        <w:t>OC</w:t>
      </w:r>
      <w:r w:rsidR="0038171D" w:rsidRPr="0038171D">
        <w:rPr>
          <w:bCs/>
          <w:sz w:val="24"/>
          <w:szCs w:val="24"/>
        </w:rPr>
        <w:t>3000001</w:t>
      </w:r>
    </w:p>
    <w:p w14:paraId="59D7D8DF" w14:textId="0AC8E1A5" w:rsidR="00972AEF" w:rsidRDefault="00BA6050">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E3690B" w:rsidRPr="00E3690B">
        <w:rPr>
          <w:bCs/>
          <w:sz w:val="24"/>
          <w:szCs w:val="24"/>
        </w:rPr>
        <w:t>210603</w:t>
      </w:r>
    </w:p>
    <w:p w14:paraId="48A7D919" w14:textId="77777777" w:rsidR="00972AEF" w:rsidRDefault="00972AEF">
      <w:pPr>
        <w:pStyle w:val="Standard"/>
        <w:spacing w:line="240" w:lineRule="auto"/>
        <w:rPr>
          <w:sz w:val="24"/>
          <w:szCs w:val="24"/>
          <w:shd w:val="clear" w:color="auto" w:fill="FFFFFF"/>
        </w:rPr>
      </w:pPr>
    </w:p>
    <w:p w14:paraId="6A40781C" w14:textId="77777777" w:rsidR="00972AEF" w:rsidRDefault="00972AEF">
      <w:pPr>
        <w:pStyle w:val="Standard"/>
        <w:spacing w:line="240" w:lineRule="auto"/>
        <w:rPr>
          <w:sz w:val="24"/>
          <w:szCs w:val="24"/>
          <w:shd w:val="clear" w:color="auto" w:fill="FFFFFF"/>
        </w:rPr>
      </w:pPr>
    </w:p>
    <w:p w14:paraId="1578E34F" w14:textId="1C7E23D4" w:rsidR="00972AEF" w:rsidRDefault="00BA6050">
      <w:pPr>
        <w:pStyle w:val="Heading3"/>
      </w:pPr>
      <w:bookmarkStart w:id="2" w:name="_3znysh7"/>
      <w:bookmarkEnd w:id="2"/>
      <w:r>
        <w:t>APPLICABLE FRAMEWORK CONTRACT</w:t>
      </w:r>
    </w:p>
    <w:p w14:paraId="2E313CFB" w14:textId="77777777" w:rsidR="005F132D" w:rsidRPr="005F132D" w:rsidRDefault="005F132D" w:rsidP="005F132D">
      <w:pPr>
        <w:pStyle w:val="Standard"/>
      </w:pPr>
    </w:p>
    <w:p w14:paraId="59B51A5A" w14:textId="37BA8973" w:rsidR="00972AEF" w:rsidRDefault="00BA6050">
      <w:pPr>
        <w:pStyle w:val="Standard"/>
        <w:spacing w:line="254" w:lineRule="auto"/>
        <w:jc w:val="both"/>
      </w:pPr>
      <w:r>
        <w:rPr>
          <w:sz w:val="24"/>
          <w:szCs w:val="24"/>
        </w:rPr>
        <w:t xml:space="preserve">This Order Form is for the provision of the Call-Off Deliverables and dated </w:t>
      </w:r>
      <w:r w:rsidR="00920656">
        <w:rPr>
          <w:sz w:val="24"/>
          <w:szCs w:val="24"/>
        </w:rPr>
        <w:t>21/02/2022</w:t>
      </w:r>
      <w:r w:rsidR="000330B0">
        <w:rPr>
          <w:sz w:val="24"/>
          <w:szCs w:val="24"/>
        </w:rPr>
        <w:t>.</w:t>
      </w:r>
    </w:p>
    <w:p w14:paraId="13C0C192" w14:textId="3E3B29D9" w:rsidR="00972AEF" w:rsidRDefault="00BA6050">
      <w:pPr>
        <w:pStyle w:val="Standard"/>
        <w:spacing w:line="254" w:lineRule="auto"/>
        <w:jc w:val="both"/>
      </w:pPr>
      <w:r>
        <w:rPr>
          <w:sz w:val="24"/>
          <w:szCs w:val="24"/>
        </w:rPr>
        <w:t>It</w:t>
      </w:r>
      <w:r w:rsidR="000330B0">
        <w:rPr>
          <w:sz w:val="24"/>
          <w:szCs w:val="24"/>
        </w:rPr>
        <w:t xml:space="preserve"> is</w:t>
      </w:r>
      <w:r>
        <w:rPr>
          <w:sz w:val="24"/>
          <w:szCs w:val="24"/>
        </w:rPr>
        <w:t xml:space="preserve"> issued under the Framework Contract with the reference number RM6188 for the provision of </w:t>
      </w:r>
      <w:r w:rsidR="00681F43">
        <w:rPr>
          <w:sz w:val="24"/>
          <w:szCs w:val="24"/>
        </w:rPr>
        <w:t>management consultancy services</w:t>
      </w:r>
      <w:r w:rsidR="002D6CB2">
        <w:rPr>
          <w:sz w:val="24"/>
          <w:szCs w:val="24"/>
        </w:rPr>
        <w:t xml:space="preserve"> for Mobilisation of AST (Accelerated Service </w:t>
      </w:r>
      <w:r w:rsidR="00223274">
        <w:rPr>
          <w:sz w:val="24"/>
          <w:szCs w:val="24"/>
        </w:rPr>
        <w:t>Transformation</w:t>
      </w:r>
      <w:r w:rsidR="0065089C">
        <w:rPr>
          <w:sz w:val="24"/>
          <w:szCs w:val="24"/>
        </w:rPr>
        <w:t>)</w:t>
      </w:r>
      <w:r w:rsidR="00681F43">
        <w:rPr>
          <w:sz w:val="24"/>
          <w:szCs w:val="24"/>
        </w:rPr>
        <w:t>.</w:t>
      </w:r>
    </w:p>
    <w:p w14:paraId="64CEAD77" w14:textId="77777777" w:rsidR="00972AEF" w:rsidRDefault="00972AEF">
      <w:pPr>
        <w:pStyle w:val="Standard"/>
        <w:tabs>
          <w:tab w:val="left" w:pos="2257"/>
        </w:tabs>
        <w:spacing w:line="254" w:lineRule="auto"/>
        <w:rPr>
          <w:b/>
          <w:sz w:val="24"/>
          <w:szCs w:val="24"/>
        </w:rPr>
      </w:pPr>
    </w:p>
    <w:p w14:paraId="3497E187" w14:textId="671A5901" w:rsidR="00681F43" w:rsidRDefault="00BA6050" w:rsidP="001B0C92">
      <w:pPr>
        <w:pStyle w:val="Heading3"/>
        <w:tabs>
          <w:tab w:val="clear" w:pos="0"/>
          <w:tab w:val="left" w:pos="2880"/>
          <w:tab w:val="left" w:pos="5137"/>
        </w:tabs>
        <w:spacing w:line="254" w:lineRule="auto"/>
      </w:pPr>
      <w:bookmarkStart w:id="3" w:name="_npg4yae2fh19"/>
      <w:bookmarkEnd w:id="3"/>
      <w:r>
        <w:t>CALL-OFF LOT(S):</w:t>
      </w:r>
      <w:bookmarkStart w:id="4" w:name="_3dy6vkm"/>
      <w:bookmarkEnd w:id="4"/>
      <w:r w:rsidR="00F1400D">
        <w:t xml:space="preserve"> </w:t>
      </w:r>
      <w:r w:rsidR="00681F43" w:rsidRPr="00F1400D">
        <w:rPr>
          <w:b w:val="0"/>
          <w:bCs/>
        </w:rPr>
        <w:t>3</w:t>
      </w:r>
      <w:r w:rsidR="00F1400D" w:rsidRPr="00F1400D">
        <w:rPr>
          <w:b w:val="0"/>
          <w:bCs/>
        </w:rPr>
        <w:t xml:space="preserve"> – Complex &amp; Transformation</w:t>
      </w:r>
    </w:p>
    <w:p w14:paraId="1698E83B" w14:textId="6DE63BFA" w:rsidR="00972AEF" w:rsidRDefault="00BA6050" w:rsidP="001B0C92">
      <w:pPr>
        <w:pStyle w:val="Heading3"/>
        <w:tabs>
          <w:tab w:val="clear" w:pos="0"/>
          <w:tab w:val="left" w:pos="2880"/>
          <w:tab w:val="left" w:pos="5137"/>
        </w:tabs>
        <w:spacing w:line="254" w:lineRule="auto"/>
      </w:pPr>
      <w:r>
        <w:t>Call-off incorporated terms</w:t>
      </w:r>
    </w:p>
    <w:p w14:paraId="0311E98B" w14:textId="77777777" w:rsidR="00972AEF" w:rsidRDefault="00BA6050">
      <w:pPr>
        <w:pStyle w:val="Standard"/>
        <w:numPr>
          <w:ilvl w:val="2"/>
          <w:numId w:val="2"/>
        </w:numPr>
        <w:tabs>
          <w:tab w:val="left" w:pos="0"/>
        </w:tabs>
      </w:pPr>
      <w:r>
        <w:rPr>
          <w:sz w:val="24"/>
          <w:szCs w:val="24"/>
        </w:rPr>
        <w:t>The following documents are incorporated into this Call-Off Contract.</w:t>
      </w:r>
    </w:p>
    <w:p w14:paraId="61391F42" w14:textId="729BD831" w:rsidR="00972AEF" w:rsidRDefault="00BA6050">
      <w:pPr>
        <w:pStyle w:val="Standard"/>
        <w:spacing w:line="240" w:lineRule="auto"/>
      </w:pPr>
      <w:r>
        <w:rPr>
          <w:sz w:val="24"/>
          <w:szCs w:val="24"/>
          <w:shd w:val="clear" w:color="auto" w:fill="FFFFFF"/>
        </w:rPr>
        <w:t xml:space="preserve">Where schedules are missing, those schedules are not part of the agreement and </w:t>
      </w:r>
      <w:r w:rsidR="001B0C92">
        <w:rPr>
          <w:sz w:val="24"/>
          <w:szCs w:val="24"/>
          <w:shd w:val="clear" w:color="auto" w:fill="FFFFFF"/>
        </w:rPr>
        <w:t>cannot</w:t>
      </w:r>
      <w:r>
        <w:rPr>
          <w:sz w:val="24"/>
          <w:szCs w:val="24"/>
          <w:shd w:val="clear" w:color="auto" w:fill="FFFFFF"/>
        </w:rPr>
        <w:t xml:space="preserve"> be used. If the documents conflict, the following order of precedence applies:</w:t>
      </w:r>
    </w:p>
    <w:p w14:paraId="677115CC" w14:textId="77777777" w:rsidR="00972AEF" w:rsidRDefault="00972AEF">
      <w:pPr>
        <w:pStyle w:val="Standard"/>
        <w:spacing w:line="240" w:lineRule="auto"/>
        <w:rPr>
          <w:sz w:val="24"/>
          <w:szCs w:val="24"/>
        </w:rPr>
      </w:pPr>
    </w:p>
    <w:p w14:paraId="785E1663" w14:textId="77777777" w:rsidR="00972AEF" w:rsidRDefault="00BA6050">
      <w:pPr>
        <w:pStyle w:val="Standard"/>
        <w:numPr>
          <w:ilvl w:val="0"/>
          <w:numId w:val="5"/>
        </w:numPr>
      </w:pPr>
      <w:r>
        <w:rPr>
          <w:sz w:val="24"/>
          <w:szCs w:val="24"/>
        </w:rPr>
        <w:t>This Order Form includes the Call-Off Special Terms and Call-Off Special Schedules.</w:t>
      </w:r>
    </w:p>
    <w:p w14:paraId="4C8DC7A7" w14:textId="77777777" w:rsidR="00972AEF" w:rsidRDefault="00BA6050">
      <w:pPr>
        <w:pStyle w:val="Standard"/>
        <w:numPr>
          <w:ilvl w:val="0"/>
          <w:numId w:val="1"/>
        </w:numPr>
        <w:spacing w:line="254" w:lineRule="auto"/>
      </w:pPr>
      <w:r>
        <w:rPr>
          <w:sz w:val="24"/>
          <w:szCs w:val="24"/>
        </w:rPr>
        <w:t>Joint Schedule 1(Definitions and Interpretation) RM6187</w:t>
      </w:r>
    </w:p>
    <w:p w14:paraId="72A5499E" w14:textId="5569EEAC" w:rsidR="0038171D" w:rsidRPr="0038171D" w:rsidRDefault="00BA6050" w:rsidP="009F5249">
      <w:pPr>
        <w:pStyle w:val="Standard"/>
        <w:keepNext/>
        <w:numPr>
          <w:ilvl w:val="0"/>
          <w:numId w:val="1"/>
        </w:numPr>
        <w:spacing w:line="254" w:lineRule="auto"/>
      </w:pPr>
      <w:r>
        <w:rPr>
          <w:sz w:val="24"/>
          <w:szCs w:val="24"/>
        </w:rPr>
        <w:t>The following Schedules in equal order of precedence:</w:t>
      </w:r>
      <w:bookmarkStart w:id="5" w:name="_1t3h5sf"/>
      <w:bookmarkEnd w:id="5"/>
    </w:p>
    <w:p w14:paraId="268A2339" w14:textId="02CFA2CD" w:rsidR="00972AEF" w:rsidRDefault="00BA6050">
      <w:pPr>
        <w:pStyle w:val="Heading3"/>
        <w:numPr>
          <w:ilvl w:val="2"/>
          <w:numId w:val="2"/>
        </w:numPr>
      </w:pPr>
      <w:r>
        <w:rPr>
          <w:color w:val="000000"/>
        </w:rPr>
        <w:t>Joint Schedules for RM6187 Management Consultancy Framework Three</w:t>
      </w:r>
    </w:p>
    <w:p w14:paraId="1C75F70F" w14:textId="3C321C9F" w:rsidR="00972AEF" w:rsidRDefault="00BA6050">
      <w:pPr>
        <w:pStyle w:val="Standard"/>
        <w:numPr>
          <w:ilvl w:val="1"/>
          <w:numId w:val="4"/>
        </w:numPr>
        <w:spacing w:line="254" w:lineRule="auto"/>
      </w:pPr>
      <w:r>
        <w:rPr>
          <w:sz w:val="24"/>
          <w:szCs w:val="24"/>
        </w:rPr>
        <w:t xml:space="preserve">Joint Schedule 1 (Definitions) </w:t>
      </w:r>
    </w:p>
    <w:p w14:paraId="7493C603" w14:textId="676581D1" w:rsidR="00972AEF" w:rsidRDefault="00BA6050">
      <w:pPr>
        <w:pStyle w:val="Standard"/>
        <w:numPr>
          <w:ilvl w:val="1"/>
          <w:numId w:val="4"/>
        </w:numPr>
        <w:spacing w:line="254" w:lineRule="auto"/>
      </w:pPr>
      <w:r>
        <w:rPr>
          <w:sz w:val="24"/>
          <w:szCs w:val="24"/>
        </w:rPr>
        <w:t xml:space="preserve">Joint Schedule 2 (Variation Form) </w:t>
      </w:r>
    </w:p>
    <w:p w14:paraId="64205530" w14:textId="29DB9164" w:rsidR="00972AEF" w:rsidRDefault="00BA6050">
      <w:pPr>
        <w:pStyle w:val="Standard"/>
        <w:numPr>
          <w:ilvl w:val="1"/>
          <w:numId w:val="4"/>
        </w:numPr>
        <w:spacing w:line="254" w:lineRule="auto"/>
      </w:pPr>
      <w:r>
        <w:rPr>
          <w:sz w:val="24"/>
          <w:szCs w:val="24"/>
        </w:rPr>
        <w:t xml:space="preserve">Joint Schedule 3 (Insurance Requirements) </w:t>
      </w:r>
    </w:p>
    <w:p w14:paraId="477110D7" w14:textId="2A2007E4" w:rsidR="00972AEF" w:rsidRDefault="00BA6050">
      <w:pPr>
        <w:pStyle w:val="Standard"/>
        <w:numPr>
          <w:ilvl w:val="1"/>
          <w:numId w:val="4"/>
        </w:numPr>
        <w:spacing w:line="254" w:lineRule="auto"/>
      </w:pPr>
      <w:r>
        <w:rPr>
          <w:sz w:val="24"/>
          <w:szCs w:val="24"/>
        </w:rPr>
        <w:lastRenderedPageBreak/>
        <w:t>Joint Schedule 4 (Commercially Sensitive Information)</w:t>
      </w:r>
    </w:p>
    <w:p w14:paraId="579FF25A" w14:textId="7CB53119" w:rsidR="00972AEF" w:rsidRPr="0035589E" w:rsidRDefault="00BA6050">
      <w:pPr>
        <w:pStyle w:val="Standard"/>
        <w:numPr>
          <w:ilvl w:val="1"/>
          <w:numId w:val="4"/>
        </w:numPr>
        <w:spacing w:line="254" w:lineRule="auto"/>
        <w:rPr>
          <w:sz w:val="24"/>
          <w:szCs w:val="24"/>
        </w:rPr>
      </w:pPr>
      <w:r w:rsidRPr="0035589E">
        <w:rPr>
          <w:sz w:val="24"/>
          <w:szCs w:val="24"/>
        </w:rPr>
        <w:t>Joint Schedule 6 (Key Subcontractors)</w:t>
      </w:r>
      <w:r w:rsidRPr="0035589E">
        <w:rPr>
          <w:sz w:val="24"/>
          <w:szCs w:val="24"/>
        </w:rPr>
        <w:tab/>
      </w:r>
      <w:r w:rsidRPr="0035589E">
        <w:rPr>
          <w:sz w:val="24"/>
          <w:szCs w:val="24"/>
        </w:rPr>
        <w:tab/>
      </w:r>
    </w:p>
    <w:p w14:paraId="109C6115" w14:textId="1592212B" w:rsidR="00972AEF" w:rsidRDefault="00BA6050">
      <w:pPr>
        <w:pStyle w:val="Standard"/>
        <w:numPr>
          <w:ilvl w:val="1"/>
          <w:numId w:val="4"/>
        </w:numPr>
        <w:spacing w:line="254" w:lineRule="auto"/>
      </w:pPr>
      <w:r>
        <w:rPr>
          <w:sz w:val="24"/>
          <w:szCs w:val="24"/>
        </w:rPr>
        <w:t>Joint Schedule 10 (Rectification Plan)</w:t>
      </w:r>
      <w:r>
        <w:rPr>
          <w:sz w:val="24"/>
          <w:szCs w:val="24"/>
        </w:rPr>
        <w:tab/>
      </w:r>
      <w:r>
        <w:rPr>
          <w:sz w:val="24"/>
          <w:szCs w:val="24"/>
        </w:rPr>
        <w:tab/>
      </w:r>
    </w:p>
    <w:p w14:paraId="5A45168E" w14:textId="220F3235" w:rsidR="00972AEF" w:rsidRDefault="00BA6050">
      <w:pPr>
        <w:pStyle w:val="Standard"/>
        <w:numPr>
          <w:ilvl w:val="1"/>
          <w:numId w:val="4"/>
        </w:numPr>
        <w:spacing w:line="254" w:lineRule="auto"/>
      </w:pPr>
      <w:r>
        <w:rPr>
          <w:sz w:val="24"/>
          <w:szCs w:val="24"/>
        </w:rPr>
        <w:t>Joint Schedule 11 (Processing Data)</w:t>
      </w:r>
      <w:r>
        <w:rPr>
          <w:sz w:val="24"/>
          <w:szCs w:val="24"/>
        </w:rPr>
        <w:tab/>
      </w:r>
    </w:p>
    <w:p w14:paraId="277F1AB5" w14:textId="77777777" w:rsidR="00972AEF" w:rsidRDefault="00BA6050">
      <w:pPr>
        <w:pStyle w:val="Heading3"/>
        <w:numPr>
          <w:ilvl w:val="2"/>
          <w:numId w:val="2"/>
        </w:numPr>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5230526B" w14:textId="0FDF3214" w:rsidR="00972AEF" w:rsidRDefault="00BA6050">
      <w:pPr>
        <w:pStyle w:val="Standard"/>
        <w:numPr>
          <w:ilvl w:val="1"/>
          <w:numId w:val="4"/>
        </w:numPr>
        <w:spacing w:line="254" w:lineRule="auto"/>
      </w:pPr>
      <w:r>
        <w:rPr>
          <w:sz w:val="24"/>
          <w:szCs w:val="24"/>
          <w:shd w:val="clear" w:color="auto" w:fill="FFFFFF"/>
        </w:rPr>
        <w:t>Call-Off Schedule 1 (Transparency Reports)</w:t>
      </w:r>
    </w:p>
    <w:p w14:paraId="22D6A359" w14:textId="13AA91B6" w:rsidR="00972AEF" w:rsidRDefault="00BA6050">
      <w:pPr>
        <w:pStyle w:val="Standard"/>
        <w:numPr>
          <w:ilvl w:val="1"/>
          <w:numId w:val="4"/>
        </w:numPr>
        <w:spacing w:line="254" w:lineRule="auto"/>
      </w:pPr>
      <w:r>
        <w:rPr>
          <w:sz w:val="24"/>
          <w:szCs w:val="24"/>
          <w:shd w:val="clear" w:color="auto" w:fill="FFFFFF"/>
        </w:rPr>
        <w:t>Call-Off Schedule 3 (Continuous Improvement)</w:t>
      </w:r>
    </w:p>
    <w:p w14:paraId="3F4CD171" w14:textId="574BB1DE" w:rsidR="00972AEF" w:rsidRPr="00CF4D40" w:rsidRDefault="00BA6050" w:rsidP="0073678D">
      <w:pPr>
        <w:pStyle w:val="Standard"/>
        <w:numPr>
          <w:ilvl w:val="1"/>
          <w:numId w:val="4"/>
        </w:numPr>
        <w:spacing w:line="254" w:lineRule="auto"/>
      </w:pPr>
      <w:r>
        <w:rPr>
          <w:sz w:val="24"/>
          <w:szCs w:val="24"/>
          <w:shd w:val="clear" w:color="auto" w:fill="FFFFFF"/>
        </w:rPr>
        <w:t>Call-Off Schedule 5 (Pricing Details) -</w:t>
      </w:r>
      <w:r w:rsidR="00C6758D">
        <w:rPr>
          <w:sz w:val="24"/>
          <w:szCs w:val="24"/>
          <w:shd w:val="clear" w:color="auto" w:fill="FFFFFF"/>
        </w:rPr>
        <w:t xml:space="preserve"> </w:t>
      </w:r>
      <w:r w:rsidR="00C6758D" w:rsidRPr="00CF4D40">
        <w:rPr>
          <w:sz w:val="24"/>
          <w:szCs w:val="24"/>
          <w:shd w:val="clear" w:color="auto" w:fill="FFFFFF"/>
        </w:rPr>
        <w:t>Appended</w:t>
      </w:r>
      <w:r w:rsidRPr="00CF4D40">
        <w:rPr>
          <w:sz w:val="24"/>
          <w:szCs w:val="24"/>
          <w:shd w:val="clear" w:color="auto" w:fill="FFFFFF"/>
        </w:rPr>
        <w:tab/>
      </w:r>
      <w:r w:rsidRPr="00CF4D40">
        <w:rPr>
          <w:sz w:val="24"/>
          <w:szCs w:val="24"/>
          <w:shd w:val="clear" w:color="auto" w:fill="FFFFFF"/>
        </w:rPr>
        <w:tab/>
      </w:r>
      <w:r w:rsidRPr="00CF4D40">
        <w:rPr>
          <w:sz w:val="24"/>
          <w:szCs w:val="24"/>
          <w:shd w:val="clear" w:color="auto" w:fill="FFFFFF"/>
        </w:rPr>
        <w:tab/>
      </w:r>
    </w:p>
    <w:p w14:paraId="010BA1D0" w14:textId="4DEFD95C" w:rsidR="00972AEF" w:rsidRPr="00CF4D40" w:rsidRDefault="00BA6050">
      <w:pPr>
        <w:pStyle w:val="Standard"/>
        <w:numPr>
          <w:ilvl w:val="1"/>
          <w:numId w:val="4"/>
        </w:numPr>
        <w:spacing w:line="254" w:lineRule="auto"/>
      </w:pPr>
      <w:r w:rsidRPr="00CF4D40">
        <w:rPr>
          <w:sz w:val="24"/>
          <w:szCs w:val="24"/>
          <w:shd w:val="clear" w:color="auto" w:fill="FFFFFF"/>
        </w:rPr>
        <w:t xml:space="preserve">Call-Off Schedule 7 (Key Supplier Staff) </w:t>
      </w:r>
    </w:p>
    <w:p w14:paraId="04B4D632" w14:textId="6F7444B8" w:rsidR="00972AEF" w:rsidRPr="00CF4D40" w:rsidRDefault="00BA6050">
      <w:pPr>
        <w:pStyle w:val="Standard"/>
        <w:numPr>
          <w:ilvl w:val="1"/>
          <w:numId w:val="4"/>
        </w:numPr>
        <w:spacing w:line="254" w:lineRule="auto"/>
      </w:pPr>
      <w:r w:rsidRPr="00CF4D40">
        <w:rPr>
          <w:sz w:val="24"/>
          <w:szCs w:val="24"/>
          <w:shd w:val="clear" w:color="auto" w:fill="FFFFFF"/>
        </w:rPr>
        <w:t>Call-Off Schedule 9 (Security)</w:t>
      </w:r>
      <w:r w:rsidR="00A311A4" w:rsidRPr="00CF4D40">
        <w:rPr>
          <w:sz w:val="24"/>
          <w:szCs w:val="24"/>
          <w:shd w:val="clear" w:color="auto" w:fill="FFFFFF"/>
        </w:rPr>
        <w:t xml:space="preserve"> - Appended</w:t>
      </w:r>
      <w:r w:rsidRPr="00CF4D40">
        <w:rPr>
          <w:sz w:val="24"/>
          <w:szCs w:val="24"/>
          <w:shd w:val="clear" w:color="auto" w:fill="FFFFFF"/>
        </w:rPr>
        <w:tab/>
      </w:r>
      <w:r w:rsidRPr="00CF4D40">
        <w:rPr>
          <w:sz w:val="24"/>
          <w:szCs w:val="24"/>
          <w:shd w:val="clear" w:color="auto" w:fill="FFFFFF"/>
        </w:rPr>
        <w:tab/>
        <w:t xml:space="preserve">   </w:t>
      </w:r>
      <w:r w:rsidRPr="00CF4D40">
        <w:rPr>
          <w:sz w:val="24"/>
          <w:szCs w:val="24"/>
          <w:shd w:val="clear" w:color="auto" w:fill="FFFFFF"/>
        </w:rPr>
        <w:tab/>
      </w:r>
    </w:p>
    <w:p w14:paraId="2889FE2D" w14:textId="2B556390" w:rsidR="00972AEF" w:rsidRPr="00CF4D40" w:rsidRDefault="00BA6050">
      <w:pPr>
        <w:pStyle w:val="Standard"/>
        <w:numPr>
          <w:ilvl w:val="1"/>
          <w:numId w:val="4"/>
        </w:numPr>
        <w:spacing w:line="254" w:lineRule="auto"/>
        <w:rPr>
          <w:sz w:val="24"/>
          <w:szCs w:val="24"/>
          <w:shd w:val="clear" w:color="auto" w:fill="FFFFFF"/>
        </w:rPr>
      </w:pPr>
      <w:r w:rsidRPr="00CF4D40">
        <w:rPr>
          <w:sz w:val="24"/>
          <w:szCs w:val="24"/>
          <w:shd w:val="clear" w:color="auto" w:fill="FFFFFF"/>
        </w:rPr>
        <w:t>Call-Off Schedule 10 (Exit Management)</w:t>
      </w:r>
      <w:r w:rsidRPr="00CF4D40">
        <w:rPr>
          <w:sz w:val="24"/>
          <w:szCs w:val="24"/>
          <w:shd w:val="clear" w:color="auto" w:fill="FFFFFF"/>
        </w:rPr>
        <w:tab/>
      </w:r>
    </w:p>
    <w:p w14:paraId="10C6076E" w14:textId="0ECED1B2" w:rsidR="00972AEF" w:rsidRPr="00CF4D40" w:rsidRDefault="00BA6050">
      <w:pPr>
        <w:pStyle w:val="Standard"/>
        <w:numPr>
          <w:ilvl w:val="1"/>
          <w:numId w:val="4"/>
        </w:numPr>
        <w:spacing w:line="254" w:lineRule="auto"/>
      </w:pPr>
      <w:r w:rsidRPr="00CF4D40">
        <w:rPr>
          <w:sz w:val="24"/>
          <w:szCs w:val="24"/>
          <w:shd w:val="clear" w:color="auto" w:fill="FFFFFF"/>
        </w:rPr>
        <w:t>Call-Off Schedule 13 (Implementation Plan and Testing)</w:t>
      </w:r>
    </w:p>
    <w:p w14:paraId="7166FF57" w14:textId="4600F454" w:rsidR="00972AEF" w:rsidRPr="00CF4D40" w:rsidRDefault="00BA6050" w:rsidP="00162982">
      <w:pPr>
        <w:pStyle w:val="Standard"/>
        <w:numPr>
          <w:ilvl w:val="1"/>
          <w:numId w:val="4"/>
        </w:numPr>
        <w:spacing w:line="254" w:lineRule="auto"/>
      </w:pPr>
      <w:r w:rsidRPr="00CF4D40">
        <w:rPr>
          <w:sz w:val="24"/>
          <w:szCs w:val="24"/>
          <w:shd w:val="clear" w:color="auto" w:fill="FFFFFF"/>
        </w:rPr>
        <w:t>Call-Off Schedule 15 (Call-Off Contract Management)</w:t>
      </w:r>
    </w:p>
    <w:p w14:paraId="25F8B44C" w14:textId="7BA0EE1F" w:rsidR="00972AEF" w:rsidRPr="00CF4D40" w:rsidRDefault="00BA6050" w:rsidP="00570BCB">
      <w:pPr>
        <w:pStyle w:val="Standard"/>
        <w:numPr>
          <w:ilvl w:val="1"/>
          <w:numId w:val="4"/>
        </w:numPr>
        <w:spacing w:line="254" w:lineRule="auto"/>
      </w:pPr>
      <w:r w:rsidRPr="00CF4D40">
        <w:rPr>
          <w:sz w:val="24"/>
          <w:szCs w:val="24"/>
          <w:shd w:val="clear" w:color="auto" w:fill="FFFFFF"/>
        </w:rPr>
        <w:t>Call-Off Schedule 20 (Call-Off Specification)</w:t>
      </w:r>
      <w:r w:rsidR="00570BCB" w:rsidRPr="00CF4D40">
        <w:rPr>
          <w:sz w:val="24"/>
          <w:szCs w:val="24"/>
          <w:shd w:val="clear" w:color="auto" w:fill="FFFFFF"/>
        </w:rPr>
        <w:t xml:space="preserve"> -</w:t>
      </w:r>
      <w:r w:rsidR="00162982" w:rsidRPr="00CF4D40">
        <w:rPr>
          <w:sz w:val="24"/>
          <w:szCs w:val="24"/>
          <w:shd w:val="clear" w:color="auto" w:fill="FFFFFF"/>
        </w:rPr>
        <w:t xml:space="preserve"> Appended</w:t>
      </w:r>
      <w:r w:rsidRPr="00CF4D40">
        <w:rPr>
          <w:sz w:val="24"/>
          <w:szCs w:val="24"/>
          <w:shd w:val="clear" w:color="auto" w:fill="FFFFFF"/>
        </w:rPr>
        <w:tab/>
        <w:t> </w:t>
      </w:r>
      <w:r w:rsidRPr="00CF4D40">
        <w:rPr>
          <w:sz w:val="24"/>
          <w:szCs w:val="24"/>
          <w:shd w:val="clear" w:color="auto" w:fill="FFFFFF"/>
        </w:rPr>
        <w:tab/>
      </w:r>
    </w:p>
    <w:p w14:paraId="5129819A" w14:textId="79B113AB" w:rsidR="00972AEF" w:rsidRDefault="00BA6050">
      <w:pPr>
        <w:pStyle w:val="Standard"/>
        <w:numPr>
          <w:ilvl w:val="1"/>
          <w:numId w:val="4"/>
        </w:numPr>
        <w:spacing w:line="254" w:lineRule="auto"/>
      </w:pPr>
      <w:r w:rsidRPr="00CF4D40">
        <w:rPr>
          <w:sz w:val="24"/>
          <w:szCs w:val="24"/>
          <w:shd w:val="clear" w:color="auto" w:fill="FFFFFF"/>
        </w:rPr>
        <w:t>Call-Off Schedule 23 (HMRC Terms) -</w:t>
      </w:r>
      <w:r w:rsidR="00887EB0" w:rsidRPr="00CF4D40">
        <w:rPr>
          <w:sz w:val="24"/>
          <w:szCs w:val="24"/>
          <w:shd w:val="clear" w:color="auto" w:fill="FFFFFF"/>
        </w:rPr>
        <w:t xml:space="preserve"> Appended</w:t>
      </w:r>
      <w:r w:rsidRPr="00CF4D40">
        <w:rPr>
          <w:sz w:val="24"/>
          <w:szCs w:val="24"/>
          <w:shd w:val="clear" w:color="auto" w:fill="FFFFFF"/>
        </w:rPr>
        <w:tab/>
      </w:r>
      <w:r>
        <w:rPr>
          <w:sz w:val="24"/>
          <w:szCs w:val="24"/>
          <w:shd w:val="clear" w:color="auto" w:fill="FFFFFF"/>
        </w:rPr>
        <w:tab/>
      </w:r>
    </w:p>
    <w:p w14:paraId="405DE16A" w14:textId="77777777" w:rsidR="00972AEF" w:rsidRDefault="00BA6050">
      <w:pPr>
        <w:pStyle w:val="Standard"/>
        <w:spacing w:line="254" w:lineRule="auto"/>
        <w:ind w:left="1800"/>
      </w:pPr>
      <w:r>
        <w:rPr>
          <w:sz w:val="24"/>
          <w:szCs w:val="24"/>
          <w:shd w:val="clear" w:color="auto" w:fill="FFFFFF"/>
        </w:rPr>
        <w:tab/>
      </w:r>
    </w:p>
    <w:p w14:paraId="6C9D6BA2" w14:textId="7942B97E" w:rsidR="00972AEF" w:rsidRDefault="00BA6050">
      <w:pPr>
        <w:pStyle w:val="Standard"/>
        <w:numPr>
          <w:ilvl w:val="0"/>
          <w:numId w:val="1"/>
        </w:numPr>
        <w:spacing w:line="254" w:lineRule="auto"/>
      </w:pPr>
      <w:r>
        <w:rPr>
          <w:sz w:val="24"/>
          <w:szCs w:val="24"/>
          <w:shd w:val="clear" w:color="auto" w:fill="FFFFFF"/>
        </w:rPr>
        <w:t>CCS Core Terms (version 3.0.10)</w:t>
      </w:r>
      <w:r w:rsidR="0065485E">
        <w:rPr>
          <w:sz w:val="24"/>
          <w:szCs w:val="24"/>
          <w:shd w:val="clear" w:color="auto" w:fill="FFFFFF"/>
        </w:rPr>
        <w:t xml:space="preserve"> - Appended</w:t>
      </w:r>
    </w:p>
    <w:p w14:paraId="6E3714AB" w14:textId="50ADA64F" w:rsidR="00972AEF" w:rsidRDefault="00BA6050">
      <w:pPr>
        <w:pStyle w:val="Standard"/>
        <w:numPr>
          <w:ilvl w:val="0"/>
          <w:numId w:val="1"/>
        </w:numPr>
        <w:spacing w:line="254" w:lineRule="auto"/>
      </w:pPr>
      <w:r>
        <w:rPr>
          <w:sz w:val="24"/>
          <w:szCs w:val="24"/>
          <w:shd w:val="clear" w:color="auto" w:fill="FFFFFF"/>
        </w:rPr>
        <w:t>Joint Schedule 5 (Corporate Social Responsibility</w:t>
      </w:r>
      <w:r w:rsidR="000609B6">
        <w:rPr>
          <w:sz w:val="24"/>
          <w:szCs w:val="24"/>
          <w:shd w:val="clear" w:color="auto" w:fill="FFFFFF"/>
        </w:rPr>
        <w:t>)</w:t>
      </w:r>
    </w:p>
    <w:p w14:paraId="5220D6D6" w14:textId="77777777" w:rsidR="00972AEF" w:rsidRDefault="00BA6050">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50DEAD2D" w14:textId="77777777" w:rsidR="00972AEF" w:rsidRDefault="00972AEF">
      <w:pPr>
        <w:pStyle w:val="Standard"/>
        <w:spacing w:line="240" w:lineRule="auto"/>
        <w:ind w:left="720"/>
        <w:rPr>
          <w:sz w:val="24"/>
          <w:szCs w:val="24"/>
          <w:shd w:val="clear" w:color="auto" w:fill="FFFFFF"/>
        </w:rPr>
      </w:pPr>
    </w:p>
    <w:p w14:paraId="09A68499" w14:textId="77777777" w:rsidR="00972AEF" w:rsidRDefault="00BA6050">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54398E9D" w14:textId="77777777" w:rsidR="00972AEF" w:rsidRDefault="00BA6050">
      <w:pPr>
        <w:pStyle w:val="Heading3"/>
        <w:numPr>
          <w:ilvl w:val="2"/>
          <w:numId w:val="2"/>
        </w:numPr>
        <w:tabs>
          <w:tab w:val="left" w:pos="2257"/>
        </w:tabs>
      </w:pPr>
      <w:bookmarkStart w:id="6" w:name="_2s8eyo1"/>
      <w:bookmarkEnd w:id="6"/>
      <w:r>
        <w:rPr>
          <w:color w:val="000000"/>
        </w:rPr>
        <w:t>Call-off special terms</w:t>
      </w:r>
    </w:p>
    <w:p w14:paraId="6FA0160D" w14:textId="77777777" w:rsidR="00972AEF" w:rsidRDefault="00972AEF">
      <w:pPr>
        <w:pStyle w:val="Standard"/>
        <w:tabs>
          <w:tab w:val="left" w:pos="2257"/>
        </w:tabs>
        <w:spacing w:line="240" w:lineRule="auto"/>
        <w:rPr>
          <w:sz w:val="24"/>
          <w:szCs w:val="24"/>
        </w:rPr>
      </w:pPr>
    </w:p>
    <w:p w14:paraId="6B7AEB74" w14:textId="77777777" w:rsidR="00972AEF" w:rsidRDefault="00BA6050">
      <w:pPr>
        <w:pStyle w:val="Standard"/>
        <w:tabs>
          <w:tab w:val="left" w:pos="2257"/>
        </w:tabs>
        <w:spacing w:line="240" w:lineRule="auto"/>
      </w:pPr>
      <w:r>
        <w:rPr>
          <w:sz w:val="24"/>
          <w:szCs w:val="24"/>
          <w:shd w:val="clear" w:color="auto" w:fill="FFFFFF"/>
        </w:rPr>
        <w:t>The following Special Terms are incorporated into this Call-Off Contract:</w:t>
      </w:r>
    </w:p>
    <w:p w14:paraId="1E9B4CA6" w14:textId="529BEBDA" w:rsidR="00D21DE1" w:rsidRDefault="00D21DE1" w:rsidP="00D21DE1">
      <w:pPr>
        <w:pStyle w:val="Standard"/>
        <w:tabs>
          <w:tab w:val="left" w:pos="2257"/>
        </w:tabs>
        <w:spacing w:line="240" w:lineRule="auto"/>
        <w:rPr>
          <w:sz w:val="24"/>
          <w:szCs w:val="24"/>
          <w:shd w:val="clear" w:color="auto" w:fill="FFFFFF"/>
        </w:rPr>
      </w:pPr>
      <w:r>
        <w:rPr>
          <w:sz w:val="24"/>
          <w:szCs w:val="24"/>
          <w:shd w:val="clear" w:color="auto" w:fill="FFFFFF"/>
        </w:rPr>
        <w:t>The Supplier shall comply with the Customer’s Mandatory Terms as set out in Call Off Schedule 23. For the avoidance of doubt and contrary to any other provision relating to precedence of terms in this Call-Off Contract, in case of any ambiguity or conflict, the Customers Mandatory Terms will supersede any other terms in this Call Off Contract.</w:t>
      </w:r>
    </w:p>
    <w:p w14:paraId="480035EA" w14:textId="77777777" w:rsidR="00517039" w:rsidRDefault="00517039" w:rsidP="00D21DE1">
      <w:pPr>
        <w:pStyle w:val="Standard"/>
        <w:tabs>
          <w:tab w:val="left" w:pos="2257"/>
        </w:tabs>
        <w:spacing w:line="240" w:lineRule="auto"/>
        <w:rPr>
          <w:sz w:val="24"/>
          <w:szCs w:val="24"/>
          <w:shd w:val="clear" w:color="auto" w:fill="FFFFFF"/>
        </w:rPr>
      </w:pPr>
    </w:p>
    <w:p w14:paraId="63018E82" w14:textId="77777777" w:rsidR="00972AEF" w:rsidRDefault="00972AEF">
      <w:pPr>
        <w:pStyle w:val="Standard"/>
        <w:spacing w:line="240" w:lineRule="auto"/>
        <w:rPr>
          <w:b/>
          <w:sz w:val="24"/>
          <w:szCs w:val="24"/>
          <w:shd w:val="clear" w:color="auto" w:fill="FFFFFF"/>
        </w:rPr>
      </w:pPr>
    </w:p>
    <w:p w14:paraId="4DC50C1C" w14:textId="60D65544" w:rsidR="00972AEF" w:rsidRDefault="00BA6050">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7D42D0">
        <w:rPr>
          <w:sz w:val="24"/>
          <w:szCs w:val="24"/>
          <w:shd w:val="clear" w:color="auto" w:fill="FFFFFF"/>
        </w:rPr>
        <w:t>2</w:t>
      </w:r>
      <w:r w:rsidR="00535E53">
        <w:rPr>
          <w:sz w:val="24"/>
          <w:szCs w:val="24"/>
          <w:shd w:val="clear" w:color="auto" w:fill="FFFFFF"/>
        </w:rPr>
        <w:t>8</w:t>
      </w:r>
      <w:r w:rsidR="00535E53">
        <w:rPr>
          <w:sz w:val="24"/>
          <w:szCs w:val="24"/>
          <w:shd w:val="clear" w:color="auto" w:fill="FFFFFF"/>
          <w:vertAlign w:val="superscript"/>
        </w:rPr>
        <w:t>th</w:t>
      </w:r>
      <w:r w:rsidR="007D42D0">
        <w:rPr>
          <w:sz w:val="24"/>
          <w:szCs w:val="24"/>
          <w:shd w:val="clear" w:color="auto" w:fill="FFFFFF"/>
        </w:rPr>
        <w:t xml:space="preserve"> February 2022</w:t>
      </w:r>
    </w:p>
    <w:p w14:paraId="1B6E63D1" w14:textId="77777777" w:rsidR="00972AEF" w:rsidRDefault="00972AEF">
      <w:pPr>
        <w:pStyle w:val="Standard"/>
        <w:spacing w:line="240" w:lineRule="auto"/>
        <w:rPr>
          <w:sz w:val="24"/>
          <w:szCs w:val="24"/>
          <w:shd w:val="clear" w:color="auto" w:fill="FFFFFF"/>
        </w:rPr>
      </w:pPr>
    </w:p>
    <w:p w14:paraId="74F81400" w14:textId="4EE38C37" w:rsidR="00972AEF" w:rsidRDefault="00BA6050">
      <w:pPr>
        <w:pStyle w:val="Standard"/>
        <w:spacing w:line="240" w:lineRule="auto"/>
      </w:pPr>
      <w:r>
        <w:rPr>
          <w:b/>
          <w:sz w:val="24"/>
          <w:szCs w:val="24"/>
          <w:shd w:val="clear" w:color="auto" w:fill="FFFFFF"/>
        </w:rPr>
        <w:t xml:space="preserve">Call-off </w:t>
      </w:r>
      <w:bookmarkStart w:id="7" w:name="_Hlk95809041"/>
      <w:r>
        <w:rPr>
          <w:b/>
          <w:sz w:val="24"/>
          <w:szCs w:val="24"/>
          <w:shd w:val="clear" w:color="auto" w:fill="FFFFFF"/>
        </w:rPr>
        <w:t>expiry date</w:t>
      </w:r>
      <w:bookmarkEnd w:id="7"/>
      <w:r>
        <w:rPr>
          <w:b/>
          <w:sz w:val="24"/>
          <w:szCs w:val="24"/>
          <w:shd w:val="clear" w:color="auto" w:fill="FFFFFF"/>
        </w:rPr>
        <w:t xml:space="preserve">: </w:t>
      </w:r>
      <w:r>
        <w:rPr>
          <w:b/>
          <w:sz w:val="24"/>
          <w:szCs w:val="24"/>
          <w:shd w:val="clear" w:color="auto" w:fill="FFFFFF"/>
        </w:rPr>
        <w:tab/>
      </w:r>
      <w:r>
        <w:rPr>
          <w:sz w:val="24"/>
          <w:szCs w:val="24"/>
          <w:shd w:val="clear" w:color="auto" w:fill="FFFFFF"/>
        </w:rPr>
        <w:tab/>
      </w:r>
      <w:r w:rsidR="00414574">
        <w:rPr>
          <w:sz w:val="24"/>
          <w:szCs w:val="24"/>
          <w:shd w:val="clear" w:color="auto" w:fill="FFFFFF"/>
        </w:rPr>
        <w:t>2</w:t>
      </w:r>
      <w:r w:rsidR="00535E53">
        <w:rPr>
          <w:sz w:val="24"/>
          <w:szCs w:val="24"/>
          <w:shd w:val="clear" w:color="auto" w:fill="FFFFFF"/>
        </w:rPr>
        <w:t>7</w:t>
      </w:r>
      <w:r w:rsidR="00414574" w:rsidRPr="00414574">
        <w:rPr>
          <w:sz w:val="24"/>
          <w:szCs w:val="24"/>
          <w:shd w:val="clear" w:color="auto" w:fill="FFFFFF"/>
          <w:vertAlign w:val="superscript"/>
        </w:rPr>
        <w:t>th</w:t>
      </w:r>
      <w:r w:rsidR="00414574">
        <w:rPr>
          <w:sz w:val="24"/>
          <w:szCs w:val="24"/>
          <w:shd w:val="clear" w:color="auto" w:fill="FFFFFF"/>
        </w:rPr>
        <w:t xml:space="preserve"> August 2022</w:t>
      </w:r>
    </w:p>
    <w:p w14:paraId="6C24445A" w14:textId="77777777" w:rsidR="00972AEF" w:rsidRDefault="00972AEF">
      <w:pPr>
        <w:pStyle w:val="Standard"/>
        <w:spacing w:line="240" w:lineRule="auto"/>
        <w:rPr>
          <w:sz w:val="24"/>
          <w:szCs w:val="24"/>
          <w:shd w:val="clear" w:color="auto" w:fill="FFFFFF"/>
        </w:rPr>
      </w:pPr>
    </w:p>
    <w:p w14:paraId="0CDE5417" w14:textId="0891FFE5" w:rsidR="006A1F39" w:rsidRPr="006A1F39" w:rsidRDefault="00535E53" w:rsidP="006A1F39">
      <w:pPr>
        <w:pStyle w:val="Standard"/>
        <w:spacing w:line="240" w:lineRule="auto"/>
        <w:rPr>
          <w:b/>
          <w:bCs/>
          <w:sz w:val="24"/>
          <w:szCs w:val="24"/>
          <w:shd w:val="clear" w:color="auto" w:fill="FFFFFF"/>
        </w:rPr>
      </w:pPr>
      <w:r w:rsidRPr="006A1F39">
        <w:rPr>
          <w:bCs/>
          <w:sz w:val="24"/>
          <w:szCs w:val="24"/>
          <w:shd w:val="clear" w:color="auto" w:fill="FFFFFF"/>
        </w:rPr>
        <w:t>The initial piece of work will be 3 months</w:t>
      </w:r>
      <w:r w:rsidR="006A1F39" w:rsidRPr="006A1F39">
        <w:rPr>
          <w:bCs/>
          <w:sz w:val="24"/>
          <w:szCs w:val="24"/>
          <w:shd w:val="clear" w:color="auto" w:fill="FFFFFF"/>
        </w:rPr>
        <w:t xml:space="preserve"> and no commitment </w:t>
      </w:r>
      <w:proofErr w:type="gramStart"/>
      <w:r w:rsidR="006A1F39" w:rsidRPr="006A1F39">
        <w:rPr>
          <w:bCs/>
          <w:sz w:val="24"/>
          <w:szCs w:val="24"/>
          <w:shd w:val="clear" w:color="auto" w:fill="FFFFFF"/>
        </w:rPr>
        <w:t>is</w:t>
      </w:r>
      <w:proofErr w:type="gramEnd"/>
      <w:r w:rsidR="006A1F39" w:rsidRPr="006A1F39">
        <w:rPr>
          <w:bCs/>
          <w:sz w:val="24"/>
          <w:szCs w:val="24"/>
          <w:shd w:val="clear" w:color="auto" w:fill="FFFFFF"/>
        </w:rPr>
        <w:t xml:space="preserve"> given to the extent as to which further work will be commissioned from this Call Off Order Form following the initial 3-month term.</w:t>
      </w:r>
    </w:p>
    <w:p w14:paraId="60CDF2AC" w14:textId="57E3903E" w:rsidR="00C94F6F" w:rsidRDefault="00C94F6F">
      <w:pPr>
        <w:pStyle w:val="Standard"/>
        <w:spacing w:line="240" w:lineRule="auto"/>
        <w:rPr>
          <w:sz w:val="24"/>
          <w:szCs w:val="24"/>
          <w:shd w:val="clear" w:color="auto" w:fill="FFFFFF"/>
        </w:rPr>
      </w:pPr>
    </w:p>
    <w:p w14:paraId="1695FB49" w14:textId="31681A1D" w:rsidR="00C94F6F" w:rsidRPr="00143C7E" w:rsidRDefault="006A1F39" w:rsidP="00C94F6F">
      <w:pPr>
        <w:rPr>
          <w:rFonts w:eastAsia="STZhongsong"/>
        </w:rPr>
      </w:pPr>
      <w:r>
        <w:rPr>
          <w:b/>
          <w:sz w:val="24"/>
          <w:szCs w:val="24"/>
          <w:shd w:val="clear" w:color="auto" w:fill="FFFFFF"/>
        </w:rPr>
        <w:t>Extension</w:t>
      </w:r>
      <w:r w:rsidRPr="00143C7E">
        <w:rPr>
          <w:rFonts w:eastAsia="STZhongsong"/>
        </w:rPr>
        <w:t xml:space="preserve"> </w:t>
      </w:r>
      <w:r w:rsidR="00C94F6F" w:rsidRPr="006A1F39">
        <w:rPr>
          <w:rFonts w:eastAsia="STZhongsong"/>
          <w:b/>
          <w:bCs/>
        </w:rPr>
        <w:t>(Optional)</w:t>
      </w:r>
      <w:r w:rsidR="00C94F6F" w:rsidRPr="00143C7E">
        <w:rPr>
          <w:rFonts w:eastAsia="STZhongsong"/>
        </w:rPr>
        <w:t xml:space="preserve"> Maximum Call-Off Contract Extension Period: 3 months</w:t>
      </w:r>
    </w:p>
    <w:p w14:paraId="12D5EB46" w14:textId="77777777" w:rsidR="00C94F6F" w:rsidRDefault="00C94F6F" w:rsidP="00C94F6F">
      <w:pPr>
        <w:rPr>
          <w:rFonts w:eastAsia="STZhongsong"/>
        </w:rPr>
      </w:pPr>
      <w:r w:rsidRPr="00143C7E">
        <w:rPr>
          <w:rFonts w:eastAsia="STZhongsong"/>
        </w:rPr>
        <w:t>Minimum written notice to Supplier in respect of extension: 30 days</w:t>
      </w:r>
    </w:p>
    <w:p w14:paraId="4804316E" w14:textId="77777777" w:rsidR="00972AEF" w:rsidRDefault="00BA6050">
      <w:pPr>
        <w:pStyle w:val="Heading3"/>
        <w:numPr>
          <w:ilvl w:val="2"/>
          <w:numId w:val="2"/>
        </w:numPr>
      </w:pPr>
      <w:bookmarkStart w:id="8" w:name="_17dp8vu"/>
      <w:bookmarkEnd w:id="8"/>
      <w:r>
        <w:rPr>
          <w:color w:val="000000"/>
          <w:shd w:val="clear" w:color="auto" w:fill="FFFFFF"/>
        </w:rPr>
        <w:t>Call-off deliverables:</w:t>
      </w:r>
    </w:p>
    <w:p w14:paraId="63E91AC8" w14:textId="77777777" w:rsidR="00972AEF" w:rsidRDefault="00972AEF">
      <w:pPr>
        <w:pStyle w:val="Standard"/>
        <w:spacing w:line="240" w:lineRule="auto"/>
        <w:rPr>
          <w:b/>
          <w:sz w:val="20"/>
          <w:szCs w:val="20"/>
        </w:rPr>
      </w:pPr>
    </w:p>
    <w:p w14:paraId="050F8E05" w14:textId="1049A1A9" w:rsidR="00972AEF" w:rsidRDefault="00BA6050">
      <w:pPr>
        <w:pStyle w:val="Standard"/>
        <w:tabs>
          <w:tab w:val="left" w:pos="2257"/>
        </w:tabs>
        <w:spacing w:line="240" w:lineRule="auto"/>
      </w:pPr>
      <w:r>
        <w:rPr>
          <w:sz w:val="24"/>
          <w:szCs w:val="24"/>
          <w:shd w:val="clear" w:color="auto" w:fill="FFFFFF"/>
        </w:rPr>
        <w:lastRenderedPageBreak/>
        <w:t>See details in Call-Off Schedule 20 (Call-Off Specification)</w:t>
      </w:r>
    </w:p>
    <w:p w14:paraId="40C7F703" w14:textId="77777777" w:rsidR="00972AEF" w:rsidRDefault="00972AEF">
      <w:pPr>
        <w:pStyle w:val="Standard"/>
        <w:tabs>
          <w:tab w:val="left" w:pos="2257"/>
        </w:tabs>
        <w:spacing w:line="240" w:lineRule="auto"/>
        <w:rPr>
          <w:b/>
          <w:sz w:val="24"/>
          <w:szCs w:val="24"/>
          <w:shd w:val="clear" w:color="auto" w:fill="FFFFFF"/>
        </w:rPr>
      </w:pPr>
    </w:p>
    <w:p w14:paraId="525BF379" w14:textId="6387C0DE" w:rsidR="00972AEF" w:rsidRDefault="00BA6050" w:rsidP="005F3A5D">
      <w:pPr>
        <w:pStyle w:val="Heading3"/>
        <w:numPr>
          <w:ilvl w:val="2"/>
          <w:numId w:val="2"/>
        </w:numPr>
        <w:tabs>
          <w:tab w:val="left" w:pos="2257"/>
        </w:tabs>
        <w:rPr>
          <w:color w:val="000000"/>
          <w:shd w:val="clear" w:color="auto" w:fill="FFFFFF"/>
        </w:rPr>
      </w:pPr>
      <w:bookmarkStart w:id="9" w:name="_3rdcrjn"/>
      <w:bookmarkEnd w:id="9"/>
      <w:r>
        <w:rPr>
          <w:color w:val="000000"/>
          <w:shd w:val="clear" w:color="auto" w:fill="FFFFFF"/>
        </w:rPr>
        <w:t>Maxim</w:t>
      </w:r>
      <w:r w:rsidR="005F3A5D">
        <w:rPr>
          <w:color w:val="000000"/>
          <w:shd w:val="clear" w:color="auto" w:fill="FFFFFF"/>
        </w:rPr>
        <w:t>u</w:t>
      </w:r>
      <w:r w:rsidRPr="005F3A5D">
        <w:rPr>
          <w:color w:val="000000"/>
          <w:shd w:val="clear" w:color="auto" w:fill="FFFFFF"/>
        </w:rPr>
        <w:t>m lia</w:t>
      </w:r>
      <w:r w:rsidR="005F3A5D" w:rsidRPr="005F3A5D">
        <w:rPr>
          <w:color w:val="000000"/>
          <w:shd w:val="clear" w:color="auto" w:fill="FFFFFF"/>
        </w:rPr>
        <w:t>b</w:t>
      </w:r>
      <w:r w:rsidRPr="005F3A5D">
        <w:rPr>
          <w:color w:val="000000"/>
          <w:shd w:val="clear" w:color="auto" w:fill="FFFFFF"/>
        </w:rPr>
        <w:t>ility</w:t>
      </w:r>
    </w:p>
    <w:p w14:paraId="69FEF6FD" w14:textId="77777777" w:rsidR="00DD2CA5" w:rsidRPr="00DD2CA5" w:rsidRDefault="00DD2CA5" w:rsidP="00DD2CA5">
      <w:pPr>
        <w:pStyle w:val="Standard"/>
      </w:pPr>
    </w:p>
    <w:p w14:paraId="2C984A71" w14:textId="77777777" w:rsidR="00972AEF" w:rsidRDefault="00BA6050">
      <w:pPr>
        <w:pStyle w:val="Standard"/>
        <w:tabs>
          <w:tab w:val="left" w:pos="2257"/>
        </w:tabs>
        <w:spacing w:line="240" w:lineRule="auto"/>
      </w:pPr>
      <w:r>
        <w:rPr>
          <w:sz w:val="24"/>
          <w:szCs w:val="24"/>
        </w:rPr>
        <w:t>The limitation of liability for this Call-Off Contract is stated in Clause 11.2 of the Core Terms.</w:t>
      </w:r>
    </w:p>
    <w:p w14:paraId="17E1DE45" w14:textId="77777777" w:rsidR="00972AEF" w:rsidRDefault="00972AEF">
      <w:pPr>
        <w:pStyle w:val="Standard"/>
        <w:tabs>
          <w:tab w:val="left" w:pos="2257"/>
        </w:tabs>
        <w:spacing w:line="240" w:lineRule="auto"/>
        <w:rPr>
          <w:sz w:val="24"/>
          <w:szCs w:val="24"/>
          <w:shd w:val="clear" w:color="auto" w:fill="FFFF00"/>
        </w:rPr>
      </w:pPr>
    </w:p>
    <w:p w14:paraId="4F18BAE2" w14:textId="64C76F7B" w:rsidR="00972AEF" w:rsidRPr="00781F93" w:rsidRDefault="00BA6050">
      <w:pPr>
        <w:pStyle w:val="Standard"/>
        <w:tabs>
          <w:tab w:val="left" w:pos="2257"/>
        </w:tabs>
        <w:spacing w:line="240" w:lineRule="auto"/>
        <w:rPr>
          <w:sz w:val="24"/>
          <w:szCs w:val="24"/>
          <w:shd w:val="clear" w:color="auto" w:fill="FFFFFF"/>
        </w:rPr>
      </w:pPr>
      <w:r>
        <w:rPr>
          <w:sz w:val="24"/>
          <w:szCs w:val="24"/>
          <w:shd w:val="clear" w:color="auto" w:fill="FFFFFF"/>
        </w:rPr>
        <w:t>The Estimated Year 1 Charges used in the first contract year are:</w:t>
      </w:r>
      <w:r w:rsidR="00BB44E1">
        <w:rPr>
          <w:sz w:val="24"/>
          <w:szCs w:val="24"/>
          <w:shd w:val="clear" w:color="auto" w:fill="FFFFFF"/>
        </w:rPr>
        <w:t xml:space="preserve"> </w:t>
      </w:r>
      <w:r w:rsidR="00D65498">
        <w:rPr>
          <w:sz w:val="24"/>
          <w:szCs w:val="24"/>
          <w:shd w:val="clear" w:color="auto" w:fill="FFFFFF"/>
        </w:rPr>
        <w:t>[REDACTED]</w:t>
      </w:r>
    </w:p>
    <w:p w14:paraId="02C64453" w14:textId="77777777" w:rsidR="00972AEF" w:rsidRDefault="00972AEF">
      <w:pPr>
        <w:pStyle w:val="Standard"/>
        <w:tabs>
          <w:tab w:val="left" w:pos="2257"/>
        </w:tabs>
        <w:spacing w:line="240" w:lineRule="auto"/>
        <w:rPr>
          <w:sz w:val="24"/>
          <w:szCs w:val="24"/>
          <w:shd w:val="clear" w:color="auto" w:fill="FFFFFF"/>
        </w:rPr>
      </w:pPr>
    </w:p>
    <w:p w14:paraId="7949824C" w14:textId="59EF4921" w:rsidR="00972AEF" w:rsidRDefault="00972AEF">
      <w:pPr>
        <w:pStyle w:val="Standard"/>
        <w:tabs>
          <w:tab w:val="left" w:pos="2257"/>
        </w:tabs>
        <w:spacing w:line="240" w:lineRule="auto"/>
        <w:rPr>
          <w:b/>
          <w:sz w:val="12"/>
          <w:szCs w:val="12"/>
          <w:shd w:val="clear" w:color="auto" w:fill="FFFFFF"/>
        </w:rPr>
      </w:pPr>
    </w:p>
    <w:p w14:paraId="14188D19" w14:textId="755628CA" w:rsidR="00972AEF" w:rsidRDefault="00BA6050">
      <w:pPr>
        <w:pStyle w:val="Heading3"/>
        <w:numPr>
          <w:ilvl w:val="2"/>
          <w:numId w:val="2"/>
        </w:numPr>
        <w:tabs>
          <w:tab w:val="left" w:pos="2257"/>
        </w:tabs>
        <w:rPr>
          <w:color w:val="000000"/>
        </w:rPr>
      </w:pPr>
      <w:bookmarkStart w:id="10" w:name="_26in1rg"/>
      <w:bookmarkEnd w:id="10"/>
      <w:r>
        <w:rPr>
          <w:color w:val="000000"/>
        </w:rPr>
        <w:t>Call-off charges</w:t>
      </w:r>
    </w:p>
    <w:p w14:paraId="0567C845" w14:textId="77777777" w:rsidR="00DD2CA5" w:rsidRPr="00DD2CA5" w:rsidRDefault="00DD2CA5" w:rsidP="00DD2CA5">
      <w:pPr>
        <w:pStyle w:val="Standard"/>
      </w:pPr>
    </w:p>
    <w:p w14:paraId="5011FBEA" w14:textId="6CE64339" w:rsidR="00972AEF" w:rsidRDefault="00BA6050">
      <w:pPr>
        <w:pStyle w:val="Standard"/>
        <w:tabs>
          <w:tab w:val="left" w:pos="2257"/>
        </w:tabs>
        <w:spacing w:line="240" w:lineRule="auto"/>
      </w:pPr>
      <w:r>
        <w:rPr>
          <w:sz w:val="24"/>
          <w:szCs w:val="24"/>
          <w:shd w:val="clear" w:color="auto" w:fill="FFFFFF"/>
        </w:rPr>
        <w:t>See details in Call-Off Schedule 5 (Pricing Details)</w:t>
      </w:r>
    </w:p>
    <w:p w14:paraId="5CFA0DB5" w14:textId="77777777" w:rsidR="00972AEF" w:rsidRDefault="00972AEF">
      <w:pPr>
        <w:pStyle w:val="Standard"/>
        <w:tabs>
          <w:tab w:val="left" w:pos="2257"/>
        </w:tabs>
        <w:spacing w:line="240" w:lineRule="auto"/>
        <w:rPr>
          <w:sz w:val="24"/>
          <w:szCs w:val="24"/>
        </w:rPr>
      </w:pPr>
    </w:p>
    <w:p w14:paraId="7FECCED6" w14:textId="77777777" w:rsidR="00972AEF" w:rsidRDefault="00BA6050">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AC7F223" w14:textId="77777777" w:rsidR="00972AEF" w:rsidRDefault="00972AEF">
      <w:pPr>
        <w:pStyle w:val="Standard"/>
        <w:tabs>
          <w:tab w:val="left" w:pos="2257"/>
        </w:tabs>
        <w:spacing w:line="240" w:lineRule="auto"/>
        <w:rPr>
          <w:sz w:val="24"/>
          <w:szCs w:val="24"/>
        </w:rPr>
      </w:pPr>
    </w:p>
    <w:p w14:paraId="23A0EF13" w14:textId="77777777" w:rsidR="00972AEF" w:rsidRDefault="00BA6050">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700074E1" w14:textId="77777777" w:rsidR="00972AEF" w:rsidRDefault="00972AEF">
      <w:pPr>
        <w:pStyle w:val="Standard"/>
        <w:tabs>
          <w:tab w:val="left" w:pos="2257"/>
        </w:tabs>
        <w:spacing w:line="240" w:lineRule="auto"/>
        <w:rPr>
          <w:sz w:val="24"/>
          <w:szCs w:val="24"/>
        </w:rPr>
      </w:pPr>
    </w:p>
    <w:p w14:paraId="5C90D8CB" w14:textId="77777777" w:rsidR="00972AEF" w:rsidRDefault="00BA6050">
      <w:pPr>
        <w:pStyle w:val="Standard"/>
        <w:numPr>
          <w:ilvl w:val="0"/>
          <w:numId w:val="6"/>
        </w:numPr>
        <w:tabs>
          <w:tab w:val="left" w:pos="2977"/>
        </w:tabs>
        <w:spacing w:line="254" w:lineRule="auto"/>
      </w:pPr>
      <w:r>
        <w:rPr>
          <w:sz w:val="24"/>
          <w:szCs w:val="24"/>
        </w:rPr>
        <w:t>Specific Change in Law</w:t>
      </w:r>
    </w:p>
    <w:p w14:paraId="2C36AA90" w14:textId="196269ED" w:rsidR="00972AEF" w:rsidRDefault="00BA6050" w:rsidP="00DD2CA5">
      <w:pPr>
        <w:pStyle w:val="Standard"/>
        <w:numPr>
          <w:ilvl w:val="0"/>
          <w:numId w:val="3"/>
        </w:numPr>
        <w:tabs>
          <w:tab w:val="left" w:pos="2977"/>
        </w:tabs>
        <w:spacing w:line="254" w:lineRule="auto"/>
      </w:pPr>
      <w:r>
        <w:rPr>
          <w:sz w:val="24"/>
          <w:szCs w:val="24"/>
        </w:rPr>
        <w:t>Benchmarking using Call-Off Schedule 16 (Benchmarking)</w:t>
      </w:r>
      <w:bookmarkStart w:id="11" w:name="_lnxbz9"/>
      <w:bookmarkEnd w:id="11"/>
    </w:p>
    <w:p w14:paraId="483A10AE" w14:textId="429E43B4" w:rsidR="00972AEF" w:rsidRDefault="00BA6050">
      <w:pPr>
        <w:pStyle w:val="Heading3"/>
        <w:numPr>
          <w:ilvl w:val="2"/>
          <w:numId w:val="2"/>
        </w:numPr>
        <w:tabs>
          <w:tab w:val="left" w:pos="2257"/>
        </w:tabs>
        <w:rPr>
          <w:color w:val="000000"/>
        </w:rPr>
      </w:pPr>
      <w:bookmarkStart w:id="12" w:name="_s4mpfk5olhjx"/>
      <w:bookmarkEnd w:id="12"/>
      <w:r>
        <w:rPr>
          <w:color w:val="000000"/>
        </w:rPr>
        <w:t>Reimbursable expenses</w:t>
      </w:r>
    </w:p>
    <w:p w14:paraId="1A38D5A5" w14:textId="77777777" w:rsidR="009F368F" w:rsidRDefault="009F368F" w:rsidP="009F368F">
      <w:pPr>
        <w:pStyle w:val="Standard"/>
        <w:numPr>
          <w:ilvl w:val="0"/>
          <w:numId w:val="2"/>
        </w:numPr>
        <w:tabs>
          <w:tab w:val="left" w:pos="2257"/>
        </w:tabs>
        <w:spacing w:line="240" w:lineRule="auto"/>
        <w:rPr>
          <w:sz w:val="24"/>
          <w:szCs w:val="24"/>
        </w:rPr>
      </w:pPr>
      <w:r>
        <w:rPr>
          <w:sz w:val="24"/>
          <w:szCs w:val="24"/>
        </w:rPr>
        <w:t>Reimbursable expenses are not permitted within the M25 Greater London area unless expressly permitted by the HMRC Programme Manager. Reimbursable Expenses incurred for activity outside of the M25 Greater London area will be permitted with the prior agreement of the HMRC Programme Manager, in accordance with HMRC’s T&amp;S Policy. Any expenses agreed to by the HMRC Programme Manager must follow HMRC travel &amp; subsistence policy, which will be provided at the time of the request.</w:t>
      </w:r>
    </w:p>
    <w:p w14:paraId="4C981792" w14:textId="77777777" w:rsidR="009F368F" w:rsidRPr="009F368F" w:rsidRDefault="009F368F" w:rsidP="009F368F">
      <w:pPr>
        <w:pStyle w:val="Standard"/>
      </w:pPr>
    </w:p>
    <w:p w14:paraId="5907511F" w14:textId="571B44D3" w:rsidR="005F132D" w:rsidRPr="005F132D" w:rsidRDefault="00BA6050" w:rsidP="005F132D">
      <w:pPr>
        <w:pStyle w:val="Heading3"/>
        <w:numPr>
          <w:ilvl w:val="2"/>
          <w:numId w:val="2"/>
        </w:numPr>
        <w:tabs>
          <w:tab w:val="left" w:pos="2257"/>
        </w:tabs>
      </w:pPr>
      <w:bookmarkStart w:id="13" w:name="_35nkun2"/>
      <w:bookmarkEnd w:id="13"/>
      <w:r>
        <w:rPr>
          <w:color w:val="000000"/>
        </w:rPr>
        <w:t xml:space="preserve">Payment </w:t>
      </w:r>
      <w:r>
        <w:t>method</w:t>
      </w:r>
    </w:p>
    <w:p w14:paraId="546B11F8" w14:textId="77777777" w:rsidR="00282B54" w:rsidRPr="002E2456" w:rsidRDefault="00282B54" w:rsidP="00282B54">
      <w:pPr>
        <w:pStyle w:val="Standard"/>
        <w:numPr>
          <w:ilvl w:val="0"/>
          <w:numId w:val="2"/>
        </w:numPr>
        <w:tabs>
          <w:tab w:val="left" w:pos="2257"/>
        </w:tabs>
        <w:spacing w:line="240" w:lineRule="auto"/>
        <w:rPr>
          <w:sz w:val="24"/>
          <w:szCs w:val="24"/>
        </w:rPr>
      </w:pPr>
      <w:r w:rsidRPr="002E2456">
        <w:rPr>
          <w:sz w:val="24"/>
          <w:szCs w:val="24"/>
        </w:rPr>
        <w:t xml:space="preserve">HMRC operates with the SAP Ariba Buying and Invoicing platform internally badged as myBUY, therefore the Supplier will be obliged to receive Purchase Orders from and transact invoices back to HMRC over the Ariba network. </w:t>
      </w:r>
    </w:p>
    <w:p w14:paraId="61B6D86E" w14:textId="77777777" w:rsidR="00972AEF" w:rsidRDefault="00BA6050">
      <w:pPr>
        <w:pStyle w:val="Heading3"/>
        <w:numPr>
          <w:ilvl w:val="2"/>
          <w:numId w:val="2"/>
        </w:numPr>
        <w:tabs>
          <w:tab w:val="left" w:pos="2257"/>
        </w:tabs>
      </w:pPr>
      <w:bookmarkStart w:id="14" w:name="_1ksv4uv"/>
      <w:bookmarkEnd w:id="14"/>
      <w:r>
        <w:rPr>
          <w:color w:val="000000"/>
        </w:rPr>
        <w:t>Buyer’s invoice address</w:t>
      </w:r>
    </w:p>
    <w:p w14:paraId="46BE1E46" w14:textId="77777777" w:rsidR="00855A4F" w:rsidRDefault="00855A4F" w:rsidP="00855A4F">
      <w:pPr>
        <w:pStyle w:val="Standard"/>
        <w:numPr>
          <w:ilvl w:val="0"/>
          <w:numId w:val="2"/>
        </w:numPr>
        <w:tabs>
          <w:tab w:val="left" w:pos="2257"/>
        </w:tabs>
        <w:spacing w:line="240" w:lineRule="auto"/>
        <w:rPr>
          <w:sz w:val="24"/>
          <w:szCs w:val="24"/>
        </w:rPr>
      </w:pPr>
      <w:r>
        <w:rPr>
          <w:sz w:val="24"/>
          <w:szCs w:val="24"/>
        </w:rPr>
        <w:t>Payments will be directed through the HMRC SAP Ariba Network</w:t>
      </w:r>
    </w:p>
    <w:p w14:paraId="03854834" w14:textId="77777777" w:rsidR="00972AEF" w:rsidRDefault="00972AEF">
      <w:pPr>
        <w:pStyle w:val="Standard"/>
        <w:tabs>
          <w:tab w:val="left" w:pos="2257"/>
        </w:tabs>
        <w:spacing w:line="240" w:lineRule="auto"/>
        <w:rPr>
          <w:b/>
          <w:sz w:val="24"/>
          <w:szCs w:val="24"/>
          <w:shd w:val="clear" w:color="auto" w:fill="FFFFFF"/>
        </w:rPr>
      </w:pPr>
    </w:p>
    <w:p w14:paraId="2B2FB62E" w14:textId="77777777" w:rsidR="00972AEF" w:rsidRDefault="00BA6050">
      <w:pPr>
        <w:pStyle w:val="Standard"/>
        <w:tabs>
          <w:tab w:val="left" w:pos="2257"/>
        </w:tabs>
        <w:spacing w:line="240" w:lineRule="auto"/>
      </w:pPr>
      <w:r>
        <w:rPr>
          <w:b/>
          <w:sz w:val="24"/>
          <w:szCs w:val="24"/>
        </w:rPr>
        <w:t>Buyer’s authorised representative</w:t>
      </w:r>
    </w:p>
    <w:p w14:paraId="07D0ECDC" w14:textId="77777777" w:rsidR="00D65498" w:rsidRDefault="00D65498" w:rsidP="00686546">
      <w:pPr>
        <w:rPr>
          <w:rFonts w:eastAsia="Times New Roman"/>
          <w:sz w:val="24"/>
          <w:szCs w:val="24"/>
          <w:lang w:eastAsia="en-GB" w:bidi="ar-SA"/>
        </w:rPr>
      </w:pPr>
      <w:r>
        <w:rPr>
          <w:rFonts w:eastAsia="Times New Roman"/>
          <w:sz w:val="24"/>
          <w:szCs w:val="24"/>
          <w:lang w:eastAsia="en-GB" w:bidi="ar-SA"/>
        </w:rPr>
        <w:t>[REDACTED]</w:t>
      </w:r>
    </w:p>
    <w:p w14:paraId="3F5F2F60" w14:textId="3CC5B581" w:rsidR="00686546" w:rsidRPr="006A1F39" w:rsidRDefault="00686546" w:rsidP="00686546">
      <w:pPr>
        <w:rPr>
          <w:rFonts w:eastAsia="Times New Roman"/>
          <w:sz w:val="24"/>
          <w:szCs w:val="24"/>
          <w:lang w:eastAsia="en-GB" w:bidi="ar-SA"/>
        </w:rPr>
      </w:pPr>
      <w:r w:rsidRPr="006A1F39">
        <w:rPr>
          <w:rFonts w:eastAsia="Times New Roman"/>
          <w:sz w:val="24"/>
          <w:szCs w:val="24"/>
          <w:lang w:eastAsia="en-GB" w:bidi="ar-SA"/>
        </w:rPr>
        <w:t>Queensway House</w:t>
      </w:r>
    </w:p>
    <w:p w14:paraId="41A95B41" w14:textId="77777777" w:rsidR="00686546" w:rsidRPr="006A1F39" w:rsidRDefault="00686546" w:rsidP="00686546">
      <w:pPr>
        <w:suppressAutoHyphens w:val="0"/>
        <w:autoSpaceDN/>
        <w:rPr>
          <w:rFonts w:eastAsia="Times New Roman"/>
          <w:sz w:val="24"/>
          <w:szCs w:val="24"/>
          <w:lang w:eastAsia="en-GB" w:bidi="ar-SA"/>
        </w:rPr>
      </w:pPr>
      <w:r w:rsidRPr="006A1F39">
        <w:rPr>
          <w:rFonts w:eastAsia="Times New Roman"/>
          <w:sz w:val="24"/>
          <w:szCs w:val="24"/>
          <w:lang w:eastAsia="en-GB" w:bidi="ar-SA"/>
        </w:rPr>
        <w:t>East Kilbride</w:t>
      </w:r>
    </w:p>
    <w:p w14:paraId="191E9D3D" w14:textId="77777777" w:rsidR="00686546" w:rsidRPr="006A1F39" w:rsidRDefault="00686546" w:rsidP="00686546">
      <w:pPr>
        <w:suppressAutoHyphens w:val="0"/>
        <w:autoSpaceDN/>
        <w:rPr>
          <w:rFonts w:eastAsia="Times New Roman"/>
          <w:sz w:val="24"/>
          <w:szCs w:val="24"/>
          <w:lang w:eastAsia="en-GB" w:bidi="ar-SA"/>
        </w:rPr>
      </w:pPr>
      <w:r w:rsidRPr="006A1F39">
        <w:rPr>
          <w:rFonts w:eastAsia="Times New Roman"/>
          <w:sz w:val="24"/>
          <w:szCs w:val="24"/>
          <w:lang w:eastAsia="en-GB" w:bidi="ar-SA"/>
        </w:rPr>
        <w:t>UK</w:t>
      </w:r>
    </w:p>
    <w:p w14:paraId="74D32749" w14:textId="4924A9C4" w:rsidR="00972AEF" w:rsidRPr="00BB49E5" w:rsidRDefault="00686546" w:rsidP="00BB49E5">
      <w:pPr>
        <w:suppressAutoHyphens w:val="0"/>
        <w:autoSpaceDN/>
        <w:rPr>
          <w:rFonts w:eastAsia="Times New Roman"/>
          <w:color w:val="000000"/>
          <w:sz w:val="24"/>
          <w:szCs w:val="24"/>
          <w:lang w:eastAsia="en-GB" w:bidi="ar-SA"/>
        </w:rPr>
      </w:pPr>
      <w:r w:rsidRPr="006A1F39">
        <w:rPr>
          <w:rFonts w:eastAsia="Times New Roman"/>
          <w:sz w:val="24"/>
          <w:szCs w:val="24"/>
          <w:lang w:eastAsia="en-GB" w:bidi="ar-SA"/>
        </w:rPr>
        <w:lastRenderedPageBreak/>
        <w:t>G79 1AA</w:t>
      </w:r>
    </w:p>
    <w:p w14:paraId="63970804" w14:textId="37761C33" w:rsidR="00972AEF" w:rsidRDefault="00BA6050">
      <w:pPr>
        <w:pStyle w:val="Heading3"/>
        <w:numPr>
          <w:ilvl w:val="2"/>
          <w:numId w:val="2"/>
        </w:numPr>
        <w:tabs>
          <w:tab w:val="left" w:pos="2257"/>
        </w:tabs>
        <w:rPr>
          <w:color w:val="000000"/>
        </w:rPr>
      </w:pPr>
      <w:bookmarkStart w:id="15" w:name="_44sinio"/>
      <w:bookmarkEnd w:id="15"/>
      <w:r>
        <w:rPr>
          <w:color w:val="000000"/>
        </w:rPr>
        <w:t>B</w:t>
      </w:r>
      <w:r w:rsidR="00BB49E5">
        <w:rPr>
          <w:color w:val="000000"/>
        </w:rPr>
        <w:t>u</w:t>
      </w:r>
      <w:r>
        <w:rPr>
          <w:color w:val="000000"/>
        </w:rPr>
        <w:t>yer’s security policy</w:t>
      </w:r>
    </w:p>
    <w:p w14:paraId="3F1E4A84" w14:textId="77777777" w:rsidR="009C3FEF" w:rsidRDefault="009C3FEF" w:rsidP="009C3FEF">
      <w:pPr>
        <w:pStyle w:val="Standard"/>
        <w:numPr>
          <w:ilvl w:val="0"/>
          <w:numId w:val="2"/>
        </w:numPr>
        <w:tabs>
          <w:tab w:val="left" w:pos="2257"/>
        </w:tabs>
        <w:spacing w:line="240" w:lineRule="auto"/>
        <w:rPr>
          <w:sz w:val="24"/>
          <w:szCs w:val="24"/>
        </w:rPr>
      </w:pPr>
      <w:r w:rsidRPr="0029331F">
        <w:rPr>
          <w:sz w:val="24"/>
          <w:szCs w:val="24"/>
        </w:rPr>
        <w:t>Appended at Call-Off Schedule 9</w:t>
      </w:r>
    </w:p>
    <w:p w14:paraId="77DDE8E2" w14:textId="77777777" w:rsidR="00972AEF" w:rsidRDefault="00BA6050">
      <w:pPr>
        <w:pStyle w:val="Heading3"/>
        <w:tabs>
          <w:tab w:val="left" w:pos="2257"/>
        </w:tabs>
      </w:pPr>
      <w:bookmarkStart w:id="16" w:name="_2jxsxqh"/>
      <w:bookmarkEnd w:id="16"/>
      <w:r>
        <w:rPr>
          <w:color w:val="000000"/>
        </w:rPr>
        <w:t>Supplier’s authorised representative</w:t>
      </w:r>
    </w:p>
    <w:p w14:paraId="0CE6A4B1" w14:textId="593503FC" w:rsidR="00972AEF" w:rsidRPr="006A7582" w:rsidRDefault="00D65498" w:rsidP="006A7582">
      <w:pPr>
        <w:rPr>
          <w:rFonts w:eastAsia="Times New Roman"/>
          <w:color w:val="000000"/>
          <w:sz w:val="24"/>
          <w:szCs w:val="24"/>
          <w:lang w:eastAsia="en-GB" w:bidi="ar-SA"/>
        </w:rPr>
      </w:pPr>
      <w:r>
        <w:rPr>
          <w:rFonts w:eastAsia="Times New Roman"/>
          <w:color w:val="000000"/>
          <w:sz w:val="24"/>
          <w:szCs w:val="24"/>
          <w:lang w:eastAsia="en-GB" w:bidi="ar-SA"/>
        </w:rPr>
        <w:t>[REDACTED]</w:t>
      </w:r>
    </w:p>
    <w:p w14:paraId="726671DB" w14:textId="77777777" w:rsidR="00781F93" w:rsidRPr="006A7582" w:rsidRDefault="00781F93" w:rsidP="006A7582">
      <w:pPr>
        <w:rPr>
          <w:rFonts w:eastAsia="Times New Roman"/>
          <w:color w:val="000000"/>
          <w:sz w:val="24"/>
          <w:szCs w:val="24"/>
          <w:lang w:eastAsia="en-GB" w:bidi="ar-SA"/>
        </w:rPr>
      </w:pPr>
      <w:r w:rsidRPr="006A7582">
        <w:rPr>
          <w:rFonts w:eastAsia="Times New Roman"/>
          <w:color w:val="000000"/>
          <w:sz w:val="24"/>
          <w:szCs w:val="24"/>
          <w:lang w:eastAsia="en-GB" w:bidi="ar-SA"/>
        </w:rPr>
        <w:t>1 More London Place</w:t>
      </w:r>
    </w:p>
    <w:p w14:paraId="125DF6B0" w14:textId="1A05FA77" w:rsidR="00972AEF" w:rsidRPr="006A7582" w:rsidRDefault="00781F93" w:rsidP="006A7582">
      <w:pPr>
        <w:rPr>
          <w:rFonts w:eastAsia="Times New Roman"/>
          <w:color w:val="000000"/>
          <w:sz w:val="24"/>
          <w:szCs w:val="24"/>
          <w:lang w:eastAsia="en-GB" w:bidi="ar-SA"/>
        </w:rPr>
      </w:pPr>
      <w:r w:rsidRPr="006A7582">
        <w:rPr>
          <w:rFonts w:eastAsia="Times New Roman"/>
          <w:color w:val="000000"/>
          <w:sz w:val="24"/>
          <w:szCs w:val="24"/>
          <w:lang w:eastAsia="en-GB" w:bidi="ar-SA"/>
        </w:rPr>
        <w:t>London SE1 2AF, UK</w:t>
      </w:r>
    </w:p>
    <w:p w14:paraId="39CD78C2" w14:textId="77777777" w:rsidR="00972AEF" w:rsidRDefault="00BA6050">
      <w:pPr>
        <w:pStyle w:val="Heading3"/>
        <w:numPr>
          <w:ilvl w:val="2"/>
          <w:numId w:val="2"/>
        </w:numPr>
        <w:tabs>
          <w:tab w:val="left" w:pos="2257"/>
        </w:tabs>
      </w:pPr>
      <w:bookmarkStart w:id="17" w:name="_z337ya"/>
      <w:bookmarkEnd w:id="17"/>
      <w:r>
        <w:rPr>
          <w:color w:val="000000"/>
        </w:rPr>
        <w:t>Supplier’s contract manager</w:t>
      </w:r>
    </w:p>
    <w:p w14:paraId="2D5FF68B" w14:textId="15BD9E1E" w:rsidR="00972AEF" w:rsidRPr="006A7582" w:rsidRDefault="00D65498" w:rsidP="006A7582">
      <w:pPr>
        <w:rPr>
          <w:rFonts w:eastAsia="Times New Roman"/>
          <w:color w:val="000000"/>
          <w:sz w:val="24"/>
          <w:szCs w:val="24"/>
          <w:lang w:eastAsia="en-GB" w:bidi="ar-SA"/>
        </w:rPr>
      </w:pPr>
      <w:r>
        <w:rPr>
          <w:rFonts w:eastAsia="Times New Roman"/>
          <w:color w:val="000000"/>
          <w:sz w:val="24"/>
          <w:szCs w:val="24"/>
          <w:lang w:eastAsia="en-GB" w:bidi="ar-SA"/>
        </w:rPr>
        <w:t>[REDACTED]</w:t>
      </w:r>
    </w:p>
    <w:p w14:paraId="4BED8E61" w14:textId="77777777" w:rsidR="00781F93" w:rsidRPr="006A7582" w:rsidRDefault="00781F93" w:rsidP="006A7582">
      <w:pPr>
        <w:rPr>
          <w:rFonts w:eastAsia="Times New Roman"/>
          <w:color w:val="000000"/>
          <w:sz w:val="24"/>
          <w:szCs w:val="24"/>
          <w:lang w:eastAsia="en-GB" w:bidi="ar-SA"/>
        </w:rPr>
      </w:pPr>
      <w:bookmarkStart w:id="18" w:name="_3j2qqm3"/>
      <w:bookmarkEnd w:id="18"/>
      <w:r w:rsidRPr="006A7582">
        <w:rPr>
          <w:rFonts w:eastAsia="Times New Roman"/>
          <w:color w:val="000000"/>
          <w:sz w:val="24"/>
          <w:szCs w:val="24"/>
          <w:lang w:eastAsia="en-GB" w:bidi="ar-SA"/>
        </w:rPr>
        <w:t>1 More London Place</w:t>
      </w:r>
    </w:p>
    <w:p w14:paraId="737BECDC" w14:textId="77777777" w:rsidR="00781F93" w:rsidRPr="006A7582" w:rsidRDefault="00781F93" w:rsidP="006A7582">
      <w:pPr>
        <w:rPr>
          <w:rFonts w:eastAsia="Times New Roman"/>
          <w:color w:val="000000"/>
          <w:sz w:val="24"/>
          <w:szCs w:val="24"/>
          <w:lang w:eastAsia="en-GB" w:bidi="ar-SA"/>
        </w:rPr>
      </w:pPr>
      <w:r w:rsidRPr="006A7582">
        <w:rPr>
          <w:rFonts w:eastAsia="Times New Roman"/>
          <w:color w:val="000000"/>
          <w:sz w:val="24"/>
          <w:szCs w:val="24"/>
          <w:lang w:eastAsia="en-GB" w:bidi="ar-SA"/>
        </w:rPr>
        <w:t>London SE1 2AF, UK</w:t>
      </w:r>
    </w:p>
    <w:p w14:paraId="3F0CCABC" w14:textId="77777777" w:rsidR="00972AEF" w:rsidRDefault="00BA6050">
      <w:pPr>
        <w:pStyle w:val="Heading3"/>
        <w:tabs>
          <w:tab w:val="left" w:pos="2257"/>
        </w:tabs>
      </w:pPr>
      <w:r>
        <w:rPr>
          <w:color w:val="000000"/>
        </w:rPr>
        <w:t>Progress report frequency</w:t>
      </w:r>
    </w:p>
    <w:p w14:paraId="375D6026" w14:textId="727656B3" w:rsidR="00972AEF" w:rsidRDefault="009A695A">
      <w:pPr>
        <w:pStyle w:val="Standard"/>
        <w:tabs>
          <w:tab w:val="left" w:pos="2257"/>
        </w:tabs>
        <w:spacing w:line="240" w:lineRule="auto"/>
        <w:rPr>
          <w:sz w:val="24"/>
          <w:szCs w:val="24"/>
        </w:rPr>
      </w:pPr>
      <w:r>
        <w:rPr>
          <w:sz w:val="24"/>
          <w:szCs w:val="24"/>
        </w:rPr>
        <w:t>Weekly</w:t>
      </w:r>
    </w:p>
    <w:p w14:paraId="143E55EB" w14:textId="77777777" w:rsidR="00972AEF" w:rsidRDefault="00BA6050">
      <w:pPr>
        <w:pStyle w:val="Heading3"/>
        <w:numPr>
          <w:ilvl w:val="2"/>
          <w:numId w:val="2"/>
        </w:numPr>
        <w:tabs>
          <w:tab w:val="left" w:pos="2257"/>
        </w:tabs>
      </w:pPr>
      <w:bookmarkStart w:id="19" w:name="_1y810tw"/>
      <w:bookmarkEnd w:id="19"/>
      <w:r>
        <w:rPr>
          <w:color w:val="000000"/>
        </w:rPr>
        <w:t>Progress meeting frequency</w:t>
      </w:r>
    </w:p>
    <w:p w14:paraId="6DA6EE21" w14:textId="133C97D4" w:rsidR="00972AEF" w:rsidRDefault="009A695A">
      <w:pPr>
        <w:pStyle w:val="Standard"/>
        <w:tabs>
          <w:tab w:val="left" w:pos="2257"/>
        </w:tabs>
        <w:spacing w:line="240" w:lineRule="auto"/>
        <w:rPr>
          <w:sz w:val="24"/>
          <w:szCs w:val="24"/>
        </w:rPr>
      </w:pPr>
      <w:r>
        <w:rPr>
          <w:sz w:val="24"/>
          <w:szCs w:val="24"/>
        </w:rPr>
        <w:t xml:space="preserve">Weekly </w:t>
      </w:r>
    </w:p>
    <w:p w14:paraId="05E42971" w14:textId="77777777" w:rsidR="009301A5" w:rsidRPr="009C3FEF" w:rsidRDefault="009301A5">
      <w:pPr>
        <w:pStyle w:val="Standard"/>
        <w:tabs>
          <w:tab w:val="left" w:pos="2257"/>
        </w:tabs>
        <w:spacing w:line="240" w:lineRule="auto"/>
        <w:rPr>
          <w:sz w:val="24"/>
          <w:szCs w:val="24"/>
        </w:rPr>
      </w:pPr>
    </w:p>
    <w:p w14:paraId="380A6305" w14:textId="77777777" w:rsidR="00972AEF" w:rsidRDefault="00BA6050">
      <w:pPr>
        <w:pStyle w:val="Standard"/>
        <w:tabs>
          <w:tab w:val="left" w:pos="2257"/>
        </w:tabs>
        <w:spacing w:line="240" w:lineRule="auto"/>
      </w:pPr>
      <w:r>
        <w:rPr>
          <w:b/>
          <w:sz w:val="24"/>
          <w:szCs w:val="24"/>
        </w:rPr>
        <w:t>Key staff</w:t>
      </w:r>
    </w:p>
    <w:p w14:paraId="49E088E7" w14:textId="512448D5" w:rsidR="00161928" w:rsidRPr="009301A5" w:rsidRDefault="009301A5" w:rsidP="009301A5">
      <w:pPr>
        <w:pStyle w:val="Heading3"/>
        <w:numPr>
          <w:ilvl w:val="0"/>
          <w:numId w:val="2"/>
        </w:numPr>
        <w:tabs>
          <w:tab w:val="left" w:pos="2257"/>
        </w:tabs>
        <w:rPr>
          <w:b w:val="0"/>
          <w:color w:val="000000"/>
        </w:rPr>
      </w:pPr>
      <w:bookmarkStart w:id="20" w:name="_4i7ojhp"/>
      <w:bookmarkEnd w:id="20"/>
      <w:r w:rsidRPr="009301A5">
        <w:rPr>
          <w:b w:val="0"/>
          <w:color w:val="000000"/>
        </w:rPr>
        <w:t>Key staff specific to delivery of the supplier proposal are</w:t>
      </w:r>
      <w:r w:rsidR="0016450F">
        <w:rPr>
          <w:b w:val="0"/>
          <w:color w:val="000000"/>
        </w:rPr>
        <w:t xml:space="preserve"> [REDACTED]</w:t>
      </w:r>
    </w:p>
    <w:p w14:paraId="313F9884" w14:textId="2F1EC10B" w:rsidR="00972AEF" w:rsidRDefault="00BA6050">
      <w:pPr>
        <w:pStyle w:val="Heading3"/>
        <w:numPr>
          <w:ilvl w:val="2"/>
          <w:numId w:val="2"/>
        </w:numPr>
        <w:tabs>
          <w:tab w:val="left" w:pos="2257"/>
        </w:tabs>
      </w:pPr>
      <w:r>
        <w:rPr>
          <w:color w:val="000000"/>
        </w:rPr>
        <w:t>Key subcontractor(s)</w:t>
      </w:r>
    </w:p>
    <w:p w14:paraId="54964C78" w14:textId="07663EC2" w:rsidR="00972AEF" w:rsidRPr="009301A5" w:rsidRDefault="009301A5">
      <w:pPr>
        <w:pStyle w:val="Standard"/>
        <w:tabs>
          <w:tab w:val="left" w:pos="2257"/>
        </w:tabs>
        <w:spacing w:line="240" w:lineRule="auto"/>
        <w:rPr>
          <w:bCs/>
          <w:sz w:val="24"/>
          <w:szCs w:val="24"/>
          <w:shd w:val="clear" w:color="auto" w:fill="FFFFFF"/>
        </w:rPr>
      </w:pPr>
      <w:r w:rsidRPr="009301A5">
        <w:rPr>
          <w:bCs/>
          <w:sz w:val="24"/>
          <w:szCs w:val="24"/>
          <w:shd w:val="clear" w:color="auto" w:fill="FFFFFF"/>
        </w:rPr>
        <w:t>Not Applicable</w:t>
      </w:r>
    </w:p>
    <w:p w14:paraId="2500733C" w14:textId="0E65EDB9" w:rsidR="00972AEF" w:rsidRDefault="00BA6050">
      <w:pPr>
        <w:pStyle w:val="Heading3"/>
        <w:numPr>
          <w:ilvl w:val="2"/>
          <w:numId w:val="2"/>
        </w:numPr>
        <w:tabs>
          <w:tab w:val="left" w:pos="2257"/>
        </w:tabs>
        <w:rPr>
          <w:color w:val="000000"/>
        </w:rPr>
      </w:pPr>
      <w:bookmarkStart w:id="21" w:name="_2xcytpi"/>
      <w:bookmarkEnd w:id="21"/>
      <w:r>
        <w:rPr>
          <w:color w:val="000000"/>
        </w:rPr>
        <w:t>Commercially sensitive information</w:t>
      </w:r>
    </w:p>
    <w:p w14:paraId="2E12C60C" w14:textId="77777777" w:rsidR="009C0095" w:rsidRDefault="009C0095" w:rsidP="009C0095">
      <w:pPr>
        <w:pStyle w:val="Standard"/>
        <w:tabs>
          <w:tab w:val="left" w:pos="2257"/>
        </w:tabs>
        <w:spacing w:line="240" w:lineRule="auto"/>
        <w:rPr>
          <w:bCs/>
          <w:sz w:val="24"/>
          <w:szCs w:val="24"/>
          <w:shd w:val="clear" w:color="auto" w:fill="FFFFFF"/>
        </w:rPr>
      </w:pPr>
      <w:r w:rsidRPr="008D7DA4">
        <w:rPr>
          <w:bCs/>
          <w:sz w:val="24"/>
          <w:szCs w:val="24"/>
          <w:shd w:val="clear" w:color="auto" w:fill="FFFFFF"/>
        </w:rPr>
        <w:t xml:space="preserve">Any information relating to the following provided by the Supplier will </w:t>
      </w:r>
      <w:proofErr w:type="gramStart"/>
      <w:r w:rsidRPr="008D7DA4">
        <w:rPr>
          <w:bCs/>
          <w:sz w:val="24"/>
          <w:szCs w:val="24"/>
          <w:shd w:val="clear" w:color="auto" w:fill="FFFFFF"/>
        </w:rPr>
        <w:t>be considered to be</w:t>
      </w:r>
      <w:proofErr w:type="gramEnd"/>
      <w:r w:rsidRPr="008D7DA4">
        <w:rPr>
          <w:bCs/>
          <w:sz w:val="24"/>
          <w:szCs w:val="24"/>
          <w:shd w:val="clear" w:color="auto" w:fill="FFFFFF"/>
        </w:rPr>
        <w:t xml:space="preserve"> commercially sensitive/confidential and exempt from disclosure under the Freedom of Information Act 2000 (“FOIA”): </w:t>
      </w:r>
    </w:p>
    <w:p w14:paraId="21448B82" w14:textId="77777777" w:rsidR="009C0095" w:rsidRDefault="009C0095" w:rsidP="009C0095">
      <w:pPr>
        <w:pStyle w:val="Standard"/>
        <w:numPr>
          <w:ilvl w:val="0"/>
          <w:numId w:val="101"/>
        </w:numPr>
        <w:tabs>
          <w:tab w:val="left" w:pos="2257"/>
        </w:tabs>
        <w:spacing w:line="240" w:lineRule="auto"/>
        <w:rPr>
          <w:bCs/>
          <w:sz w:val="24"/>
          <w:szCs w:val="24"/>
          <w:shd w:val="clear" w:color="auto" w:fill="FFFFFF"/>
        </w:rPr>
      </w:pPr>
      <w:r w:rsidRPr="008D7DA4">
        <w:rPr>
          <w:bCs/>
          <w:sz w:val="24"/>
          <w:szCs w:val="24"/>
          <w:shd w:val="clear" w:color="auto" w:fill="FFFFFF"/>
        </w:rPr>
        <w:t xml:space="preserve">Personal information (CV’s, contact details etc.) </w:t>
      </w:r>
    </w:p>
    <w:p w14:paraId="5DA8C933" w14:textId="77777777" w:rsidR="009C0095" w:rsidRDefault="009C0095" w:rsidP="009C0095">
      <w:pPr>
        <w:pStyle w:val="Standard"/>
        <w:numPr>
          <w:ilvl w:val="0"/>
          <w:numId w:val="101"/>
        </w:numPr>
        <w:tabs>
          <w:tab w:val="left" w:pos="2257"/>
        </w:tabs>
        <w:spacing w:line="240" w:lineRule="auto"/>
        <w:rPr>
          <w:bCs/>
          <w:sz w:val="24"/>
          <w:szCs w:val="24"/>
          <w:shd w:val="clear" w:color="auto" w:fill="FFFFFF"/>
        </w:rPr>
      </w:pPr>
      <w:r w:rsidRPr="008D7DA4">
        <w:rPr>
          <w:bCs/>
          <w:sz w:val="24"/>
          <w:szCs w:val="24"/>
          <w:shd w:val="clear" w:color="auto" w:fill="FFFFFF"/>
        </w:rPr>
        <w:t xml:space="preserve">Pricing, including details of our cost base or insurance arrangements </w:t>
      </w:r>
    </w:p>
    <w:p w14:paraId="2F3B949A" w14:textId="77777777" w:rsidR="009C0095" w:rsidRDefault="009C0095" w:rsidP="009C0095">
      <w:pPr>
        <w:pStyle w:val="Standard"/>
        <w:numPr>
          <w:ilvl w:val="0"/>
          <w:numId w:val="101"/>
        </w:numPr>
        <w:tabs>
          <w:tab w:val="left" w:pos="2257"/>
        </w:tabs>
        <w:spacing w:line="240" w:lineRule="auto"/>
        <w:rPr>
          <w:bCs/>
          <w:sz w:val="24"/>
          <w:szCs w:val="24"/>
          <w:shd w:val="clear" w:color="auto" w:fill="FFFFFF"/>
        </w:rPr>
      </w:pPr>
      <w:r w:rsidRPr="008D7DA4">
        <w:rPr>
          <w:bCs/>
          <w:sz w:val="24"/>
          <w:szCs w:val="24"/>
          <w:shd w:val="clear" w:color="auto" w:fill="FFFFFF"/>
        </w:rPr>
        <w:t xml:space="preserve">Proprietary information </w:t>
      </w:r>
    </w:p>
    <w:p w14:paraId="1BC0A114" w14:textId="77777777" w:rsidR="009C0095" w:rsidRDefault="009C0095" w:rsidP="009C0095">
      <w:pPr>
        <w:pStyle w:val="Standard"/>
        <w:numPr>
          <w:ilvl w:val="0"/>
          <w:numId w:val="101"/>
        </w:numPr>
        <w:tabs>
          <w:tab w:val="left" w:pos="2257"/>
        </w:tabs>
        <w:spacing w:line="240" w:lineRule="auto"/>
        <w:rPr>
          <w:bCs/>
          <w:sz w:val="24"/>
          <w:szCs w:val="24"/>
          <w:shd w:val="clear" w:color="auto" w:fill="FFFFFF"/>
        </w:rPr>
      </w:pPr>
      <w:r w:rsidRPr="008D7DA4">
        <w:rPr>
          <w:bCs/>
          <w:sz w:val="24"/>
          <w:szCs w:val="24"/>
          <w:shd w:val="clear" w:color="auto" w:fill="FFFFFF"/>
        </w:rPr>
        <w:t xml:space="preserve">Approach and/or methodologies </w:t>
      </w:r>
    </w:p>
    <w:p w14:paraId="47F03A88" w14:textId="77777777" w:rsidR="009C0095" w:rsidRPr="008D7DA4" w:rsidRDefault="009C0095" w:rsidP="009C0095">
      <w:pPr>
        <w:pStyle w:val="Standard"/>
        <w:tabs>
          <w:tab w:val="left" w:pos="2257"/>
        </w:tabs>
        <w:spacing w:line="240" w:lineRule="auto"/>
        <w:rPr>
          <w:bCs/>
          <w:sz w:val="24"/>
          <w:szCs w:val="24"/>
          <w:shd w:val="clear" w:color="auto" w:fill="FFFFFF"/>
        </w:rPr>
      </w:pPr>
      <w:r w:rsidRPr="008D7DA4">
        <w:rPr>
          <w:bCs/>
          <w:sz w:val="24"/>
          <w:szCs w:val="24"/>
          <w:shd w:val="clear" w:color="auto" w:fill="FFFFFF"/>
        </w:rPr>
        <w:t>The Government’s Transparency Agenda may require the publication of Government contracts. In accordance with guidance issued by GPS and the Code of Practice for FOIA, the Customer will consult the Supplier regarding the redaction (as envisaged in the GPS guidance and Code of Practice) of certain parts of the contract, including those areas identified above, for this work.</w:t>
      </w:r>
    </w:p>
    <w:p w14:paraId="775D7E1D" w14:textId="77777777" w:rsidR="009C0095" w:rsidRPr="009C0095" w:rsidRDefault="009C0095" w:rsidP="009C0095">
      <w:pPr>
        <w:pStyle w:val="Standard"/>
      </w:pPr>
    </w:p>
    <w:p w14:paraId="6972AFA2" w14:textId="00102176" w:rsidR="00972AEF" w:rsidRDefault="00BA6050">
      <w:pPr>
        <w:pStyle w:val="Heading3"/>
        <w:numPr>
          <w:ilvl w:val="2"/>
          <w:numId w:val="2"/>
        </w:numPr>
        <w:tabs>
          <w:tab w:val="left" w:pos="2257"/>
        </w:tabs>
        <w:rPr>
          <w:color w:val="000000"/>
        </w:rPr>
      </w:pPr>
      <w:bookmarkStart w:id="22" w:name="_1ci93xb"/>
      <w:bookmarkEnd w:id="22"/>
      <w:r>
        <w:rPr>
          <w:color w:val="000000"/>
        </w:rPr>
        <w:t>Service credits</w:t>
      </w:r>
    </w:p>
    <w:p w14:paraId="05E06C76" w14:textId="074D73F4" w:rsidR="00FE2988" w:rsidRPr="00FE2988" w:rsidRDefault="00FE2988" w:rsidP="00FE2988">
      <w:pPr>
        <w:pStyle w:val="Standard"/>
      </w:pPr>
      <w:r>
        <w:t>Not Applicable</w:t>
      </w:r>
    </w:p>
    <w:p w14:paraId="041AC286" w14:textId="77777777" w:rsidR="00972AEF" w:rsidRDefault="00BA6050">
      <w:pPr>
        <w:pStyle w:val="Heading3"/>
        <w:numPr>
          <w:ilvl w:val="2"/>
          <w:numId w:val="2"/>
        </w:numPr>
        <w:tabs>
          <w:tab w:val="left" w:pos="2257"/>
        </w:tabs>
      </w:pPr>
      <w:bookmarkStart w:id="23" w:name="_3whwml4"/>
      <w:bookmarkEnd w:id="23"/>
      <w:r>
        <w:rPr>
          <w:color w:val="000000"/>
        </w:rPr>
        <w:t>Additional insurances</w:t>
      </w:r>
    </w:p>
    <w:p w14:paraId="11A54FF2" w14:textId="17C64D77" w:rsidR="00972AEF" w:rsidRPr="00EA3EFD" w:rsidRDefault="00EA3EFD">
      <w:pPr>
        <w:pStyle w:val="Standard"/>
        <w:spacing w:line="240" w:lineRule="auto"/>
        <w:rPr>
          <w:bCs/>
        </w:rPr>
      </w:pPr>
      <w:r>
        <w:rPr>
          <w:sz w:val="24"/>
          <w:szCs w:val="24"/>
          <w:shd w:val="clear" w:color="auto" w:fill="FFFFFF"/>
        </w:rPr>
        <w:t xml:space="preserve">Not applicable </w:t>
      </w:r>
    </w:p>
    <w:p w14:paraId="0DF8B269" w14:textId="77777777" w:rsidR="00972AEF" w:rsidRDefault="00BA6050">
      <w:pPr>
        <w:pStyle w:val="Heading3"/>
        <w:numPr>
          <w:ilvl w:val="2"/>
          <w:numId w:val="2"/>
        </w:numPr>
        <w:jc w:val="both"/>
      </w:pPr>
      <w:bookmarkStart w:id="24" w:name="_2bn6wsx"/>
      <w:bookmarkEnd w:id="24"/>
      <w:r>
        <w:rPr>
          <w:color w:val="000000"/>
        </w:rPr>
        <w:lastRenderedPageBreak/>
        <w:t>Guarantee</w:t>
      </w:r>
    </w:p>
    <w:p w14:paraId="18E1222A" w14:textId="5A2D5297" w:rsidR="00972AEF" w:rsidRPr="00EA3EFD" w:rsidRDefault="00EA3EFD">
      <w:pPr>
        <w:pStyle w:val="Standard"/>
        <w:spacing w:line="240" w:lineRule="auto"/>
        <w:rPr>
          <w:bCs/>
        </w:rPr>
      </w:pPr>
      <w:r>
        <w:rPr>
          <w:sz w:val="24"/>
          <w:szCs w:val="24"/>
          <w:shd w:val="clear" w:color="auto" w:fill="FFFFFF"/>
        </w:rPr>
        <w:t xml:space="preserve">Not applicable </w:t>
      </w:r>
    </w:p>
    <w:p w14:paraId="0FE86BB2" w14:textId="1C6E0945" w:rsidR="00972AEF" w:rsidRDefault="00BA6050">
      <w:pPr>
        <w:pStyle w:val="Heading3"/>
        <w:tabs>
          <w:tab w:val="left" w:pos="2257"/>
        </w:tabs>
        <w:rPr>
          <w:color w:val="000000"/>
        </w:rPr>
      </w:pPr>
      <w:bookmarkStart w:id="25" w:name="_qsh70q"/>
      <w:bookmarkEnd w:id="25"/>
      <w:r>
        <w:rPr>
          <w:color w:val="000000"/>
        </w:rPr>
        <w:t>Buyer’s environmental and social value policy</w:t>
      </w:r>
    </w:p>
    <w:p w14:paraId="6150EC99" w14:textId="2D040A31" w:rsidR="004042AC" w:rsidRPr="00BB49E5" w:rsidRDefault="004042AC" w:rsidP="00BB49E5">
      <w:pPr>
        <w:pStyle w:val="Standard"/>
        <w:numPr>
          <w:ilvl w:val="0"/>
          <w:numId w:val="2"/>
        </w:numPr>
        <w:tabs>
          <w:tab w:val="left" w:pos="2257"/>
        </w:tabs>
        <w:spacing w:line="240" w:lineRule="auto"/>
      </w:pPr>
      <w:r>
        <w:rPr>
          <w:sz w:val="24"/>
          <w:szCs w:val="24"/>
          <w:shd w:val="clear" w:color="auto" w:fill="FFFFFF"/>
        </w:rPr>
        <w:t xml:space="preserve">HMRC Sustainable Procurement Strategy available online at: </w:t>
      </w:r>
      <w:hyperlink r:id="rId7" w:history="1">
        <w:r>
          <w:rPr>
            <w:rStyle w:val="Hyperlink"/>
            <w:sz w:val="24"/>
            <w:szCs w:val="24"/>
            <w:shd w:val="clear" w:color="auto" w:fill="FFFFFF"/>
          </w:rPr>
          <w:t>https://assets.publishing.service.gov.uk/government/uploads/system/uploads/attachment_data/file/310632/HMRC_Sustainable_Procurement_Strategy.pdf</w:t>
        </w:r>
      </w:hyperlink>
    </w:p>
    <w:p w14:paraId="44666B0A" w14:textId="1D845192" w:rsidR="004042AC" w:rsidRPr="004042AC" w:rsidRDefault="004042AC" w:rsidP="004042AC">
      <w:pPr>
        <w:pStyle w:val="Standard"/>
        <w:numPr>
          <w:ilvl w:val="0"/>
          <w:numId w:val="2"/>
        </w:numPr>
        <w:tabs>
          <w:tab w:val="left" w:pos="2257"/>
        </w:tabs>
        <w:spacing w:line="240" w:lineRule="auto"/>
      </w:pPr>
      <w:r>
        <w:rPr>
          <w:sz w:val="24"/>
          <w:szCs w:val="24"/>
          <w:shd w:val="clear" w:color="auto" w:fill="FFFFFF"/>
        </w:rPr>
        <w:t xml:space="preserve">HMRC complies with the requirements outlined in the Social Value Model, introduced under </w:t>
      </w:r>
      <w:hyperlink r:id="rId8" w:history="1">
        <w:r>
          <w:rPr>
            <w:rStyle w:val="Hyperlink"/>
            <w:rFonts w:eastAsia="Times New Roman"/>
          </w:rPr>
          <w:t>PPN 06/20</w:t>
        </w:r>
      </w:hyperlink>
      <w:r>
        <w:rPr>
          <w:rFonts w:eastAsia="Times New Roman"/>
        </w:rPr>
        <w:t>.</w:t>
      </w:r>
    </w:p>
    <w:p w14:paraId="0AA4FD53" w14:textId="5C03CF4C" w:rsidR="004B5A08" w:rsidRPr="004042AC" w:rsidRDefault="00BA6050" w:rsidP="004B5A08">
      <w:pPr>
        <w:pStyle w:val="Heading3"/>
        <w:numPr>
          <w:ilvl w:val="2"/>
          <w:numId w:val="2"/>
        </w:numPr>
        <w:jc w:val="both"/>
        <w:rPr>
          <w:color w:val="000000"/>
        </w:rPr>
      </w:pPr>
      <w:bookmarkStart w:id="26" w:name="_3as4poj"/>
      <w:bookmarkEnd w:id="26"/>
      <w:r>
        <w:rPr>
          <w:color w:val="000000"/>
        </w:rPr>
        <w:t>Social value commitment</w:t>
      </w:r>
    </w:p>
    <w:p w14:paraId="60691A92" w14:textId="4314EAD7" w:rsidR="00972AEF" w:rsidRDefault="00BA6050">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3B2D3C8A" w14:textId="77777777" w:rsidR="00972AEF" w:rsidRDefault="00BA6050">
      <w:pPr>
        <w:pStyle w:val="Heading3"/>
        <w:numPr>
          <w:ilvl w:val="2"/>
          <w:numId w:val="2"/>
        </w:numPr>
        <w:spacing w:after="240"/>
        <w:jc w:val="both"/>
      </w:pPr>
      <w:bookmarkStart w:id="27" w:name="_1pxezwc"/>
      <w:bookmarkEnd w:id="27"/>
      <w:r>
        <w:rPr>
          <w:color w:val="000000"/>
        </w:rPr>
        <w:t>Formation of call off contract</w:t>
      </w:r>
    </w:p>
    <w:p w14:paraId="51784A61" w14:textId="77777777" w:rsidR="00972AEF" w:rsidRDefault="00BA6050">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ECA59B0" w14:textId="77777777" w:rsidR="00972AEF" w:rsidRDefault="00BA6050">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3DF5E60" w14:textId="77777777" w:rsidR="00972AEF" w:rsidRDefault="00BA6050">
      <w:pPr>
        <w:pStyle w:val="Standard"/>
        <w:spacing w:line="240" w:lineRule="auto"/>
      </w:pPr>
      <w:r>
        <w:rPr>
          <w:b/>
          <w:sz w:val="24"/>
          <w:szCs w:val="24"/>
        </w:rPr>
        <w:t>For and on behalf of the Supplier</w:t>
      </w:r>
      <w:r>
        <w:rPr>
          <w:sz w:val="24"/>
          <w:szCs w:val="24"/>
        </w:rPr>
        <w:t>:</w:t>
      </w:r>
    </w:p>
    <w:p w14:paraId="2B344D83" w14:textId="77777777" w:rsidR="00972AEF" w:rsidRDefault="00972AEF">
      <w:pPr>
        <w:pStyle w:val="Standard"/>
        <w:spacing w:line="240" w:lineRule="auto"/>
        <w:rPr>
          <w:sz w:val="24"/>
          <w:szCs w:val="24"/>
        </w:rPr>
      </w:pPr>
    </w:p>
    <w:p w14:paraId="108E5CC1" w14:textId="6C480BEA" w:rsidR="00972AEF" w:rsidRDefault="00BA6050">
      <w:pPr>
        <w:pStyle w:val="Standard"/>
        <w:spacing w:line="240" w:lineRule="auto"/>
        <w:rPr>
          <w:sz w:val="24"/>
          <w:szCs w:val="24"/>
        </w:rPr>
      </w:pPr>
      <w:r>
        <w:rPr>
          <w:sz w:val="24"/>
          <w:szCs w:val="24"/>
        </w:rPr>
        <w:t>Signature:</w:t>
      </w:r>
    </w:p>
    <w:p w14:paraId="22FDEE58" w14:textId="02AD73D3" w:rsidR="00781F93" w:rsidRDefault="00781F93">
      <w:pPr>
        <w:pStyle w:val="Standard"/>
        <w:spacing w:line="240" w:lineRule="auto"/>
        <w:rPr>
          <w:sz w:val="24"/>
          <w:szCs w:val="24"/>
        </w:rPr>
      </w:pPr>
    </w:p>
    <w:p w14:paraId="66CA77CA" w14:textId="780AE4AC" w:rsidR="00972AEF" w:rsidRDefault="00BA6050">
      <w:pPr>
        <w:pStyle w:val="Standard"/>
        <w:spacing w:line="240" w:lineRule="auto"/>
      </w:pPr>
      <w:r>
        <w:rPr>
          <w:sz w:val="24"/>
          <w:szCs w:val="24"/>
        </w:rPr>
        <w:t>Name:</w:t>
      </w:r>
      <w:r w:rsidR="00781F93">
        <w:rPr>
          <w:sz w:val="24"/>
          <w:szCs w:val="24"/>
        </w:rPr>
        <w:t xml:space="preserve"> </w:t>
      </w:r>
    </w:p>
    <w:p w14:paraId="006271AE" w14:textId="77777777" w:rsidR="00972AEF" w:rsidRDefault="00972AEF">
      <w:pPr>
        <w:pStyle w:val="Standard"/>
        <w:spacing w:line="240" w:lineRule="auto"/>
        <w:rPr>
          <w:sz w:val="24"/>
          <w:szCs w:val="24"/>
        </w:rPr>
      </w:pPr>
    </w:p>
    <w:p w14:paraId="5BAFC5E6" w14:textId="54F39DC2" w:rsidR="00972AEF" w:rsidRDefault="00BA6050">
      <w:pPr>
        <w:pStyle w:val="Standard"/>
        <w:spacing w:line="240" w:lineRule="auto"/>
      </w:pPr>
      <w:r>
        <w:rPr>
          <w:sz w:val="24"/>
          <w:szCs w:val="24"/>
        </w:rPr>
        <w:t>Role:</w:t>
      </w:r>
      <w:r w:rsidR="00781F93">
        <w:rPr>
          <w:sz w:val="24"/>
          <w:szCs w:val="24"/>
        </w:rPr>
        <w:t xml:space="preserve"> </w:t>
      </w:r>
    </w:p>
    <w:p w14:paraId="0147F069" w14:textId="77777777" w:rsidR="00972AEF" w:rsidRDefault="00972AEF">
      <w:pPr>
        <w:pStyle w:val="Standard"/>
        <w:spacing w:line="240" w:lineRule="auto"/>
        <w:rPr>
          <w:sz w:val="24"/>
          <w:szCs w:val="24"/>
        </w:rPr>
      </w:pPr>
    </w:p>
    <w:p w14:paraId="3FDEA491" w14:textId="5549B995" w:rsidR="00972AEF" w:rsidRDefault="00BA6050">
      <w:pPr>
        <w:pStyle w:val="Standard"/>
        <w:spacing w:line="240" w:lineRule="auto"/>
      </w:pPr>
      <w:r>
        <w:rPr>
          <w:sz w:val="24"/>
          <w:szCs w:val="24"/>
        </w:rPr>
        <w:t>Date:</w:t>
      </w:r>
      <w:r w:rsidR="00781F93">
        <w:rPr>
          <w:sz w:val="24"/>
          <w:szCs w:val="24"/>
        </w:rPr>
        <w:t xml:space="preserve"> </w:t>
      </w:r>
    </w:p>
    <w:p w14:paraId="61AC0B4D" w14:textId="77777777" w:rsidR="00972AEF" w:rsidRDefault="00972AEF">
      <w:pPr>
        <w:pStyle w:val="Standard"/>
        <w:spacing w:line="240" w:lineRule="auto"/>
        <w:rPr>
          <w:b/>
          <w:sz w:val="24"/>
          <w:szCs w:val="24"/>
        </w:rPr>
      </w:pPr>
    </w:p>
    <w:p w14:paraId="203A6835" w14:textId="77777777" w:rsidR="00972AEF" w:rsidRDefault="00BA6050">
      <w:pPr>
        <w:pStyle w:val="Standard"/>
        <w:spacing w:line="240" w:lineRule="auto"/>
      </w:pPr>
      <w:r>
        <w:rPr>
          <w:b/>
          <w:sz w:val="24"/>
          <w:szCs w:val="24"/>
        </w:rPr>
        <w:t>For and on behalf of the Buyer</w:t>
      </w:r>
      <w:r>
        <w:rPr>
          <w:sz w:val="24"/>
          <w:szCs w:val="24"/>
        </w:rPr>
        <w:t>:</w:t>
      </w:r>
    </w:p>
    <w:p w14:paraId="7BBC8DEB" w14:textId="77777777" w:rsidR="00972AEF" w:rsidRDefault="00972AEF">
      <w:pPr>
        <w:pStyle w:val="Standard"/>
        <w:spacing w:line="240" w:lineRule="auto"/>
        <w:rPr>
          <w:sz w:val="24"/>
          <w:szCs w:val="24"/>
        </w:rPr>
      </w:pPr>
    </w:p>
    <w:p w14:paraId="0B9D7A51" w14:textId="77777777" w:rsidR="00972AEF" w:rsidRDefault="00BA6050">
      <w:pPr>
        <w:pStyle w:val="Standard"/>
        <w:spacing w:line="240" w:lineRule="auto"/>
      </w:pPr>
      <w:r>
        <w:rPr>
          <w:sz w:val="24"/>
          <w:szCs w:val="24"/>
        </w:rPr>
        <w:t>Signature:</w:t>
      </w:r>
    </w:p>
    <w:p w14:paraId="336A3856" w14:textId="77777777" w:rsidR="00972AEF" w:rsidRDefault="00972AEF">
      <w:pPr>
        <w:pStyle w:val="Standard"/>
        <w:spacing w:line="240" w:lineRule="auto"/>
        <w:rPr>
          <w:sz w:val="24"/>
          <w:szCs w:val="24"/>
        </w:rPr>
      </w:pPr>
    </w:p>
    <w:p w14:paraId="0D001CF4" w14:textId="64E3E694" w:rsidR="00972AEF" w:rsidRDefault="00BA6050">
      <w:pPr>
        <w:pStyle w:val="Standard"/>
        <w:spacing w:line="240" w:lineRule="auto"/>
      </w:pPr>
      <w:r>
        <w:rPr>
          <w:sz w:val="24"/>
          <w:szCs w:val="24"/>
        </w:rPr>
        <w:t>Name:</w:t>
      </w:r>
      <w:r w:rsidR="006A7582">
        <w:rPr>
          <w:sz w:val="24"/>
          <w:szCs w:val="24"/>
        </w:rPr>
        <w:t xml:space="preserve"> </w:t>
      </w:r>
    </w:p>
    <w:p w14:paraId="58636AB8" w14:textId="77777777" w:rsidR="00972AEF" w:rsidRDefault="00972AEF">
      <w:pPr>
        <w:pStyle w:val="Standard"/>
        <w:spacing w:line="240" w:lineRule="auto"/>
        <w:rPr>
          <w:sz w:val="24"/>
          <w:szCs w:val="24"/>
        </w:rPr>
      </w:pPr>
    </w:p>
    <w:p w14:paraId="5E41F24D" w14:textId="20F7FE4F" w:rsidR="00972AEF" w:rsidRDefault="00BA6050">
      <w:pPr>
        <w:pStyle w:val="Standard"/>
        <w:spacing w:line="240" w:lineRule="auto"/>
        <w:rPr>
          <w:sz w:val="24"/>
          <w:szCs w:val="24"/>
        </w:rPr>
      </w:pPr>
      <w:r>
        <w:rPr>
          <w:sz w:val="24"/>
          <w:szCs w:val="24"/>
        </w:rPr>
        <w:t>Role:</w:t>
      </w:r>
      <w:r w:rsidR="000F71AD">
        <w:rPr>
          <w:sz w:val="24"/>
          <w:szCs w:val="24"/>
        </w:rPr>
        <w:t xml:space="preserve"> </w:t>
      </w:r>
    </w:p>
    <w:p w14:paraId="4A999D57" w14:textId="77777777" w:rsidR="00BB49E5" w:rsidRPr="00BB49E5" w:rsidRDefault="00BB49E5">
      <w:pPr>
        <w:pStyle w:val="Standard"/>
        <w:spacing w:line="240" w:lineRule="auto"/>
      </w:pPr>
    </w:p>
    <w:p w14:paraId="1F0CCB3F" w14:textId="1611995B" w:rsidR="00813168" w:rsidRDefault="00BA6050" w:rsidP="00BB49E5">
      <w:pPr>
        <w:pStyle w:val="Standard"/>
        <w:spacing w:line="240" w:lineRule="auto"/>
        <w:rPr>
          <w:sz w:val="24"/>
          <w:szCs w:val="24"/>
        </w:rPr>
      </w:pPr>
      <w:r>
        <w:rPr>
          <w:sz w:val="24"/>
          <w:szCs w:val="24"/>
        </w:rPr>
        <w:t>Date:</w:t>
      </w:r>
    </w:p>
    <w:p w14:paraId="3C34E684" w14:textId="547C211B" w:rsidR="0016450F" w:rsidRDefault="0016450F" w:rsidP="00BB49E5">
      <w:pPr>
        <w:pStyle w:val="Standard"/>
        <w:spacing w:line="240" w:lineRule="auto"/>
        <w:rPr>
          <w:sz w:val="24"/>
          <w:szCs w:val="24"/>
        </w:rPr>
      </w:pPr>
    </w:p>
    <w:p w14:paraId="390EE9C4" w14:textId="0C2ADFB2" w:rsidR="0016450F" w:rsidRDefault="0016450F" w:rsidP="00BB49E5">
      <w:pPr>
        <w:pStyle w:val="Standard"/>
        <w:spacing w:line="240" w:lineRule="auto"/>
        <w:rPr>
          <w:sz w:val="24"/>
          <w:szCs w:val="24"/>
        </w:rPr>
      </w:pPr>
    </w:p>
    <w:p w14:paraId="63D45AD2" w14:textId="64AD1C1A" w:rsidR="0016450F" w:rsidRDefault="0016450F" w:rsidP="00BB49E5">
      <w:pPr>
        <w:pStyle w:val="Standard"/>
        <w:spacing w:line="240" w:lineRule="auto"/>
        <w:rPr>
          <w:sz w:val="24"/>
          <w:szCs w:val="24"/>
        </w:rPr>
      </w:pPr>
    </w:p>
    <w:p w14:paraId="601C0E46" w14:textId="2F5C84CC" w:rsidR="0016450F" w:rsidRDefault="0016450F" w:rsidP="00BB49E5">
      <w:pPr>
        <w:pStyle w:val="Standard"/>
        <w:spacing w:line="240" w:lineRule="auto"/>
        <w:rPr>
          <w:sz w:val="24"/>
          <w:szCs w:val="24"/>
        </w:rPr>
      </w:pPr>
    </w:p>
    <w:p w14:paraId="0B5F5922" w14:textId="77777777" w:rsidR="0016450F" w:rsidRDefault="0016450F" w:rsidP="00BB49E5">
      <w:pPr>
        <w:pStyle w:val="Standard"/>
        <w:spacing w:line="240" w:lineRule="auto"/>
      </w:pPr>
    </w:p>
    <w:p w14:paraId="6AC5B3B2" w14:textId="77777777" w:rsidR="00813168" w:rsidRPr="00D226BF" w:rsidRDefault="00813168" w:rsidP="00813168">
      <w:pPr>
        <w:pStyle w:val="Standard"/>
        <w:rPr>
          <w:b/>
          <w:bCs/>
          <w:sz w:val="40"/>
          <w:szCs w:val="40"/>
          <w:shd w:val="clear" w:color="auto" w:fill="FFFFFF"/>
        </w:rPr>
      </w:pPr>
      <w:r w:rsidRPr="00D226BF">
        <w:rPr>
          <w:b/>
          <w:bCs/>
          <w:sz w:val="40"/>
          <w:szCs w:val="40"/>
          <w:shd w:val="clear" w:color="auto" w:fill="FFFFFF"/>
        </w:rPr>
        <w:lastRenderedPageBreak/>
        <w:t>Appended Call-Off Schedules</w:t>
      </w:r>
    </w:p>
    <w:p w14:paraId="3D8BA75B" w14:textId="77777777" w:rsidR="00813168" w:rsidRDefault="00813168" w:rsidP="00813168">
      <w:pPr>
        <w:pStyle w:val="Standard"/>
      </w:pPr>
    </w:p>
    <w:p w14:paraId="31A012EB" w14:textId="77777777" w:rsidR="00813168" w:rsidRDefault="00813168" w:rsidP="00813168">
      <w:pPr>
        <w:pStyle w:val="Standard"/>
        <w:spacing w:line="360" w:lineRule="auto"/>
      </w:pPr>
      <w:bookmarkStart w:id="28" w:name="_Hlk94435809"/>
      <w:r>
        <w:rPr>
          <w:b/>
          <w:sz w:val="36"/>
          <w:szCs w:val="36"/>
        </w:rPr>
        <w:t>Call-Off Schedule 4 (Call Off Tender)</w:t>
      </w:r>
    </w:p>
    <w:bookmarkEnd w:id="28"/>
    <w:p w14:paraId="2F9EDD13" w14:textId="4D48BC0D" w:rsidR="00813168" w:rsidRDefault="00813168" w:rsidP="00D17524">
      <w:pPr>
        <w:spacing w:after="120" w:line="360" w:lineRule="auto"/>
        <w:rPr>
          <w:sz w:val="24"/>
          <w:szCs w:val="24"/>
        </w:rPr>
      </w:pPr>
      <w:r w:rsidRPr="00900697">
        <w:rPr>
          <w:sz w:val="24"/>
          <w:szCs w:val="24"/>
        </w:rPr>
        <w:t>Call Off Tender response and subsequent updates consist of the following embedded documents:</w:t>
      </w:r>
    </w:p>
    <w:p w14:paraId="7C93FA50" w14:textId="20B5DB24" w:rsidR="00813168" w:rsidRDefault="00813168" w:rsidP="00813168">
      <w:pPr>
        <w:numPr>
          <w:ilvl w:val="0"/>
          <w:numId w:val="7"/>
        </w:numPr>
        <w:suppressAutoHyphens w:val="0"/>
        <w:adjustRightInd w:val="0"/>
        <w:spacing w:after="120"/>
        <w:contextualSpacing/>
        <w:textAlignment w:val="auto"/>
        <w:rPr>
          <w:sz w:val="24"/>
          <w:szCs w:val="24"/>
        </w:rPr>
      </w:pPr>
      <w:bookmarkStart w:id="29" w:name="_Hlk89941704"/>
      <w:r w:rsidRPr="00D329B5">
        <w:rPr>
          <w:sz w:val="24"/>
          <w:szCs w:val="24"/>
        </w:rPr>
        <w:t xml:space="preserve">Appendix 1 </w:t>
      </w:r>
      <w:r w:rsidR="00F66E5B">
        <w:rPr>
          <w:sz w:val="24"/>
          <w:szCs w:val="24"/>
        </w:rPr>
        <w:t>–</w:t>
      </w:r>
      <w:r w:rsidRPr="00D329B5">
        <w:rPr>
          <w:sz w:val="24"/>
          <w:szCs w:val="24"/>
        </w:rPr>
        <w:t xml:space="preserve"> </w:t>
      </w:r>
      <w:r w:rsidR="00F66E5B">
        <w:rPr>
          <w:sz w:val="24"/>
          <w:szCs w:val="24"/>
        </w:rPr>
        <w:t>Buyer’s</w:t>
      </w:r>
      <w:r w:rsidR="00F66E5B" w:rsidRPr="00D329B5">
        <w:rPr>
          <w:sz w:val="24"/>
          <w:szCs w:val="24"/>
        </w:rPr>
        <w:t xml:space="preserve"> </w:t>
      </w:r>
      <w:r w:rsidRPr="00D329B5">
        <w:rPr>
          <w:sz w:val="24"/>
          <w:szCs w:val="24"/>
        </w:rPr>
        <w:t xml:space="preserve">Request for Proposal </w:t>
      </w:r>
    </w:p>
    <w:bookmarkEnd w:id="29"/>
    <w:p w14:paraId="53F6DC27" w14:textId="754E48EC" w:rsidR="00813168" w:rsidRPr="00D329B5" w:rsidRDefault="0016450F" w:rsidP="00813168">
      <w:pPr>
        <w:suppressAutoHyphens w:val="0"/>
        <w:adjustRightInd w:val="0"/>
        <w:spacing w:after="120"/>
        <w:ind w:left="720"/>
        <w:contextualSpacing/>
        <w:textAlignment w:val="auto"/>
        <w:rPr>
          <w:sz w:val="24"/>
          <w:szCs w:val="24"/>
        </w:rPr>
      </w:pPr>
      <w:r>
        <w:rPr>
          <w:sz w:val="24"/>
          <w:szCs w:val="24"/>
        </w:rPr>
        <w:t>[REDACTED]</w:t>
      </w:r>
    </w:p>
    <w:p w14:paraId="40689F35" w14:textId="77777777" w:rsidR="00813168" w:rsidRDefault="00813168" w:rsidP="00813168">
      <w:pPr>
        <w:suppressAutoHyphens w:val="0"/>
        <w:adjustRightInd w:val="0"/>
        <w:spacing w:after="120"/>
        <w:contextualSpacing/>
        <w:textAlignment w:val="auto"/>
        <w:rPr>
          <w:sz w:val="24"/>
          <w:szCs w:val="24"/>
        </w:rPr>
      </w:pPr>
    </w:p>
    <w:p w14:paraId="7B26C01F" w14:textId="02465701" w:rsidR="007E079F" w:rsidRPr="008A000F" w:rsidRDefault="00813168" w:rsidP="00C11568">
      <w:pPr>
        <w:numPr>
          <w:ilvl w:val="0"/>
          <w:numId w:val="7"/>
        </w:numPr>
        <w:suppressAutoHyphens w:val="0"/>
        <w:adjustRightInd w:val="0"/>
        <w:spacing w:after="120"/>
        <w:contextualSpacing/>
        <w:textAlignment w:val="auto"/>
        <w:rPr>
          <w:sz w:val="24"/>
          <w:szCs w:val="24"/>
        </w:rPr>
      </w:pPr>
      <w:r w:rsidRPr="008A000F">
        <w:rPr>
          <w:sz w:val="24"/>
          <w:szCs w:val="24"/>
        </w:rPr>
        <w:t xml:space="preserve">Appendix 2 </w:t>
      </w:r>
      <w:r w:rsidR="00F66E5B" w:rsidRPr="008A000F">
        <w:rPr>
          <w:sz w:val="24"/>
          <w:szCs w:val="24"/>
        </w:rPr>
        <w:t>–</w:t>
      </w:r>
      <w:r w:rsidRPr="008A000F">
        <w:rPr>
          <w:sz w:val="24"/>
          <w:szCs w:val="24"/>
        </w:rPr>
        <w:t xml:space="preserve"> </w:t>
      </w:r>
      <w:bookmarkStart w:id="30" w:name="_Hlk94691079"/>
      <w:r w:rsidRPr="008A000F">
        <w:rPr>
          <w:sz w:val="24"/>
          <w:szCs w:val="24"/>
        </w:rPr>
        <w:t>Supplier</w:t>
      </w:r>
      <w:r w:rsidR="00F66E5B" w:rsidRPr="008A000F">
        <w:rPr>
          <w:sz w:val="24"/>
          <w:szCs w:val="24"/>
        </w:rPr>
        <w:t>’</w:t>
      </w:r>
      <w:r w:rsidRPr="008A000F">
        <w:rPr>
          <w:sz w:val="24"/>
          <w:szCs w:val="24"/>
        </w:rPr>
        <w:t xml:space="preserve">s Response </w:t>
      </w:r>
      <w:r w:rsidR="00EA34AB" w:rsidRPr="008A000F">
        <w:rPr>
          <w:sz w:val="24"/>
          <w:szCs w:val="24"/>
        </w:rPr>
        <w:t xml:space="preserve">and Supporting </w:t>
      </w:r>
      <w:r w:rsidR="00241417" w:rsidRPr="008A000F">
        <w:rPr>
          <w:sz w:val="24"/>
          <w:szCs w:val="24"/>
        </w:rPr>
        <w:t>Bid attachments</w:t>
      </w:r>
      <w:bookmarkEnd w:id="30"/>
    </w:p>
    <w:p w14:paraId="45B55520" w14:textId="0075211F" w:rsidR="007E079F" w:rsidRPr="00D17524" w:rsidRDefault="00652D5C" w:rsidP="00D17524">
      <w:pPr>
        <w:pStyle w:val="ListParagraph"/>
        <w:numPr>
          <w:ilvl w:val="0"/>
          <w:numId w:val="102"/>
        </w:numPr>
        <w:adjustRightInd w:val="0"/>
        <w:spacing w:after="120"/>
        <w:rPr>
          <w:rFonts w:ascii="Arial" w:hAnsi="Arial" w:cs="Arial"/>
          <w:bCs/>
        </w:rPr>
      </w:pPr>
      <w:r w:rsidRPr="00D17524">
        <w:rPr>
          <w:rFonts w:ascii="Arial" w:hAnsi="Arial" w:cs="Arial"/>
        </w:rPr>
        <w:t>2a</w:t>
      </w:r>
      <w:r w:rsidR="007E079F" w:rsidRPr="00D17524">
        <w:rPr>
          <w:rFonts w:ascii="Arial" w:hAnsi="Arial" w:cs="Arial"/>
        </w:rPr>
        <w:t>.</w:t>
      </w:r>
      <w:r w:rsidRPr="00D17524">
        <w:rPr>
          <w:rFonts w:ascii="Arial" w:hAnsi="Arial" w:cs="Arial"/>
        </w:rPr>
        <w:t xml:space="preserve"> </w:t>
      </w:r>
      <w:r w:rsidR="00F66E5B" w:rsidRPr="00D17524">
        <w:rPr>
          <w:rFonts w:ascii="Arial" w:hAnsi="Arial" w:cs="Arial"/>
          <w:bCs/>
        </w:rPr>
        <w:t>Supplier’s Response extracted from the Buyer’s e-sourcing portal</w:t>
      </w:r>
      <w:r w:rsidR="00F66E5B" w:rsidRPr="00D17524" w:rsidDel="00F66E5B">
        <w:rPr>
          <w:rFonts w:ascii="Arial" w:hAnsi="Arial" w:cs="Arial"/>
          <w:bCs/>
        </w:rPr>
        <w:t xml:space="preserve"> </w:t>
      </w:r>
    </w:p>
    <w:p w14:paraId="0A0D269E" w14:textId="6064CF70" w:rsidR="00813168" w:rsidRDefault="0016450F" w:rsidP="00D17524">
      <w:pPr>
        <w:suppressAutoHyphens w:val="0"/>
        <w:adjustRightInd w:val="0"/>
        <w:spacing w:after="120"/>
        <w:ind w:left="720"/>
        <w:contextualSpacing/>
        <w:textAlignment w:val="auto"/>
        <w:rPr>
          <w:sz w:val="24"/>
          <w:szCs w:val="24"/>
        </w:rPr>
      </w:pPr>
      <w:r>
        <w:rPr>
          <w:sz w:val="24"/>
          <w:szCs w:val="24"/>
        </w:rPr>
        <w:t>[REDACTED]</w:t>
      </w:r>
    </w:p>
    <w:p w14:paraId="372383E9" w14:textId="7CD7B0AE" w:rsidR="00813168" w:rsidRPr="00D17524" w:rsidRDefault="007E079F" w:rsidP="00D17524">
      <w:pPr>
        <w:pStyle w:val="ListParagraph"/>
        <w:numPr>
          <w:ilvl w:val="0"/>
          <w:numId w:val="102"/>
        </w:numPr>
        <w:adjustRightInd w:val="0"/>
        <w:spacing w:after="120"/>
        <w:rPr>
          <w:rFonts w:ascii="Arial" w:hAnsi="Arial" w:cs="Arial"/>
        </w:rPr>
      </w:pPr>
      <w:r w:rsidRPr="00D17524">
        <w:rPr>
          <w:rFonts w:ascii="Arial" w:hAnsi="Arial" w:cs="Arial"/>
        </w:rPr>
        <w:t>2</w:t>
      </w:r>
      <w:r w:rsidR="00E125F5">
        <w:rPr>
          <w:rFonts w:ascii="Arial" w:hAnsi="Arial" w:cs="Arial"/>
        </w:rPr>
        <w:t>b</w:t>
      </w:r>
      <w:r w:rsidRPr="00D17524">
        <w:rPr>
          <w:rFonts w:ascii="Arial" w:hAnsi="Arial" w:cs="Arial"/>
        </w:rPr>
        <w:t>. Supplier</w:t>
      </w:r>
      <w:r w:rsidR="00F66E5B" w:rsidRPr="00D17524">
        <w:rPr>
          <w:rFonts w:ascii="Arial" w:hAnsi="Arial" w:cs="Arial"/>
        </w:rPr>
        <w:t>’s</w:t>
      </w:r>
      <w:r w:rsidRPr="00D17524">
        <w:rPr>
          <w:rFonts w:ascii="Arial" w:hAnsi="Arial" w:cs="Arial"/>
        </w:rPr>
        <w:t xml:space="preserve"> Social Value Response Attachment</w:t>
      </w:r>
    </w:p>
    <w:p w14:paraId="6C8E148C" w14:textId="5565AB7E" w:rsidR="00871370" w:rsidRDefault="0016450F" w:rsidP="00D17524">
      <w:pPr>
        <w:suppressAutoHyphens w:val="0"/>
        <w:adjustRightInd w:val="0"/>
        <w:spacing w:after="120"/>
        <w:ind w:left="720"/>
        <w:contextualSpacing/>
        <w:textAlignment w:val="auto"/>
        <w:rPr>
          <w:sz w:val="24"/>
          <w:szCs w:val="24"/>
        </w:rPr>
      </w:pPr>
      <w:r>
        <w:rPr>
          <w:sz w:val="24"/>
          <w:szCs w:val="24"/>
        </w:rPr>
        <w:t>[REDACTED]</w:t>
      </w:r>
    </w:p>
    <w:p w14:paraId="163F48D9" w14:textId="32162632" w:rsidR="00871370" w:rsidRPr="00D17524" w:rsidRDefault="00871370" w:rsidP="00871370">
      <w:pPr>
        <w:pStyle w:val="ListParagraph"/>
        <w:numPr>
          <w:ilvl w:val="0"/>
          <w:numId w:val="102"/>
        </w:numPr>
        <w:adjustRightInd w:val="0"/>
        <w:spacing w:after="120"/>
        <w:rPr>
          <w:rFonts w:ascii="Arial" w:hAnsi="Arial" w:cs="Arial"/>
        </w:rPr>
      </w:pPr>
      <w:r w:rsidRPr="00D17524">
        <w:rPr>
          <w:rFonts w:ascii="Arial" w:hAnsi="Arial" w:cs="Arial"/>
        </w:rPr>
        <w:t>2</w:t>
      </w:r>
      <w:r w:rsidR="00861618" w:rsidRPr="00D17524">
        <w:rPr>
          <w:rFonts w:ascii="Arial" w:hAnsi="Arial" w:cs="Arial"/>
        </w:rPr>
        <w:t>c</w:t>
      </w:r>
      <w:r w:rsidRPr="00D17524">
        <w:rPr>
          <w:rFonts w:ascii="Arial" w:hAnsi="Arial" w:cs="Arial"/>
        </w:rPr>
        <w:t>. Supplier’s Response to RfP</w:t>
      </w:r>
    </w:p>
    <w:p w14:paraId="7BDCAAB2" w14:textId="1D15158C" w:rsidR="00813168" w:rsidRDefault="0039782F" w:rsidP="00D17524">
      <w:pPr>
        <w:suppressAutoHyphens w:val="0"/>
        <w:adjustRightInd w:val="0"/>
        <w:spacing w:after="120"/>
        <w:ind w:left="720"/>
        <w:contextualSpacing/>
        <w:textAlignment w:val="auto"/>
        <w:rPr>
          <w:sz w:val="24"/>
          <w:szCs w:val="24"/>
        </w:rPr>
      </w:pPr>
      <w:r>
        <w:rPr>
          <w:sz w:val="24"/>
          <w:szCs w:val="24"/>
        </w:rPr>
        <w:t>[REDACTED]</w:t>
      </w:r>
    </w:p>
    <w:p w14:paraId="3F584651" w14:textId="616F6889" w:rsidR="00813168" w:rsidRPr="00D17524" w:rsidRDefault="007E079F" w:rsidP="00D17524">
      <w:pPr>
        <w:pStyle w:val="ListParagraph"/>
        <w:numPr>
          <w:ilvl w:val="0"/>
          <w:numId w:val="102"/>
        </w:numPr>
        <w:adjustRightInd w:val="0"/>
        <w:spacing w:after="120"/>
        <w:rPr>
          <w:rFonts w:ascii="Arial" w:hAnsi="Arial" w:cs="Arial"/>
        </w:rPr>
      </w:pPr>
      <w:r w:rsidRPr="00D17524">
        <w:rPr>
          <w:rFonts w:ascii="Arial" w:hAnsi="Arial" w:cs="Arial"/>
        </w:rPr>
        <w:t>2d. Supplier</w:t>
      </w:r>
      <w:r w:rsidR="00F66E5B" w:rsidRPr="00D17524">
        <w:rPr>
          <w:rFonts w:ascii="Arial" w:hAnsi="Arial" w:cs="Arial"/>
        </w:rPr>
        <w:t>’s</w:t>
      </w:r>
      <w:r w:rsidRPr="00D17524">
        <w:rPr>
          <w:rFonts w:ascii="Arial" w:hAnsi="Arial" w:cs="Arial"/>
        </w:rPr>
        <w:t xml:space="preserve"> Technical Case Studies</w:t>
      </w:r>
    </w:p>
    <w:p w14:paraId="77B2E435" w14:textId="023AF1A0" w:rsidR="007E079F" w:rsidRDefault="0039782F" w:rsidP="00E14385">
      <w:pPr>
        <w:suppressAutoHyphens w:val="0"/>
        <w:adjustRightInd w:val="0"/>
        <w:spacing w:after="120"/>
        <w:ind w:left="720"/>
        <w:contextualSpacing/>
        <w:textAlignment w:val="auto"/>
        <w:rPr>
          <w:sz w:val="24"/>
          <w:szCs w:val="24"/>
        </w:rPr>
      </w:pPr>
      <w:r>
        <w:rPr>
          <w:sz w:val="24"/>
          <w:szCs w:val="24"/>
        </w:rPr>
        <w:t>[REDACTED]</w:t>
      </w:r>
    </w:p>
    <w:p w14:paraId="415AEDD8"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76BA03C8"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204B25CC"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5850344F"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75A4CEAA"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6AAEA156"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17764684"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403E0C8E"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3AA37447"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340A2072" w14:textId="77777777" w:rsidR="00E73530" w:rsidRDefault="00E73530" w:rsidP="002A1F64">
      <w:pPr>
        <w:spacing w:before="240" w:after="120"/>
        <w:ind w:hanging="567"/>
        <w:jc w:val="both"/>
        <w:rPr>
          <w:rFonts w:ascii="Arial Bold" w:eastAsia="Arial Bold" w:hAnsi="Arial Bold" w:cs="Arial Bold"/>
          <w:b/>
          <w:color w:val="000000"/>
          <w:sz w:val="36"/>
          <w:szCs w:val="36"/>
        </w:rPr>
      </w:pPr>
    </w:p>
    <w:p w14:paraId="4E14693D" w14:textId="77777777" w:rsidR="00E73530" w:rsidRDefault="00E73530" w:rsidP="00E73530">
      <w:pPr>
        <w:spacing w:before="240" w:after="120"/>
        <w:jc w:val="both"/>
        <w:rPr>
          <w:rFonts w:ascii="Arial Bold" w:eastAsia="Arial Bold" w:hAnsi="Arial Bold" w:cs="Arial Bold"/>
          <w:b/>
          <w:color w:val="000000"/>
          <w:sz w:val="36"/>
          <w:szCs w:val="36"/>
        </w:rPr>
      </w:pPr>
    </w:p>
    <w:p w14:paraId="1369998F" w14:textId="001619B6" w:rsidR="00813168" w:rsidRDefault="00813168" w:rsidP="00E73530">
      <w:pPr>
        <w:spacing w:before="240" w:after="120"/>
        <w:jc w:val="both"/>
        <w:rPr>
          <w:rFonts w:ascii="Arial Bold" w:eastAsia="Arial Bold" w:hAnsi="Arial Bold" w:cs="Arial Bold"/>
          <w:b/>
          <w:color w:val="000000"/>
          <w:sz w:val="36"/>
          <w:szCs w:val="36"/>
        </w:rPr>
      </w:pPr>
      <w:r w:rsidRPr="0003491B">
        <w:rPr>
          <w:rFonts w:ascii="Arial Bold" w:eastAsia="Arial Bold" w:hAnsi="Arial Bold" w:cs="Arial Bold"/>
          <w:b/>
          <w:color w:val="000000"/>
          <w:sz w:val="36"/>
          <w:szCs w:val="36"/>
        </w:rPr>
        <w:lastRenderedPageBreak/>
        <w:t xml:space="preserve">Call-Off Schedule </w:t>
      </w:r>
      <w:r w:rsidR="00EE46D6" w:rsidRPr="0003491B">
        <w:rPr>
          <w:rFonts w:ascii="Arial Bold" w:eastAsia="Arial Bold" w:hAnsi="Arial Bold" w:cs="Arial Bold"/>
          <w:b/>
          <w:color w:val="000000"/>
          <w:sz w:val="36"/>
          <w:szCs w:val="36"/>
        </w:rPr>
        <w:t>5</w:t>
      </w:r>
      <w:r w:rsidRPr="0003491B">
        <w:rPr>
          <w:rFonts w:ascii="Arial Bold" w:eastAsia="Arial Bold" w:hAnsi="Arial Bold" w:cs="Arial Bold"/>
          <w:b/>
          <w:color w:val="000000"/>
          <w:sz w:val="36"/>
          <w:szCs w:val="36"/>
        </w:rPr>
        <w:t xml:space="preserve"> (</w:t>
      </w:r>
      <w:r w:rsidR="00B85BBF" w:rsidRPr="0003491B">
        <w:rPr>
          <w:rFonts w:ascii="Arial Bold" w:eastAsia="Arial Bold" w:hAnsi="Arial Bold" w:cs="Arial Bold"/>
          <w:b/>
          <w:color w:val="000000"/>
          <w:sz w:val="36"/>
          <w:szCs w:val="36"/>
        </w:rPr>
        <w:t>Pricing Details)</w:t>
      </w:r>
    </w:p>
    <w:p w14:paraId="6AE518B5" w14:textId="5A61D701" w:rsidR="00E73530" w:rsidRPr="003521B3" w:rsidRDefault="00E73530" w:rsidP="003521B3">
      <w:pPr>
        <w:suppressAutoHyphens w:val="0"/>
        <w:adjustRightInd w:val="0"/>
        <w:spacing w:after="120"/>
        <w:ind w:left="720"/>
        <w:contextualSpacing/>
        <w:textAlignment w:val="auto"/>
        <w:rPr>
          <w:sz w:val="24"/>
          <w:szCs w:val="24"/>
        </w:rPr>
      </w:pPr>
      <w:r w:rsidRPr="003521B3">
        <w:rPr>
          <w:sz w:val="24"/>
          <w:szCs w:val="24"/>
        </w:rPr>
        <w:t>[REDACTED]</w:t>
      </w:r>
    </w:p>
    <w:p w14:paraId="76821548" w14:textId="777755C7" w:rsidR="00E73530" w:rsidRDefault="00E73530" w:rsidP="00E73530">
      <w:pPr>
        <w:spacing w:before="240" w:after="120"/>
        <w:jc w:val="both"/>
        <w:rPr>
          <w:rFonts w:ascii="Arial Bold" w:eastAsia="Arial Bold" w:hAnsi="Arial Bold" w:cs="Arial Bold"/>
          <w:b/>
          <w:color w:val="000000"/>
          <w:sz w:val="36"/>
          <w:szCs w:val="36"/>
        </w:rPr>
      </w:pPr>
    </w:p>
    <w:p w14:paraId="38229F6A" w14:textId="234A838B" w:rsidR="00E73530" w:rsidRDefault="00E73530" w:rsidP="00E73530">
      <w:pPr>
        <w:spacing w:before="240" w:after="120"/>
        <w:jc w:val="both"/>
        <w:rPr>
          <w:rFonts w:ascii="Arial Bold" w:eastAsia="Arial Bold" w:hAnsi="Arial Bold" w:cs="Arial Bold"/>
          <w:b/>
          <w:color w:val="000000"/>
          <w:sz w:val="36"/>
          <w:szCs w:val="36"/>
        </w:rPr>
      </w:pPr>
    </w:p>
    <w:p w14:paraId="7CA543C2" w14:textId="6B2568A1" w:rsidR="00E73530" w:rsidRDefault="00E73530" w:rsidP="00E73530">
      <w:pPr>
        <w:spacing w:before="240" w:after="120"/>
        <w:jc w:val="both"/>
        <w:rPr>
          <w:rFonts w:ascii="Arial Bold" w:eastAsia="Arial Bold" w:hAnsi="Arial Bold" w:cs="Arial Bold"/>
          <w:b/>
          <w:color w:val="000000"/>
          <w:sz w:val="36"/>
          <w:szCs w:val="36"/>
        </w:rPr>
      </w:pPr>
    </w:p>
    <w:p w14:paraId="152BCBC5" w14:textId="4C3511F8" w:rsidR="00E73530" w:rsidRDefault="00E73530" w:rsidP="00E73530">
      <w:pPr>
        <w:spacing w:before="240" w:after="120"/>
        <w:jc w:val="both"/>
        <w:rPr>
          <w:rFonts w:ascii="Arial Bold" w:eastAsia="Arial Bold" w:hAnsi="Arial Bold" w:cs="Arial Bold"/>
          <w:b/>
          <w:color w:val="000000"/>
          <w:sz w:val="36"/>
          <w:szCs w:val="36"/>
        </w:rPr>
      </w:pPr>
    </w:p>
    <w:p w14:paraId="2AFF22EC" w14:textId="18EB8AAF" w:rsidR="00E73530" w:rsidRDefault="00E73530" w:rsidP="00E73530">
      <w:pPr>
        <w:spacing w:before="240" w:after="120"/>
        <w:jc w:val="both"/>
        <w:rPr>
          <w:rFonts w:ascii="Arial Bold" w:eastAsia="Arial Bold" w:hAnsi="Arial Bold" w:cs="Arial Bold"/>
          <w:b/>
          <w:color w:val="000000"/>
          <w:sz w:val="36"/>
          <w:szCs w:val="36"/>
        </w:rPr>
      </w:pPr>
    </w:p>
    <w:p w14:paraId="1F3411F9" w14:textId="2BA2525A" w:rsidR="00E73530" w:rsidRDefault="00E73530" w:rsidP="00E73530">
      <w:pPr>
        <w:spacing w:before="240" w:after="120"/>
        <w:jc w:val="both"/>
        <w:rPr>
          <w:rFonts w:ascii="Arial Bold" w:eastAsia="Arial Bold" w:hAnsi="Arial Bold" w:cs="Arial Bold"/>
          <w:b/>
          <w:color w:val="000000"/>
          <w:sz w:val="36"/>
          <w:szCs w:val="36"/>
        </w:rPr>
      </w:pPr>
    </w:p>
    <w:p w14:paraId="0D3E18D2" w14:textId="224AE6C4" w:rsidR="00E73530" w:rsidRDefault="00E73530" w:rsidP="00E73530">
      <w:pPr>
        <w:spacing w:before="240" w:after="120"/>
        <w:jc w:val="both"/>
        <w:rPr>
          <w:rFonts w:ascii="Arial Bold" w:eastAsia="Arial Bold" w:hAnsi="Arial Bold" w:cs="Arial Bold"/>
          <w:b/>
          <w:color w:val="000000"/>
          <w:sz w:val="36"/>
          <w:szCs w:val="36"/>
        </w:rPr>
      </w:pPr>
    </w:p>
    <w:p w14:paraId="2E83A2B4" w14:textId="0B05A165" w:rsidR="00E73530" w:rsidRDefault="00E73530" w:rsidP="00E73530">
      <w:pPr>
        <w:spacing w:before="240" w:after="120"/>
        <w:jc w:val="both"/>
        <w:rPr>
          <w:rFonts w:ascii="Arial Bold" w:eastAsia="Arial Bold" w:hAnsi="Arial Bold" w:cs="Arial Bold"/>
          <w:b/>
          <w:color w:val="000000"/>
          <w:sz w:val="36"/>
          <w:szCs w:val="36"/>
        </w:rPr>
      </w:pPr>
    </w:p>
    <w:p w14:paraId="720D5689" w14:textId="04BDC47A" w:rsidR="00E73530" w:rsidRDefault="00E73530" w:rsidP="00E73530">
      <w:pPr>
        <w:spacing w:before="240" w:after="120"/>
        <w:jc w:val="both"/>
        <w:rPr>
          <w:rFonts w:ascii="Arial Bold" w:eastAsia="Arial Bold" w:hAnsi="Arial Bold" w:cs="Arial Bold"/>
          <w:b/>
          <w:color w:val="000000"/>
          <w:sz w:val="36"/>
          <w:szCs w:val="36"/>
        </w:rPr>
      </w:pPr>
    </w:p>
    <w:p w14:paraId="7F2735C9" w14:textId="1E476C70" w:rsidR="00E73530" w:rsidRDefault="00E73530" w:rsidP="00E73530">
      <w:pPr>
        <w:spacing w:before="240" w:after="120"/>
        <w:jc w:val="both"/>
        <w:rPr>
          <w:rFonts w:ascii="Arial Bold" w:eastAsia="Arial Bold" w:hAnsi="Arial Bold" w:cs="Arial Bold"/>
          <w:b/>
          <w:color w:val="000000"/>
          <w:sz w:val="36"/>
          <w:szCs w:val="36"/>
        </w:rPr>
      </w:pPr>
    </w:p>
    <w:p w14:paraId="3517C773" w14:textId="6C4B5A8B" w:rsidR="00E73530" w:rsidRDefault="00E73530" w:rsidP="00E73530">
      <w:pPr>
        <w:spacing w:before="240" w:after="120"/>
        <w:jc w:val="both"/>
        <w:rPr>
          <w:rFonts w:ascii="Arial Bold" w:eastAsia="Arial Bold" w:hAnsi="Arial Bold" w:cs="Arial Bold"/>
          <w:b/>
          <w:color w:val="000000"/>
          <w:sz w:val="36"/>
          <w:szCs w:val="36"/>
        </w:rPr>
      </w:pPr>
    </w:p>
    <w:p w14:paraId="21DD898C" w14:textId="4AF28DDC" w:rsidR="00E73530" w:rsidRDefault="00E73530" w:rsidP="00E73530">
      <w:pPr>
        <w:spacing w:before="240" w:after="120"/>
        <w:jc w:val="both"/>
        <w:rPr>
          <w:rFonts w:ascii="Arial Bold" w:eastAsia="Arial Bold" w:hAnsi="Arial Bold" w:cs="Arial Bold"/>
          <w:b/>
          <w:color w:val="000000"/>
          <w:sz w:val="36"/>
          <w:szCs w:val="36"/>
        </w:rPr>
      </w:pPr>
    </w:p>
    <w:p w14:paraId="56390E22" w14:textId="65E006B1" w:rsidR="00E73530" w:rsidRDefault="00E73530" w:rsidP="00E73530">
      <w:pPr>
        <w:spacing w:before="240" w:after="120"/>
        <w:jc w:val="both"/>
        <w:rPr>
          <w:rFonts w:ascii="Arial Bold" w:eastAsia="Arial Bold" w:hAnsi="Arial Bold" w:cs="Arial Bold"/>
          <w:b/>
          <w:color w:val="000000"/>
          <w:sz w:val="36"/>
          <w:szCs w:val="36"/>
        </w:rPr>
      </w:pPr>
    </w:p>
    <w:p w14:paraId="5E6D940F" w14:textId="2CD5E289" w:rsidR="00E73530" w:rsidRDefault="00E73530" w:rsidP="00E73530">
      <w:pPr>
        <w:spacing w:before="240" w:after="120"/>
        <w:jc w:val="both"/>
        <w:rPr>
          <w:rFonts w:ascii="Arial Bold" w:eastAsia="Arial Bold" w:hAnsi="Arial Bold" w:cs="Arial Bold"/>
          <w:b/>
          <w:color w:val="000000"/>
          <w:sz w:val="36"/>
          <w:szCs w:val="36"/>
        </w:rPr>
      </w:pPr>
    </w:p>
    <w:p w14:paraId="24606881" w14:textId="2195E253" w:rsidR="00E73530" w:rsidRDefault="00E73530" w:rsidP="00E73530">
      <w:pPr>
        <w:spacing w:before="240" w:after="120"/>
        <w:jc w:val="both"/>
        <w:rPr>
          <w:rFonts w:ascii="Arial Bold" w:eastAsia="Arial Bold" w:hAnsi="Arial Bold" w:cs="Arial Bold"/>
          <w:b/>
          <w:color w:val="000000"/>
          <w:sz w:val="36"/>
          <w:szCs w:val="36"/>
        </w:rPr>
      </w:pPr>
    </w:p>
    <w:p w14:paraId="0E184C3E" w14:textId="5531A1F1" w:rsidR="00E73530" w:rsidRDefault="00E73530" w:rsidP="00E73530">
      <w:pPr>
        <w:spacing w:before="240" w:after="120"/>
        <w:jc w:val="both"/>
        <w:rPr>
          <w:rFonts w:ascii="Arial Bold" w:eastAsia="Arial Bold" w:hAnsi="Arial Bold" w:cs="Arial Bold"/>
          <w:b/>
          <w:color w:val="000000"/>
          <w:sz w:val="36"/>
          <w:szCs w:val="36"/>
        </w:rPr>
      </w:pPr>
    </w:p>
    <w:p w14:paraId="6C1E75F6" w14:textId="67A04F48" w:rsidR="00E73530" w:rsidRDefault="00E73530" w:rsidP="00E73530">
      <w:pPr>
        <w:spacing w:before="240" w:after="120"/>
        <w:jc w:val="both"/>
        <w:rPr>
          <w:rFonts w:ascii="Arial Bold" w:eastAsia="Arial Bold" w:hAnsi="Arial Bold" w:cs="Arial Bold"/>
          <w:b/>
          <w:color w:val="000000"/>
          <w:sz w:val="36"/>
          <w:szCs w:val="36"/>
        </w:rPr>
      </w:pPr>
    </w:p>
    <w:p w14:paraId="0C0E732C" w14:textId="77AE7728" w:rsidR="00E73530" w:rsidRDefault="00E73530" w:rsidP="00E73530">
      <w:pPr>
        <w:spacing w:before="240" w:after="120"/>
        <w:jc w:val="both"/>
        <w:rPr>
          <w:rFonts w:ascii="Arial Bold" w:eastAsia="Arial Bold" w:hAnsi="Arial Bold" w:cs="Arial Bold"/>
          <w:b/>
          <w:color w:val="000000"/>
          <w:sz w:val="36"/>
          <w:szCs w:val="36"/>
        </w:rPr>
      </w:pPr>
    </w:p>
    <w:p w14:paraId="7B1E39CE" w14:textId="77777777" w:rsidR="00D81144" w:rsidRDefault="00D81144" w:rsidP="00E73530">
      <w:pPr>
        <w:spacing w:before="240" w:after="120"/>
        <w:jc w:val="both"/>
        <w:rPr>
          <w:rFonts w:ascii="Arial Bold" w:eastAsia="Arial Bold" w:hAnsi="Arial Bold" w:cs="Arial Bold"/>
          <w:b/>
          <w:color w:val="000000"/>
          <w:sz w:val="36"/>
          <w:szCs w:val="36"/>
        </w:rPr>
      </w:pPr>
    </w:p>
    <w:p w14:paraId="3DFDA4FA" w14:textId="77777777" w:rsidR="00E73530" w:rsidRPr="0003491B" w:rsidRDefault="00E73530" w:rsidP="00E73530">
      <w:pPr>
        <w:spacing w:before="240" w:after="120"/>
        <w:jc w:val="both"/>
        <w:rPr>
          <w:rFonts w:ascii="Arial Bold" w:eastAsia="Arial Bold" w:hAnsi="Arial Bold" w:cs="Arial Bold"/>
          <w:b/>
          <w:color w:val="000000"/>
          <w:sz w:val="36"/>
          <w:szCs w:val="36"/>
        </w:rPr>
      </w:pPr>
    </w:p>
    <w:p w14:paraId="5D5A19A0" w14:textId="20BC2C07" w:rsidR="0003491B" w:rsidRPr="0003491B" w:rsidRDefault="0003491B" w:rsidP="00DF7E21">
      <w:pPr>
        <w:spacing w:before="240" w:after="120"/>
        <w:jc w:val="both"/>
        <w:rPr>
          <w:rFonts w:eastAsia="Times New Roman"/>
        </w:rPr>
      </w:pPr>
      <w:r w:rsidRPr="0003491B">
        <w:rPr>
          <w:rFonts w:ascii="Arial Bold" w:eastAsia="Arial Bold" w:hAnsi="Arial Bold" w:cs="Arial Bold"/>
          <w:b/>
          <w:color w:val="000000"/>
          <w:sz w:val="36"/>
          <w:szCs w:val="36"/>
        </w:rPr>
        <w:lastRenderedPageBreak/>
        <w:t>Call-Off Schedule 9 (Security)</w:t>
      </w:r>
    </w:p>
    <w:p w14:paraId="69615782" w14:textId="77777777" w:rsidR="0003491B" w:rsidRPr="0003491B" w:rsidRDefault="0003491B" w:rsidP="0003491B">
      <w:pPr>
        <w:spacing w:after="200" w:line="276" w:lineRule="auto"/>
        <w:rPr>
          <w:rFonts w:eastAsia="Times New Roman"/>
          <w:sz w:val="24"/>
          <w:szCs w:val="24"/>
        </w:rPr>
      </w:pPr>
      <w:bookmarkStart w:id="31" w:name="_heading=h.gjdgxs"/>
      <w:bookmarkEnd w:id="31"/>
    </w:p>
    <w:p w14:paraId="566703C5" w14:textId="77777777" w:rsidR="0003491B" w:rsidRPr="0003491B" w:rsidRDefault="0003491B" w:rsidP="0003491B">
      <w:pPr>
        <w:spacing w:before="240" w:after="120"/>
        <w:ind w:hanging="567"/>
        <w:jc w:val="both"/>
        <w:rPr>
          <w:rFonts w:eastAsia="Times New Roman"/>
        </w:rPr>
      </w:pPr>
      <w:r w:rsidRPr="0003491B">
        <w:rPr>
          <w:rFonts w:eastAsia="Times New Roman"/>
          <w:b/>
          <w:color w:val="000000"/>
          <w:sz w:val="36"/>
          <w:szCs w:val="36"/>
        </w:rPr>
        <w:t>Part A: Short Form Security Requirements</w:t>
      </w:r>
    </w:p>
    <w:p w14:paraId="49088BD6" w14:textId="77777777" w:rsidR="0003491B" w:rsidRPr="0003491B" w:rsidRDefault="0003491B" w:rsidP="0003491B">
      <w:pPr>
        <w:keepNext/>
        <w:numPr>
          <w:ilvl w:val="0"/>
          <w:numId w:val="12"/>
        </w:numPr>
        <w:tabs>
          <w:tab w:val="left" w:pos="360"/>
        </w:tabs>
        <w:spacing w:before="240" w:after="240"/>
        <w:jc w:val="both"/>
        <w:rPr>
          <w:rFonts w:eastAsia="Times New Roman"/>
        </w:rPr>
      </w:pPr>
      <w:r w:rsidRPr="0003491B">
        <w:rPr>
          <w:rFonts w:eastAsia="Times New Roman"/>
          <w:b/>
          <w:smallCaps/>
          <w:color w:val="000000"/>
          <w:sz w:val="24"/>
          <w:szCs w:val="24"/>
        </w:rPr>
        <w:t>D</w:t>
      </w:r>
      <w:r w:rsidRPr="0003491B">
        <w:rPr>
          <w:rFonts w:ascii="Arial Bold" w:eastAsia="Arial Bold" w:hAnsi="Arial Bold" w:cs="Arial Bold"/>
          <w:b/>
          <w:color w:val="000000"/>
          <w:sz w:val="24"/>
          <w:szCs w:val="24"/>
        </w:rPr>
        <w:t>efinitions</w:t>
      </w:r>
    </w:p>
    <w:p w14:paraId="67E96077" w14:textId="77777777" w:rsidR="0003491B" w:rsidRPr="0003491B" w:rsidRDefault="0003491B" w:rsidP="0003491B">
      <w:pPr>
        <w:keepNext/>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03491B" w:rsidRPr="0003491B" w14:paraId="3247CC6D" w14:textId="77777777" w:rsidTr="000609B6">
        <w:tc>
          <w:tcPr>
            <w:tcW w:w="2501" w:type="dxa"/>
            <w:tcBorders>
              <w:top w:val="single" w:sz="24"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F269942" w14:textId="77777777" w:rsidR="0003491B" w:rsidRPr="0003491B" w:rsidRDefault="0003491B" w:rsidP="0003491B">
            <w:pPr>
              <w:spacing w:after="120"/>
              <w:ind w:left="-108" w:firstLine="108"/>
              <w:rPr>
                <w:rFonts w:eastAsia="Times New Roman"/>
              </w:rPr>
            </w:pPr>
            <w:r w:rsidRPr="0003491B">
              <w:rPr>
                <w:rFonts w:eastAsia="Times New Roman"/>
                <w:b/>
                <w:color w:val="000000"/>
                <w:sz w:val="24"/>
                <w:szCs w:val="24"/>
              </w:rPr>
              <w:t>"Breach of Security"</w:t>
            </w:r>
          </w:p>
        </w:tc>
        <w:tc>
          <w:tcPr>
            <w:tcW w:w="5732" w:type="dxa"/>
            <w:tcBorders>
              <w:top w:val="single" w:sz="24"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06D265A0" w14:textId="77777777" w:rsidR="0003491B" w:rsidRPr="0003491B" w:rsidRDefault="0003491B" w:rsidP="0003491B">
            <w:pPr>
              <w:numPr>
                <w:ilvl w:val="0"/>
                <w:numId w:val="13"/>
              </w:numPr>
              <w:tabs>
                <w:tab w:val="left" w:pos="161"/>
              </w:tabs>
              <w:spacing w:after="120"/>
              <w:jc w:val="both"/>
              <w:rPr>
                <w:rFonts w:eastAsia="Times New Roman"/>
              </w:rPr>
            </w:pPr>
            <w:r w:rsidRPr="0003491B">
              <w:rPr>
                <w:rFonts w:eastAsia="Times New Roman"/>
                <w:color w:val="000000"/>
                <w:sz w:val="24"/>
                <w:szCs w:val="24"/>
              </w:rPr>
              <w:t>the occurrence of:</w:t>
            </w:r>
          </w:p>
          <w:p w14:paraId="50916D49" w14:textId="77777777" w:rsidR="0003491B" w:rsidRPr="0003491B" w:rsidRDefault="0003491B" w:rsidP="0003491B">
            <w:pPr>
              <w:numPr>
                <w:ilvl w:val="1"/>
                <w:numId w:val="11"/>
              </w:numPr>
              <w:tabs>
                <w:tab w:val="left" w:pos="864"/>
              </w:tabs>
              <w:spacing w:after="120"/>
              <w:jc w:val="both"/>
              <w:rPr>
                <w:rFonts w:eastAsia="Times New Roman"/>
              </w:rPr>
            </w:pPr>
            <w:r w:rsidRPr="0003491B">
              <w:rPr>
                <w:rFonts w:eastAsia="Times New Roman"/>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761A7244" w14:textId="77777777" w:rsidR="0003491B" w:rsidRPr="0003491B" w:rsidRDefault="0003491B" w:rsidP="0003491B">
            <w:pPr>
              <w:numPr>
                <w:ilvl w:val="1"/>
                <w:numId w:val="11"/>
              </w:numPr>
              <w:tabs>
                <w:tab w:val="left" w:pos="864"/>
              </w:tabs>
              <w:spacing w:after="120"/>
              <w:jc w:val="both"/>
              <w:rPr>
                <w:rFonts w:eastAsia="Times New Roman"/>
              </w:rPr>
            </w:pPr>
            <w:r w:rsidRPr="0003491B">
              <w:rPr>
                <w:rFonts w:eastAsia="Times New Roman"/>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6F9E985B" w14:textId="77777777" w:rsidR="0003491B" w:rsidRPr="0003491B" w:rsidRDefault="0003491B" w:rsidP="0003491B">
            <w:pPr>
              <w:numPr>
                <w:ilvl w:val="0"/>
                <w:numId w:val="11"/>
              </w:numPr>
              <w:tabs>
                <w:tab w:val="left" w:pos="161"/>
              </w:tabs>
              <w:spacing w:after="120"/>
              <w:jc w:val="both"/>
              <w:rPr>
                <w:rFonts w:eastAsia="Times New Roman"/>
              </w:rPr>
            </w:pPr>
            <w:r w:rsidRPr="0003491B">
              <w:rPr>
                <w:rFonts w:eastAsia="Times New Roman"/>
                <w:color w:val="000000"/>
                <w:sz w:val="24"/>
                <w:szCs w:val="24"/>
              </w:rPr>
              <w:t>in either case as more particularly set out in the Security Policy where the Buyer has required compliance therewith in accordance with paragraph 2.2;</w:t>
            </w:r>
          </w:p>
        </w:tc>
      </w:tr>
      <w:tr w:rsidR="0003491B" w:rsidRPr="0003491B" w14:paraId="325A3DA7" w14:textId="77777777" w:rsidTr="000609B6">
        <w:tc>
          <w:tcPr>
            <w:tcW w:w="2501" w:type="dxa"/>
            <w:tcBorders>
              <w:top w:val="single" w:sz="6" w:space="0" w:color="000000"/>
              <w:left w:val="single" w:sz="24" w:space="0" w:color="000000"/>
              <w:bottom w:val="single" w:sz="24" w:space="0" w:color="000000"/>
              <w:right w:val="single" w:sz="6" w:space="0" w:color="000000"/>
            </w:tcBorders>
            <w:tcMar>
              <w:top w:w="0" w:type="dxa"/>
              <w:left w:w="138" w:type="dxa"/>
              <w:bottom w:w="0" w:type="dxa"/>
              <w:right w:w="108" w:type="dxa"/>
            </w:tcMar>
          </w:tcPr>
          <w:p w14:paraId="077A44B2" w14:textId="77777777" w:rsidR="0003491B" w:rsidRPr="0003491B" w:rsidRDefault="0003491B" w:rsidP="0003491B">
            <w:pPr>
              <w:spacing w:after="120"/>
              <w:ind w:left="-108" w:firstLine="108"/>
              <w:rPr>
                <w:rFonts w:eastAsia="Times New Roman"/>
              </w:rPr>
            </w:pPr>
            <w:r w:rsidRPr="0003491B">
              <w:rPr>
                <w:rFonts w:eastAsia="Times New Roman"/>
                <w:b/>
                <w:color w:val="000000"/>
                <w:sz w:val="24"/>
                <w:szCs w:val="24"/>
              </w:rPr>
              <w:t>"Security Management Plan"</w:t>
            </w:r>
          </w:p>
        </w:tc>
        <w:tc>
          <w:tcPr>
            <w:tcW w:w="5732" w:type="dxa"/>
            <w:tcBorders>
              <w:top w:val="single" w:sz="6" w:space="0" w:color="000000"/>
              <w:left w:val="single" w:sz="6" w:space="0" w:color="000000"/>
              <w:bottom w:val="single" w:sz="24" w:space="0" w:color="000000"/>
              <w:right w:val="single" w:sz="24" w:space="0" w:color="000000"/>
            </w:tcBorders>
            <w:tcMar>
              <w:top w:w="0" w:type="dxa"/>
              <w:left w:w="138" w:type="dxa"/>
              <w:bottom w:w="0" w:type="dxa"/>
              <w:right w:w="108" w:type="dxa"/>
            </w:tcMar>
          </w:tcPr>
          <w:p w14:paraId="78AA24FF" w14:textId="77777777" w:rsidR="0003491B" w:rsidRPr="0003491B" w:rsidRDefault="0003491B" w:rsidP="0003491B">
            <w:pPr>
              <w:numPr>
                <w:ilvl w:val="0"/>
                <w:numId w:val="11"/>
              </w:numPr>
              <w:tabs>
                <w:tab w:val="left" w:pos="-9"/>
              </w:tabs>
              <w:spacing w:after="120"/>
              <w:jc w:val="both"/>
              <w:rPr>
                <w:rFonts w:eastAsia="Times New Roman"/>
              </w:rPr>
            </w:pPr>
            <w:r w:rsidRPr="0003491B">
              <w:rPr>
                <w:rFonts w:eastAsia="Times New Roman"/>
                <w:color w:val="000000"/>
                <w:sz w:val="24"/>
                <w:szCs w:val="24"/>
              </w:rPr>
              <w:t>the Supplier's security management plan prepared pursuant to this Schedule, a draft of which has been provided by the Supplier to the Buyer and as updated from time to time.</w:t>
            </w:r>
          </w:p>
        </w:tc>
      </w:tr>
    </w:tbl>
    <w:p w14:paraId="4AFC029D" w14:textId="77777777" w:rsidR="0003491B" w:rsidRPr="0003491B" w:rsidRDefault="0003491B" w:rsidP="0003491B">
      <w:pPr>
        <w:keepNext/>
        <w:numPr>
          <w:ilvl w:val="0"/>
          <w:numId w:val="10"/>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Complying with security requirements and updates to them</w:t>
      </w:r>
    </w:p>
    <w:p w14:paraId="40FD1DCC"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The Buyer and the Supplier recognise that, where specified in Framework Schedule 4 (Framework Management), CCS shall have the right to enforce the Buyer's rights under this Schedule.</w:t>
      </w:r>
    </w:p>
    <w:p w14:paraId="496CF001"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03491B">
        <w:rPr>
          <w:rFonts w:eastAsia="Times New Roman"/>
          <w:color w:val="000000"/>
          <w:sz w:val="24"/>
          <w:szCs w:val="24"/>
        </w:rPr>
        <w:t>Policy  and</w:t>
      </w:r>
      <w:proofErr w:type="gramEnd"/>
      <w:r w:rsidRPr="0003491B">
        <w:rPr>
          <w:rFonts w:eastAsia="Times New Roman"/>
          <w:color w:val="000000"/>
          <w:sz w:val="24"/>
          <w:szCs w:val="24"/>
        </w:rPr>
        <w:t xml:space="preserve"> shall ensure that the Security Management Plan produced by the Supplier fully complies with the Security Policy.</w:t>
      </w:r>
    </w:p>
    <w:p w14:paraId="7340287B" w14:textId="77777777" w:rsidR="0003491B" w:rsidRPr="0003491B" w:rsidRDefault="0003491B" w:rsidP="0003491B">
      <w:pPr>
        <w:numPr>
          <w:ilvl w:val="1"/>
          <w:numId w:val="10"/>
        </w:numPr>
        <w:tabs>
          <w:tab w:val="left" w:pos="1778"/>
        </w:tabs>
        <w:spacing w:before="120" w:after="120"/>
        <w:ind w:hanging="568"/>
        <w:jc w:val="both"/>
        <w:rPr>
          <w:rFonts w:eastAsia="Times New Roman"/>
        </w:rPr>
      </w:pPr>
      <w:bookmarkStart w:id="32" w:name="_heading=h.30j0zll"/>
      <w:bookmarkEnd w:id="32"/>
      <w:r w:rsidRPr="0003491B">
        <w:rPr>
          <w:rFonts w:eastAsia="Times New Roman"/>
          <w:color w:val="000000"/>
          <w:sz w:val="24"/>
          <w:szCs w:val="24"/>
        </w:rPr>
        <w:t>Where the Security Policy applies the Buyer shall notify the Supplier of any changes or proposed changes to the Security Policy.</w:t>
      </w:r>
    </w:p>
    <w:p w14:paraId="7F5DF9E1"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53482F0A"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Until and/or unless a change to the Charges is agreed by the Buyer pursuant to the Variation Procedure the Supplier shall continue to provide the Deliverables in accordance with its existing obligations.</w:t>
      </w:r>
    </w:p>
    <w:p w14:paraId="134167AE" w14:textId="77777777" w:rsidR="0003491B" w:rsidRPr="0003491B" w:rsidRDefault="0003491B" w:rsidP="0003491B">
      <w:pPr>
        <w:keepNext/>
        <w:numPr>
          <w:ilvl w:val="0"/>
          <w:numId w:val="10"/>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Security Standards</w:t>
      </w:r>
    </w:p>
    <w:p w14:paraId="4F3337E8"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 xml:space="preserve">The Supplier acknowledges that the Buyer places great emphasis on the reliability of the performance of the Deliverables, confidentiality, </w:t>
      </w:r>
      <w:proofErr w:type="gramStart"/>
      <w:r w:rsidRPr="0003491B">
        <w:rPr>
          <w:rFonts w:eastAsia="Times New Roman"/>
          <w:color w:val="000000"/>
          <w:sz w:val="24"/>
          <w:szCs w:val="24"/>
        </w:rPr>
        <w:t>integrity</w:t>
      </w:r>
      <w:proofErr w:type="gramEnd"/>
      <w:r w:rsidRPr="0003491B">
        <w:rPr>
          <w:rFonts w:eastAsia="Times New Roman"/>
          <w:color w:val="000000"/>
          <w:sz w:val="24"/>
          <w:szCs w:val="24"/>
        </w:rPr>
        <w:t xml:space="preserve"> and availability of information and consequently on security.</w:t>
      </w:r>
    </w:p>
    <w:p w14:paraId="7AF493DF" w14:textId="77777777" w:rsidR="0003491B" w:rsidRPr="0003491B" w:rsidRDefault="0003491B" w:rsidP="0003491B">
      <w:pPr>
        <w:keepNext/>
        <w:numPr>
          <w:ilvl w:val="1"/>
          <w:numId w:val="10"/>
        </w:numPr>
        <w:tabs>
          <w:tab w:val="left" w:pos="1778"/>
        </w:tabs>
        <w:spacing w:before="120" w:after="120"/>
        <w:ind w:hanging="568"/>
        <w:jc w:val="both"/>
        <w:rPr>
          <w:rFonts w:eastAsia="Times New Roman"/>
        </w:rPr>
      </w:pPr>
      <w:bookmarkStart w:id="33" w:name="_heading=h.1fob9te"/>
      <w:bookmarkEnd w:id="33"/>
      <w:r w:rsidRPr="0003491B">
        <w:rPr>
          <w:rFonts w:eastAsia="Times New Roman"/>
          <w:color w:val="000000"/>
          <w:sz w:val="24"/>
          <w:szCs w:val="24"/>
        </w:rPr>
        <w:t xml:space="preserve">The Supplier shall be responsible for the effective performance of its security obligations and shall </w:t>
      </w:r>
      <w:proofErr w:type="gramStart"/>
      <w:r w:rsidRPr="0003491B">
        <w:rPr>
          <w:rFonts w:eastAsia="Times New Roman"/>
          <w:color w:val="000000"/>
          <w:sz w:val="24"/>
          <w:szCs w:val="24"/>
        </w:rPr>
        <w:t>at all times</w:t>
      </w:r>
      <w:proofErr w:type="gramEnd"/>
      <w:r w:rsidRPr="0003491B">
        <w:rPr>
          <w:rFonts w:eastAsia="Times New Roman"/>
          <w:color w:val="000000"/>
          <w:sz w:val="24"/>
          <w:szCs w:val="24"/>
        </w:rPr>
        <w:t xml:space="preserve"> provide a level of security which:</w:t>
      </w:r>
    </w:p>
    <w:p w14:paraId="13D9D4FD"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r w:rsidRPr="0003491B">
        <w:rPr>
          <w:rFonts w:eastAsia="Times New Roman"/>
          <w:color w:val="000000"/>
          <w:sz w:val="24"/>
          <w:szCs w:val="24"/>
        </w:rPr>
        <w:t xml:space="preserve">is in accordance with the Law and this </w:t>
      </w:r>
      <w:proofErr w:type="gramStart"/>
      <w:r w:rsidRPr="0003491B">
        <w:rPr>
          <w:rFonts w:eastAsia="Times New Roman"/>
          <w:color w:val="000000"/>
          <w:sz w:val="24"/>
          <w:szCs w:val="24"/>
        </w:rPr>
        <w:t>Contract;</w:t>
      </w:r>
      <w:proofErr w:type="gramEnd"/>
    </w:p>
    <w:p w14:paraId="26CCB4DE"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r w:rsidRPr="0003491B">
        <w:rPr>
          <w:rFonts w:eastAsia="Times New Roman"/>
          <w:color w:val="000000"/>
          <w:sz w:val="24"/>
          <w:szCs w:val="24"/>
        </w:rPr>
        <w:t xml:space="preserve">as a minimum demonstrates Good Industry </w:t>
      </w:r>
      <w:proofErr w:type="gramStart"/>
      <w:r w:rsidRPr="0003491B">
        <w:rPr>
          <w:rFonts w:eastAsia="Times New Roman"/>
          <w:color w:val="000000"/>
          <w:sz w:val="24"/>
          <w:szCs w:val="24"/>
        </w:rPr>
        <w:t>Practice;</w:t>
      </w:r>
      <w:proofErr w:type="gramEnd"/>
    </w:p>
    <w:p w14:paraId="16438304"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r w:rsidRPr="0003491B">
        <w:rPr>
          <w:rFonts w:eastAsia="Times New Roman"/>
          <w:color w:val="000000"/>
          <w:sz w:val="24"/>
          <w:szCs w:val="24"/>
        </w:rPr>
        <w:t>meets any specific security threats of immediate relevance to the Deliverables and/or the Government Data; and</w:t>
      </w:r>
    </w:p>
    <w:p w14:paraId="3705E62D"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r w:rsidRPr="0003491B">
        <w:rPr>
          <w:rFonts w:eastAsia="Times New Roman"/>
          <w:color w:val="000000"/>
          <w:sz w:val="24"/>
          <w:szCs w:val="24"/>
        </w:rPr>
        <w:t>where specified by the Buyer in accordance with paragraph 2.2 complies with the Security Policy and the ICT Policy.</w:t>
      </w:r>
    </w:p>
    <w:p w14:paraId="785C2F40"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03491B">
        <w:rPr>
          <w:rFonts w:eastAsia="Times New Roman"/>
          <w:color w:val="000000"/>
          <w:sz w:val="24"/>
          <w:szCs w:val="24"/>
        </w:rPr>
        <w:t>guidance</w:t>
      </w:r>
      <w:proofErr w:type="gramEnd"/>
      <w:r w:rsidRPr="0003491B">
        <w:rPr>
          <w:rFonts w:eastAsia="Times New Roman"/>
          <w:color w:val="000000"/>
          <w:sz w:val="24"/>
          <w:szCs w:val="24"/>
        </w:rPr>
        <w:t xml:space="preserve"> and policies, as notified to the Supplier from time to time.</w:t>
      </w:r>
    </w:p>
    <w:p w14:paraId="038DA177" w14:textId="77777777" w:rsidR="0003491B" w:rsidRPr="0003491B" w:rsidRDefault="0003491B" w:rsidP="0003491B">
      <w:pPr>
        <w:numPr>
          <w:ilvl w:val="1"/>
          <w:numId w:val="10"/>
        </w:numPr>
        <w:tabs>
          <w:tab w:val="left" w:pos="1778"/>
        </w:tabs>
        <w:spacing w:before="120" w:after="120"/>
        <w:ind w:hanging="568"/>
        <w:jc w:val="both"/>
        <w:rPr>
          <w:rFonts w:eastAsia="Times New Roman"/>
        </w:rPr>
      </w:pPr>
      <w:r w:rsidRPr="0003491B">
        <w:rPr>
          <w:rFonts w:eastAsia="Times New Roman"/>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B780567" w14:textId="77777777" w:rsidR="0003491B" w:rsidRPr="0003491B" w:rsidRDefault="0003491B" w:rsidP="0003491B">
      <w:pPr>
        <w:keepNext/>
        <w:numPr>
          <w:ilvl w:val="0"/>
          <w:numId w:val="10"/>
        </w:numPr>
        <w:tabs>
          <w:tab w:val="left" w:pos="360"/>
        </w:tabs>
        <w:spacing w:before="240" w:after="240"/>
        <w:jc w:val="both"/>
        <w:rPr>
          <w:rFonts w:eastAsia="Times New Roman"/>
        </w:rPr>
      </w:pPr>
      <w:r w:rsidRPr="0003491B">
        <w:rPr>
          <w:rFonts w:eastAsia="Times New Roman"/>
          <w:b/>
          <w:smallCaps/>
          <w:color w:val="000000"/>
          <w:sz w:val="24"/>
          <w:szCs w:val="24"/>
        </w:rPr>
        <w:t>S</w:t>
      </w:r>
      <w:r w:rsidRPr="0003491B">
        <w:rPr>
          <w:rFonts w:ascii="Arial Bold" w:eastAsia="Arial Bold" w:hAnsi="Arial Bold" w:cs="Arial Bold"/>
          <w:b/>
          <w:color w:val="000000"/>
          <w:sz w:val="24"/>
          <w:szCs w:val="24"/>
        </w:rPr>
        <w:t>ecurity Management Plan</w:t>
      </w:r>
    </w:p>
    <w:p w14:paraId="767442F1" w14:textId="77777777" w:rsidR="0003491B" w:rsidRPr="0003491B" w:rsidRDefault="0003491B" w:rsidP="0003491B">
      <w:pPr>
        <w:keepNext/>
        <w:numPr>
          <w:ilvl w:val="1"/>
          <w:numId w:val="10"/>
        </w:numPr>
        <w:tabs>
          <w:tab w:val="left" w:pos="1778"/>
        </w:tabs>
        <w:spacing w:before="120" w:after="120"/>
        <w:ind w:hanging="568"/>
        <w:jc w:val="both"/>
        <w:rPr>
          <w:rFonts w:eastAsia="Times New Roman"/>
        </w:rPr>
      </w:pPr>
      <w:bookmarkStart w:id="34" w:name="_heading=h.3znysh7"/>
      <w:bookmarkEnd w:id="34"/>
      <w:r w:rsidRPr="0003491B">
        <w:rPr>
          <w:rFonts w:eastAsia="Times New Roman"/>
          <w:b/>
          <w:color w:val="000000"/>
          <w:sz w:val="24"/>
          <w:szCs w:val="24"/>
        </w:rPr>
        <w:t>Introduction</w:t>
      </w:r>
    </w:p>
    <w:p w14:paraId="65390193"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35" w:name="_heading=h.2et92p0"/>
      <w:bookmarkEnd w:id="35"/>
      <w:r w:rsidRPr="0003491B">
        <w:rPr>
          <w:rFonts w:eastAsia="Times New Roman"/>
          <w:color w:val="000000"/>
          <w:sz w:val="24"/>
          <w:szCs w:val="24"/>
        </w:rPr>
        <w:t>The Supplier shall develop and maintain a Security Management Plan in accordance with this Schedule. The Supplier shall thereafter comply with its obligations set out in the Security Management Plan.</w:t>
      </w:r>
    </w:p>
    <w:p w14:paraId="56FE3F24" w14:textId="77777777" w:rsidR="0003491B" w:rsidRPr="0003491B" w:rsidRDefault="0003491B" w:rsidP="0003491B">
      <w:pPr>
        <w:keepNext/>
        <w:numPr>
          <w:ilvl w:val="1"/>
          <w:numId w:val="10"/>
        </w:numPr>
        <w:tabs>
          <w:tab w:val="left" w:pos="1778"/>
        </w:tabs>
        <w:spacing w:before="120" w:after="120"/>
        <w:ind w:hanging="568"/>
        <w:jc w:val="both"/>
        <w:rPr>
          <w:rFonts w:eastAsia="Times New Roman"/>
        </w:rPr>
      </w:pPr>
      <w:bookmarkStart w:id="36" w:name="_heading=h.tyjcwt"/>
      <w:bookmarkEnd w:id="36"/>
      <w:r w:rsidRPr="0003491B">
        <w:rPr>
          <w:rFonts w:eastAsia="Times New Roman"/>
          <w:b/>
          <w:color w:val="000000"/>
          <w:sz w:val="24"/>
          <w:szCs w:val="24"/>
        </w:rPr>
        <w:t>Content of the Security Management Plan</w:t>
      </w:r>
    </w:p>
    <w:p w14:paraId="72C920A4" w14:textId="77777777" w:rsidR="0003491B" w:rsidRPr="0003491B" w:rsidRDefault="0003491B" w:rsidP="0003491B">
      <w:pPr>
        <w:keepNext/>
        <w:numPr>
          <w:ilvl w:val="2"/>
          <w:numId w:val="10"/>
        </w:numPr>
        <w:tabs>
          <w:tab w:val="left" w:pos="3605"/>
          <w:tab w:val="left" w:pos="3747"/>
        </w:tabs>
        <w:spacing w:before="120" w:after="120"/>
        <w:ind w:left="1620"/>
        <w:jc w:val="both"/>
        <w:rPr>
          <w:rFonts w:eastAsia="Times New Roman"/>
        </w:rPr>
      </w:pPr>
      <w:bookmarkStart w:id="37" w:name="_heading=h.3dy6vkm"/>
      <w:bookmarkEnd w:id="37"/>
      <w:r w:rsidRPr="0003491B">
        <w:rPr>
          <w:rFonts w:eastAsia="Times New Roman"/>
          <w:color w:val="000000"/>
          <w:sz w:val="24"/>
          <w:szCs w:val="24"/>
        </w:rPr>
        <w:t>The Security Management Plan shall:</w:t>
      </w:r>
    </w:p>
    <w:p w14:paraId="28F6283E"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comply with the principles of security set out in Paragraph 3 and any other provisions of this Contract relevant to </w:t>
      </w:r>
      <w:proofErr w:type="gramStart"/>
      <w:r w:rsidRPr="0003491B">
        <w:rPr>
          <w:rFonts w:eastAsia="Times New Roman"/>
          <w:color w:val="000000"/>
          <w:sz w:val="24"/>
          <w:szCs w:val="24"/>
        </w:rPr>
        <w:t>security;</w:t>
      </w:r>
      <w:proofErr w:type="gramEnd"/>
    </w:p>
    <w:p w14:paraId="0672A553"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identify the necessary delegated organisational roles for those responsible for ensuring it is complied with by the </w:t>
      </w:r>
      <w:proofErr w:type="gramStart"/>
      <w:r w:rsidRPr="0003491B">
        <w:rPr>
          <w:rFonts w:eastAsia="Times New Roman"/>
          <w:color w:val="000000"/>
          <w:sz w:val="24"/>
          <w:szCs w:val="24"/>
        </w:rPr>
        <w:t>Supplier;</w:t>
      </w:r>
      <w:proofErr w:type="gramEnd"/>
    </w:p>
    <w:p w14:paraId="773D099C"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lastRenderedPageBreak/>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w:t>
      </w:r>
      <w:proofErr w:type="gramStart"/>
      <w:r w:rsidRPr="0003491B">
        <w:rPr>
          <w:rFonts w:eastAsia="Times New Roman"/>
          <w:color w:val="000000"/>
          <w:sz w:val="24"/>
          <w:szCs w:val="24"/>
        </w:rPr>
        <w:t>Deliverables;</w:t>
      </w:r>
      <w:proofErr w:type="gramEnd"/>
    </w:p>
    <w:p w14:paraId="7BA6A92B"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w:t>
      </w:r>
      <w:proofErr w:type="gramStart"/>
      <w:r w:rsidRPr="0003491B">
        <w:rPr>
          <w:rFonts w:eastAsia="Times New Roman"/>
          <w:color w:val="000000"/>
          <w:sz w:val="24"/>
          <w:szCs w:val="24"/>
        </w:rPr>
        <w:t>Deliverables;</w:t>
      </w:r>
      <w:proofErr w:type="gramEnd"/>
    </w:p>
    <w:p w14:paraId="43B4CE6E"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03491B">
        <w:rPr>
          <w:rFonts w:eastAsia="Times New Roman"/>
          <w:color w:val="000000"/>
          <w:sz w:val="24"/>
          <w:szCs w:val="24"/>
        </w:rPr>
        <w:t>Contract;</w:t>
      </w:r>
      <w:proofErr w:type="gramEnd"/>
    </w:p>
    <w:p w14:paraId="0A603CE3"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bookmarkStart w:id="38" w:name="_heading=h.1t3h5sf"/>
      <w:bookmarkEnd w:id="38"/>
      <w:r w:rsidRPr="0003491B">
        <w:rPr>
          <w:rFonts w:eastAsia="Times New Roman"/>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90C8BA9"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bookmarkStart w:id="39" w:name="_heading=h.4d34og8"/>
      <w:bookmarkEnd w:id="39"/>
      <w:r w:rsidRPr="0003491B">
        <w:rPr>
          <w:rFonts w:eastAsia="Times New Roman"/>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15698E6" w14:textId="77777777" w:rsidR="0003491B" w:rsidRPr="0003491B" w:rsidRDefault="0003491B" w:rsidP="0003491B">
      <w:pPr>
        <w:keepNext/>
        <w:numPr>
          <w:ilvl w:val="1"/>
          <w:numId w:val="10"/>
        </w:numPr>
        <w:tabs>
          <w:tab w:val="left" w:pos="1778"/>
        </w:tabs>
        <w:spacing w:before="120" w:after="120"/>
        <w:ind w:hanging="568"/>
        <w:jc w:val="both"/>
        <w:rPr>
          <w:rFonts w:eastAsia="Times New Roman"/>
        </w:rPr>
      </w:pPr>
      <w:bookmarkStart w:id="40" w:name="_heading=h.2s8eyo1"/>
      <w:bookmarkEnd w:id="40"/>
      <w:r w:rsidRPr="0003491B">
        <w:rPr>
          <w:rFonts w:eastAsia="Times New Roman"/>
          <w:b/>
          <w:color w:val="000000"/>
          <w:sz w:val="24"/>
          <w:szCs w:val="24"/>
        </w:rPr>
        <w:t>Development of the Security Management Plan</w:t>
      </w:r>
    </w:p>
    <w:p w14:paraId="5234ACD6"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41" w:name="_heading=h.17dp8vu"/>
      <w:bookmarkEnd w:id="41"/>
      <w:r w:rsidRPr="0003491B">
        <w:rPr>
          <w:rFonts w:eastAsia="Times New Roman"/>
          <w:color w:val="000000"/>
          <w:sz w:val="24"/>
          <w:szCs w:val="24"/>
        </w:rPr>
        <w:t>Within twenty (20)</w:t>
      </w:r>
      <w:r w:rsidRPr="0003491B">
        <w:rPr>
          <w:rFonts w:eastAsia="Times New Roman"/>
          <w:b/>
          <w:color w:val="000000"/>
          <w:sz w:val="24"/>
          <w:szCs w:val="24"/>
        </w:rPr>
        <w:t xml:space="preserve"> </w:t>
      </w:r>
      <w:r w:rsidRPr="0003491B">
        <w:rPr>
          <w:rFonts w:eastAsia="Times New Roman"/>
          <w:color w:val="000000"/>
          <w:sz w:val="24"/>
          <w:szCs w:val="24"/>
        </w:rPr>
        <w:t>Working Days after the Start Date and in accordance with Paragraph 4.4, the Supplier shall prepare and deliver to the Buyer for Approval a fully complete and up to date Security Management Plan which will be based on the draft Security Management Plan.</w:t>
      </w:r>
    </w:p>
    <w:p w14:paraId="49D75C31"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42" w:name="_heading=h.3rdcrjn"/>
      <w:bookmarkEnd w:id="42"/>
      <w:r w:rsidRPr="0003491B">
        <w:rPr>
          <w:rFonts w:eastAsia="Times New Roman"/>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w:t>
      </w:r>
      <w:r w:rsidRPr="0003491B">
        <w:rPr>
          <w:rFonts w:eastAsia="Times New Roman"/>
          <w:color w:val="000000"/>
          <w:sz w:val="24"/>
          <w:szCs w:val="24"/>
        </w:rPr>
        <w:lastRenderedPageBreak/>
        <w:t>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p>
    <w:p w14:paraId="65F8A475"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43" w:name="_heading=h.26in1rg"/>
      <w:bookmarkEnd w:id="43"/>
      <w:r w:rsidRPr="0003491B">
        <w:rPr>
          <w:rFonts w:eastAsia="Times New Roman"/>
          <w:color w:val="000000"/>
          <w:sz w:val="24"/>
          <w:szCs w:val="24"/>
        </w:rPr>
        <w:t xml:space="preserve">The Buyer shall not unreasonably withhold or delay its decision to Approve or not the Security Management Plan pursuant to Paragraph 4.3.2.  </w:t>
      </w:r>
      <w:proofErr w:type="gramStart"/>
      <w:r w:rsidRPr="0003491B">
        <w:rPr>
          <w:rFonts w:eastAsia="Times New Roman"/>
          <w:color w:val="000000"/>
          <w:sz w:val="24"/>
          <w:szCs w:val="24"/>
        </w:rPr>
        <w:t>However</w:t>
      </w:r>
      <w:proofErr w:type="gramEnd"/>
      <w:r w:rsidRPr="0003491B">
        <w:rPr>
          <w:rFonts w:eastAsia="Times New Roman"/>
          <w:color w:val="000000"/>
          <w:sz w:val="24"/>
          <w:szCs w:val="24"/>
        </w:rPr>
        <w:t xml:space="preserve"> a refusal by the Buyer to Approve the Security Management Plan on the grounds that it does not comply with the requirements set out in Paragraph 4.2 shall be deemed to be reasonable.</w:t>
      </w:r>
    </w:p>
    <w:p w14:paraId="0ECA027C"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r w:rsidRPr="0003491B">
        <w:rPr>
          <w:rFonts w:eastAsia="Times New Roman"/>
          <w:color w:val="000000"/>
          <w:sz w:val="24"/>
          <w:szCs w:val="24"/>
        </w:rPr>
        <w:t>Approval by the Buyer of the Security Management Plan pursuant to Paragraph 4.3.2 or of any change to the Security Management Plan in accordance with Paragraph 4.4 shall not relieve the Supplier of its obligations under this Schedule.</w:t>
      </w:r>
    </w:p>
    <w:p w14:paraId="76CE0AB0" w14:textId="77777777" w:rsidR="0003491B" w:rsidRPr="0003491B" w:rsidRDefault="0003491B" w:rsidP="0003491B">
      <w:pPr>
        <w:keepNext/>
        <w:numPr>
          <w:ilvl w:val="1"/>
          <w:numId w:val="10"/>
        </w:numPr>
        <w:tabs>
          <w:tab w:val="left" w:pos="1778"/>
        </w:tabs>
        <w:spacing w:before="120" w:after="120"/>
        <w:ind w:hanging="568"/>
        <w:jc w:val="both"/>
        <w:rPr>
          <w:rFonts w:eastAsia="Times New Roman"/>
        </w:rPr>
      </w:pPr>
      <w:bookmarkStart w:id="44" w:name="_heading=h.lnxbz9"/>
      <w:bookmarkEnd w:id="44"/>
      <w:r w:rsidRPr="0003491B">
        <w:rPr>
          <w:rFonts w:eastAsia="Times New Roman"/>
          <w:b/>
          <w:color w:val="000000"/>
          <w:sz w:val="24"/>
          <w:szCs w:val="24"/>
        </w:rPr>
        <w:t>Amendment of the Security Management Plan</w:t>
      </w:r>
    </w:p>
    <w:p w14:paraId="597CF241" w14:textId="77777777" w:rsidR="0003491B" w:rsidRPr="0003491B" w:rsidRDefault="0003491B" w:rsidP="0003491B">
      <w:pPr>
        <w:keepNext/>
        <w:numPr>
          <w:ilvl w:val="2"/>
          <w:numId w:val="10"/>
        </w:numPr>
        <w:tabs>
          <w:tab w:val="left" w:pos="3605"/>
          <w:tab w:val="left" w:pos="3747"/>
        </w:tabs>
        <w:spacing w:before="120" w:after="120"/>
        <w:ind w:left="1620"/>
        <w:jc w:val="both"/>
        <w:rPr>
          <w:rFonts w:eastAsia="Times New Roman"/>
        </w:rPr>
      </w:pPr>
      <w:bookmarkStart w:id="45" w:name="_heading=h.35nkun2"/>
      <w:bookmarkEnd w:id="45"/>
      <w:r w:rsidRPr="0003491B">
        <w:rPr>
          <w:rFonts w:eastAsia="Times New Roman"/>
          <w:color w:val="000000"/>
          <w:sz w:val="24"/>
          <w:szCs w:val="24"/>
        </w:rPr>
        <w:t>The Security Management Plan shall be fully reviewed and updated by the Supplier at least annually to reflect:</w:t>
      </w:r>
    </w:p>
    <w:p w14:paraId="29668C3E"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emerging changes in Good Industry </w:t>
      </w:r>
      <w:proofErr w:type="gramStart"/>
      <w:r w:rsidRPr="0003491B">
        <w:rPr>
          <w:rFonts w:eastAsia="Times New Roman"/>
          <w:color w:val="000000"/>
          <w:sz w:val="24"/>
          <w:szCs w:val="24"/>
        </w:rPr>
        <w:t>Practice;</w:t>
      </w:r>
      <w:proofErr w:type="gramEnd"/>
    </w:p>
    <w:p w14:paraId="5E1EFE30"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any change or proposed change to the Deliverables and/or associated </w:t>
      </w:r>
      <w:proofErr w:type="gramStart"/>
      <w:r w:rsidRPr="0003491B">
        <w:rPr>
          <w:rFonts w:eastAsia="Times New Roman"/>
          <w:color w:val="000000"/>
          <w:sz w:val="24"/>
          <w:szCs w:val="24"/>
        </w:rPr>
        <w:t>processes;</w:t>
      </w:r>
      <w:proofErr w:type="gramEnd"/>
    </w:p>
    <w:p w14:paraId="660A6535"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where necessary in accordance with paragraph 2.2, any change to the Security </w:t>
      </w:r>
      <w:proofErr w:type="gramStart"/>
      <w:r w:rsidRPr="0003491B">
        <w:rPr>
          <w:rFonts w:eastAsia="Times New Roman"/>
          <w:color w:val="000000"/>
          <w:sz w:val="24"/>
          <w:szCs w:val="24"/>
        </w:rPr>
        <w:t>Policy;</w:t>
      </w:r>
      <w:proofErr w:type="gramEnd"/>
    </w:p>
    <w:p w14:paraId="37D98011"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any new perceived or changed security threats; and</w:t>
      </w:r>
    </w:p>
    <w:p w14:paraId="2E12CF8A"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any reasonable change in requirements requested by the Buyer.</w:t>
      </w:r>
    </w:p>
    <w:p w14:paraId="22B09FED"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46" w:name="_heading=h.1ksv4uv"/>
      <w:bookmarkEnd w:id="46"/>
      <w:r w:rsidRPr="0003491B">
        <w:rPr>
          <w:rFonts w:eastAsia="Times New Roman"/>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6CF402D0"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 xml:space="preserve">suggested improvements to the effectiveness of the Security Management </w:t>
      </w:r>
      <w:proofErr w:type="gramStart"/>
      <w:r w:rsidRPr="0003491B">
        <w:rPr>
          <w:rFonts w:eastAsia="Times New Roman"/>
          <w:color w:val="000000"/>
          <w:sz w:val="24"/>
          <w:szCs w:val="24"/>
        </w:rPr>
        <w:t>Plan;</w:t>
      </w:r>
      <w:proofErr w:type="gramEnd"/>
    </w:p>
    <w:p w14:paraId="681CDCD9"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updates to the risk assessments; and</w:t>
      </w:r>
    </w:p>
    <w:p w14:paraId="36515144" w14:textId="77777777" w:rsidR="0003491B" w:rsidRPr="0003491B" w:rsidRDefault="0003491B" w:rsidP="0003491B">
      <w:pPr>
        <w:numPr>
          <w:ilvl w:val="3"/>
          <w:numId w:val="10"/>
        </w:numPr>
        <w:tabs>
          <w:tab w:val="left" w:pos="4145"/>
          <w:tab w:val="left" w:pos="4287"/>
        </w:tabs>
        <w:spacing w:before="120" w:after="120"/>
        <w:ind w:left="2160" w:hanging="540"/>
        <w:jc w:val="both"/>
        <w:rPr>
          <w:rFonts w:eastAsia="Times New Roman"/>
        </w:rPr>
      </w:pPr>
      <w:r w:rsidRPr="0003491B">
        <w:rPr>
          <w:rFonts w:eastAsia="Times New Roman"/>
          <w:color w:val="000000"/>
          <w:sz w:val="24"/>
          <w:szCs w:val="24"/>
        </w:rPr>
        <w:t>suggested improvements in measuring the effectiveness of controls.</w:t>
      </w:r>
    </w:p>
    <w:p w14:paraId="68A76EC6"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47" w:name="_heading=h.44sinio"/>
      <w:bookmarkEnd w:id="47"/>
      <w:r w:rsidRPr="0003491B">
        <w:rPr>
          <w:rFonts w:eastAsia="Times New Roman"/>
          <w:color w:val="000000"/>
          <w:sz w:val="24"/>
          <w:szCs w:val="24"/>
        </w:rPr>
        <w:t>Subject to Paragraph 4.4.4, any change or amendment which the Supplier proposes to make to the Security Management Plan (</w:t>
      </w:r>
      <w:proofErr w:type="gramStart"/>
      <w:r w:rsidRPr="0003491B">
        <w:rPr>
          <w:rFonts w:eastAsia="Times New Roman"/>
          <w:color w:val="000000"/>
          <w:sz w:val="24"/>
          <w:szCs w:val="24"/>
        </w:rPr>
        <w:t>as a result of</w:t>
      </w:r>
      <w:proofErr w:type="gramEnd"/>
      <w:r w:rsidRPr="0003491B">
        <w:rPr>
          <w:rFonts w:eastAsia="Times New Roman"/>
          <w:color w:val="000000"/>
          <w:sz w:val="24"/>
          <w:szCs w:val="24"/>
        </w:rPr>
        <w:t xml:space="preserve"> a review carried out in accordance with Paragraph 4.4.1, a request by the Buyer or otherwise) shall be subject to the Variation Procedure.</w:t>
      </w:r>
    </w:p>
    <w:p w14:paraId="7A51904C" w14:textId="77777777" w:rsidR="0003491B" w:rsidRPr="0003491B" w:rsidRDefault="0003491B" w:rsidP="0003491B">
      <w:pPr>
        <w:numPr>
          <w:ilvl w:val="2"/>
          <w:numId w:val="10"/>
        </w:numPr>
        <w:tabs>
          <w:tab w:val="left" w:pos="3605"/>
          <w:tab w:val="left" w:pos="3747"/>
        </w:tabs>
        <w:spacing w:before="120" w:after="120"/>
        <w:ind w:left="1620"/>
        <w:jc w:val="both"/>
        <w:rPr>
          <w:rFonts w:eastAsia="Times New Roman"/>
        </w:rPr>
      </w:pPr>
      <w:bookmarkStart w:id="48" w:name="_heading=h.2jxsxqh"/>
      <w:bookmarkEnd w:id="48"/>
      <w:r w:rsidRPr="0003491B">
        <w:rPr>
          <w:rFonts w:eastAsia="Times New Roman"/>
          <w:color w:val="000000"/>
          <w:sz w:val="24"/>
          <w:szCs w:val="24"/>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w:t>
      </w:r>
      <w:r w:rsidRPr="0003491B">
        <w:rPr>
          <w:rFonts w:eastAsia="Times New Roman"/>
          <w:color w:val="000000"/>
          <w:sz w:val="24"/>
          <w:szCs w:val="24"/>
        </w:rPr>
        <w:lastRenderedPageBreak/>
        <w:t>shall thereafter be subject to the Variation Procedure for the purposes of formalising and documenting the relevant change or amendment.</w:t>
      </w:r>
    </w:p>
    <w:p w14:paraId="2619A2CE" w14:textId="77777777" w:rsidR="0003491B" w:rsidRPr="0003491B" w:rsidRDefault="0003491B" w:rsidP="0003491B">
      <w:pPr>
        <w:keepNext/>
        <w:numPr>
          <w:ilvl w:val="0"/>
          <w:numId w:val="10"/>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Security breach</w:t>
      </w:r>
    </w:p>
    <w:p w14:paraId="40878197" w14:textId="77777777" w:rsidR="0003491B" w:rsidRPr="0003491B" w:rsidRDefault="0003491B" w:rsidP="0003491B">
      <w:pPr>
        <w:numPr>
          <w:ilvl w:val="1"/>
          <w:numId w:val="10"/>
        </w:numPr>
        <w:tabs>
          <w:tab w:val="left" w:pos="1778"/>
        </w:tabs>
        <w:spacing w:before="120" w:after="120"/>
        <w:ind w:hanging="360"/>
        <w:jc w:val="both"/>
        <w:rPr>
          <w:rFonts w:eastAsia="Times New Roman"/>
        </w:rPr>
      </w:pPr>
      <w:bookmarkStart w:id="49" w:name="_heading=h.z337ya"/>
      <w:bookmarkEnd w:id="49"/>
      <w:r w:rsidRPr="0003491B">
        <w:rPr>
          <w:rFonts w:eastAsia="Times New Roman"/>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29836602" w14:textId="77777777" w:rsidR="0003491B" w:rsidRPr="0003491B" w:rsidRDefault="0003491B" w:rsidP="0003491B">
      <w:pPr>
        <w:keepNext/>
        <w:numPr>
          <w:ilvl w:val="1"/>
          <w:numId w:val="10"/>
        </w:numPr>
        <w:tabs>
          <w:tab w:val="left" w:pos="1778"/>
        </w:tabs>
        <w:spacing w:before="120" w:after="120"/>
        <w:ind w:hanging="360"/>
        <w:jc w:val="both"/>
        <w:rPr>
          <w:rFonts w:eastAsia="Times New Roman"/>
        </w:rPr>
      </w:pPr>
      <w:bookmarkStart w:id="50" w:name="_heading=h.3j2qqm3"/>
      <w:bookmarkEnd w:id="50"/>
      <w:r w:rsidRPr="0003491B">
        <w:rPr>
          <w:rFonts w:eastAsia="Times New Roman"/>
          <w:color w:val="000000"/>
          <w:sz w:val="24"/>
          <w:szCs w:val="24"/>
        </w:rPr>
        <w:t>Without prejudice to the security incident management process, upon becoming aware of any of the circumstances referred to in Paragraph 5.1, the Supplier shall:</w:t>
      </w:r>
    </w:p>
    <w:p w14:paraId="30ED20A3" w14:textId="77777777" w:rsidR="0003491B" w:rsidRPr="0003491B" w:rsidRDefault="0003491B" w:rsidP="0003491B">
      <w:pPr>
        <w:numPr>
          <w:ilvl w:val="2"/>
          <w:numId w:val="10"/>
        </w:numPr>
        <w:tabs>
          <w:tab w:val="left" w:pos="2421"/>
          <w:tab w:val="left" w:pos="2563"/>
        </w:tabs>
        <w:spacing w:before="120" w:after="120"/>
        <w:jc w:val="both"/>
        <w:rPr>
          <w:rFonts w:eastAsia="Times New Roman"/>
        </w:rPr>
      </w:pPr>
      <w:bookmarkStart w:id="51" w:name="_heading=h.1y810tw"/>
      <w:bookmarkEnd w:id="51"/>
      <w:r w:rsidRPr="0003491B">
        <w:rPr>
          <w:rFonts w:eastAsia="Times New Roman"/>
          <w:color w:val="000000"/>
          <w:sz w:val="24"/>
          <w:szCs w:val="24"/>
        </w:rPr>
        <w:t>immediately take all reasonable steps (which shall include any action or changes reasonably required by the Buyer) necessary to:</w:t>
      </w:r>
    </w:p>
    <w:p w14:paraId="1409D2C0" w14:textId="77777777" w:rsidR="0003491B" w:rsidRPr="0003491B" w:rsidRDefault="0003491B" w:rsidP="0003491B">
      <w:pPr>
        <w:numPr>
          <w:ilvl w:val="3"/>
          <w:numId w:val="10"/>
        </w:numPr>
        <w:tabs>
          <w:tab w:val="left" w:pos="4973"/>
          <w:tab w:val="left" w:pos="5115"/>
        </w:tabs>
        <w:spacing w:before="120" w:after="120"/>
        <w:jc w:val="both"/>
        <w:rPr>
          <w:rFonts w:eastAsia="Times New Roman"/>
        </w:rPr>
      </w:pPr>
      <w:r w:rsidRPr="0003491B">
        <w:rPr>
          <w:rFonts w:eastAsia="Times New Roman"/>
          <w:color w:val="000000"/>
          <w:sz w:val="24"/>
          <w:szCs w:val="24"/>
        </w:rPr>
        <w:t xml:space="preserve">minimise the extent of actual or potential harm caused by any Breach of </w:t>
      </w:r>
      <w:proofErr w:type="gramStart"/>
      <w:r w:rsidRPr="0003491B">
        <w:rPr>
          <w:rFonts w:eastAsia="Times New Roman"/>
          <w:color w:val="000000"/>
          <w:sz w:val="24"/>
          <w:szCs w:val="24"/>
        </w:rPr>
        <w:t>Security;</w:t>
      </w:r>
      <w:proofErr w:type="gramEnd"/>
    </w:p>
    <w:p w14:paraId="57E6D8CE" w14:textId="77777777" w:rsidR="0003491B" w:rsidRPr="0003491B" w:rsidRDefault="0003491B" w:rsidP="0003491B">
      <w:pPr>
        <w:numPr>
          <w:ilvl w:val="3"/>
          <w:numId w:val="10"/>
        </w:numPr>
        <w:tabs>
          <w:tab w:val="left" w:pos="4973"/>
          <w:tab w:val="left" w:pos="5115"/>
        </w:tabs>
        <w:spacing w:before="120" w:after="120"/>
        <w:jc w:val="both"/>
        <w:rPr>
          <w:rFonts w:eastAsia="Times New Roman"/>
        </w:rPr>
      </w:pPr>
      <w:r w:rsidRPr="0003491B">
        <w:rPr>
          <w:rFonts w:eastAsia="Times New Roman"/>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03491B">
        <w:rPr>
          <w:rFonts w:eastAsia="Times New Roman"/>
          <w:color w:val="000000"/>
          <w:sz w:val="24"/>
          <w:szCs w:val="24"/>
        </w:rPr>
        <w:t>Security;</w:t>
      </w:r>
      <w:proofErr w:type="gramEnd"/>
    </w:p>
    <w:p w14:paraId="4E18347F" w14:textId="77777777" w:rsidR="0003491B" w:rsidRPr="0003491B" w:rsidRDefault="0003491B" w:rsidP="0003491B">
      <w:pPr>
        <w:numPr>
          <w:ilvl w:val="3"/>
          <w:numId w:val="10"/>
        </w:numPr>
        <w:tabs>
          <w:tab w:val="left" w:pos="4973"/>
          <w:tab w:val="left" w:pos="5115"/>
        </w:tabs>
        <w:spacing w:before="120" w:after="120"/>
        <w:jc w:val="both"/>
        <w:rPr>
          <w:rFonts w:eastAsia="Times New Roman"/>
        </w:rPr>
      </w:pPr>
      <w:r w:rsidRPr="0003491B">
        <w:rPr>
          <w:rFonts w:eastAsia="Times New Roman"/>
          <w:color w:val="000000"/>
          <w:sz w:val="24"/>
          <w:szCs w:val="24"/>
        </w:rPr>
        <w:t>prevent an equivalent breach in the future exploiting the same cause failure; and</w:t>
      </w:r>
    </w:p>
    <w:p w14:paraId="11A2C7ED" w14:textId="77777777" w:rsidR="0003491B" w:rsidRPr="0003491B" w:rsidRDefault="0003491B" w:rsidP="0003491B">
      <w:pPr>
        <w:numPr>
          <w:ilvl w:val="3"/>
          <w:numId w:val="10"/>
        </w:numPr>
        <w:tabs>
          <w:tab w:val="left" w:pos="4973"/>
          <w:tab w:val="left" w:pos="5115"/>
        </w:tabs>
        <w:spacing w:before="120" w:after="120"/>
        <w:jc w:val="both"/>
        <w:rPr>
          <w:rFonts w:eastAsia="Times New Roman"/>
        </w:rPr>
      </w:pPr>
      <w:r w:rsidRPr="0003491B">
        <w:rPr>
          <w:rFonts w:eastAsia="Times New Roman"/>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CDC9622" w14:textId="77777777" w:rsidR="0003491B" w:rsidRPr="0003491B" w:rsidRDefault="0003491B" w:rsidP="0003491B">
      <w:pPr>
        <w:numPr>
          <w:ilvl w:val="1"/>
          <w:numId w:val="10"/>
        </w:numPr>
        <w:tabs>
          <w:tab w:val="left" w:pos="1778"/>
        </w:tabs>
        <w:spacing w:before="120" w:after="120"/>
        <w:ind w:hanging="360"/>
        <w:jc w:val="both"/>
        <w:rPr>
          <w:rFonts w:eastAsia="Times New Roman"/>
        </w:rPr>
      </w:pPr>
      <w:proofErr w:type="gramStart"/>
      <w:r w:rsidRPr="0003491B">
        <w:rPr>
          <w:rFonts w:eastAsia="Times New Roman"/>
          <w:color w:val="000000"/>
          <w:sz w:val="24"/>
          <w:szCs w:val="24"/>
        </w:rPr>
        <w:t>In the event that</w:t>
      </w:r>
      <w:proofErr w:type="gramEnd"/>
      <w:r w:rsidRPr="0003491B">
        <w:rPr>
          <w:rFonts w:eastAsia="Times New Roman"/>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p>
    <w:p w14:paraId="25785152" w14:textId="77777777" w:rsidR="0003491B" w:rsidRPr="0003491B" w:rsidRDefault="0003491B" w:rsidP="0003491B">
      <w:pPr>
        <w:spacing w:after="240"/>
        <w:rPr>
          <w:rFonts w:eastAsia="Times New Roman"/>
        </w:rPr>
      </w:pPr>
      <w:r w:rsidRPr="0003491B">
        <w:rPr>
          <w:rFonts w:eastAsia="Times New Roman"/>
          <w:b/>
          <w:smallCaps/>
          <w:sz w:val="24"/>
          <w:szCs w:val="24"/>
        </w:rPr>
        <w:t xml:space="preserve"> </w:t>
      </w:r>
    </w:p>
    <w:p w14:paraId="13D48EC2" w14:textId="77777777" w:rsidR="0003491B" w:rsidRPr="0003491B" w:rsidRDefault="0003491B" w:rsidP="0003491B">
      <w:pPr>
        <w:spacing w:after="200" w:line="276" w:lineRule="auto"/>
        <w:rPr>
          <w:rFonts w:eastAsia="Times New Roman"/>
          <w:b/>
          <w:smallCaps/>
          <w:sz w:val="24"/>
          <w:szCs w:val="24"/>
        </w:rPr>
      </w:pPr>
    </w:p>
    <w:p w14:paraId="7C518FF2" w14:textId="77777777" w:rsidR="0003491B" w:rsidRPr="0003491B" w:rsidRDefault="0003491B" w:rsidP="0003491B">
      <w:pPr>
        <w:pageBreakBefore/>
        <w:spacing w:after="240"/>
        <w:rPr>
          <w:rFonts w:eastAsia="Times New Roman"/>
        </w:rPr>
      </w:pPr>
      <w:bookmarkStart w:id="52" w:name="_heading=h.19c6y18"/>
      <w:bookmarkEnd w:id="52"/>
      <w:r w:rsidRPr="0003491B">
        <w:rPr>
          <w:rFonts w:ascii="Arial Bold" w:eastAsia="Arial Bold" w:hAnsi="Arial Bold" w:cs="Arial Bold"/>
          <w:b/>
          <w:color w:val="000000"/>
          <w:sz w:val="36"/>
          <w:szCs w:val="36"/>
        </w:rPr>
        <w:lastRenderedPageBreak/>
        <w:t>Part B – A</w:t>
      </w:r>
      <w:bookmarkStart w:id="53" w:name="bookmark=id.3tbugp1"/>
      <w:bookmarkEnd w:id="53"/>
      <w:r w:rsidRPr="0003491B">
        <w:rPr>
          <w:rFonts w:ascii="Arial Bold" w:eastAsia="Arial Bold" w:hAnsi="Arial Bold" w:cs="Arial Bold"/>
          <w:b/>
          <w:color w:val="000000"/>
          <w:sz w:val="36"/>
          <w:szCs w:val="36"/>
        </w:rPr>
        <w:t>nnex 1:</w:t>
      </w:r>
    </w:p>
    <w:p w14:paraId="600C3697" w14:textId="77777777" w:rsidR="0003491B" w:rsidRPr="0003491B" w:rsidRDefault="0003491B" w:rsidP="0003491B">
      <w:pPr>
        <w:spacing w:after="240"/>
        <w:rPr>
          <w:rFonts w:eastAsia="Times New Roman"/>
        </w:rPr>
      </w:pPr>
      <w:r w:rsidRPr="0003491B">
        <w:rPr>
          <w:rFonts w:ascii="Arial Bold" w:eastAsia="Arial Bold" w:hAnsi="Arial Bold" w:cs="Arial Bold"/>
          <w:b/>
          <w:color w:val="000000"/>
          <w:sz w:val="36"/>
          <w:szCs w:val="36"/>
        </w:rPr>
        <w:t>Baseline security requirements</w:t>
      </w:r>
    </w:p>
    <w:p w14:paraId="75921431" w14:textId="77777777" w:rsidR="0003491B" w:rsidRPr="0003491B" w:rsidRDefault="0003491B" w:rsidP="002413D3">
      <w:pPr>
        <w:keepNext/>
        <w:numPr>
          <w:ilvl w:val="0"/>
          <w:numId w:val="14"/>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Handling Classified information</w:t>
      </w:r>
    </w:p>
    <w:p w14:paraId="001D8DC5"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08D47CB0" w14:textId="77777777" w:rsidR="0003491B" w:rsidRPr="0003491B" w:rsidRDefault="0003491B" w:rsidP="0003491B">
      <w:pPr>
        <w:keepNext/>
        <w:numPr>
          <w:ilvl w:val="0"/>
          <w:numId w:val="9"/>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End user devices</w:t>
      </w:r>
    </w:p>
    <w:p w14:paraId="5AC00F4E"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When Government Data resides on a mobile, </w:t>
      </w:r>
      <w:proofErr w:type="gramStart"/>
      <w:r w:rsidRPr="0003491B">
        <w:rPr>
          <w:rFonts w:eastAsia="Times New Roman"/>
          <w:color w:val="000000"/>
          <w:sz w:val="24"/>
          <w:szCs w:val="24"/>
        </w:rPr>
        <w:t>removable</w:t>
      </w:r>
      <w:proofErr w:type="gramEnd"/>
      <w:r w:rsidRPr="0003491B">
        <w:rPr>
          <w:rFonts w:eastAsia="Times New Roman"/>
          <w:color w:val="000000"/>
          <w:sz w:val="24"/>
          <w:szCs w:val="24"/>
        </w:rPr>
        <w:t xml:space="preserv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1518015D"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9" w:history="1">
        <w:r w:rsidRPr="0003491B">
          <w:rPr>
            <w:rFonts w:eastAsia="Times New Roman"/>
            <w:color w:val="0000FF"/>
            <w:sz w:val="24"/>
            <w:szCs w:val="24"/>
            <w:u w:val="single"/>
          </w:rPr>
          <w:t>https://www.ncsc.gov.uk/guidance/end-user-device-security</w:t>
        </w:r>
      </w:hyperlink>
      <w:r w:rsidRPr="0003491B">
        <w:rPr>
          <w:rFonts w:eastAsia="Times New Roman"/>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sidRPr="0003491B">
        <w:rPr>
          <w:rFonts w:eastAsia="Times New Roman"/>
          <w:color w:val="000000"/>
          <w:sz w:val="24"/>
          <w:szCs w:val="24"/>
        </w:rPr>
        <w:t>case by case</w:t>
      </w:r>
      <w:proofErr w:type="gramEnd"/>
      <w:r w:rsidRPr="0003491B">
        <w:rPr>
          <w:rFonts w:eastAsia="Times New Roman"/>
          <w:color w:val="000000"/>
          <w:sz w:val="24"/>
          <w:szCs w:val="24"/>
        </w:rPr>
        <w:t xml:space="preserve"> basis with the Buyer.</w:t>
      </w:r>
    </w:p>
    <w:p w14:paraId="54F915C4" w14:textId="77777777" w:rsidR="0003491B" w:rsidRPr="0003491B" w:rsidRDefault="0003491B" w:rsidP="0003491B">
      <w:pPr>
        <w:keepNext/>
        <w:numPr>
          <w:ilvl w:val="0"/>
          <w:numId w:val="9"/>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Data Processing, Storage, Management and Destruction</w:t>
      </w:r>
    </w:p>
    <w:p w14:paraId="72C4D6E4"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sidRPr="0003491B">
        <w:rPr>
          <w:rFonts w:eastAsia="Times New Roman"/>
          <w:color w:val="000000"/>
          <w:sz w:val="24"/>
          <w:szCs w:val="24"/>
        </w:rPr>
        <w:t>processed</w:t>
      </w:r>
      <w:proofErr w:type="gramEnd"/>
      <w:r w:rsidRPr="0003491B">
        <w:rPr>
          <w:rFonts w:eastAsia="Times New Roman"/>
          <w:color w:val="000000"/>
          <w:sz w:val="24"/>
          <w:szCs w:val="24"/>
        </w:rPr>
        <w:t xml:space="preserve"> and managed from, and what legal and regulatory frameworks Government Data will be subject to at all times.</w:t>
      </w:r>
    </w:p>
    <w:p w14:paraId="0474EF1B"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Supplier shall agree any change in location of data storage, </w:t>
      </w:r>
      <w:proofErr w:type="gramStart"/>
      <w:r w:rsidRPr="0003491B">
        <w:rPr>
          <w:rFonts w:eastAsia="Times New Roman"/>
          <w:color w:val="000000"/>
          <w:sz w:val="24"/>
          <w:szCs w:val="24"/>
        </w:rPr>
        <w:t>processing</w:t>
      </w:r>
      <w:proofErr w:type="gramEnd"/>
      <w:r w:rsidRPr="0003491B">
        <w:rPr>
          <w:rFonts w:eastAsia="Times New Roman"/>
          <w:color w:val="000000"/>
          <w:sz w:val="24"/>
          <w:szCs w:val="24"/>
        </w:rPr>
        <w:t xml:space="preserve"> and administration with the Buyer in accordance with Clause 14 (Data protection).</w:t>
      </w:r>
    </w:p>
    <w:p w14:paraId="15057F1B" w14:textId="77777777" w:rsidR="0003491B" w:rsidRPr="0003491B" w:rsidRDefault="0003491B" w:rsidP="0003491B">
      <w:pPr>
        <w:keepNext/>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The Supplier shall:</w:t>
      </w:r>
    </w:p>
    <w:p w14:paraId="0EE9ED4D" w14:textId="77777777" w:rsidR="0003491B" w:rsidRPr="0003491B" w:rsidRDefault="0003491B" w:rsidP="0003491B">
      <w:pPr>
        <w:numPr>
          <w:ilvl w:val="2"/>
          <w:numId w:val="9"/>
        </w:numPr>
        <w:tabs>
          <w:tab w:val="left" w:pos="3641"/>
          <w:tab w:val="left" w:pos="3783"/>
        </w:tabs>
        <w:spacing w:before="120" w:after="120"/>
        <w:ind w:left="1656"/>
        <w:jc w:val="both"/>
        <w:rPr>
          <w:rFonts w:eastAsia="Times New Roman"/>
        </w:rPr>
      </w:pPr>
      <w:r w:rsidRPr="0003491B">
        <w:rPr>
          <w:rFonts w:eastAsia="Times New Roman"/>
          <w:color w:val="000000"/>
          <w:sz w:val="24"/>
          <w:szCs w:val="24"/>
        </w:rPr>
        <w:t xml:space="preserve">provide the Buyer with all Government Data on demand in an agreed open </w:t>
      </w:r>
      <w:proofErr w:type="gramStart"/>
      <w:r w:rsidRPr="0003491B">
        <w:rPr>
          <w:rFonts w:eastAsia="Times New Roman"/>
          <w:color w:val="000000"/>
          <w:sz w:val="24"/>
          <w:szCs w:val="24"/>
        </w:rPr>
        <w:t>format;</w:t>
      </w:r>
      <w:proofErr w:type="gramEnd"/>
    </w:p>
    <w:p w14:paraId="3F41692E" w14:textId="77777777" w:rsidR="0003491B" w:rsidRPr="0003491B" w:rsidRDefault="0003491B" w:rsidP="0003491B">
      <w:pPr>
        <w:numPr>
          <w:ilvl w:val="2"/>
          <w:numId w:val="9"/>
        </w:numPr>
        <w:tabs>
          <w:tab w:val="left" w:pos="3641"/>
          <w:tab w:val="left" w:pos="3783"/>
        </w:tabs>
        <w:spacing w:before="120" w:after="120"/>
        <w:ind w:left="1656"/>
        <w:jc w:val="both"/>
        <w:rPr>
          <w:rFonts w:eastAsia="Times New Roman"/>
        </w:rPr>
      </w:pPr>
      <w:r w:rsidRPr="0003491B">
        <w:rPr>
          <w:rFonts w:eastAsia="Times New Roman"/>
          <w:color w:val="000000"/>
          <w:sz w:val="24"/>
          <w:szCs w:val="24"/>
        </w:rPr>
        <w:t xml:space="preserve">have documented processes to guarantee availability of Government Data in the event of the Supplier ceasing to </w:t>
      </w:r>
      <w:proofErr w:type="gramStart"/>
      <w:r w:rsidRPr="0003491B">
        <w:rPr>
          <w:rFonts w:eastAsia="Times New Roman"/>
          <w:color w:val="000000"/>
          <w:sz w:val="24"/>
          <w:szCs w:val="24"/>
        </w:rPr>
        <w:t>trade;</w:t>
      </w:r>
      <w:proofErr w:type="gramEnd"/>
    </w:p>
    <w:p w14:paraId="4B6CEB1E" w14:textId="77777777" w:rsidR="0003491B" w:rsidRPr="0003491B" w:rsidRDefault="0003491B" w:rsidP="0003491B">
      <w:pPr>
        <w:numPr>
          <w:ilvl w:val="2"/>
          <w:numId w:val="9"/>
        </w:numPr>
        <w:tabs>
          <w:tab w:val="left" w:pos="3641"/>
          <w:tab w:val="left" w:pos="3783"/>
        </w:tabs>
        <w:spacing w:before="120" w:after="120"/>
        <w:ind w:left="1656"/>
        <w:jc w:val="both"/>
        <w:rPr>
          <w:rFonts w:eastAsia="Times New Roman"/>
        </w:rPr>
      </w:pPr>
      <w:r w:rsidRPr="0003491B">
        <w:rPr>
          <w:rFonts w:eastAsia="Times New Roman"/>
          <w:color w:val="000000"/>
          <w:sz w:val="24"/>
          <w:szCs w:val="24"/>
        </w:rPr>
        <w:lastRenderedPageBreak/>
        <w:t>securely destroy all media that has held Government Data at the end of life of that media in line with Good Industry Practice; and</w:t>
      </w:r>
    </w:p>
    <w:p w14:paraId="2C84BCD6" w14:textId="77777777" w:rsidR="0003491B" w:rsidRPr="0003491B" w:rsidRDefault="0003491B" w:rsidP="0003491B">
      <w:pPr>
        <w:numPr>
          <w:ilvl w:val="2"/>
          <w:numId w:val="9"/>
        </w:numPr>
        <w:tabs>
          <w:tab w:val="left" w:pos="3641"/>
          <w:tab w:val="left" w:pos="3783"/>
        </w:tabs>
        <w:spacing w:before="120" w:after="120"/>
        <w:ind w:left="1656"/>
        <w:jc w:val="both"/>
        <w:rPr>
          <w:rFonts w:eastAsia="Times New Roman"/>
        </w:rPr>
      </w:pPr>
      <w:r w:rsidRPr="0003491B">
        <w:rPr>
          <w:rFonts w:eastAsia="Times New Roman"/>
          <w:color w:val="000000"/>
          <w:sz w:val="24"/>
          <w:szCs w:val="24"/>
        </w:rPr>
        <w:t>securely erase any or all Government Data held by the Supplier when requested to do so by the Buyer.</w:t>
      </w:r>
    </w:p>
    <w:p w14:paraId="7B4D1689" w14:textId="77777777" w:rsidR="0003491B" w:rsidRPr="0003491B" w:rsidRDefault="0003491B" w:rsidP="0003491B">
      <w:pPr>
        <w:keepNext/>
        <w:numPr>
          <w:ilvl w:val="0"/>
          <w:numId w:val="9"/>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Ensuring secure communications</w:t>
      </w:r>
    </w:p>
    <w:p w14:paraId="576679D5"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Buyer requires that any Government Data transmitted over any public network (including the Internet, mobile </w:t>
      </w:r>
      <w:proofErr w:type="gramStart"/>
      <w:r w:rsidRPr="0003491B">
        <w:rPr>
          <w:rFonts w:eastAsia="Times New Roman"/>
          <w:color w:val="000000"/>
          <w:sz w:val="24"/>
          <w:szCs w:val="24"/>
        </w:rPr>
        <w:t>networks</w:t>
      </w:r>
      <w:proofErr w:type="gramEnd"/>
      <w:r w:rsidRPr="0003491B">
        <w:rPr>
          <w:rFonts w:eastAsia="Times New Roman"/>
          <w:color w:val="000000"/>
          <w:sz w:val="24"/>
          <w:szCs w:val="24"/>
        </w:rPr>
        <w:t xml:space="preserve"> or un-protected enterprise network) or to a mobile device must be encrypted using a product or system component which has been formally assured through a certification process recognised by NCSC, to at least Foundation Grade, for example, under CPA.</w:t>
      </w:r>
    </w:p>
    <w:p w14:paraId="115CC828"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Buyer requires that the configuration and use of all networking equipment to provide the Services, including those that </w:t>
      </w:r>
      <w:proofErr w:type="gramStart"/>
      <w:r w:rsidRPr="0003491B">
        <w:rPr>
          <w:rFonts w:eastAsia="Times New Roman"/>
          <w:color w:val="000000"/>
          <w:sz w:val="24"/>
          <w:szCs w:val="24"/>
        </w:rPr>
        <w:t>are located in</w:t>
      </w:r>
      <w:proofErr w:type="gramEnd"/>
      <w:r w:rsidRPr="0003491B">
        <w:rPr>
          <w:rFonts w:eastAsia="Times New Roman"/>
          <w:color w:val="000000"/>
          <w:sz w:val="24"/>
          <w:szCs w:val="24"/>
        </w:rPr>
        <w:t xml:space="preserve"> secure physical locations, are at least compliant with Good Industry Practice.</w:t>
      </w:r>
    </w:p>
    <w:p w14:paraId="2F776FF6" w14:textId="77777777" w:rsidR="0003491B" w:rsidRPr="0003491B" w:rsidRDefault="0003491B" w:rsidP="0003491B">
      <w:pPr>
        <w:keepNext/>
        <w:numPr>
          <w:ilvl w:val="0"/>
          <w:numId w:val="9"/>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Security by design</w:t>
      </w:r>
    </w:p>
    <w:p w14:paraId="140F0A82"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Supplier shall apply the ‘principle of least privilege’ (the practice of limiting systems, </w:t>
      </w:r>
      <w:proofErr w:type="gramStart"/>
      <w:r w:rsidRPr="0003491B">
        <w:rPr>
          <w:rFonts w:eastAsia="Times New Roman"/>
          <w:color w:val="000000"/>
          <w:sz w:val="24"/>
          <w:szCs w:val="24"/>
        </w:rPr>
        <w:t>processes</w:t>
      </w:r>
      <w:proofErr w:type="gramEnd"/>
      <w:r w:rsidRPr="0003491B">
        <w:rPr>
          <w:rFonts w:eastAsia="Times New Roman"/>
          <w:color w:val="000000"/>
          <w:sz w:val="24"/>
          <w:szCs w:val="24"/>
        </w:rPr>
        <w:t xml:space="preserve"> and user access to the minimum possible level) to the design and configuration of IT systems which will process or store Government Data.</w:t>
      </w:r>
    </w:p>
    <w:p w14:paraId="2012E469"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0" w:history="1">
        <w:r w:rsidRPr="0003491B">
          <w:rPr>
            <w:rFonts w:eastAsia="Times New Roman"/>
            <w:color w:val="0000FF"/>
            <w:sz w:val="24"/>
            <w:szCs w:val="24"/>
            <w:u w:val="single"/>
          </w:rPr>
          <w:t>https://www.ncsc.gov.uk/section/products-services/ncsc-certification</w:t>
        </w:r>
      </w:hyperlink>
      <w:r w:rsidRPr="0003491B">
        <w:rPr>
          <w:rFonts w:eastAsia="Times New Roman"/>
          <w:color w:val="000000"/>
          <w:sz w:val="24"/>
          <w:szCs w:val="24"/>
        </w:rPr>
        <w:t>) for all bespoke or complex components of the ICT Environment (to the extent that the ICT Environment is within the control of the Supplier).</w:t>
      </w:r>
    </w:p>
    <w:p w14:paraId="0FD1590E" w14:textId="77777777" w:rsidR="0003491B" w:rsidRPr="0003491B" w:rsidRDefault="0003491B" w:rsidP="0003491B">
      <w:pPr>
        <w:keepNext/>
        <w:numPr>
          <w:ilvl w:val="0"/>
          <w:numId w:val="9"/>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Security of Supplier Staff</w:t>
      </w:r>
    </w:p>
    <w:p w14:paraId="6D521772"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Supplier Staff shall be subject to pre-employment checks that include, as a minimum: identity, unspent criminal convictions and right to work.</w:t>
      </w:r>
    </w:p>
    <w:p w14:paraId="015A5473"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Supplier shall agree on a </w:t>
      </w:r>
      <w:proofErr w:type="gramStart"/>
      <w:r w:rsidRPr="0003491B">
        <w:rPr>
          <w:rFonts w:eastAsia="Times New Roman"/>
          <w:color w:val="000000"/>
          <w:sz w:val="24"/>
          <w:szCs w:val="24"/>
        </w:rPr>
        <w:t>case by case</w:t>
      </w:r>
      <w:proofErr w:type="gramEnd"/>
      <w:r w:rsidRPr="0003491B">
        <w:rPr>
          <w:rFonts w:eastAsia="Times New Roman"/>
          <w:color w:val="000000"/>
          <w:sz w:val="24"/>
          <w:szCs w:val="24"/>
        </w:rPr>
        <w:t xml:space="preserve"> basis Supplier Staff roles which require specific government clearances (such as ‘SC’) including system administrators with privileged access to IT systems which store or process Government Data.</w:t>
      </w:r>
    </w:p>
    <w:p w14:paraId="01665FC7"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Supplier shall prevent Supplier Staff who are unable to obtain the required security clearances from accessing systems which store, process, or are used to manage Government Data except </w:t>
      </w:r>
      <w:proofErr w:type="gramStart"/>
      <w:r w:rsidRPr="0003491B">
        <w:rPr>
          <w:rFonts w:eastAsia="Times New Roman"/>
          <w:color w:val="000000"/>
          <w:sz w:val="24"/>
          <w:szCs w:val="24"/>
        </w:rPr>
        <w:t>where</w:t>
      </w:r>
      <w:proofErr w:type="gramEnd"/>
      <w:r w:rsidRPr="0003491B">
        <w:rPr>
          <w:rFonts w:eastAsia="Times New Roman"/>
          <w:color w:val="000000"/>
          <w:sz w:val="24"/>
          <w:szCs w:val="24"/>
        </w:rPr>
        <w:t xml:space="preserve"> agreed with the Buyer in writing.</w:t>
      </w:r>
    </w:p>
    <w:p w14:paraId="4F74F7E9"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All Supplier Staff that </w:t>
      </w:r>
      <w:proofErr w:type="gramStart"/>
      <w:r w:rsidRPr="0003491B">
        <w:rPr>
          <w:rFonts w:eastAsia="Times New Roman"/>
          <w:color w:val="000000"/>
          <w:sz w:val="24"/>
          <w:szCs w:val="24"/>
        </w:rPr>
        <w:t>have the ability to</w:t>
      </w:r>
      <w:proofErr w:type="gramEnd"/>
      <w:r w:rsidRPr="0003491B">
        <w:rPr>
          <w:rFonts w:eastAsia="Times New Roman"/>
          <w:color w:val="000000"/>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555787D6"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Where the Supplier or Subcontractors grants increased ICT privileges or access rights to Supplier Staff, those Supplier Staff shall be granted only those permissions necessary for them to carry out their duties. When staff no longer </w:t>
      </w:r>
      <w:r w:rsidRPr="0003491B">
        <w:rPr>
          <w:rFonts w:eastAsia="Times New Roman"/>
          <w:color w:val="000000"/>
          <w:sz w:val="24"/>
          <w:szCs w:val="24"/>
        </w:rPr>
        <w:lastRenderedPageBreak/>
        <w:t>need elevated privileges or leave the organisation, their access rights shall be revoked within one (1) Working Day.</w:t>
      </w:r>
    </w:p>
    <w:p w14:paraId="1A02F456" w14:textId="77777777" w:rsidR="0003491B" w:rsidRPr="0003491B" w:rsidRDefault="0003491B" w:rsidP="0003491B">
      <w:pPr>
        <w:keepNext/>
        <w:numPr>
          <w:ilvl w:val="0"/>
          <w:numId w:val="9"/>
        </w:numPr>
        <w:tabs>
          <w:tab w:val="left" w:pos="360"/>
        </w:tabs>
        <w:spacing w:before="240" w:after="240"/>
        <w:jc w:val="both"/>
        <w:rPr>
          <w:rFonts w:eastAsia="Times New Roman"/>
        </w:rPr>
      </w:pPr>
      <w:r w:rsidRPr="0003491B">
        <w:rPr>
          <w:rFonts w:ascii="Arial Bold" w:eastAsia="Arial Bold" w:hAnsi="Arial Bold" w:cs="Arial Bold"/>
          <w:b/>
          <w:color w:val="000000"/>
          <w:sz w:val="24"/>
          <w:szCs w:val="24"/>
        </w:rPr>
        <w:t>Restricting and monitoring access</w:t>
      </w:r>
    </w:p>
    <w:p w14:paraId="7E6447AD"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681EC024" w14:textId="77777777" w:rsidR="0003491B" w:rsidRPr="0003491B" w:rsidRDefault="0003491B" w:rsidP="0003491B">
      <w:pPr>
        <w:keepNext/>
        <w:numPr>
          <w:ilvl w:val="0"/>
          <w:numId w:val="9"/>
        </w:numPr>
        <w:tabs>
          <w:tab w:val="left" w:pos="360"/>
        </w:tabs>
        <w:spacing w:before="240" w:after="240"/>
        <w:jc w:val="both"/>
        <w:rPr>
          <w:rFonts w:eastAsia="Times New Roman"/>
        </w:rPr>
      </w:pPr>
      <w:bookmarkStart w:id="54" w:name="_heading=h.28h4qwu"/>
      <w:bookmarkEnd w:id="54"/>
      <w:r w:rsidRPr="0003491B">
        <w:rPr>
          <w:rFonts w:ascii="Arial Bold" w:eastAsia="Arial Bold" w:hAnsi="Arial Bold" w:cs="Arial Bold"/>
          <w:b/>
          <w:color w:val="000000"/>
          <w:sz w:val="24"/>
          <w:szCs w:val="24"/>
        </w:rPr>
        <w:t>Audit</w:t>
      </w:r>
    </w:p>
    <w:p w14:paraId="7EBE0E80"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 xml:space="preserve">The Supplier shall collect audit records which relate to security events in the systems or that would support the analysis of potential and actual compromises. </w:t>
      </w:r>
      <w:proofErr w:type="gramStart"/>
      <w:r w:rsidRPr="0003491B">
        <w:rPr>
          <w:rFonts w:eastAsia="Times New Roman"/>
          <w:color w:val="000000"/>
          <w:sz w:val="24"/>
          <w:szCs w:val="24"/>
        </w:rPr>
        <w:t>In order to</w:t>
      </w:r>
      <w:proofErr w:type="gramEnd"/>
      <w:r w:rsidRPr="0003491B">
        <w:rPr>
          <w:rFonts w:eastAsia="Times New Roman"/>
          <w:color w:val="000000"/>
          <w:sz w:val="24"/>
          <w:szCs w:val="24"/>
        </w:rPr>
        <w:t xml:space="preserve"> facilitate effective monitoring and forensic readiness such Supplier audit records should (as a minimum) include:</w:t>
      </w:r>
    </w:p>
    <w:p w14:paraId="5C3F3424" w14:textId="77777777" w:rsidR="0003491B" w:rsidRPr="0003491B" w:rsidRDefault="0003491B" w:rsidP="0003491B">
      <w:pPr>
        <w:numPr>
          <w:ilvl w:val="2"/>
          <w:numId w:val="9"/>
        </w:numPr>
        <w:tabs>
          <w:tab w:val="left" w:pos="3641"/>
          <w:tab w:val="left" w:pos="3783"/>
        </w:tabs>
        <w:spacing w:before="120" w:after="120"/>
        <w:ind w:left="1656"/>
        <w:jc w:val="both"/>
        <w:rPr>
          <w:rFonts w:eastAsia="Times New Roman"/>
        </w:rPr>
      </w:pPr>
      <w:r w:rsidRPr="0003491B">
        <w:rPr>
          <w:rFonts w:eastAsia="Times New Roman"/>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sidRPr="0003491B">
        <w:rPr>
          <w:rFonts w:eastAsia="Times New Roman"/>
          <w:color w:val="000000"/>
          <w:sz w:val="24"/>
          <w:szCs w:val="24"/>
        </w:rPr>
        <w:t>firewalls</w:t>
      </w:r>
      <w:proofErr w:type="gramEnd"/>
      <w:r w:rsidRPr="0003491B">
        <w:rPr>
          <w:rFonts w:eastAsia="Times New Roman"/>
          <w:color w:val="000000"/>
          <w:sz w:val="24"/>
          <w:szCs w:val="24"/>
        </w:rPr>
        <w:t xml:space="preserve"> and routers.</w:t>
      </w:r>
    </w:p>
    <w:p w14:paraId="7FC03BCA" w14:textId="77777777" w:rsidR="0003491B" w:rsidRPr="0003491B" w:rsidRDefault="0003491B" w:rsidP="0003491B">
      <w:pPr>
        <w:numPr>
          <w:ilvl w:val="2"/>
          <w:numId w:val="9"/>
        </w:numPr>
        <w:tabs>
          <w:tab w:val="left" w:pos="3641"/>
          <w:tab w:val="left" w:pos="3783"/>
        </w:tabs>
        <w:spacing w:before="120" w:after="120"/>
        <w:ind w:left="1656"/>
        <w:jc w:val="both"/>
        <w:rPr>
          <w:rFonts w:eastAsia="Times New Roman"/>
        </w:rPr>
      </w:pPr>
      <w:r w:rsidRPr="0003491B">
        <w:rPr>
          <w:rFonts w:eastAsia="Times New Roman"/>
          <w:color w:val="000000"/>
          <w:sz w:val="24"/>
          <w:szCs w:val="24"/>
        </w:rPr>
        <w:t xml:space="preserve">Security events generated in the ICT Environment (to the extent that the ICT Environment is within the control of the Supplier) and shall </w:t>
      </w:r>
      <w:proofErr w:type="gramStart"/>
      <w:r w:rsidRPr="0003491B">
        <w:rPr>
          <w:rFonts w:eastAsia="Times New Roman"/>
          <w:color w:val="000000"/>
          <w:sz w:val="24"/>
          <w:szCs w:val="24"/>
        </w:rPr>
        <w:t>include:</w:t>
      </w:r>
      <w:proofErr w:type="gramEnd"/>
      <w:r w:rsidRPr="0003491B">
        <w:rPr>
          <w:rFonts w:eastAsia="Times New Roman"/>
          <w:color w:val="000000"/>
          <w:sz w:val="24"/>
          <w:szCs w:val="24"/>
        </w:rPr>
        <w:t xml:space="preserve"> privileged account log-on and log-off events, the start and termination of remote access sessions, security alerts from desktops and server operating systems and security alerts from third party security software.</w:t>
      </w:r>
    </w:p>
    <w:p w14:paraId="0CC2B81C" w14:textId="77777777" w:rsidR="0003491B" w:rsidRPr="0003491B"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The Supplier and the Buyer shall work together to establish any additional audit and monitoring requirements for the ICT Environment.</w:t>
      </w:r>
    </w:p>
    <w:p w14:paraId="251DCA3D" w14:textId="3A576408" w:rsidR="0003491B" w:rsidRPr="00143F87" w:rsidRDefault="0003491B" w:rsidP="0003491B">
      <w:pPr>
        <w:numPr>
          <w:ilvl w:val="1"/>
          <w:numId w:val="9"/>
        </w:numPr>
        <w:tabs>
          <w:tab w:val="left" w:pos="1778"/>
        </w:tabs>
        <w:spacing w:before="120" w:after="120"/>
        <w:ind w:hanging="360"/>
        <w:jc w:val="both"/>
        <w:rPr>
          <w:rFonts w:eastAsia="Times New Roman"/>
        </w:rPr>
      </w:pPr>
      <w:r w:rsidRPr="0003491B">
        <w:rPr>
          <w:rFonts w:eastAsia="Times New Roman"/>
          <w:color w:val="000000"/>
          <w:sz w:val="24"/>
          <w:szCs w:val="24"/>
        </w:rPr>
        <w:t>The Supplier shall retain audit records collected in compliance with this Paragraph 8 for a period of at least 6 Months.</w:t>
      </w:r>
    </w:p>
    <w:p w14:paraId="06E4DFEA" w14:textId="77777777" w:rsidR="00894046" w:rsidRDefault="00894046" w:rsidP="006A1F39">
      <w:pPr>
        <w:pageBreakBefore/>
        <w:tabs>
          <w:tab w:val="left" w:pos="1778"/>
        </w:tabs>
        <w:spacing w:before="120" w:after="240"/>
        <w:jc w:val="both"/>
        <w:rPr>
          <w:rFonts w:ascii="Arial Bold" w:eastAsia="Arial Bold" w:hAnsi="Arial Bold" w:cs="Arial Bold"/>
          <w:b/>
          <w:color w:val="000000"/>
          <w:sz w:val="36"/>
          <w:szCs w:val="36"/>
        </w:rPr>
        <w:sectPr w:rsidR="00894046" w:rsidSect="00894046">
          <w:footerReference w:type="default" r:id="rId11"/>
          <w:pgSz w:w="11906" w:h="16838"/>
          <w:pgMar w:top="1440" w:right="1440" w:bottom="1440" w:left="1440" w:header="720" w:footer="283" w:gutter="0"/>
          <w:pgNumType w:start="1"/>
          <w:cols w:space="720"/>
          <w:docGrid w:linePitch="299"/>
        </w:sectPr>
      </w:pPr>
    </w:p>
    <w:p w14:paraId="02E44541" w14:textId="450A07E7" w:rsidR="0003491B" w:rsidRDefault="002337CF" w:rsidP="002337CF">
      <w:pPr>
        <w:pageBreakBefore/>
        <w:tabs>
          <w:tab w:val="left" w:pos="1778"/>
        </w:tabs>
        <w:spacing w:before="120" w:after="240"/>
        <w:ind w:left="284"/>
        <w:jc w:val="both"/>
        <w:rPr>
          <w:rFonts w:ascii="Arial Bold" w:eastAsia="Arial Bold" w:hAnsi="Arial Bold" w:cs="Arial Bold"/>
          <w:b/>
          <w:color w:val="000000"/>
          <w:sz w:val="36"/>
          <w:szCs w:val="36"/>
        </w:rPr>
      </w:pPr>
      <w:r w:rsidRPr="002337CF">
        <w:rPr>
          <w:rFonts w:ascii="Arial Bold" w:eastAsia="Arial Bold" w:hAnsi="Arial Bold" w:cs="Arial Bold"/>
          <w:b/>
          <w:color w:val="000000"/>
          <w:sz w:val="36"/>
          <w:szCs w:val="36"/>
        </w:rPr>
        <w:lastRenderedPageBreak/>
        <w:t>P</w:t>
      </w:r>
      <w:r w:rsidR="0003491B" w:rsidRPr="002337CF">
        <w:rPr>
          <w:rFonts w:ascii="Arial Bold" w:eastAsia="Arial Bold" w:hAnsi="Arial Bold" w:cs="Arial Bold"/>
          <w:b/>
          <w:color w:val="000000"/>
          <w:sz w:val="36"/>
          <w:szCs w:val="36"/>
        </w:rPr>
        <w:t>art B – Annex 2 - Security Management Plan</w:t>
      </w:r>
    </w:p>
    <w:p w14:paraId="4D00ACB0" w14:textId="6604E90B" w:rsidR="00894046" w:rsidRPr="003521B3" w:rsidRDefault="00E73530" w:rsidP="003521B3">
      <w:pPr>
        <w:suppressAutoHyphens w:val="0"/>
        <w:adjustRightInd w:val="0"/>
        <w:spacing w:after="120"/>
        <w:ind w:left="720"/>
        <w:contextualSpacing/>
        <w:textAlignment w:val="auto"/>
        <w:rPr>
          <w:sz w:val="24"/>
          <w:szCs w:val="24"/>
        </w:rPr>
      </w:pPr>
      <w:r w:rsidRPr="003521B3">
        <w:rPr>
          <w:sz w:val="24"/>
          <w:szCs w:val="24"/>
        </w:rPr>
        <w:t>[REDACTED]</w:t>
      </w:r>
    </w:p>
    <w:p w14:paraId="14ED3340" w14:textId="77777777" w:rsidR="00894046" w:rsidRDefault="00894046" w:rsidP="004B5D21">
      <w:pPr>
        <w:spacing w:after="200" w:line="276" w:lineRule="auto"/>
        <w:rPr>
          <w:b/>
          <w:sz w:val="36"/>
          <w:szCs w:val="36"/>
        </w:rPr>
      </w:pPr>
    </w:p>
    <w:p w14:paraId="5CB12C44" w14:textId="77777777" w:rsidR="00894046" w:rsidRDefault="00894046" w:rsidP="004B5D21">
      <w:pPr>
        <w:spacing w:after="200" w:line="276" w:lineRule="auto"/>
        <w:rPr>
          <w:b/>
          <w:sz w:val="36"/>
          <w:szCs w:val="36"/>
        </w:rPr>
      </w:pPr>
    </w:p>
    <w:p w14:paraId="1757ADA3" w14:textId="77777777" w:rsidR="00894046" w:rsidRDefault="00894046" w:rsidP="004B5D21">
      <w:pPr>
        <w:spacing w:after="200" w:line="276" w:lineRule="auto"/>
        <w:rPr>
          <w:b/>
          <w:sz w:val="36"/>
          <w:szCs w:val="36"/>
        </w:rPr>
        <w:sectPr w:rsidR="00894046" w:rsidSect="00894046">
          <w:pgSz w:w="16838" w:h="11906" w:orient="landscape"/>
          <w:pgMar w:top="1440" w:right="1440" w:bottom="1440" w:left="1440" w:header="720" w:footer="283" w:gutter="0"/>
          <w:pgNumType w:start="1"/>
          <w:cols w:space="720"/>
          <w:docGrid w:linePitch="299"/>
        </w:sectPr>
      </w:pPr>
    </w:p>
    <w:p w14:paraId="265627F3" w14:textId="656D39F7" w:rsidR="004B5D21" w:rsidRDefault="004B5D21" w:rsidP="004B5D21">
      <w:pPr>
        <w:spacing w:after="200" w:line="276" w:lineRule="auto"/>
        <w:rPr>
          <w:b/>
          <w:sz w:val="36"/>
          <w:szCs w:val="36"/>
        </w:rPr>
      </w:pPr>
      <w:r w:rsidRPr="004B5D21">
        <w:rPr>
          <w:b/>
          <w:sz w:val="36"/>
          <w:szCs w:val="36"/>
        </w:rPr>
        <w:lastRenderedPageBreak/>
        <w:t>Call-Off Schedule 20 (Call-Off Specification)</w:t>
      </w:r>
    </w:p>
    <w:p w14:paraId="2A5592F2" w14:textId="193EE337" w:rsidR="00E73530" w:rsidRPr="003521B3" w:rsidRDefault="00E73530" w:rsidP="003521B3">
      <w:pPr>
        <w:suppressAutoHyphens w:val="0"/>
        <w:adjustRightInd w:val="0"/>
        <w:spacing w:after="120"/>
        <w:ind w:left="720"/>
        <w:contextualSpacing/>
        <w:textAlignment w:val="auto"/>
        <w:rPr>
          <w:sz w:val="24"/>
          <w:szCs w:val="24"/>
        </w:rPr>
      </w:pPr>
      <w:r w:rsidRPr="003521B3">
        <w:rPr>
          <w:sz w:val="24"/>
          <w:szCs w:val="24"/>
        </w:rPr>
        <w:t>[REDACTED]</w:t>
      </w:r>
    </w:p>
    <w:p w14:paraId="1C9F78F1" w14:textId="2CEF85BA" w:rsidR="00E73530" w:rsidRDefault="00E73530" w:rsidP="004B5D21">
      <w:pPr>
        <w:spacing w:after="200" w:line="276" w:lineRule="auto"/>
        <w:rPr>
          <w:b/>
          <w:sz w:val="36"/>
          <w:szCs w:val="36"/>
        </w:rPr>
      </w:pPr>
    </w:p>
    <w:p w14:paraId="7BE9F1AE" w14:textId="58E99A7E" w:rsidR="00E73530" w:rsidRDefault="00E73530" w:rsidP="004B5D21">
      <w:pPr>
        <w:spacing w:after="200" w:line="276" w:lineRule="auto"/>
        <w:rPr>
          <w:b/>
          <w:sz w:val="36"/>
          <w:szCs w:val="36"/>
        </w:rPr>
      </w:pPr>
    </w:p>
    <w:p w14:paraId="14D8BE66" w14:textId="5A0D14BD" w:rsidR="00E73530" w:rsidRDefault="00E73530" w:rsidP="004B5D21">
      <w:pPr>
        <w:spacing w:after="200" w:line="276" w:lineRule="auto"/>
        <w:rPr>
          <w:b/>
          <w:sz w:val="36"/>
          <w:szCs w:val="36"/>
        </w:rPr>
      </w:pPr>
    </w:p>
    <w:p w14:paraId="42E16DA7" w14:textId="5D387516" w:rsidR="00E73530" w:rsidRDefault="00E73530" w:rsidP="004B5D21">
      <w:pPr>
        <w:spacing w:after="200" w:line="276" w:lineRule="auto"/>
        <w:rPr>
          <w:b/>
          <w:sz w:val="36"/>
          <w:szCs w:val="36"/>
        </w:rPr>
      </w:pPr>
    </w:p>
    <w:p w14:paraId="59F0A987" w14:textId="00A48666" w:rsidR="00E73530" w:rsidRDefault="00E73530" w:rsidP="004B5D21">
      <w:pPr>
        <w:spacing w:after="200" w:line="276" w:lineRule="auto"/>
        <w:rPr>
          <w:b/>
          <w:sz w:val="36"/>
          <w:szCs w:val="36"/>
        </w:rPr>
      </w:pPr>
    </w:p>
    <w:p w14:paraId="42C4AF2D" w14:textId="0E812D10" w:rsidR="00E73530" w:rsidRDefault="00E73530" w:rsidP="004B5D21">
      <w:pPr>
        <w:spacing w:after="200" w:line="276" w:lineRule="auto"/>
        <w:rPr>
          <w:b/>
          <w:sz w:val="36"/>
          <w:szCs w:val="36"/>
        </w:rPr>
      </w:pPr>
    </w:p>
    <w:p w14:paraId="0CAA8A58" w14:textId="058A090C" w:rsidR="00E73530" w:rsidRDefault="00E73530" w:rsidP="004B5D21">
      <w:pPr>
        <w:spacing w:after="200" w:line="276" w:lineRule="auto"/>
        <w:rPr>
          <w:b/>
          <w:sz w:val="36"/>
          <w:szCs w:val="36"/>
        </w:rPr>
      </w:pPr>
    </w:p>
    <w:p w14:paraId="1B89B1E1" w14:textId="0C79D823" w:rsidR="00E73530" w:rsidRDefault="00E73530" w:rsidP="004B5D21">
      <w:pPr>
        <w:spacing w:after="200" w:line="276" w:lineRule="auto"/>
        <w:rPr>
          <w:b/>
          <w:sz w:val="36"/>
          <w:szCs w:val="36"/>
        </w:rPr>
      </w:pPr>
    </w:p>
    <w:p w14:paraId="3965708F" w14:textId="039C007C" w:rsidR="00E73530" w:rsidRDefault="00E73530" w:rsidP="004B5D21">
      <w:pPr>
        <w:spacing w:after="200" w:line="276" w:lineRule="auto"/>
        <w:rPr>
          <w:b/>
          <w:sz w:val="36"/>
          <w:szCs w:val="36"/>
        </w:rPr>
      </w:pPr>
    </w:p>
    <w:p w14:paraId="12CB430E" w14:textId="1AD837CB" w:rsidR="00E73530" w:rsidRDefault="00E73530" w:rsidP="004B5D21">
      <w:pPr>
        <w:spacing w:after="200" w:line="276" w:lineRule="auto"/>
        <w:rPr>
          <w:b/>
          <w:sz w:val="36"/>
          <w:szCs w:val="36"/>
        </w:rPr>
      </w:pPr>
    </w:p>
    <w:p w14:paraId="73E13A10" w14:textId="227D776B" w:rsidR="00E73530" w:rsidRDefault="00E73530" w:rsidP="004B5D21">
      <w:pPr>
        <w:spacing w:after="200" w:line="276" w:lineRule="auto"/>
        <w:rPr>
          <w:b/>
          <w:sz w:val="36"/>
          <w:szCs w:val="36"/>
        </w:rPr>
      </w:pPr>
    </w:p>
    <w:p w14:paraId="425B043C" w14:textId="38BE4CC3" w:rsidR="00E73530" w:rsidRDefault="00E73530" w:rsidP="004B5D21">
      <w:pPr>
        <w:spacing w:after="200" w:line="276" w:lineRule="auto"/>
        <w:rPr>
          <w:b/>
          <w:sz w:val="36"/>
          <w:szCs w:val="36"/>
        </w:rPr>
      </w:pPr>
    </w:p>
    <w:p w14:paraId="77939BF2" w14:textId="74D27B36" w:rsidR="00E73530" w:rsidRDefault="00E73530" w:rsidP="004B5D21">
      <w:pPr>
        <w:spacing w:after="200" w:line="276" w:lineRule="auto"/>
        <w:rPr>
          <w:b/>
          <w:sz w:val="36"/>
          <w:szCs w:val="36"/>
        </w:rPr>
      </w:pPr>
    </w:p>
    <w:p w14:paraId="49CDC0D3" w14:textId="756B4261" w:rsidR="00E73530" w:rsidRDefault="00E73530" w:rsidP="004B5D21">
      <w:pPr>
        <w:spacing w:after="200" w:line="276" w:lineRule="auto"/>
        <w:rPr>
          <w:b/>
          <w:sz w:val="36"/>
          <w:szCs w:val="36"/>
        </w:rPr>
      </w:pPr>
    </w:p>
    <w:p w14:paraId="2EDE7A60" w14:textId="28098786" w:rsidR="00E73530" w:rsidRDefault="00E73530" w:rsidP="004B5D21">
      <w:pPr>
        <w:spacing w:after="200" w:line="276" w:lineRule="auto"/>
        <w:rPr>
          <w:b/>
          <w:sz w:val="36"/>
          <w:szCs w:val="36"/>
        </w:rPr>
      </w:pPr>
    </w:p>
    <w:p w14:paraId="10A0E092" w14:textId="06D4000F" w:rsidR="00E73530" w:rsidRDefault="00E73530" w:rsidP="004B5D21">
      <w:pPr>
        <w:spacing w:after="200" w:line="276" w:lineRule="auto"/>
        <w:rPr>
          <w:b/>
          <w:sz w:val="36"/>
          <w:szCs w:val="36"/>
        </w:rPr>
      </w:pPr>
    </w:p>
    <w:p w14:paraId="0E12E9B6" w14:textId="069CAFAE" w:rsidR="00E73530" w:rsidRDefault="00E73530" w:rsidP="004B5D21">
      <w:pPr>
        <w:spacing w:after="200" w:line="276" w:lineRule="auto"/>
        <w:rPr>
          <w:b/>
          <w:sz w:val="36"/>
          <w:szCs w:val="36"/>
        </w:rPr>
      </w:pPr>
    </w:p>
    <w:p w14:paraId="440C6168" w14:textId="2A01994A" w:rsidR="00E73530" w:rsidRDefault="00E73530" w:rsidP="004B5D21">
      <w:pPr>
        <w:spacing w:after="200" w:line="276" w:lineRule="auto"/>
        <w:rPr>
          <w:b/>
          <w:sz w:val="36"/>
          <w:szCs w:val="36"/>
        </w:rPr>
      </w:pPr>
    </w:p>
    <w:p w14:paraId="1A6282CD" w14:textId="77777777" w:rsidR="00E73530" w:rsidRPr="004B5D21" w:rsidRDefault="00E73530" w:rsidP="004B5D21">
      <w:pPr>
        <w:spacing w:after="200" w:line="276" w:lineRule="auto"/>
        <w:rPr>
          <w:rFonts w:ascii="Calibri" w:eastAsia="Calibri" w:hAnsi="Calibri" w:cs="Times New Roman"/>
        </w:rPr>
      </w:pPr>
    </w:p>
    <w:p w14:paraId="0B7A7EA8" w14:textId="77777777" w:rsidR="007462DA" w:rsidRPr="007462DA" w:rsidRDefault="007462DA" w:rsidP="007462DA">
      <w:pPr>
        <w:spacing w:after="240"/>
        <w:ind w:left="142" w:right="394"/>
        <w:rPr>
          <w:rFonts w:ascii="Calibri" w:eastAsia="Calibri" w:hAnsi="Calibri" w:cs="Calibri"/>
        </w:rPr>
      </w:pPr>
      <w:r w:rsidRPr="007462DA">
        <w:rPr>
          <w:b/>
          <w:sz w:val="36"/>
          <w:szCs w:val="36"/>
        </w:rPr>
        <w:lastRenderedPageBreak/>
        <w:t>Call-Off Schedule 23 (HMRC Terms)</w:t>
      </w:r>
    </w:p>
    <w:p w14:paraId="755996FE" w14:textId="77777777" w:rsidR="007462DA" w:rsidRPr="007462DA" w:rsidRDefault="007462DA" w:rsidP="002413D3">
      <w:pPr>
        <w:numPr>
          <w:ilvl w:val="0"/>
          <w:numId w:val="23"/>
        </w:numPr>
        <w:spacing w:after="240"/>
        <w:jc w:val="both"/>
        <w:outlineLvl w:val="1"/>
        <w:rPr>
          <w:rFonts w:ascii="Calibri Light" w:eastAsia="F" w:hAnsi="Calibri Light" w:cs="F"/>
          <w:color w:val="2E74B5"/>
          <w:sz w:val="26"/>
          <w:szCs w:val="26"/>
        </w:rPr>
      </w:pPr>
      <w:r w:rsidRPr="007462DA">
        <w:rPr>
          <w:b/>
          <w:color w:val="000000"/>
          <w:sz w:val="24"/>
          <w:szCs w:val="24"/>
        </w:rPr>
        <w:t>Definitions</w:t>
      </w:r>
    </w:p>
    <w:p w14:paraId="090295AC" w14:textId="77777777" w:rsidR="007462DA" w:rsidRPr="007462DA" w:rsidRDefault="007462DA" w:rsidP="002413D3">
      <w:pPr>
        <w:keepNext/>
        <w:numPr>
          <w:ilvl w:val="1"/>
          <w:numId w:val="15"/>
        </w:numPr>
        <w:tabs>
          <w:tab w:val="left" w:pos="1785"/>
        </w:tabs>
        <w:spacing w:after="240"/>
        <w:rPr>
          <w:rFonts w:ascii="Calibri" w:eastAsia="Calibri" w:hAnsi="Calibri" w:cs="Calibri"/>
        </w:rPr>
      </w:pPr>
      <w:r w:rsidRPr="007462DA">
        <w:rPr>
          <w:color w:val="000000"/>
          <w:sz w:val="24"/>
          <w:szCs w:val="24"/>
        </w:rPr>
        <w:t xml:space="preserve">In this Schedule, the following words have the following </w:t>
      </w:r>
      <w:proofErr w:type="gramStart"/>
      <w:r w:rsidRPr="007462DA">
        <w:rPr>
          <w:color w:val="000000"/>
          <w:sz w:val="24"/>
          <w:szCs w:val="24"/>
        </w:rPr>
        <w:t>meanings</w:t>
      </w:r>
      <w:proofErr w:type="gramEnd"/>
      <w:r w:rsidRPr="007462DA">
        <w:rPr>
          <w:color w:val="000000"/>
          <w:sz w:val="24"/>
          <w:szCs w:val="24"/>
        </w:rPr>
        <w:t xml:space="preserve"> and they shall supplement Joint Schedule 1 (Definitions):</w:t>
      </w:r>
    </w:p>
    <w:tbl>
      <w:tblPr>
        <w:tblW w:w="8918" w:type="dxa"/>
        <w:tblInd w:w="108" w:type="dxa"/>
        <w:tblLayout w:type="fixed"/>
        <w:tblCellMar>
          <w:left w:w="10" w:type="dxa"/>
          <w:right w:w="10" w:type="dxa"/>
        </w:tblCellMar>
        <w:tblLook w:val="0000" w:firstRow="0" w:lastRow="0" w:firstColumn="0" w:lastColumn="0" w:noHBand="0" w:noVBand="0"/>
      </w:tblPr>
      <w:tblGrid>
        <w:gridCol w:w="2291"/>
        <w:gridCol w:w="6627"/>
      </w:tblGrid>
      <w:tr w:rsidR="007462DA" w:rsidRPr="007462DA" w14:paraId="7E9AC9EC" w14:textId="77777777" w:rsidTr="000609B6">
        <w:tc>
          <w:tcPr>
            <w:tcW w:w="2291" w:type="dxa"/>
            <w:tcMar>
              <w:top w:w="0" w:type="dxa"/>
              <w:left w:w="108" w:type="dxa"/>
              <w:bottom w:w="0" w:type="dxa"/>
              <w:right w:w="108" w:type="dxa"/>
            </w:tcMar>
          </w:tcPr>
          <w:p w14:paraId="4334A3A7" w14:textId="77777777" w:rsidR="007462DA" w:rsidRPr="007462DA" w:rsidRDefault="007462DA" w:rsidP="007462DA">
            <w:pPr>
              <w:spacing w:after="240"/>
              <w:ind w:left="209"/>
              <w:rPr>
                <w:rFonts w:ascii="Calibri" w:eastAsia="Calibri" w:hAnsi="Calibri" w:cs="Calibri"/>
              </w:rPr>
            </w:pPr>
            <w:r w:rsidRPr="007462DA">
              <w:rPr>
                <w:b/>
                <w:sz w:val="24"/>
                <w:szCs w:val="24"/>
              </w:rPr>
              <w:t>“Connected Company”</w:t>
            </w:r>
          </w:p>
        </w:tc>
        <w:tc>
          <w:tcPr>
            <w:tcW w:w="6626" w:type="dxa"/>
            <w:tcMar>
              <w:top w:w="0" w:type="dxa"/>
              <w:left w:w="108" w:type="dxa"/>
              <w:bottom w:w="0" w:type="dxa"/>
              <w:right w:w="108" w:type="dxa"/>
            </w:tcMar>
          </w:tcPr>
          <w:p w14:paraId="55771209" w14:textId="77777777" w:rsidR="007462DA" w:rsidRPr="007462DA" w:rsidRDefault="007462DA" w:rsidP="007462DA">
            <w:pPr>
              <w:jc w:val="both"/>
              <w:rPr>
                <w:rFonts w:ascii="Calibri" w:eastAsia="Calibri" w:hAnsi="Calibri" w:cs="Calibri"/>
              </w:rPr>
            </w:pPr>
            <w:r w:rsidRPr="007462DA">
              <w:rPr>
                <w:sz w:val="24"/>
                <w:szCs w:val="24"/>
              </w:rPr>
              <w:t xml:space="preserve">in relation to a company, entity or other person, the Affiliates of that company, entity or other person or any other person associated with such company, entity or other </w:t>
            </w:r>
            <w:proofErr w:type="gramStart"/>
            <w:r w:rsidRPr="007462DA">
              <w:rPr>
                <w:sz w:val="24"/>
                <w:szCs w:val="24"/>
              </w:rPr>
              <w:t>person;</w:t>
            </w:r>
            <w:proofErr w:type="gramEnd"/>
          </w:p>
          <w:p w14:paraId="53FBD157" w14:textId="77777777" w:rsidR="007462DA" w:rsidRPr="007462DA" w:rsidRDefault="007462DA" w:rsidP="007462DA">
            <w:pPr>
              <w:spacing w:after="240"/>
              <w:jc w:val="both"/>
              <w:rPr>
                <w:sz w:val="24"/>
                <w:szCs w:val="24"/>
              </w:rPr>
            </w:pPr>
          </w:p>
        </w:tc>
      </w:tr>
      <w:tr w:rsidR="007462DA" w:rsidRPr="007462DA" w14:paraId="6B73928E" w14:textId="77777777" w:rsidTr="000609B6">
        <w:tc>
          <w:tcPr>
            <w:tcW w:w="2291" w:type="dxa"/>
            <w:tcMar>
              <w:top w:w="0" w:type="dxa"/>
              <w:left w:w="108" w:type="dxa"/>
              <w:bottom w:w="0" w:type="dxa"/>
              <w:right w:w="108" w:type="dxa"/>
            </w:tcMar>
          </w:tcPr>
          <w:p w14:paraId="13416257" w14:textId="77777777" w:rsidR="007462DA" w:rsidRPr="007462DA" w:rsidRDefault="007462DA" w:rsidP="007462DA">
            <w:pPr>
              <w:spacing w:after="240"/>
              <w:ind w:left="209"/>
              <w:rPr>
                <w:rFonts w:ascii="Calibri" w:eastAsia="Calibri" w:hAnsi="Calibri" w:cs="Calibri"/>
              </w:rPr>
            </w:pPr>
            <w:r w:rsidRPr="007462DA">
              <w:rPr>
                <w:b/>
                <w:sz w:val="24"/>
                <w:szCs w:val="24"/>
              </w:rPr>
              <w:t>“Control”</w:t>
            </w:r>
          </w:p>
        </w:tc>
        <w:tc>
          <w:tcPr>
            <w:tcW w:w="6626" w:type="dxa"/>
            <w:tcMar>
              <w:top w:w="0" w:type="dxa"/>
              <w:left w:w="108" w:type="dxa"/>
              <w:bottom w:w="0" w:type="dxa"/>
              <w:right w:w="108" w:type="dxa"/>
            </w:tcMar>
          </w:tcPr>
          <w:p w14:paraId="4E6663F8" w14:textId="77777777" w:rsidR="007462DA" w:rsidRPr="007462DA" w:rsidRDefault="007462DA" w:rsidP="007462DA">
            <w:pPr>
              <w:jc w:val="both"/>
              <w:rPr>
                <w:rFonts w:ascii="Calibri" w:eastAsia="Calibri" w:hAnsi="Calibri" w:cs="Calibri"/>
              </w:rPr>
            </w:pPr>
            <w:r w:rsidRPr="007462DA">
              <w:rPr>
                <w:sz w:val="24"/>
                <w:szCs w:val="24"/>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w:t>
            </w:r>
            <w:proofErr w:type="gramStart"/>
            <w:r w:rsidRPr="007462DA">
              <w:rPr>
                <w:sz w:val="24"/>
                <w:szCs w:val="24"/>
              </w:rPr>
              <w:t>accordingly;</w:t>
            </w:r>
            <w:proofErr w:type="gramEnd"/>
          </w:p>
          <w:p w14:paraId="4915FC0E" w14:textId="77777777" w:rsidR="007462DA" w:rsidRPr="007462DA" w:rsidRDefault="007462DA" w:rsidP="007462DA">
            <w:pPr>
              <w:spacing w:after="240"/>
              <w:jc w:val="both"/>
              <w:rPr>
                <w:sz w:val="24"/>
                <w:szCs w:val="24"/>
              </w:rPr>
            </w:pPr>
          </w:p>
        </w:tc>
      </w:tr>
      <w:tr w:rsidR="007462DA" w:rsidRPr="007462DA" w14:paraId="373DBE82" w14:textId="77777777" w:rsidTr="000609B6">
        <w:tc>
          <w:tcPr>
            <w:tcW w:w="2291" w:type="dxa"/>
            <w:tcMar>
              <w:top w:w="0" w:type="dxa"/>
              <w:left w:w="108" w:type="dxa"/>
              <w:bottom w:w="0" w:type="dxa"/>
              <w:right w:w="108" w:type="dxa"/>
            </w:tcMar>
          </w:tcPr>
          <w:p w14:paraId="4BCA39E3" w14:textId="77777777" w:rsidR="007462DA" w:rsidRPr="007462DA" w:rsidRDefault="007462DA" w:rsidP="007462DA">
            <w:pPr>
              <w:spacing w:after="240"/>
              <w:ind w:left="209"/>
              <w:rPr>
                <w:rFonts w:ascii="Calibri" w:eastAsia="Calibri" w:hAnsi="Calibri" w:cs="Calibri"/>
              </w:rPr>
            </w:pPr>
            <w:r w:rsidRPr="007462DA">
              <w:rPr>
                <w:b/>
                <w:sz w:val="24"/>
                <w:szCs w:val="24"/>
              </w:rPr>
              <w:t>“Prohibited Transaction”</w:t>
            </w:r>
          </w:p>
        </w:tc>
        <w:tc>
          <w:tcPr>
            <w:tcW w:w="6626" w:type="dxa"/>
            <w:tcMar>
              <w:top w:w="0" w:type="dxa"/>
              <w:left w:w="108" w:type="dxa"/>
              <w:bottom w:w="0" w:type="dxa"/>
              <w:right w:w="108" w:type="dxa"/>
            </w:tcMar>
          </w:tcPr>
          <w:p w14:paraId="281B8D50" w14:textId="77777777" w:rsidR="007462DA" w:rsidRPr="007462DA" w:rsidRDefault="007462DA" w:rsidP="002413D3">
            <w:pPr>
              <w:numPr>
                <w:ilvl w:val="0"/>
                <w:numId w:val="24"/>
              </w:numPr>
              <w:jc w:val="both"/>
              <w:rPr>
                <w:rFonts w:ascii="Calibri" w:eastAsia="Calibri" w:hAnsi="Calibri" w:cs="Calibri"/>
              </w:rPr>
            </w:pPr>
            <w:r w:rsidRPr="007462DA">
              <w:rPr>
                <w:color w:val="000000"/>
                <w:sz w:val="24"/>
                <w:szCs w:val="24"/>
              </w:rPr>
              <w:t>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w:t>
            </w:r>
          </w:p>
          <w:p w14:paraId="4408F35B" w14:textId="77777777" w:rsidR="007462DA" w:rsidRPr="007462DA" w:rsidRDefault="007462DA" w:rsidP="007462DA">
            <w:pPr>
              <w:ind w:left="720"/>
              <w:jc w:val="both"/>
              <w:rPr>
                <w:color w:val="000000"/>
                <w:sz w:val="24"/>
                <w:szCs w:val="24"/>
              </w:rPr>
            </w:pPr>
          </w:p>
          <w:p w14:paraId="266CB3DD" w14:textId="77777777" w:rsidR="007462DA" w:rsidRPr="007462DA" w:rsidRDefault="007462DA" w:rsidP="002413D3">
            <w:pPr>
              <w:numPr>
                <w:ilvl w:val="0"/>
                <w:numId w:val="16"/>
              </w:numPr>
              <w:jc w:val="both"/>
              <w:rPr>
                <w:rFonts w:ascii="Calibri" w:eastAsia="Calibri" w:hAnsi="Calibri" w:cs="Calibri"/>
              </w:rPr>
            </w:pPr>
            <w:r w:rsidRPr="007462DA">
              <w:rPr>
                <w:color w:val="000000"/>
                <w:sz w:val="24"/>
                <w:szCs w:val="24"/>
              </w:rPr>
              <w:t>which would be payable by any Key Subcontractor and its Connected Companies on or in connection with payments made by or on behalf of the Supplier under or pursuant to the applicable Key Subcontract,</w:t>
            </w:r>
          </w:p>
          <w:p w14:paraId="333CFBE7" w14:textId="77777777" w:rsidR="007462DA" w:rsidRPr="007462DA" w:rsidRDefault="007462DA" w:rsidP="007462DA">
            <w:pPr>
              <w:spacing w:after="160" w:line="259" w:lineRule="auto"/>
              <w:ind w:left="720"/>
              <w:rPr>
                <w:color w:val="000000"/>
                <w:sz w:val="24"/>
                <w:szCs w:val="24"/>
              </w:rPr>
            </w:pPr>
          </w:p>
          <w:p w14:paraId="4598A5DC" w14:textId="77777777" w:rsidR="007462DA" w:rsidRPr="007462DA" w:rsidRDefault="007462DA" w:rsidP="007462DA">
            <w:pPr>
              <w:spacing w:after="240"/>
              <w:jc w:val="both"/>
              <w:rPr>
                <w:rFonts w:ascii="Calibri" w:eastAsia="Calibri" w:hAnsi="Calibri" w:cs="Calibri"/>
              </w:rPr>
            </w:pPr>
            <w:r w:rsidRPr="007462DA">
              <w:rPr>
                <w:sz w:val="24"/>
                <w:szCs w:val="24"/>
              </w:rPr>
              <w:t xml:space="preserve">other than transactions made between the Supplier and its Connected Companies or a Key Subcontractor and its Connected Companies on terms which are at arms-length and are entered into in the ordinary course of the transacting parties’ </w:t>
            </w:r>
            <w:proofErr w:type="gramStart"/>
            <w:r w:rsidRPr="007462DA">
              <w:rPr>
                <w:sz w:val="24"/>
                <w:szCs w:val="24"/>
              </w:rPr>
              <w:t>business;</w:t>
            </w:r>
            <w:proofErr w:type="gramEnd"/>
          </w:p>
          <w:p w14:paraId="0C1FB3B4" w14:textId="77777777" w:rsidR="007462DA" w:rsidRPr="007462DA" w:rsidRDefault="007462DA" w:rsidP="007462DA">
            <w:pPr>
              <w:spacing w:after="240"/>
              <w:jc w:val="both"/>
              <w:rPr>
                <w:sz w:val="24"/>
                <w:szCs w:val="24"/>
              </w:rPr>
            </w:pPr>
          </w:p>
        </w:tc>
      </w:tr>
      <w:tr w:rsidR="007462DA" w:rsidRPr="007462DA" w14:paraId="1B35ABBB" w14:textId="77777777" w:rsidTr="000609B6">
        <w:tc>
          <w:tcPr>
            <w:tcW w:w="2291" w:type="dxa"/>
            <w:tcMar>
              <w:top w:w="0" w:type="dxa"/>
              <w:left w:w="108" w:type="dxa"/>
              <w:bottom w:w="0" w:type="dxa"/>
              <w:right w:w="108" w:type="dxa"/>
            </w:tcMar>
          </w:tcPr>
          <w:p w14:paraId="56C24AF4" w14:textId="77777777" w:rsidR="007462DA" w:rsidRPr="007462DA" w:rsidRDefault="007462DA" w:rsidP="007462DA">
            <w:pPr>
              <w:spacing w:after="240"/>
              <w:ind w:left="209"/>
              <w:rPr>
                <w:rFonts w:ascii="Calibri" w:eastAsia="Calibri" w:hAnsi="Calibri" w:cs="Calibri"/>
              </w:rPr>
            </w:pPr>
            <w:r w:rsidRPr="007462DA">
              <w:rPr>
                <w:b/>
                <w:sz w:val="24"/>
                <w:szCs w:val="24"/>
              </w:rPr>
              <w:t>“Purchase Order Number” </w:t>
            </w:r>
          </w:p>
        </w:tc>
        <w:tc>
          <w:tcPr>
            <w:tcW w:w="6626" w:type="dxa"/>
            <w:tcMar>
              <w:top w:w="0" w:type="dxa"/>
              <w:left w:w="108" w:type="dxa"/>
              <w:bottom w:w="0" w:type="dxa"/>
              <w:right w:w="108" w:type="dxa"/>
            </w:tcMar>
          </w:tcPr>
          <w:p w14:paraId="76C268A6" w14:textId="77777777" w:rsidR="007462DA" w:rsidRPr="007462DA" w:rsidRDefault="007462DA" w:rsidP="007462DA">
            <w:pPr>
              <w:spacing w:after="240"/>
              <w:rPr>
                <w:rFonts w:ascii="Calibri" w:eastAsia="Calibri" w:hAnsi="Calibri" w:cs="Calibri"/>
              </w:rPr>
            </w:pPr>
            <w:r w:rsidRPr="007462DA">
              <w:rPr>
                <w:sz w:val="24"/>
                <w:szCs w:val="24"/>
              </w:rPr>
              <w:t>the Buyer’s unique number relating to the supply of the Deliverables;  </w:t>
            </w:r>
          </w:p>
        </w:tc>
      </w:tr>
      <w:tr w:rsidR="007462DA" w:rsidRPr="007462DA" w14:paraId="2F6362CA" w14:textId="77777777" w:rsidTr="000609B6">
        <w:tc>
          <w:tcPr>
            <w:tcW w:w="2291" w:type="dxa"/>
            <w:tcMar>
              <w:top w:w="0" w:type="dxa"/>
              <w:left w:w="108" w:type="dxa"/>
              <w:bottom w:w="0" w:type="dxa"/>
              <w:right w:w="108" w:type="dxa"/>
            </w:tcMar>
          </w:tcPr>
          <w:p w14:paraId="7509EF7C" w14:textId="77777777" w:rsidR="007462DA" w:rsidRPr="007462DA" w:rsidRDefault="007462DA" w:rsidP="007462DA">
            <w:pPr>
              <w:spacing w:after="240"/>
              <w:ind w:left="209"/>
              <w:rPr>
                <w:rFonts w:ascii="Calibri" w:eastAsia="Calibri" w:hAnsi="Calibri" w:cs="Calibri"/>
              </w:rPr>
            </w:pPr>
            <w:r w:rsidRPr="007462DA">
              <w:rPr>
                <w:b/>
                <w:sz w:val="24"/>
                <w:szCs w:val="24"/>
              </w:rPr>
              <w:t>“Supporting Documentation”</w:t>
            </w:r>
          </w:p>
        </w:tc>
        <w:tc>
          <w:tcPr>
            <w:tcW w:w="6626" w:type="dxa"/>
            <w:tcMar>
              <w:top w:w="0" w:type="dxa"/>
              <w:left w:w="108" w:type="dxa"/>
              <w:bottom w:w="0" w:type="dxa"/>
              <w:right w:w="108" w:type="dxa"/>
            </w:tcMar>
          </w:tcPr>
          <w:p w14:paraId="19355DFD" w14:textId="77777777" w:rsidR="007462DA" w:rsidRPr="007462DA" w:rsidRDefault="007462DA" w:rsidP="007462DA">
            <w:pPr>
              <w:spacing w:after="240"/>
              <w:rPr>
                <w:rFonts w:ascii="Calibri" w:eastAsia="Calibri" w:hAnsi="Calibri" w:cs="Calibri"/>
              </w:rPr>
            </w:pPr>
            <w:r w:rsidRPr="007462DA">
              <w:rPr>
                <w:color w:val="000000"/>
                <w:sz w:val="24"/>
                <w:szCs w:val="24"/>
              </w:rPr>
              <w:t>sufficient information in writing to enable the Buyer to reasonably verify the accuracy of any invoice; and</w:t>
            </w:r>
          </w:p>
        </w:tc>
      </w:tr>
      <w:tr w:rsidR="007462DA" w:rsidRPr="007462DA" w14:paraId="633FB437" w14:textId="77777777" w:rsidTr="000609B6">
        <w:tc>
          <w:tcPr>
            <w:tcW w:w="2291" w:type="dxa"/>
            <w:tcMar>
              <w:top w:w="0" w:type="dxa"/>
              <w:left w:w="108" w:type="dxa"/>
              <w:bottom w:w="0" w:type="dxa"/>
              <w:right w:w="108" w:type="dxa"/>
            </w:tcMar>
          </w:tcPr>
          <w:p w14:paraId="12D1BBD9" w14:textId="77777777" w:rsidR="007462DA" w:rsidRPr="007462DA" w:rsidRDefault="007462DA" w:rsidP="007462DA">
            <w:pPr>
              <w:spacing w:after="240"/>
              <w:ind w:left="209"/>
              <w:rPr>
                <w:rFonts w:ascii="Calibri" w:eastAsia="Calibri" w:hAnsi="Calibri" w:cs="Calibri"/>
              </w:rPr>
            </w:pPr>
            <w:r w:rsidRPr="007462DA">
              <w:rPr>
                <w:b/>
                <w:sz w:val="24"/>
                <w:szCs w:val="24"/>
              </w:rPr>
              <w:lastRenderedPageBreak/>
              <w:t>“Tax Compliance Failure”</w:t>
            </w:r>
          </w:p>
          <w:p w14:paraId="13202CDB" w14:textId="77777777" w:rsidR="007462DA" w:rsidRPr="007462DA" w:rsidRDefault="007462DA" w:rsidP="007462DA">
            <w:pPr>
              <w:spacing w:after="240"/>
              <w:ind w:left="209"/>
              <w:rPr>
                <w:b/>
                <w:sz w:val="24"/>
                <w:szCs w:val="24"/>
              </w:rPr>
            </w:pPr>
          </w:p>
        </w:tc>
        <w:tc>
          <w:tcPr>
            <w:tcW w:w="6626" w:type="dxa"/>
            <w:tcMar>
              <w:top w:w="0" w:type="dxa"/>
              <w:left w:w="108" w:type="dxa"/>
              <w:bottom w:w="0" w:type="dxa"/>
              <w:right w:w="108" w:type="dxa"/>
            </w:tcMar>
          </w:tcPr>
          <w:p w14:paraId="546589CD" w14:textId="77777777" w:rsidR="007462DA" w:rsidRPr="007462DA" w:rsidRDefault="007462DA" w:rsidP="007462DA">
            <w:pPr>
              <w:tabs>
                <w:tab w:val="left" w:pos="-75"/>
              </w:tabs>
              <w:spacing w:after="240"/>
              <w:jc w:val="both"/>
              <w:rPr>
                <w:rFonts w:ascii="Calibri" w:eastAsia="Calibri" w:hAnsi="Calibri" w:cs="Calibri"/>
              </w:rPr>
            </w:pPr>
            <w:r w:rsidRPr="007462DA">
              <w:rPr>
                <w:sz w:val="24"/>
                <w:szCs w:val="24"/>
              </w:rPr>
              <w:t>where an entity or person under consideration meets all 3 conditions contained in the relevant excerpt from HMRC’s “Test for Tax Non-Compliance”, as set out in Annex 1 (as amended and updated from time to time), where:</w:t>
            </w:r>
          </w:p>
          <w:p w14:paraId="566458CF" w14:textId="77777777" w:rsidR="007462DA" w:rsidRPr="007462DA" w:rsidRDefault="007462DA" w:rsidP="002413D3">
            <w:pPr>
              <w:numPr>
                <w:ilvl w:val="0"/>
                <w:numId w:val="25"/>
              </w:numPr>
              <w:tabs>
                <w:tab w:val="left" w:pos="330"/>
              </w:tabs>
              <w:jc w:val="both"/>
              <w:rPr>
                <w:rFonts w:ascii="Calibri" w:eastAsia="Calibri" w:hAnsi="Calibri" w:cs="Calibri"/>
              </w:rPr>
            </w:pPr>
            <w:r w:rsidRPr="007462DA">
              <w:rPr>
                <w:color w:val="000000"/>
                <w:sz w:val="24"/>
                <w:szCs w:val="24"/>
              </w:rPr>
              <w:t xml:space="preserve">the “Economic Operator” means the </w:t>
            </w:r>
            <w:proofErr w:type="gramStart"/>
            <w:r w:rsidRPr="007462DA">
              <w:rPr>
                <w:color w:val="000000"/>
                <w:sz w:val="24"/>
                <w:szCs w:val="24"/>
              </w:rPr>
              <w:t>Supplier</w:t>
            </w:r>
            <w:proofErr w:type="gramEnd"/>
            <w:r w:rsidRPr="007462DA">
              <w:rPr>
                <w:color w:val="000000"/>
                <w:sz w:val="24"/>
                <w:szCs w:val="24"/>
              </w:rPr>
              <w:t xml:space="preserve"> or any agent, supplier or Subcontractor of the Supplier requested to be replaced pursuant to Paragraph 5.3; and</w:t>
            </w:r>
          </w:p>
          <w:p w14:paraId="62AFE725" w14:textId="77777777" w:rsidR="007462DA" w:rsidRPr="007462DA" w:rsidRDefault="007462DA" w:rsidP="007462DA">
            <w:pPr>
              <w:ind w:left="405"/>
              <w:rPr>
                <w:color w:val="000000"/>
                <w:sz w:val="24"/>
                <w:szCs w:val="24"/>
              </w:rPr>
            </w:pPr>
          </w:p>
          <w:p w14:paraId="11437081" w14:textId="77777777" w:rsidR="007462DA" w:rsidRPr="007462DA" w:rsidRDefault="007462DA" w:rsidP="002413D3">
            <w:pPr>
              <w:numPr>
                <w:ilvl w:val="0"/>
                <w:numId w:val="22"/>
              </w:numPr>
              <w:spacing w:after="240"/>
              <w:rPr>
                <w:rFonts w:ascii="Calibri" w:eastAsia="Calibri" w:hAnsi="Calibri" w:cs="Calibri"/>
              </w:rPr>
            </w:pPr>
            <w:r w:rsidRPr="007462DA">
              <w:rPr>
                <w:color w:val="000000"/>
                <w:sz w:val="24"/>
                <w:szCs w:val="24"/>
              </w:rPr>
              <w:t>any “Essential Subcontractor” means any Key Subcontractor.</w:t>
            </w:r>
          </w:p>
        </w:tc>
      </w:tr>
    </w:tbl>
    <w:p w14:paraId="1DF19A65"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t>Exclusion of certain Core Terms and terms of Schedules</w:t>
      </w:r>
    </w:p>
    <w:p w14:paraId="58BCC432" w14:textId="77777777" w:rsidR="007462DA" w:rsidRPr="007462DA" w:rsidRDefault="007462DA" w:rsidP="002413D3">
      <w:pPr>
        <w:numPr>
          <w:ilvl w:val="1"/>
          <w:numId w:val="15"/>
        </w:numPr>
        <w:spacing w:before="40"/>
        <w:jc w:val="both"/>
        <w:outlineLvl w:val="1"/>
        <w:rPr>
          <w:rFonts w:ascii="Calibri Light" w:eastAsia="F" w:hAnsi="Calibri Light" w:cs="F"/>
          <w:color w:val="2E74B5"/>
          <w:sz w:val="26"/>
          <w:szCs w:val="26"/>
        </w:rPr>
      </w:pPr>
      <w:r w:rsidRPr="007462DA">
        <w:rPr>
          <w:color w:val="000000"/>
          <w:sz w:val="24"/>
          <w:szCs w:val="24"/>
        </w:rPr>
        <w:t xml:space="preserve">When the Parties have </w:t>
      </w:r>
      <w:proofErr w:type="gramStart"/>
      <w:r w:rsidRPr="007462DA">
        <w:rPr>
          <w:color w:val="000000"/>
          <w:sz w:val="24"/>
          <w:szCs w:val="24"/>
        </w:rPr>
        <w:t>entered into</w:t>
      </w:r>
      <w:proofErr w:type="gramEnd"/>
      <w:r w:rsidRPr="007462DA">
        <w:rPr>
          <w:color w:val="000000"/>
          <w:sz w:val="24"/>
          <w:szCs w:val="24"/>
        </w:rPr>
        <w:t xml:space="preserve"> a Call-Off Contract which incorporates the terms of this Call-Off Schedule 23, the following Core Terms are modified in respect of that Call-Off Contract (but are not modified in respect of the Framework Contract):</w:t>
      </w:r>
    </w:p>
    <w:p w14:paraId="5CBF9225" w14:textId="77777777" w:rsidR="007462DA" w:rsidRPr="007462DA" w:rsidRDefault="007462DA" w:rsidP="007462DA">
      <w:pPr>
        <w:rPr>
          <w:rFonts w:ascii="Calibri" w:eastAsia="Calibri" w:hAnsi="Calibri" w:cs="Calibri"/>
        </w:rPr>
      </w:pPr>
    </w:p>
    <w:p w14:paraId="3C56896E"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5EE321B1"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Clause 7.2 of the Core Terms does not apply to that Call-Off Contract.</w:t>
      </w:r>
    </w:p>
    <w:p w14:paraId="4A90703F" w14:textId="77777777" w:rsidR="007462DA" w:rsidRPr="007462DA" w:rsidRDefault="007462DA" w:rsidP="007462DA">
      <w:pPr>
        <w:spacing w:after="160" w:line="259" w:lineRule="auto"/>
        <w:rPr>
          <w:rFonts w:ascii="Calibri" w:eastAsia="Calibri" w:hAnsi="Calibri" w:cs="Calibri"/>
        </w:rPr>
      </w:pPr>
    </w:p>
    <w:p w14:paraId="222EFEC6" w14:textId="77777777" w:rsidR="007462DA" w:rsidRPr="007462DA" w:rsidRDefault="007462DA" w:rsidP="002413D3">
      <w:pPr>
        <w:numPr>
          <w:ilvl w:val="1"/>
          <w:numId w:val="15"/>
        </w:numPr>
        <w:spacing w:before="40"/>
        <w:jc w:val="both"/>
        <w:outlineLvl w:val="1"/>
        <w:rPr>
          <w:rFonts w:ascii="Calibri Light" w:eastAsia="F" w:hAnsi="Calibri Light" w:cs="F"/>
          <w:color w:val="2E74B5"/>
          <w:sz w:val="26"/>
          <w:szCs w:val="26"/>
        </w:rPr>
      </w:pPr>
      <w:r w:rsidRPr="007462DA">
        <w:rPr>
          <w:color w:val="000000"/>
          <w:sz w:val="24"/>
          <w:szCs w:val="24"/>
        </w:rPr>
        <w:t xml:space="preserve">When the Parties have </w:t>
      </w:r>
      <w:proofErr w:type="gramStart"/>
      <w:r w:rsidRPr="007462DA">
        <w:rPr>
          <w:color w:val="000000"/>
          <w:sz w:val="24"/>
          <w:szCs w:val="24"/>
        </w:rPr>
        <w:t>entered into</w:t>
      </w:r>
      <w:proofErr w:type="gramEnd"/>
      <w:r w:rsidRPr="007462DA">
        <w:rPr>
          <w:color w:val="000000"/>
          <w:sz w:val="24"/>
          <w:szCs w:val="24"/>
        </w:rPr>
        <w:t xml:space="preserve"> a Call-Off Contract which incorporates the terms of this Call-Off Schedule 23, the following Joint Schedules are modified in respect of that Call-Off Contract (but are not disapplied in respect of the Framework Contract):</w:t>
      </w:r>
    </w:p>
    <w:p w14:paraId="7FF0BC41" w14:textId="77777777" w:rsidR="007462DA" w:rsidRPr="007462DA" w:rsidRDefault="007462DA" w:rsidP="007462DA">
      <w:pPr>
        <w:spacing w:after="160" w:line="259" w:lineRule="auto"/>
        <w:rPr>
          <w:rFonts w:ascii="Calibri" w:eastAsia="Calibri" w:hAnsi="Calibri" w:cs="Calibri"/>
        </w:rPr>
      </w:pPr>
    </w:p>
    <w:p w14:paraId="51731102" w14:textId="77777777" w:rsidR="007462DA" w:rsidRPr="007462DA" w:rsidRDefault="007462DA" w:rsidP="002413D3">
      <w:pPr>
        <w:numPr>
          <w:ilvl w:val="2"/>
          <w:numId w:val="15"/>
        </w:numPr>
        <w:spacing w:before="40"/>
        <w:jc w:val="both"/>
        <w:outlineLvl w:val="1"/>
        <w:rPr>
          <w:rFonts w:ascii="Calibri Light" w:eastAsia="F" w:hAnsi="Calibri Light" w:cs="F"/>
          <w:color w:val="2E74B5"/>
          <w:sz w:val="26"/>
          <w:szCs w:val="26"/>
        </w:rPr>
      </w:pPr>
      <w:r w:rsidRPr="007462DA">
        <w:rPr>
          <w:color w:val="000000"/>
          <w:sz w:val="24"/>
          <w:szCs w:val="24"/>
        </w:rPr>
        <w:t>The definition of “Occasion of Tax Non-Compliance” contained in Joint Schedule 1 (Definitions) does not apply to that Call-Off Contract; and</w:t>
      </w:r>
    </w:p>
    <w:p w14:paraId="46605C42" w14:textId="77777777" w:rsidR="007462DA" w:rsidRPr="007462DA" w:rsidRDefault="007462DA" w:rsidP="007462DA">
      <w:pPr>
        <w:spacing w:after="160" w:line="259" w:lineRule="auto"/>
        <w:rPr>
          <w:rFonts w:ascii="Calibri" w:eastAsia="Calibri" w:hAnsi="Calibri" w:cs="Calibri"/>
        </w:rPr>
      </w:pPr>
    </w:p>
    <w:p w14:paraId="79C02458" w14:textId="77777777" w:rsidR="007462DA" w:rsidRPr="007462DA" w:rsidRDefault="007462DA" w:rsidP="002413D3">
      <w:pPr>
        <w:numPr>
          <w:ilvl w:val="2"/>
          <w:numId w:val="15"/>
        </w:numPr>
        <w:spacing w:before="40"/>
        <w:jc w:val="both"/>
        <w:outlineLvl w:val="1"/>
        <w:rPr>
          <w:rFonts w:ascii="Calibri Light" w:eastAsia="F" w:hAnsi="Calibri Light" w:cs="F"/>
          <w:color w:val="2E74B5"/>
          <w:sz w:val="26"/>
          <w:szCs w:val="26"/>
        </w:rPr>
      </w:pPr>
      <w:r w:rsidRPr="007462DA">
        <w:rPr>
          <w:color w:val="000000"/>
          <w:sz w:val="24"/>
          <w:szCs w:val="24"/>
        </w:rPr>
        <w:t>paragraph 5(d) of Joint Schedule 11 (Processing Data) does not apply to that Call-Off Contract.</w:t>
      </w:r>
    </w:p>
    <w:p w14:paraId="5B3F3209" w14:textId="77777777" w:rsidR="007462DA" w:rsidRPr="007462DA" w:rsidRDefault="007462DA" w:rsidP="007462DA">
      <w:pPr>
        <w:spacing w:after="160" w:line="259" w:lineRule="auto"/>
        <w:rPr>
          <w:rFonts w:ascii="Calibri" w:eastAsia="Calibri" w:hAnsi="Calibri" w:cs="Calibri"/>
        </w:rPr>
      </w:pPr>
    </w:p>
    <w:p w14:paraId="226F7D08"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t>Charges, Payment and Recovery of Sums Due</w:t>
      </w:r>
      <w:r w:rsidRPr="007462DA">
        <w:rPr>
          <w:color w:val="000000"/>
          <w:sz w:val="24"/>
          <w:szCs w:val="24"/>
        </w:rPr>
        <w:t> </w:t>
      </w:r>
    </w:p>
    <w:p w14:paraId="2A1C55C1" w14:textId="77777777" w:rsidR="007462DA" w:rsidRPr="007462DA" w:rsidRDefault="007462DA" w:rsidP="002413D3">
      <w:pPr>
        <w:numPr>
          <w:ilvl w:val="1"/>
          <w:numId w:val="15"/>
        </w:numPr>
        <w:spacing w:before="40"/>
        <w:jc w:val="both"/>
        <w:outlineLvl w:val="1"/>
        <w:rPr>
          <w:rFonts w:ascii="Calibri Light" w:eastAsia="F" w:hAnsi="Calibri Light" w:cs="F"/>
          <w:color w:val="2E74B5"/>
          <w:sz w:val="26"/>
          <w:szCs w:val="26"/>
        </w:rPr>
      </w:pPr>
      <w:r w:rsidRPr="007462DA">
        <w:rPr>
          <w:color w:val="000000"/>
          <w:sz w:val="24"/>
          <w:szCs w:val="24"/>
        </w:rPr>
        <w:t>The Supplier shall invoice the Buyer as specified in Clause 4 of the Core Terms as modified by any Framework Special Terms or any Call-Off Special Terms.</w:t>
      </w:r>
    </w:p>
    <w:p w14:paraId="1C128949" w14:textId="77777777" w:rsidR="007462DA" w:rsidRPr="007462DA" w:rsidRDefault="007462DA" w:rsidP="007462DA">
      <w:pPr>
        <w:spacing w:after="160" w:line="259" w:lineRule="auto"/>
        <w:rPr>
          <w:rFonts w:ascii="Calibri" w:eastAsia="Calibri" w:hAnsi="Calibri" w:cs="Calibri"/>
        </w:rPr>
      </w:pPr>
    </w:p>
    <w:p w14:paraId="0E296387"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w:t>
      </w:r>
      <w:proofErr w:type="gramStart"/>
      <w:r w:rsidRPr="007462DA">
        <w:rPr>
          <w:color w:val="000000"/>
          <w:sz w:val="24"/>
          <w:szCs w:val="24"/>
        </w:rPr>
        <w:t>Number:</w:t>
      </w:r>
      <w:proofErr w:type="gramEnd"/>
    </w:p>
    <w:p w14:paraId="64DBF9BF"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lastRenderedPageBreak/>
        <w:t>the Supplier does so at its own risk; and</w:t>
      </w:r>
    </w:p>
    <w:p w14:paraId="66090E11"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the Buyer shall not be obliged to pay any invoice without a valid Purchase Order Number having been provided to the Supplier.</w:t>
      </w:r>
    </w:p>
    <w:p w14:paraId="046DA1C8"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7CE435F1"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via the Buyer ’s electronic transaction system as an Electronic Invoice; or </w:t>
      </w:r>
    </w:p>
    <w:p w14:paraId="59F658E8" w14:textId="2F99EB12"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to the </w:t>
      </w:r>
      <w:r w:rsidR="00833809">
        <w:rPr>
          <w:color w:val="000000"/>
          <w:sz w:val="24"/>
          <w:szCs w:val="24"/>
        </w:rPr>
        <w:t>HMRC Contract Manager</w:t>
      </w:r>
      <w:r w:rsidRPr="007462DA">
        <w:rPr>
          <w:color w:val="000000"/>
          <w:sz w:val="24"/>
          <w:szCs w:val="24"/>
        </w:rPr>
        <w:t xml:space="preserve"> (or such other person notified to the Supplier in writing by the Buyer) by email in pdf format or, if agreed with the Buyer, in hard copy by post.</w:t>
      </w:r>
    </w:p>
    <w:p w14:paraId="5ABDADF2"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t>Warranties</w:t>
      </w:r>
    </w:p>
    <w:p w14:paraId="39C70BCF"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represents and warrants that:</w:t>
      </w:r>
    </w:p>
    <w:p w14:paraId="241CD772"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in the three years prior to the Effective Date, it has complied with all applicable Law related to Tax in the United Kingdom and in the jurisdiction in which it is </w:t>
      </w:r>
      <w:proofErr w:type="gramStart"/>
      <w:r w:rsidRPr="007462DA">
        <w:rPr>
          <w:color w:val="000000"/>
          <w:sz w:val="24"/>
          <w:szCs w:val="24"/>
        </w:rPr>
        <w:t>established;</w:t>
      </w:r>
      <w:proofErr w:type="gramEnd"/>
    </w:p>
    <w:p w14:paraId="018202B1"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it has notified the Buyer in writing of any Tax Compliance Failure it is involved in; and</w:t>
      </w:r>
    </w:p>
    <w:p w14:paraId="73ADDE58"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no proceedings or other steps have been taken (nor, to the best of the Supplier’s knowledge, are threatened) for:</w:t>
      </w:r>
    </w:p>
    <w:p w14:paraId="7037CFF3"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winding up of the </w:t>
      </w:r>
      <w:proofErr w:type="gramStart"/>
      <w:r w:rsidRPr="007462DA">
        <w:rPr>
          <w:color w:val="000000"/>
          <w:sz w:val="24"/>
          <w:szCs w:val="24"/>
        </w:rPr>
        <w:t>Supplier;</w:t>
      </w:r>
      <w:proofErr w:type="gramEnd"/>
    </w:p>
    <w:p w14:paraId="28319DEE"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the Supplier’s dissolution; or</w:t>
      </w:r>
    </w:p>
    <w:p w14:paraId="128488A8"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appointment of a receiver, administrative receiver, liquidator, manager, </w:t>
      </w:r>
      <w:proofErr w:type="gramStart"/>
      <w:r w:rsidRPr="007462DA">
        <w:rPr>
          <w:color w:val="000000"/>
          <w:sz w:val="24"/>
          <w:szCs w:val="24"/>
        </w:rPr>
        <w:t>administrator</w:t>
      </w:r>
      <w:proofErr w:type="gramEnd"/>
      <w:r w:rsidRPr="007462DA">
        <w:rPr>
          <w:color w:val="000000"/>
          <w:sz w:val="24"/>
          <w:szCs w:val="24"/>
        </w:rPr>
        <w:t xml:space="preserve"> or similar officer in relation to any of the Supplier’s assets or revenue,</w:t>
      </w:r>
    </w:p>
    <w:p w14:paraId="017B5CAB" w14:textId="77777777" w:rsidR="007462DA" w:rsidRPr="007462DA" w:rsidRDefault="007462DA" w:rsidP="007462DA">
      <w:pPr>
        <w:spacing w:after="240"/>
        <w:ind w:left="1440"/>
        <w:jc w:val="both"/>
        <w:outlineLvl w:val="1"/>
        <w:rPr>
          <w:rFonts w:ascii="Calibri Light" w:eastAsia="F" w:hAnsi="Calibri Light" w:cs="F"/>
          <w:color w:val="2E74B5"/>
          <w:sz w:val="26"/>
          <w:szCs w:val="26"/>
        </w:rPr>
      </w:pPr>
      <w:r w:rsidRPr="007462DA">
        <w:rPr>
          <w:color w:val="000000"/>
          <w:sz w:val="24"/>
          <w:szCs w:val="24"/>
        </w:rPr>
        <w:t>and the Supplier has notified the Buyer of any profit warnings it has issued in the three years prior to the Effective Date.</w:t>
      </w:r>
    </w:p>
    <w:p w14:paraId="749EB21B"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w:t>
      </w:r>
    </w:p>
    <w:p w14:paraId="0723B98A"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proofErr w:type="gramStart"/>
      <w:r w:rsidRPr="007462DA">
        <w:rPr>
          <w:color w:val="000000"/>
          <w:sz w:val="24"/>
          <w:szCs w:val="24"/>
        </w:rPr>
        <w:t>In the event that</w:t>
      </w:r>
      <w:proofErr w:type="gramEnd"/>
      <w:r w:rsidRPr="007462DA">
        <w:rPr>
          <w:color w:val="000000"/>
          <w:sz w:val="24"/>
          <w:szCs w:val="24"/>
        </w:rPr>
        <w:t xml:space="preserve">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0091883A"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lastRenderedPageBreak/>
        <w:t>Promoting Tax Compliance</w:t>
      </w:r>
    </w:p>
    <w:p w14:paraId="6A23C92C"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shall comply with all Law relating to Tax and with the equivalent legal provisions of the country in which the Supplier is established.</w:t>
      </w:r>
    </w:p>
    <w:p w14:paraId="79E98E59"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w:t>
      </w:r>
    </w:p>
    <w:p w14:paraId="1006F12F"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755F4D7F"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If, at any point during the Call-Off Contract Period, there is a Tax Compliance Failure, the Supplier shall:</w:t>
      </w:r>
    </w:p>
    <w:p w14:paraId="642CEE88"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notify the Buyer in writing within five (5) Working Days of its occurrence; and</w:t>
      </w:r>
    </w:p>
    <w:p w14:paraId="2AC7B8BD"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promptly provide to the Buyer:</w:t>
      </w:r>
    </w:p>
    <w:p w14:paraId="4B0702A0"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details of the steps which the Supplier is taking to resolve the Tax Compliance Failure and to prevent it from recurring, together with any mitigating factors that it considers relevant; and</w:t>
      </w:r>
    </w:p>
    <w:p w14:paraId="66FC9767"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such other information in relation to the Tax Compliance Failure as the Buyer may reasonably require.</w:t>
      </w:r>
    </w:p>
    <w:p w14:paraId="03493E1C"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shall indemnify the Buyer against any liability for Tax (including any interest, penalties or costs incurred) of the Buyer in respect of the Supplier's failure to account for or to pay any Tax relating to payments made to the Supplier under this Contract.</w:t>
      </w:r>
    </w:p>
    <w:p w14:paraId="2BE07D08"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5E2972F9"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Upon the Buyer’s request, the Supplier shall promptly provide information which demonstrates how the Supplier complies with its Tax obligations.</w:t>
      </w:r>
    </w:p>
    <w:p w14:paraId="772CADD8"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If the Supplier:</w:t>
      </w:r>
    </w:p>
    <w:p w14:paraId="08162D2F"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fails to comply with Paragraphs 5.1, 5.4.1 and/or 5.7 this may be a material breach of the </w:t>
      </w:r>
      <w:proofErr w:type="gramStart"/>
      <w:r w:rsidRPr="007462DA">
        <w:rPr>
          <w:color w:val="000000"/>
          <w:sz w:val="24"/>
          <w:szCs w:val="24"/>
        </w:rPr>
        <w:t>Contract;</w:t>
      </w:r>
      <w:proofErr w:type="gramEnd"/>
    </w:p>
    <w:p w14:paraId="55D02556"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sidRPr="007462DA">
        <w:rPr>
          <w:color w:val="000000"/>
          <w:sz w:val="24"/>
          <w:szCs w:val="24"/>
        </w:rPr>
        <w:t>is  involved</w:t>
      </w:r>
      <w:proofErr w:type="gramEnd"/>
      <w:r w:rsidRPr="007462DA">
        <w:rPr>
          <w:color w:val="000000"/>
          <w:sz w:val="24"/>
          <w:szCs w:val="24"/>
        </w:rPr>
        <w:t xml:space="preserve"> in a </w:t>
      </w:r>
      <w:r w:rsidRPr="007462DA">
        <w:rPr>
          <w:color w:val="000000"/>
          <w:sz w:val="24"/>
          <w:szCs w:val="24"/>
        </w:rPr>
        <w:lastRenderedPageBreak/>
        <w:t>Tax Compliance Failure this shall be a material breach of the Contract; and/or</w:t>
      </w:r>
    </w:p>
    <w:p w14:paraId="2D35361A"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fails to provide acceptable details of steps being taken and mitigating factors pursuant to Paragraph 5.4.2 this shall be a material breach of the </w:t>
      </w:r>
      <w:proofErr w:type="gramStart"/>
      <w:r w:rsidRPr="007462DA">
        <w:rPr>
          <w:color w:val="000000"/>
          <w:sz w:val="24"/>
          <w:szCs w:val="24"/>
        </w:rPr>
        <w:t>Contract;</w:t>
      </w:r>
      <w:proofErr w:type="gramEnd"/>
    </w:p>
    <w:p w14:paraId="6D693F76" w14:textId="77777777" w:rsidR="007462DA" w:rsidRPr="007462DA" w:rsidRDefault="007462DA" w:rsidP="007462DA">
      <w:pPr>
        <w:spacing w:after="240"/>
        <w:ind w:left="792"/>
        <w:jc w:val="both"/>
        <w:outlineLvl w:val="1"/>
        <w:rPr>
          <w:rFonts w:ascii="Calibri Light" w:eastAsia="F" w:hAnsi="Calibri Light" w:cs="F"/>
          <w:color w:val="2E74B5"/>
          <w:sz w:val="26"/>
          <w:szCs w:val="26"/>
        </w:rPr>
      </w:pPr>
      <w:r w:rsidRPr="007462DA">
        <w:rPr>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79B47EA9"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In addition to those circumstances listed in clause 15.2 to 15.4 of the Core Terms, the Buyer may internally share any information, including Confidential Information, which it receives under Paragraphs 5.2 to 5.4 (inclusive) and 5.7.</w:t>
      </w:r>
    </w:p>
    <w:p w14:paraId="1C6C0FB5"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t>Use of Off-shore Tax Structures</w:t>
      </w:r>
    </w:p>
    <w:p w14:paraId="78A36566"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shall not, and shall ensure that its Connected Companies, Key Subcontractors (and their respective Connected Companies) shall not, have or put in place any Prohibited Transactions, unless the Buyer otherwise agrees to that Prohibited Transaction.</w:t>
      </w:r>
    </w:p>
    <w:p w14:paraId="2F75E14F"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Supplier shall notify the Buyer in writing (with reasonable supporting detail) of any proposal for the Supplier, its Connected Companies, or a Key Subcontractor (or any of its Connected Companies), to </w:t>
      </w:r>
      <w:proofErr w:type="gramStart"/>
      <w:r w:rsidRPr="007462DA">
        <w:rPr>
          <w:color w:val="000000"/>
          <w:sz w:val="24"/>
          <w:szCs w:val="24"/>
        </w:rPr>
        <w:t>enter into</w:t>
      </w:r>
      <w:proofErr w:type="gramEnd"/>
      <w:r w:rsidRPr="007462DA">
        <w:rPr>
          <w:color w:val="000000"/>
          <w:sz w:val="24"/>
          <w:szCs w:val="24"/>
        </w:rPr>
        <w:t xml:space="preserve"> any Prohibited Transaction. The Supplier shall include reasonable supporting detail and make the notification within a reasonable time before the Prohibited Transaction is due to be put in place.</w:t>
      </w:r>
    </w:p>
    <w:p w14:paraId="585152DD"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2E4C6D8"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5DAD2F26"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t xml:space="preserve">Data Protection and </w:t>
      </w:r>
      <w:proofErr w:type="gramStart"/>
      <w:r w:rsidRPr="007462DA">
        <w:rPr>
          <w:b/>
          <w:color w:val="000000"/>
          <w:sz w:val="24"/>
          <w:szCs w:val="24"/>
        </w:rPr>
        <w:t>off-shoring</w:t>
      </w:r>
      <w:proofErr w:type="gramEnd"/>
    </w:p>
    <w:p w14:paraId="57F6A71C"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Processor shall, in relation to any Personal Data Processed in connection with its obligations under the Contract:</w:t>
      </w:r>
    </w:p>
    <w:p w14:paraId="2C75C300" w14:textId="77777777" w:rsidR="007462DA" w:rsidRPr="007462DA" w:rsidRDefault="007462DA" w:rsidP="002413D3">
      <w:pPr>
        <w:numPr>
          <w:ilvl w:val="2"/>
          <w:numId w:val="15"/>
        </w:numPr>
        <w:spacing w:after="240"/>
        <w:jc w:val="both"/>
        <w:outlineLvl w:val="1"/>
        <w:rPr>
          <w:rFonts w:ascii="Calibri Light" w:eastAsia="F" w:hAnsi="Calibri Light" w:cs="F"/>
          <w:color w:val="2E74B5"/>
          <w:sz w:val="26"/>
          <w:szCs w:val="26"/>
        </w:rPr>
      </w:pPr>
      <w:r w:rsidRPr="007462DA">
        <w:rPr>
          <w:color w:val="000000"/>
          <w:sz w:val="24"/>
          <w:szCs w:val="24"/>
        </w:rPr>
        <w:t>not transfer Personal Data outside of the United Kingdom unless the prior written consent of the Controller has been obtained and the following conditions are fulfilled:</w:t>
      </w:r>
    </w:p>
    <w:p w14:paraId="3CC6AB12"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lastRenderedPageBreak/>
        <w:t xml:space="preserve">the Controller or the Processor has provided appropriate safeguards in relation to the transfer (whether in accordance with GDPR Article 46 or LED Article 37) as determined by the </w:t>
      </w:r>
      <w:proofErr w:type="gramStart"/>
      <w:r w:rsidRPr="007462DA">
        <w:rPr>
          <w:color w:val="000000"/>
          <w:sz w:val="24"/>
          <w:szCs w:val="24"/>
        </w:rPr>
        <w:t>Controller;</w:t>
      </w:r>
      <w:proofErr w:type="gramEnd"/>
    </w:p>
    <w:p w14:paraId="2C9DA3BD"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Data Subject has enforceable rights and effective legal </w:t>
      </w:r>
      <w:proofErr w:type="gramStart"/>
      <w:r w:rsidRPr="007462DA">
        <w:rPr>
          <w:color w:val="000000"/>
          <w:sz w:val="24"/>
          <w:szCs w:val="24"/>
        </w:rPr>
        <w:t>remedies;</w:t>
      </w:r>
      <w:proofErr w:type="gramEnd"/>
    </w:p>
    <w:p w14:paraId="369F471A"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7778830" w14:textId="77777777" w:rsidR="007462DA" w:rsidRPr="007462DA" w:rsidRDefault="007462DA" w:rsidP="002413D3">
      <w:pPr>
        <w:numPr>
          <w:ilvl w:val="3"/>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Processor complies with any reasonable instructions notified to it in advance by the Controller with respect to the Processing of the Personal </w:t>
      </w:r>
      <w:proofErr w:type="gramStart"/>
      <w:r w:rsidRPr="007462DA">
        <w:rPr>
          <w:color w:val="000000"/>
          <w:sz w:val="24"/>
          <w:szCs w:val="24"/>
        </w:rPr>
        <w:t>Data;</w:t>
      </w:r>
      <w:proofErr w:type="gramEnd"/>
    </w:p>
    <w:p w14:paraId="5FB067D0"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Failure by the Processor to comply with the obligations set out in Paragraph 7.1 shall be deemed to be an event to which clause 10.4.1 of the Core Terms applies and Clauses 10.6.1 and 10.6.2 of the Core Terms shall apply as if the Contract had been terminated under Clause 10.4.1.</w:t>
      </w:r>
    </w:p>
    <w:p w14:paraId="0D8B7041" w14:textId="77777777" w:rsidR="007462DA" w:rsidRPr="007462DA" w:rsidRDefault="007462DA" w:rsidP="002413D3">
      <w:pPr>
        <w:numPr>
          <w:ilvl w:val="0"/>
          <w:numId w:val="15"/>
        </w:numPr>
        <w:spacing w:after="240"/>
        <w:jc w:val="both"/>
        <w:outlineLvl w:val="1"/>
        <w:rPr>
          <w:rFonts w:ascii="Calibri Light" w:eastAsia="F" w:hAnsi="Calibri Light" w:cs="F"/>
          <w:color w:val="2E74B5"/>
          <w:sz w:val="26"/>
          <w:szCs w:val="26"/>
        </w:rPr>
      </w:pPr>
      <w:r w:rsidRPr="007462DA">
        <w:rPr>
          <w:b/>
          <w:color w:val="000000"/>
          <w:sz w:val="24"/>
          <w:szCs w:val="24"/>
        </w:rPr>
        <w:t>Commissioners for Revenue and Customs Act 2005 and related Legislation</w:t>
      </w:r>
    </w:p>
    <w:p w14:paraId="395E3159"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Supplier shall comply </w:t>
      </w:r>
      <w:proofErr w:type="gramStart"/>
      <w:r w:rsidRPr="007462DA">
        <w:rPr>
          <w:color w:val="000000"/>
          <w:sz w:val="24"/>
          <w:szCs w:val="24"/>
        </w:rPr>
        <w:t>with, and</w:t>
      </w:r>
      <w:proofErr w:type="gramEnd"/>
      <w:r w:rsidRPr="007462DA">
        <w:rPr>
          <w:color w:val="000000"/>
          <w:sz w:val="24"/>
          <w:szCs w:val="24"/>
        </w:rPr>
        <w:t xml:space="preserve"> shall ensure that all Supplier Staff who will have access to, or are provided with, Government Data comply with the obligations set out in Section 18 of the Commissioners for Revenue and Customs Act 2005 (“</w:t>
      </w:r>
      <w:r w:rsidRPr="007462DA">
        <w:rPr>
          <w:b/>
          <w:color w:val="000000"/>
          <w:sz w:val="24"/>
          <w:szCs w:val="24"/>
        </w:rPr>
        <w:t>CRCA</w:t>
      </w:r>
      <w:r w:rsidRPr="007462DA">
        <w:rPr>
          <w:color w:val="000000"/>
          <w:sz w:val="24"/>
          <w:szCs w:val="24"/>
        </w:rPr>
        <w:t>”) to maintain the confidentiality of Government Data.  Further, the Supplier acknowledges that (without prejudice to any other rights and remedies of the Buyer) a breach of those obligations may lead to a prosecution under Section 19 of CRCA.</w:t>
      </w:r>
    </w:p>
    <w:p w14:paraId="6D9804F6"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Supplier shall comply </w:t>
      </w:r>
      <w:proofErr w:type="gramStart"/>
      <w:r w:rsidRPr="007462DA">
        <w:rPr>
          <w:color w:val="000000"/>
          <w:sz w:val="24"/>
          <w:szCs w:val="24"/>
        </w:rPr>
        <w:t>with, and</w:t>
      </w:r>
      <w:proofErr w:type="gramEnd"/>
      <w:r w:rsidRPr="007462DA">
        <w:rPr>
          <w:color w:val="000000"/>
          <w:sz w:val="24"/>
          <w:szCs w:val="24"/>
        </w:rPr>
        <w:t xml:space="preserve"> shall ensure that all Supplier Staff who will have access to, or are provided with, Government Data comply with the obligations set out in the Official Secrets Acts 1911 to 1989 and the obligations set out in Section 182 of the Finance Act 1989.</w:t>
      </w:r>
      <w:r w:rsidRPr="007462DA">
        <w:rPr>
          <w:rFonts w:ascii="Calibri Light" w:eastAsia="F" w:hAnsi="Calibri Light" w:cs="F"/>
          <w:i/>
          <w:color w:val="000000"/>
          <w:sz w:val="26"/>
          <w:szCs w:val="26"/>
        </w:rPr>
        <w:t xml:space="preserve"> </w:t>
      </w:r>
      <w:r w:rsidRPr="007462DA">
        <w:rPr>
          <w:color w:val="000000"/>
          <w:sz w:val="24"/>
          <w:szCs w:val="24"/>
        </w:rPr>
        <w:t>Further, the Supplier acknowledges that (without prejudice to any other rights and remedies of the Buyer) a breach of those obligations may lead to prosecution under those Acts.</w:t>
      </w:r>
    </w:p>
    <w:p w14:paraId="7C034534"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Supplier shall comply </w:t>
      </w:r>
      <w:proofErr w:type="gramStart"/>
      <w:r w:rsidRPr="007462DA">
        <w:rPr>
          <w:color w:val="000000"/>
          <w:sz w:val="24"/>
          <w:szCs w:val="24"/>
        </w:rPr>
        <w:t>with, and</w:t>
      </w:r>
      <w:proofErr w:type="gramEnd"/>
      <w:r w:rsidRPr="007462DA">
        <w:rPr>
          <w:color w:val="000000"/>
          <w:sz w:val="24"/>
          <w:szCs w:val="24"/>
        </w:rPr>
        <w:t xml:space="preserve">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2482D534"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 xml:space="preserve">The Supplier shall regularly (not less than once every six (6) months) remind all Supplier Staff who will have access to, or are provided with, Government Data in writing of the obligations upon Supplier Staff set out in Paragraphs 8.1, </w:t>
      </w:r>
      <w:r w:rsidRPr="007462DA">
        <w:rPr>
          <w:color w:val="000000"/>
          <w:sz w:val="24"/>
          <w:szCs w:val="24"/>
        </w:rPr>
        <w:lastRenderedPageBreak/>
        <w:t>8.2 and 8.3.  The Supplier shall monitor the compliance by Supplier Staff with such obligations.</w:t>
      </w:r>
    </w:p>
    <w:p w14:paraId="4A39E25D"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r w:rsidRPr="007462DA">
        <w:rPr>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29ADE5A6" w14:textId="77777777" w:rsidR="007462DA" w:rsidRPr="007462DA" w:rsidRDefault="007462DA" w:rsidP="002413D3">
      <w:pPr>
        <w:numPr>
          <w:ilvl w:val="1"/>
          <w:numId w:val="15"/>
        </w:numPr>
        <w:spacing w:after="240"/>
        <w:jc w:val="both"/>
        <w:outlineLvl w:val="1"/>
        <w:rPr>
          <w:rFonts w:ascii="Calibri Light" w:eastAsia="F" w:hAnsi="Calibri Light" w:cs="F"/>
          <w:color w:val="2E74B5"/>
          <w:sz w:val="26"/>
          <w:szCs w:val="26"/>
        </w:rPr>
      </w:pPr>
      <w:proofErr w:type="gramStart"/>
      <w:r w:rsidRPr="007462DA">
        <w:rPr>
          <w:color w:val="000000"/>
          <w:sz w:val="24"/>
          <w:szCs w:val="24"/>
        </w:rPr>
        <w:t>In the event that</w:t>
      </w:r>
      <w:proofErr w:type="gramEnd"/>
      <w:r w:rsidRPr="007462DA">
        <w:rPr>
          <w:color w:val="000000"/>
          <w:sz w:val="24"/>
          <w:szCs w:val="24"/>
        </w:rPr>
        <w:t xml:space="preserve"> the Supplier or the Supplier Staff fail to comply with this Paragraph 8, the Buyer reserves the right to terminate the Contract as if that failure to comply were an event to which clause 10.4.1 of the Core Terms applies.</w:t>
      </w:r>
    </w:p>
    <w:p w14:paraId="0F4FDF4F" w14:textId="77777777" w:rsidR="007462DA" w:rsidRPr="007462DA" w:rsidRDefault="007462DA" w:rsidP="007462DA">
      <w:pPr>
        <w:pageBreakBefore/>
        <w:spacing w:after="240"/>
        <w:jc w:val="center"/>
        <w:rPr>
          <w:rFonts w:ascii="Calibri" w:eastAsia="Calibri" w:hAnsi="Calibri" w:cs="Calibri"/>
        </w:rPr>
      </w:pPr>
      <w:r w:rsidRPr="007462DA">
        <w:rPr>
          <w:b/>
          <w:sz w:val="24"/>
          <w:szCs w:val="24"/>
        </w:rPr>
        <w:lastRenderedPageBreak/>
        <w:t>Annex 1</w:t>
      </w:r>
    </w:p>
    <w:p w14:paraId="0636908D" w14:textId="77777777" w:rsidR="007462DA" w:rsidRPr="007462DA" w:rsidRDefault="007462DA" w:rsidP="007462DA">
      <w:pPr>
        <w:spacing w:after="240"/>
        <w:jc w:val="center"/>
        <w:rPr>
          <w:rFonts w:ascii="Calibri" w:eastAsia="Calibri" w:hAnsi="Calibri" w:cs="Calibri"/>
        </w:rPr>
      </w:pPr>
      <w:r w:rsidRPr="007462DA">
        <w:rPr>
          <w:b/>
          <w:sz w:val="24"/>
          <w:szCs w:val="24"/>
        </w:rPr>
        <w:t>Excerpt from HMRC’s “Test for Tax Non-Compliance”</w:t>
      </w:r>
    </w:p>
    <w:p w14:paraId="76542332" w14:textId="77777777" w:rsidR="007462DA" w:rsidRPr="007462DA" w:rsidRDefault="007462DA" w:rsidP="007462DA">
      <w:pPr>
        <w:spacing w:after="240"/>
        <w:jc w:val="both"/>
        <w:rPr>
          <w:rFonts w:ascii="Calibri" w:eastAsia="Calibri" w:hAnsi="Calibri" w:cs="Calibri"/>
        </w:rPr>
      </w:pPr>
      <w:r w:rsidRPr="007462DA">
        <w:rPr>
          <w:i/>
          <w:color w:val="000000"/>
          <w:sz w:val="24"/>
          <w:szCs w:val="24"/>
        </w:rPr>
        <w:t>Condition one (An in-scope entity or person)</w:t>
      </w:r>
    </w:p>
    <w:p w14:paraId="14D73B4A" w14:textId="77777777" w:rsidR="007462DA" w:rsidRPr="007462DA" w:rsidRDefault="007462DA" w:rsidP="007462DA">
      <w:pPr>
        <w:spacing w:after="240"/>
        <w:jc w:val="both"/>
        <w:rPr>
          <w:color w:val="000000"/>
          <w:sz w:val="24"/>
          <w:szCs w:val="24"/>
        </w:rPr>
      </w:pPr>
    </w:p>
    <w:p w14:paraId="200A3EC1" w14:textId="77777777" w:rsidR="007462DA" w:rsidRPr="007462DA" w:rsidRDefault="007462DA" w:rsidP="002413D3">
      <w:pPr>
        <w:numPr>
          <w:ilvl w:val="0"/>
          <w:numId w:val="26"/>
        </w:numPr>
        <w:spacing w:after="240"/>
        <w:jc w:val="both"/>
        <w:rPr>
          <w:rFonts w:ascii="Calibri" w:eastAsia="Calibri" w:hAnsi="Calibri" w:cs="Calibri"/>
        </w:rPr>
      </w:pPr>
      <w:r w:rsidRPr="007462DA">
        <w:rPr>
          <w:color w:val="000000"/>
          <w:sz w:val="24"/>
          <w:szCs w:val="24"/>
        </w:rPr>
        <w:t>There is a person or entity which is either: (“X”)</w:t>
      </w:r>
    </w:p>
    <w:p w14:paraId="441646C8" w14:textId="77777777" w:rsidR="007462DA" w:rsidRPr="007462DA" w:rsidRDefault="007462DA" w:rsidP="007462DA">
      <w:pPr>
        <w:spacing w:after="240"/>
        <w:ind w:left="284" w:firstLine="60"/>
        <w:jc w:val="both"/>
        <w:rPr>
          <w:color w:val="000000"/>
          <w:sz w:val="24"/>
          <w:szCs w:val="24"/>
        </w:rPr>
      </w:pPr>
    </w:p>
    <w:p w14:paraId="25A64A3D" w14:textId="77777777" w:rsidR="007462DA" w:rsidRPr="007462DA" w:rsidRDefault="007462DA" w:rsidP="002413D3">
      <w:pPr>
        <w:numPr>
          <w:ilvl w:val="0"/>
          <w:numId w:val="27"/>
        </w:numPr>
        <w:spacing w:after="240"/>
        <w:ind w:left="709" w:hanging="283"/>
        <w:jc w:val="both"/>
        <w:rPr>
          <w:rFonts w:ascii="Calibri" w:eastAsia="Calibri" w:hAnsi="Calibri" w:cs="Calibri"/>
        </w:rPr>
      </w:pPr>
      <w:r w:rsidRPr="007462DA">
        <w:rPr>
          <w:color w:val="000000"/>
          <w:sz w:val="24"/>
          <w:szCs w:val="24"/>
        </w:rPr>
        <w:t>The Economic Operator or Essential Subcontractor (EOS)</w:t>
      </w:r>
    </w:p>
    <w:p w14:paraId="777AC8FE" w14:textId="77777777" w:rsidR="007462DA" w:rsidRPr="007462DA" w:rsidRDefault="007462DA" w:rsidP="002413D3">
      <w:pPr>
        <w:numPr>
          <w:ilvl w:val="0"/>
          <w:numId w:val="20"/>
        </w:numPr>
        <w:spacing w:after="240"/>
        <w:ind w:left="709" w:hanging="283"/>
        <w:jc w:val="both"/>
        <w:rPr>
          <w:rFonts w:ascii="Calibri" w:eastAsia="Calibri" w:hAnsi="Calibri" w:cs="Calibri"/>
        </w:rPr>
      </w:pPr>
      <w:r w:rsidRPr="007462DA">
        <w:rPr>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sidRPr="007462DA">
        <w:rPr>
          <w:i/>
          <w:color w:val="000000"/>
          <w:sz w:val="24"/>
          <w:szCs w:val="24"/>
        </w:rPr>
        <w:t>IFRS 10 Consolidated Financial Accounts</w:t>
      </w:r>
      <w:r w:rsidRPr="007462DA">
        <w:rPr>
          <w:i/>
          <w:color w:val="000000"/>
          <w:sz w:val="24"/>
          <w:szCs w:val="24"/>
          <w:vertAlign w:val="superscript"/>
        </w:rPr>
        <w:footnoteReference w:id="1"/>
      </w:r>
      <w:r w:rsidRPr="007462DA">
        <w:rPr>
          <w:color w:val="000000"/>
          <w:sz w:val="24"/>
          <w:szCs w:val="24"/>
        </w:rPr>
        <w:t>;</w:t>
      </w:r>
    </w:p>
    <w:p w14:paraId="3C7DB960" w14:textId="77777777" w:rsidR="007462DA" w:rsidRPr="007462DA" w:rsidRDefault="007462DA" w:rsidP="002413D3">
      <w:pPr>
        <w:numPr>
          <w:ilvl w:val="0"/>
          <w:numId w:val="20"/>
        </w:numPr>
        <w:spacing w:after="240"/>
        <w:ind w:left="709" w:hanging="283"/>
        <w:jc w:val="both"/>
        <w:rPr>
          <w:rFonts w:ascii="Calibri" w:eastAsia="Calibri" w:hAnsi="Calibri" w:cs="Calibri"/>
        </w:rPr>
      </w:pPr>
      <w:r w:rsidRPr="007462DA">
        <w:rPr>
          <w:color w:val="000000"/>
          <w:sz w:val="24"/>
          <w:szCs w:val="24"/>
        </w:rPr>
        <w:t xml:space="preserve">Any director, </w:t>
      </w:r>
      <w:proofErr w:type="gramStart"/>
      <w:r w:rsidRPr="007462DA">
        <w:rPr>
          <w:color w:val="000000"/>
          <w:sz w:val="24"/>
          <w:szCs w:val="24"/>
        </w:rPr>
        <w:t>shareholder</w:t>
      </w:r>
      <w:proofErr w:type="gramEnd"/>
      <w:r w:rsidRPr="007462DA">
        <w:rPr>
          <w:color w:val="000000"/>
          <w:sz w:val="24"/>
          <w:szCs w:val="24"/>
        </w:rPr>
        <w:t xml:space="preserve"> or other person (P) which exercises control over EOS. ‘Control’ means P can secure, through holding of shares or powers under articles of association or other document that EOS’s affairs are conducted in accordance with P’s wishes.</w:t>
      </w:r>
    </w:p>
    <w:p w14:paraId="3E3D7084" w14:textId="77777777" w:rsidR="007462DA" w:rsidRPr="007462DA" w:rsidRDefault="007462DA" w:rsidP="007462DA">
      <w:pPr>
        <w:spacing w:after="240"/>
        <w:jc w:val="both"/>
        <w:rPr>
          <w:rFonts w:ascii="Calibri" w:eastAsia="Calibri" w:hAnsi="Calibri" w:cs="Calibri"/>
        </w:rPr>
      </w:pPr>
      <w:r w:rsidRPr="007462DA">
        <w:rPr>
          <w:color w:val="000000"/>
          <w:sz w:val="24"/>
          <w:szCs w:val="24"/>
        </w:rPr>
        <w:t> </w:t>
      </w:r>
    </w:p>
    <w:p w14:paraId="56124D38" w14:textId="77777777" w:rsidR="007462DA" w:rsidRPr="007462DA" w:rsidRDefault="007462DA" w:rsidP="007462DA">
      <w:pPr>
        <w:spacing w:after="240"/>
        <w:jc w:val="both"/>
        <w:rPr>
          <w:rFonts w:ascii="Calibri" w:eastAsia="Calibri" w:hAnsi="Calibri" w:cs="Calibri"/>
        </w:rPr>
      </w:pPr>
      <w:r w:rsidRPr="007462DA">
        <w:rPr>
          <w:i/>
          <w:color w:val="000000"/>
          <w:sz w:val="24"/>
          <w:szCs w:val="24"/>
        </w:rPr>
        <w:t xml:space="preserve">Condition two (Arrangements involving evasion, </w:t>
      </w:r>
      <w:proofErr w:type="gramStart"/>
      <w:r w:rsidRPr="007462DA">
        <w:rPr>
          <w:i/>
          <w:color w:val="000000"/>
          <w:sz w:val="24"/>
          <w:szCs w:val="24"/>
        </w:rPr>
        <w:t>abuse</w:t>
      </w:r>
      <w:proofErr w:type="gramEnd"/>
      <w:r w:rsidRPr="007462DA">
        <w:rPr>
          <w:i/>
          <w:color w:val="000000"/>
          <w:sz w:val="24"/>
          <w:szCs w:val="24"/>
        </w:rPr>
        <w:t xml:space="preserve"> or tax avoidance)</w:t>
      </w:r>
    </w:p>
    <w:p w14:paraId="1729524F" w14:textId="77777777" w:rsidR="007462DA" w:rsidRPr="007462DA" w:rsidRDefault="007462DA" w:rsidP="002413D3">
      <w:pPr>
        <w:numPr>
          <w:ilvl w:val="0"/>
          <w:numId w:val="21"/>
        </w:numPr>
        <w:spacing w:after="240"/>
        <w:jc w:val="both"/>
        <w:rPr>
          <w:rFonts w:ascii="Calibri" w:eastAsia="Calibri" w:hAnsi="Calibri" w:cs="Calibri"/>
        </w:rPr>
      </w:pPr>
      <w:r w:rsidRPr="007462DA">
        <w:rPr>
          <w:color w:val="000000"/>
          <w:sz w:val="24"/>
          <w:szCs w:val="24"/>
        </w:rPr>
        <w:t>X has been engaged in one or more of the following:</w:t>
      </w:r>
    </w:p>
    <w:p w14:paraId="274768EF" w14:textId="77777777" w:rsidR="007462DA" w:rsidRPr="007462DA" w:rsidRDefault="007462DA" w:rsidP="007462DA">
      <w:pPr>
        <w:spacing w:after="240"/>
        <w:jc w:val="both"/>
        <w:rPr>
          <w:color w:val="000000"/>
          <w:sz w:val="24"/>
          <w:szCs w:val="24"/>
        </w:rPr>
      </w:pPr>
    </w:p>
    <w:p w14:paraId="79915031" w14:textId="77777777" w:rsidR="007462DA" w:rsidRPr="007462DA" w:rsidRDefault="007462DA" w:rsidP="002413D3">
      <w:pPr>
        <w:numPr>
          <w:ilvl w:val="1"/>
          <w:numId w:val="18"/>
        </w:numPr>
        <w:spacing w:after="240"/>
        <w:ind w:left="709" w:hanging="283"/>
        <w:jc w:val="both"/>
        <w:rPr>
          <w:rFonts w:ascii="Calibri" w:eastAsia="Calibri" w:hAnsi="Calibri" w:cs="Calibri"/>
        </w:rPr>
      </w:pPr>
      <w:r w:rsidRPr="007462DA">
        <w:rPr>
          <w:color w:val="000000"/>
          <w:sz w:val="24"/>
          <w:szCs w:val="24"/>
        </w:rPr>
        <w:t>Fraudulent evasion</w:t>
      </w:r>
      <w:r w:rsidRPr="007462DA">
        <w:rPr>
          <w:color w:val="000000"/>
          <w:sz w:val="24"/>
          <w:szCs w:val="24"/>
          <w:vertAlign w:val="superscript"/>
        </w:rPr>
        <w:footnoteReference w:id="2"/>
      </w:r>
      <w:r w:rsidRPr="007462DA">
        <w:rPr>
          <w:color w:val="000000"/>
          <w:sz w:val="24"/>
          <w:szCs w:val="24"/>
        </w:rPr>
        <w:t>;</w:t>
      </w:r>
    </w:p>
    <w:p w14:paraId="56BE70EB" w14:textId="77777777" w:rsidR="007462DA" w:rsidRPr="007462DA" w:rsidRDefault="007462DA" w:rsidP="002413D3">
      <w:pPr>
        <w:numPr>
          <w:ilvl w:val="1"/>
          <w:numId w:val="18"/>
        </w:numPr>
        <w:spacing w:after="240"/>
        <w:ind w:left="709" w:hanging="283"/>
        <w:jc w:val="both"/>
        <w:rPr>
          <w:rFonts w:ascii="Calibri" w:eastAsia="Calibri" w:hAnsi="Calibri" w:cs="Calibri"/>
        </w:rPr>
      </w:pPr>
      <w:r w:rsidRPr="007462DA">
        <w:rPr>
          <w:color w:val="000000"/>
          <w:sz w:val="24"/>
          <w:szCs w:val="24"/>
        </w:rPr>
        <w:t>Conduct caught by the General Anti-Abuse Rule</w:t>
      </w:r>
      <w:r w:rsidRPr="007462DA">
        <w:rPr>
          <w:color w:val="000000"/>
          <w:sz w:val="24"/>
          <w:szCs w:val="24"/>
          <w:vertAlign w:val="superscript"/>
        </w:rPr>
        <w:footnoteReference w:id="3"/>
      </w:r>
      <w:r w:rsidRPr="007462DA">
        <w:rPr>
          <w:color w:val="000000"/>
          <w:sz w:val="24"/>
          <w:szCs w:val="24"/>
        </w:rPr>
        <w:t>;</w:t>
      </w:r>
    </w:p>
    <w:p w14:paraId="62FED0CB" w14:textId="77777777" w:rsidR="007462DA" w:rsidRPr="007462DA" w:rsidRDefault="007462DA" w:rsidP="002413D3">
      <w:pPr>
        <w:numPr>
          <w:ilvl w:val="1"/>
          <w:numId w:val="18"/>
        </w:numPr>
        <w:spacing w:after="240"/>
        <w:ind w:left="709" w:hanging="283"/>
        <w:jc w:val="both"/>
        <w:rPr>
          <w:rFonts w:ascii="Calibri" w:eastAsia="Calibri" w:hAnsi="Calibri" w:cs="Calibri"/>
        </w:rPr>
      </w:pPr>
      <w:r w:rsidRPr="007462DA">
        <w:rPr>
          <w:color w:val="000000"/>
          <w:sz w:val="24"/>
          <w:szCs w:val="24"/>
        </w:rPr>
        <w:t>Conduct caught by the Halifax Abuse principle</w:t>
      </w:r>
      <w:r w:rsidRPr="007462DA">
        <w:rPr>
          <w:color w:val="000000"/>
          <w:sz w:val="24"/>
          <w:szCs w:val="24"/>
          <w:vertAlign w:val="superscript"/>
        </w:rPr>
        <w:footnoteReference w:id="4"/>
      </w:r>
      <w:r w:rsidRPr="007462DA">
        <w:rPr>
          <w:color w:val="000000"/>
          <w:sz w:val="24"/>
          <w:szCs w:val="24"/>
        </w:rPr>
        <w:t>;</w:t>
      </w:r>
    </w:p>
    <w:p w14:paraId="649CEB63" w14:textId="77777777" w:rsidR="007462DA" w:rsidRPr="007462DA" w:rsidRDefault="007462DA" w:rsidP="002413D3">
      <w:pPr>
        <w:numPr>
          <w:ilvl w:val="1"/>
          <w:numId w:val="18"/>
        </w:numPr>
        <w:spacing w:after="240"/>
        <w:ind w:left="709" w:hanging="283"/>
        <w:jc w:val="both"/>
        <w:rPr>
          <w:rFonts w:ascii="Calibri" w:eastAsia="Calibri" w:hAnsi="Calibri" w:cs="Calibri"/>
        </w:rPr>
      </w:pPr>
      <w:proofErr w:type="gramStart"/>
      <w:r w:rsidRPr="007462DA">
        <w:rPr>
          <w:color w:val="000000"/>
          <w:sz w:val="24"/>
          <w:szCs w:val="24"/>
        </w:rPr>
        <w:t>Entered into</w:t>
      </w:r>
      <w:proofErr w:type="gramEnd"/>
      <w:r w:rsidRPr="007462DA">
        <w:rPr>
          <w:color w:val="000000"/>
          <w:sz w:val="24"/>
          <w:szCs w:val="24"/>
        </w:rPr>
        <w:t xml:space="preserve"> arrangements caught by a DOTAS or VADR scheme</w:t>
      </w:r>
      <w:r w:rsidRPr="007462DA">
        <w:rPr>
          <w:color w:val="000000"/>
          <w:sz w:val="24"/>
          <w:szCs w:val="24"/>
          <w:vertAlign w:val="superscript"/>
        </w:rPr>
        <w:footnoteReference w:id="5"/>
      </w:r>
      <w:r w:rsidRPr="007462DA">
        <w:rPr>
          <w:color w:val="000000"/>
          <w:sz w:val="24"/>
          <w:szCs w:val="24"/>
        </w:rPr>
        <w:t>;</w:t>
      </w:r>
    </w:p>
    <w:p w14:paraId="72FF2787" w14:textId="77777777" w:rsidR="007462DA" w:rsidRPr="007462DA" w:rsidRDefault="007462DA" w:rsidP="002413D3">
      <w:pPr>
        <w:numPr>
          <w:ilvl w:val="1"/>
          <w:numId w:val="18"/>
        </w:numPr>
        <w:spacing w:after="240"/>
        <w:ind w:left="709" w:hanging="283"/>
        <w:jc w:val="both"/>
        <w:rPr>
          <w:rFonts w:ascii="Calibri" w:eastAsia="Calibri" w:hAnsi="Calibri" w:cs="Calibri"/>
        </w:rPr>
      </w:pPr>
      <w:r w:rsidRPr="007462DA">
        <w:rPr>
          <w:color w:val="000000"/>
          <w:sz w:val="24"/>
          <w:szCs w:val="24"/>
        </w:rPr>
        <w:lastRenderedPageBreak/>
        <w:t>Conduct caught by a recognised ‘anti-avoidance rule’</w:t>
      </w:r>
      <w:r w:rsidRPr="007462DA">
        <w:rPr>
          <w:color w:val="000000"/>
          <w:sz w:val="24"/>
          <w:szCs w:val="24"/>
          <w:vertAlign w:val="superscript"/>
        </w:rPr>
        <w:footnoteReference w:id="6"/>
      </w:r>
      <w:r w:rsidRPr="007462DA">
        <w:rPr>
          <w:color w:val="000000"/>
          <w:sz w:val="24"/>
          <w:szCs w:val="24"/>
        </w:rPr>
        <w:t xml:space="preserve"> being a statutory provision which targets arrangements where either a main purpose, or an expected benefit, is to obtain a tax advantage or where the arrangement is not </w:t>
      </w:r>
      <w:proofErr w:type="gramStart"/>
      <w:r w:rsidRPr="007462DA">
        <w:rPr>
          <w:color w:val="000000"/>
          <w:sz w:val="24"/>
          <w:szCs w:val="24"/>
        </w:rPr>
        <w:t>effected</w:t>
      </w:r>
      <w:proofErr w:type="gramEnd"/>
      <w:r w:rsidRPr="007462DA">
        <w:rPr>
          <w:color w:val="000000"/>
          <w:sz w:val="24"/>
          <w:szCs w:val="24"/>
        </w:rPr>
        <w:t xml:space="preserve"> for commercial purposes. ‘Targeted Anti-Avoidance Rules’ (TAARs). It may be useful to confirm that the Diverted Profits Tax is a TAAR for these </w:t>
      </w:r>
      <w:proofErr w:type="gramStart"/>
      <w:r w:rsidRPr="007462DA">
        <w:rPr>
          <w:color w:val="000000"/>
          <w:sz w:val="24"/>
          <w:szCs w:val="24"/>
        </w:rPr>
        <w:t>purposes;</w:t>
      </w:r>
      <w:proofErr w:type="gramEnd"/>
    </w:p>
    <w:p w14:paraId="419C5BD5" w14:textId="77777777" w:rsidR="007462DA" w:rsidRPr="007462DA" w:rsidRDefault="007462DA" w:rsidP="002413D3">
      <w:pPr>
        <w:numPr>
          <w:ilvl w:val="1"/>
          <w:numId w:val="18"/>
        </w:numPr>
        <w:spacing w:after="240"/>
        <w:ind w:left="709" w:hanging="283"/>
        <w:jc w:val="both"/>
        <w:rPr>
          <w:rFonts w:ascii="Calibri" w:eastAsia="Calibri" w:hAnsi="Calibri" w:cs="Calibri"/>
        </w:rPr>
      </w:pPr>
      <w:r w:rsidRPr="007462DA">
        <w:rPr>
          <w:color w:val="000000"/>
          <w:sz w:val="24"/>
          <w:szCs w:val="24"/>
        </w:rPr>
        <w:t xml:space="preserve">Entered into an avoidance scheme identified by HMRC’s published </w:t>
      </w:r>
      <w:proofErr w:type="gramStart"/>
      <w:r w:rsidRPr="007462DA">
        <w:rPr>
          <w:color w:val="000000"/>
          <w:sz w:val="24"/>
          <w:szCs w:val="24"/>
        </w:rPr>
        <w:t>Spotlights</w:t>
      </w:r>
      <w:proofErr w:type="gramEnd"/>
      <w:r w:rsidRPr="007462DA">
        <w:rPr>
          <w:color w:val="000000"/>
          <w:sz w:val="24"/>
          <w:szCs w:val="24"/>
        </w:rPr>
        <w:t xml:space="preserve"> list</w:t>
      </w:r>
      <w:r w:rsidRPr="007462DA">
        <w:rPr>
          <w:color w:val="000000"/>
          <w:sz w:val="24"/>
          <w:szCs w:val="24"/>
          <w:vertAlign w:val="superscript"/>
        </w:rPr>
        <w:footnoteReference w:id="7"/>
      </w:r>
      <w:r w:rsidRPr="007462DA">
        <w:rPr>
          <w:color w:val="000000"/>
          <w:sz w:val="24"/>
          <w:szCs w:val="24"/>
        </w:rPr>
        <w:t>;</w:t>
      </w:r>
    </w:p>
    <w:p w14:paraId="267BC289" w14:textId="77777777" w:rsidR="007462DA" w:rsidRPr="007462DA" w:rsidRDefault="007462DA" w:rsidP="002413D3">
      <w:pPr>
        <w:numPr>
          <w:ilvl w:val="1"/>
          <w:numId w:val="18"/>
        </w:numPr>
        <w:spacing w:after="240"/>
        <w:ind w:left="709" w:hanging="283"/>
        <w:jc w:val="both"/>
        <w:rPr>
          <w:rFonts w:ascii="Calibri" w:eastAsia="Calibri" w:hAnsi="Calibri" w:cs="Calibri"/>
        </w:rPr>
      </w:pPr>
      <w:r w:rsidRPr="007462DA">
        <w:rPr>
          <w:color w:val="000000"/>
          <w:sz w:val="24"/>
          <w:szCs w:val="24"/>
        </w:rPr>
        <w:t xml:space="preserve">Engaged in conduct which falls under rules in other jurisdictions which are equivalent or </w:t>
      </w:r>
      <w:proofErr w:type="gramStart"/>
      <w:r w:rsidRPr="007462DA">
        <w:rPr>
          <w:color w:val="000000"/>
          <w:sz w:val="24"/>
          <w:szCs w:val="24"/>
        </w:rPr>
        <w:t>similar to</w:t>
      </w:r>
      <w:proofErr w:type="gramEnd"/>
      <w:r w:rsidRPr="007462DA">
        <w:rPr>
          <w:color w:val="000000"/>
          <w:sz w:val="24"/>
          <w:szCs w:val="24"/>
        </w:rPr>
        <w:t xml:space="preserve"> (a) to (f) above.</w:t>
      </w:r>
    </w:p>
    <w:p w14:paraId="74E2D889" w14:textId="77777777" w:rsidR="007462DA" w:rsidRPr="007462DA" w:rsidRDefault="007462DA" w:rsidP="007462DA">
      <w:pPr>
        <w:spacing w:after="240"/>
        <w:jc w:val="both"/>
        <w:rPr>
          <w:rFonts w:ascii="Calibri" w:eastAsia="Calibri" w:hAnsi="Calibri" w:cs="Calibri"/>
        </w:rPr>
      </w:pPr>
      <w:r w:rsidRPr="007462DA">
        <w:rPr>
          <w:i/>
          <w:color w:val="000000"/>
          <w:sz w:val="24"/>
          <w:szCs w:val="24"/>
        </w:rPr>
        <w:t>Condition three (Arrangements are admitted, or subject to litigation/prosecution or identified in a published list (Spotlights))</w:t>
      </w:r>
    </w:p>
    <w:p w14:paraId="3D99E6A6" w14:textId="77777777" w:rsidR="007462DA" w:rsidRPr="007462DA" w:rsidRDefault="007462DA" w:rsidP="002413D3">
      <w:pPr>
        <w:numPr>
          <w:ilvl w:val="0"/>
          <w:numId w:val="21"/>
        </w:numPr>
        <w:spacing w:after="240"/>
        <w:jc w:val="both"/>
        <w:rPr>
          <w:rFonts w:ascii="Calibri" w:eastAsia="Calibri" w:hAnsi="Calibri" w:cs="Calibri"/>
        </w:rPr>
      </w:pPr>
      <w:r w:rsidRPr="007462DA">
        <w:rPr>
          <w:color w:val="000000"/>
          <w:sz w:val="24"/>
          <w:szCs w:val="24"/>
        </w:rPr>
        <w:t xml:space="preserve">X’s activity in </w:t>
      </w:r>
      <w:r w:rsidRPr="007462DA">
        <w:rPr>
          <w:i/>
          <w:color w:val="000000"/>
          <w:sz w:val="24"/>
          <w:szCs w:val="24"/>
        </w:rPr>
        <w:t>Condition 2</w:t>
      </w:r>
      <w:r w:rsidRPr="007462DA">
        <w:rPr>
          <w:color w:val="000000"/>
          <w:sz w:val="24"/>
          <w:szCs w:val="24"/>
        </w:rPr>
        <w:t xml:space="preserve"> is, where applicable, subject to dispute and/or litigation as follows:</w:t>
      </w:r>
    </w:p>
    <w:p w14:paraId="543230EA" w14:textId="77777777" w:rsidR="007462DA" w:rsidRPr="007462DA" w:rsidRDefault="007462DA" w:rsidP="007462DA">
      <w:pPr>
        <w:spacing w:after="240"/>
        <w:ind w:firstLine="60"/>
        <w:rPr>
          <w:color w:val="000000"/>
          <w:sz w:val="24"/>
          <w:szCs w:val="24"/>
        </w:rPr>
      </w:pPr>
    </w:p>
    <w:p w14:paraId="248B6D35" w14:textId="77777777" w:rsidR="007462DA" w:rsidRPr="007462DA" w:rsidRDefault="007462DA" w:rsidP="002413D3">
      <w:pPr>
        <w:numPr>
          <w:ilvl w:val="1"/>
          <w:numId w:val="19"/>
        </w:numPr>
        <w:spacing w:after="240"/>
        <w:ind w:left="709" w:hanging="283"/>
        <w:jc w:val="both"/>
        <w:rPr>
          <w:rFonts w:ascii="Calibri" w:eastAsia="Calibri" w:hAnsi="Calibri" w:cs="Calibri"/>
        </w:rPr>
      </w:pPr>
      <w:r w:rsidRPr="007462DA">
        <w:rPr>
          <w:color w:val="000000"/>
          <w:sz w:val="24"/>
          <w:szCs w:val="24"/>
        </w:rPr>
        <w:t>In respect of (a), either X:</w:t>
      </w:r>
    </w:p>
    <w:p w14:paraId="13E948D2" w14:textId="77777777" w:rsidR="007462DA" w:rsidRPr="007462DA" w:rsidRDefault="007462DA" w:rsidP="002413D3">
      <w:pPr>
        <w:numPr>
          <w:ilvl w:val="2"/>
          <w:numId w:val="19"/>
        </w:numPr>
        <w:spacing w:after="240"/>
        <w:ind w:left="1418" w:hanging="425"/>
        <w:jc w:val="both"/>
        <w:rPr>
          <w:rFonts w:ascii="Calibri" w:eastAsia="Calibri" w:hAnsi="Calibri" w:cs="Calibri"/>
        </w:rPr>
      </w:pPr>
      <w:r w:rsidRPr="007462DA">
        <w:rPr>
          <w:color w:val="000000"/>
          <w:sz w:val="24"/>
          <w:szCs w:val="24"/>
        </w:rPr>
        <w:t>Has accepted the terms of an offer made under a Contractual Disclosure Facility (CDF) pursuant to the Code of Practice 9 (COP9) procedure</w:t>
      </w:r>
      <w:r w:rsidRPr="007462DA">
        <w:rPr>
          <w:color w:val="000000"/>
          <w:sz w:val="24"/>
          <w:szCs w:val="24"/>
          <w:vertAlign w:val="superscript"/>
        </w:rPr>
        <w:footnoteReference w:id="8"/>
      </w:r>
      <w:r w:rsidRPr="007462DA">
        <w:rPr>
          <w:color w:val="000000"/>
          <w:sz w:val="24"/>
          <w:szCs w:val="24"/>
        </w:rPr>
        <w:t>; or,</w:t>
      </w:r>
    </w:p>
    <w:p w14:paraId="779B6D76" w14:textId="77777777" w:rsidR="007462DA" w:rsidRPr="007462DA" w:rsidRDefault="007462DA" w:rsidP="002413D3">
      <w:pPr>
        <w:numPr>
          <w:ilvl w:val="2"/>
          <w:numId w:val="19"/>
        </w:numPr>
        <w:spacing w:after="240"/>
        <w:ind w:left="1418" w:hanging="425"/>
        <w:jc w:val="both"/>
        <w:rPr>
          <w:rFonts w:ascii="Calibri" w:eastAsia="Calibri" w:hAnsi="Calibri" w:cs="Calibri"/>
        </w:rPr>
      </w:pPr>
      <w:r w:rsidRPr="007462DA">
        <w:rPr>
          <w:color w:val="000000"/>
          <w:sz w:val="24"/>
          <w:szCs w:val="24"/>
        </w:rPr>
        <w:t>Has been charged with an offence of fraudulent evasion.</w:t>
      </w:r>
    </w:p>
    <w:p w14:paraId="20C34B85" w14:textId="77777777" w:rsidR="007462DA" w:rsidRPr="007462DA" w:rsidRDefault="007462DA" w:rsidP="002413D3">
      <w:pPr>
        <w:numPr>
          <w:ilvl w:val="1"/>
          <w:numId w:val="19"/>
        </w:numPr>
        <w:spacing w:after="240"/>
        <w:ind w:left="709" w:hanging="283"/>
        <w:jc w:val="both"/>
        <w:rPr>
          <w:rFonts w:ascii="Calibri" w:eastAsia="Calibri" w:hAnsi="Calibri" w:cs="Calibri"/>
        </w:rPr>
      </w:pPr>
      <w:r w:rsidRPr="007462DA">
        <w:rPr>
          <w:color w:val="000000"/>
          <w:sz w:val="24"/>
          <w:szCs w:val="24"/>
        </w:rPr>
        <w:t>In respect of (b) to (e</w:t>
      </w:r>
      <w:proofErr w:type="gramStart"/>
      <w:r w:rsidRPr="007462DA">
        <w:rPr>
          <w:color w:val="000000"/>
          <w:sz w:val="24"/>
          <w:szCs w:val="24"/>
        </w:rPr>
        <w:t>), once</w:t>
      </w:r>
      <w:proofErr w:type="gramEnd"/>
      <w:r w:rsidRPr="007462DA">
        <w:rPr>
          <w:color w:val="000000"/>
          <w:sz w:val="24"/>
          <w:szCs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F34E655" w14:textId="77777777" w:rsidR="007462DA" w:rsidRPr="007462DA" w:rsidRDefault="007462DA" w:rsidP="002413D3">
      <w:pPr>
        <w:numPr>
          <w:ilvl w:val="1"/>
          <w:numId w:val="19"/>
        </w:numPr>
        <w:spacing w:after="240"/>
        <w:ind w:left="709" w:hanging="283"/>
        <w:jc w:val="both"/>
        <w:rPr>
          <w:rFonts w:ascii="Calibri" w:eastAsia="Calibri" w:hAnsi="Calibri" w:cs="Calibri"/>
        </w:rPr>
      </w:pPr>
      <w:r w:rsidRPr="007462DA">
        <w:rPr>
          <w:color w:val="000000"/>
          <w:sz w:val="24"/>
          <w:szCs w:val="24"/>
        </w:rPr>
        <w:t xml:space="preserve">In respect of (b) to (e), during an HMRC enquiry, if it has been agreed between HMRC and X that there is a pause with the enquiry </w:t>
      </w:r>
      <w:proofErr w:type="gramStart"/>
      <w:r w:rsidRPr="007462DA">
        <w:rPr>
          <w:color w:val="000000"/>
          <w:sz w:val="24"/>
          <w:szCs w:val="24"/>
        </w:rPr>
        <w:t>in order to</w:t>
      </w:r>
      <w:proofErr w:type="gramEnd"/>
      <w:r w:rsidRPr="007462DA">
        <w:rPr>
          <w:color w:val="000000"/>
          <w:sz w:val="24"/>
          <w:szCs w:val="24"/>
        </w:rPr>
        <w:t xml:space="preserve"> await the outcome of related litigation.</w:t>
      </w:r>
    </w:p>
    <w:p w14:paraId="2B7553D9" w14:textId="77777777" w:rsidR="007462DA" w:rsidRPr="007462DA" w:rsidRDefault="007462DA" w:rsidP="002413D3">
      <w:pPr>
        <w:numPr>
          <w:ilvl w:val="1"/>
          <w:numId w:val="19"/>
        </w:numPr>
        <w:spacing w:after="240"/>
        <w:ind w:left="709" w:hanging="283"/>
        <w:jc w:val="both"/>
        <w:rPr>
          <w:rFonts w:ascii="Calibri" w:eastAsia="Calibri" w:hAnsi="Calibri" w:cs="Calibri"/>
        </w:rPr>
      </w:pPr>
      <w:r w:rsidRPr="007462DA">
        <w:rPr>
          <w:color w:val="000000"/>
          <w:sz w:val="24"/>
          <w:szCs w:val="24"/>
        </w:rPr>
        <w:lastRenderedPageBreak/>
        <w:t>In respect of (f) this condition is satisfied without any further steps being taken.</w:t>
      </w:r>
    </w:p>
    <w:p w14:paraId="4F1E872B" w14:textId="77777777" w:rsidR="007462DA" w:rsidRPr="007462DA" w:rsidRDefault="007462DA" w:rsidP="002413D3">
      <w:pPr>
        <w:numPr>
          <w:ilvl w:val="1"/>
          <w:numId w:val="19"/>
        </w:numPr>
        <w:spacing w:after="240"/>
        <w:ind w:left="709" w:hanging="283"/>
        <w:jc w:val="both"/>
        <w:rPr>
          <w:rFonts w:ascii="Calibri" w:eastAsia="Calibri" w:hAnsi="Calibri" w:cs="Calibri"/>
        </w:rPr>
      </w:pPr>
      <w:r w:rsidRPr="007462DA">
        <w:rPr>
          <w:color w:val="000000"/>
          <w:sz w:val="24"/>
          <w:szCs w:val="24"/>
        </w:rPr>
        <w:t>In respect of (g) the foreign equivalent to each of the corresponding steps set out above in (</w:t>
      </w:r>
      <w:proofErr w:type="spellStart"/>
      <w:r w:rsidRPr="007462DA">
        <w:rPr>
          <w:color w:val="000000"/>
          <w:sz w:val="24"/>
          <w:szCs w:val="24"/>
        </w:rPr>
        <w:t>i</w:t>
      </w:r>
      <w:proofErr w:type="spellEnd"/>
      <w:r w:rsidRPr="007462DA">
        <w:rPr>
          <w:color w:val="000000"/>
          <w:sz w:val="24"/>
          <w:szCs w:val="24"/>
        </w:rPr>
        <w:t>) to (iii).</w:t>
      </w:r>
    </w:p>
    <w:p w14:paraId="61346691" w14:textId="77777777" w:rsidR="007462DA" w:rsidRPr="007462DA" w:rsidRDefault="007462DA" w:rsidP="007462DA">
      <w:pPr>
        <w:spacing w:after="240"/>
        <w:jc w:val="both"/>
        <w:rPr>
          <w:rFonts w:ascii="Calibri" w:eastAsia="Calibri" w:hAnsi="Calibri" w:cs="Calibri"/>
        </w:rPr>
      </w:pPr>
      <w:r w:rsidRPr="007462DA">
        <w:rPr>
          <w:color w:val="000000"/>
          <w:sz w:val="24"/>
          <w:szCs w:val="24"/>
        </w:rPr>
        <w:t> </w:t>
      </w:r>
    </w:p>
    <w:p w14:paraId="324FC2BC" w14:textId="77777777" w:rsidR="007462DA" w:rsidRPr="007462DA" w:rsidRDefault="007462DA" w:rsidP="007462DA">
      <w:pPr>
        <w:spacing w:after="240"/>
        <w:jc w:val="both"/>
        <w:outlineLvl w:val="2"/>
        <w:rPr>
          <w:rFonts w:ascii="Calibri Light" w:eastAsia="F" w:hAnsi="Calibri Light" w:cs="F"/>
          <w:color w:val="1F4D78"/>
          <w:sz w:val="24"/>
          <w:szCs w:val="24"/>
        </w:rPr>
      </w:pPr>
      <w:r w:rsidRPr="007462DA">
        <w:rPr>
          <w:color w:val="000000"/>
          <w:sz w:val="24"/>
          <w:szCs w:val="24"/>
        </w:rPr>
        <w:t xml:space="preserve">For the avoidance of doubt, any reference in this Annex 1 to any Law includes a reference to that Law as amended, extended, </w:t>
      </w:r>
      <w:proofErr w:type="gramStart"/>
      <w:r w:rsidRPr="007462DA">
        <w:rPr>
          <w:color w:val="000000"/>
          <w:sz w:val="24"/>
          <w:szCs w:val="24"/>
        </w:rPr>
        <w:t>consolidated</w:t>
      </w:r>
      <w:proofErr w:type="gramEnd"/>
      <w:r w:rsidRPr="007462DA">
        <w:rPr>
          <w:color w:val="000000"/>
          <w:sz w:val="24"/>
          <w:szCs w:val="24"/>
        </w:rPr>
        <w:t xml:space="preserve"> or re-enacted from time to time including any implementing or successor legislation.</w:t>
      </w:r>
    </w:p>
    <w:p w14:paraId="38EE7C04" w14:textId="77777777" w:rsidR="007462DA" w:rsidRPr="007462DA" w:rsidRDefault="007462DA" w:rsidP="007462DA">
      <w:pPr>
        <w:spacing w:after="240"/>
        <w:rPr>
          <w:sz w:val="24"/>
          <w:szCs w:val="24"/>
        </w:rPr>
      </w:pPr>
    </w:p>
    <w:p w14:paraId="30187780" w14:textId="77777777" w:rsidR="007462DA" w:rsidRPr="007462DA" w:rsidRDefault="007462DA" w:rsidP="007462DA">
      <w:pPr>
        <w:pageBreakBefore/>
        <w:spacing w:after="240"/>
        <w:jc w:val="center"/>
        <w:rPr>
          <w:rFonts w:ascii="Calibri" w:eastAsia="Calibri" w:hAnsi="Calibri" w:cs="Calibri"/>
        </w:rPr>
      </w:pPr>
      <w:r w:rsidRPr="007462DA">
        <w:rPr>
          <w:b/>
          <w:sz w:val="24"/>
          <w:szCs w:val="24"/>
        </w:rPr>
        <w:lastRenderedPageBreak/>
        <w:t>Annex 2 Form</w:t>
      </w:r>
    </w:p>
    <w:p w14:paraId="35AD3F5E" w14:textId="77777777" w:rsidR="007462DA" w:rsidRPr="007462DA" w:rsidRDefault="007462DA" w:rsidP="007462DA">
      <w:pPr>
        <w:spacing w:after="240"/>
        <w:jc w:val="center"/>
        <w:rPr>
          <w:rFonts w:ascii="Calibri" w:eastAsia="Calibri" w:hAnsi="Calibri" w:cs="Calibri"/>
        </w:rPr>
      </w:pPr>
      <w:r w:rsidRPr="007462DA">
        <w:rPr>
          <w:b/>
          <w:sz w:val="24"/>
          <w:szCs w:val="24"/>
        </w:rPr>
        <w:t>CONFIDENTIALITY DECLARATION</w:t>
      </w:r>
    </w:p>
    <w:p w14:paraId="5264D921" w14:textId="77777777" w:rsidR="007462DA" w:rsidRPr="007462DA" w:rsidRDefault="007462DA" w:rsidP="007462DA">
      <w:pPr>
        <w:spacing w:after="240"/>
        <w:jc w:val="both"/>
        <w:rPr>
          <w:rFonts w:ascii="Calibri" w:eastAsia="Calibri" w:hAnsi="Calibri" w:cs="Calibri"/>
        </w:rPr>
      </w:pPr>
      <w:r w:rsidRPr="007462DA">
        <w:rPr>
          <w:sz w:val="24"/>
          <w:szCs w:val="24"/>
        </w:rPr>
        <w:t>CONTRACT REFERENCE: [</w:t>
      </w:r>
      <w:r w:rsidRPr="00143F87">
        <w:rPr>
          <w:sz w:val="24"/>
          <w:szCs w:val="24"/>
        </w:rPr>
        <w:t>for Supplier to insert Contract reference number and contract date</w:t>
      </w:r>
      <w:r w:rsidRPr="007462DA">
        <w:rPr>
          <w:sz w:val="24"/>
          <w:szCs w:val="24"/>
        </w:rPr>
        <w:t>] ((‘the Agreement’)</w:t>
      </w:r>
    </w:p>
    <w:p w14:paraId="01EABAFB" w14:textId="77777777" w:rsidR="007462DA" w:rsidRPr="007462DA" w:rsidRDefault="007462DA" w:rsidP="007462DA">
      <w:pPr>
        <w:spacing w:after="240"/>
        <w:jc w:val="both"/>
        <w:rPr>
          <w:rFonts w:ascii="Calibri" w:eastAsia="Calibri" w:hAnsi="Calibri" w:cs="Calibri"/>
        </w:rPr>
      </w:pPr>
      <w:r w:rsidRPr="007462DA">
        <w:rPr>
          <w:sz w:val="24"/>
          <w:szCs w:val="24"/>
        </w:rPr>
        <w:t>DECLARATION:</w:t>
      </w:r>
    </w:p>
    <w:p w14:paraId="2513E98E" w14:textId="77777777" w:rsidR="007462DA" w:rsidRPr="007462DA" w:rsidRDefault="007462DA" w:rsidP="007462DA">
      <w:pPr>
        <w:spacing w:after="240"/>
        <w:jc w:val="both"/>
        <w:rPr>
          <w:rFonts w:ascii="Calibri" w:eastAsia="Calibri" w:hAnsi="Calibri" w:cs="Calibri"/>
        </w:rPr>
      </w:pPr>
      <w:r w:rsidRPr="007462DA">
        <w:rPr>
          <w:sz w:val="24"/>
          <w:szCs w:val="24"/>
        </w:rPr>
        <w:t>I solemnly declare that:</w:t>
      </w:r>
    </w:p>
    <w:p w14:paraId="07F3B32D" w14:textId="77777777" w:rsidR="007462DA" w:rsidRPr="007462DA" w:rsidRDefault="007462DA" w:rsidP="002413D3">
      <w:pPr>
        <w:numPr>
          <w:ilvl w:val="0"/>
          <w:numId w:val="28"/>
        </w:numPr>
        <w:ind w:left="426" w:hanging="426"/>
        <w:jc w:val="both"/>
        <w:rPr>
          <w:rFonts w:ascii="Calibri" w:eastAsia="Calibri" w:hAnsi="Calibri" w:cs="Calibri"/>
        </w:rPr>
      </w:pPr>
      <w:r w:rsidRPr="007462DA">
        <w:rPr>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2B2D6D83" w14:textId="77777777" w:rsidR="007462DA" w:rsidRPr="007462DA" w:rsidRDefault="007462DA" w:rsidP="002413D3">
      <w:pPr>
        <w:numPr>
          <w:ilvl w:val="0"/>
          <w:numId w:val="17"/>
        </w:numPr>
        <w:ind w:left="426" w:hanging="426"/>
        <w:jc w:val="both"/>
        <w:rPr>
          <w:rFonts w:ascii="Calibri" w:eastAsia="Calibri" w:hAnsi="Calibri" w:cs="Calibri"/>
        </w:rPr>
      </w:pPr>
      <w:r w:rsidRPr="007462DA">
        <w:rPr>
          <w:color w:val="000000"/>
          <w:sz w:val="24"/>
          <w:szCs w:val="24"/>
        </w:rPr>
        <w:t>I understand and acknowledge that under Section 19 of the Commissioners for Revenue and Customs Act 2005 it may be a criminal offence to disclose any Government Data provided to me.</w:t>
      </w:r>
    </w:p>
    <w:p w14:paraId="08CEFBDB" w14:textId="77777777" w:rsidR="007462DA" w:rsidRPr="007462DA" w:rsidRDefault="007462DA" w:rsidP="007462DA">
      <w:pPr>
        <w:spacing w:after="240"/>
        <w:ind w:left="426"/>
        <w:jc w:val="both"/>
        <w:rPr>
          <w:color w:val="000000"/>
          <w:sz w:val="24"/>
          <w:szCs w:val="24"/>
        </w:rPr>
      </w:pPr>
    </w:p>
    <w:tbl>
      <w:tblPr>
        <w:tblW w:w="5670" w:type="dxa"/>
        <w:tblInd w:w="421" w:type="dxa"/>
        <w:tblLayout w:type="fixed"/>
        <w:tblCellMar>
          <w:left w:w="10" w:type="dxa"/>
          <w:right w:w="10" w:type="dxa"/>
        </w:tblCellMar>
        <w:tblLook w:val="0000" w:firstRow="0" w:lastRow="0" w:firstColumn="0" w:lastColumn="0" w:noHBand="0" w:noVBand="0"/>
      </w:tblPr>
      <w:tblGrid>
        <w:gridCol w:w="5670"/>
      </w:tblGrid>
      <w:tr w:rsidR="007462DA" w:rsidRPr="007462DA" w14:paraId="3C5B211B" w14:textId="77777777" w:rsidTr="000609B6">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0BC0E" w14:textId="77777777" w:rsidR="007462DA" w:rsidRPr="007462DA" w:rsidRDefault="007462DA" w:rsidP="007462DA">
            <w:pPr>
              <w:spacing w:after="240"/>
              <w:rPr>
                <w:rFonts w:ascii="Calibri" w:eastAsia="Calibri" w:hAnsi="Calibri" w:cs="Calibri"/>
              </w:rPr>
            </w:pPr>
            <w:r w:rsidRPr="007462DA">
              <w:rPr>
                <w:sz w:val="24"/>
                <w:szCs w:val="24"/>
              </w:rPr>
              <w:t>SIGNED:</w:t>
            </w:r>
          </w:p>
        </w:tc>
      </w:tr>
      <w:tr w:rsidR="007462DA" w:rsidRPr="007462DA" w14:paraId="39484D79" w14:textId="77777777" w:rsidTr="000609B6">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11CF3F" w14:textId="77777777" w:rsidR="007462DA" w:rsidRPr="007462DA" w:rsidRDefault="007462DA" w:rsidP="007462DA">
            <w:pPr>
              <w:spacing w:after="240"/>
              <w:rPr>
                <w:rFonts w:ascii="Calibri" w:eastAsia="Calibri" w:hAnsi="Calibri" w:cs="Calibri"/>
              </w:rPr>
            </w:pPr>
            <w:r w:rsidRPr="007462DA">
              <w:rPr>
                <w:sz w:val="24"/>
                <w:szCs w:val="24"/>
              </w:rPr>
              <w:t>FULL NAME:</w:t>
            </w:r>
          </w:p>
        </w:tc>
      </w:tr>
      <w:tr w:rsidR="007462DA" w:rsidRPr="007462DA" w14:paraId="5B353453" w14:textId="77777777" w:rsidTr="000609B6">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D0ED88" w14:textId="77777777" w:rsidR="007462DA" w:rsidRPr="007462DA" w:rsidRDefault="007462DA" w:rsidP="007462DA">
            <w:pPr>
              <w:spacing w:after="240"/>
              <w:rPr>
                <w:rFonts w:ascii="Calibri" w:eastAsia="Calibri" w:hAnsi="Calibri" w:cs="Calibri"/>
              </w:rPr>
            </w:pPr>
            <w:r w:rsidRPr="007462DA">
              <w:rPr>
                <w:sz w:val="24"/>
                <w:szCs w:val="24"/>
              </w:rPr>
              <w:t>POSITION:</w:t>
            </w:r>
          </w:p>
        </w:tc>
      </w:tr>
      <w:tr w:rsidR="007462DA" w:rsidRPr="007462DA" w14:paraId="66BAFFEA" w14:textId="77777777" w:rsidTr="000609B6">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53DA7" w14:textId="77777777" w:rsidR="007462DA" w:rsidRPr="007462DA" w:rsidRDefault="007462DA" w:rsidP="007462DA">
            <w:pPr>
              <w:spacing w:after="240"/>
              <w:rPr>
                <w:rFonts w:ascii="Calibri" w:eastAsia="Calibri" w:hAnsi="Calibri" w:cs="Calibri"/>
              </w:rPr>
            </w:pPr>
            <w:r w:rsidRPr="007462DA">
              <w:rPr>
                <w:sz w:val="24"/>
                <w:szCs w:val="24"/>
              </w:rPr>
              <w:t>COMPANY:</w:t>
            </w:r>
          </w:p>
        </w:tc>
      </w:tr>
      <w:tr w:rsidR="007462DA" w:rsidRPr="007462DA" w14:paraId="137D0BF1" w14:textId="77777777" w:rsidTr="000609B6">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8A274" w14:textId="77777777" w:rsidR="007462DA" w:rsidRPr="007462DA" w:rsidRDefault="007462DA" w:rsidP="007462DA">
            <w:pPr>
              <w:spacing w:after="240"/>
              <w:rPr>
                <w:rFonts w:ascii="Calibri" w:eastAsia="Calibri" w:hAnsi="Calibri" w:cs="Calibri"/>
              </w:rPr>
            </w:pPr>
            <w:r w:rsidRPr="007462DA">
              <w:rPr>
                <w:sz w:val="24"/>
                <w:szCs w:val="24"/>
              </w:rPr>
              <w:t>DATE OF SIGNATURE:</w:t>
            </w:r>
          </w:p>
        </w:tc>
      </w:tr>
    </w:tbl>
    <w:p w14:paraId="3F3FE12F" w14:textId="77777777" w:rsidR="007462DA" w:rsidRPr="007462DA" w:rsidRDefault="007462DA" w:rsidP="007462DA">
      <w:pPr>
        <w:spacing w:after="240"/>
        <w:rPr>
          <w:sz w:val="24"/>
          <w:szCs w:val="24"/>
        </w:rPr>
      </w:pPr>
    </w:p>
    <w:p w14:paraId="10AEB09A" w14:textId="77777777" w:rsidR="007462DA" w:rsidRPr="007462DA" w:rsidRDefault="007462DA" w:rsidP="007462DA">
      <w:pPr>
        <w:spacing w:after="240"/>
        <w:rPr>
          <w:sz w:val="24"/>
          <w:szCs w:val="24"/>
        </w:rPr>
      </w:pPr>
    </w:p>
    <w:p w14:paraId="18B9C656" w14:textId="77777777" w:rsidR="007462DA" w:rsidRPr="007462DA" w:rsidRDefault="007462DA" w:rsidP="007462DA">
      <w:pPr>
        <w:spacing w:after="240"/>
        <w:rPr>
          <w:sz w:val="24"/>
          <w:szCs w:val="24"/>
        </w:rPr>
      </w:pPr>
    </w:p>
    <w:p w14:paraId="0C9C7922" w14:textId="69DFD5E1" w:rsidR="0003491B" w:rsidRDefault="0003491B">
      <w:pPr>
        <w:pStyle w:val="Standard"/>
      </w:pPr>
    </w:p>
    <w:p w14:paraId="4B1D1259" w14:textId="3555B29B" w:rsidR="0003491B" w:rsidRDefault="0003491B">
      <w:pPr>
        <w:pStyle w:val="Standard"/>
      </w:pPr>
    </w:p>
    <w:p w14:paraId="33B1A8B8" w14:textId="2CA458BD" w:rsidR="0003491B" w:rsidRDefault="0003491B">
      <w:pPr>
        <w:pStyle w:val="Standard"/>
      </w:pPr>
    </w:p>
    <w:p w14:paraId="37ED1C8F" w14:textId="1E6D61E2" w:rsidR="001F4E70" w:rsidRDefault="001F4E70">
      <w:pPr>
        <w:pStyle w:val="Standard"/>
      </w:pPr>
    </w:p>
    <w:p w14:paraId="6550DCF6" w14:textId="6A39BC9B" w:rsidR="001F4E70" w:rsidRDefault="001F4E70">
      <w:pPr>
        <w:pStyle w:val="Standard"/>
      </w:pPr>
    </w:p>
    <w:p w14:paraId="44056E16" w14:textId="1F5D0B6D" w:rsidR="001F4E70" w:rsidRDefault="001F4E70">
      <w:pPr>
        <w:pStyle w:val="Standard"/>
      </w:pPr>
    </w:p>
    <w:p w14:paraId="4F8C085F" w14:textId="4A2A120E" w:rsidR="001F4E70" w:rsidRDefault="001F4E70">
      <w:pPr>
        <w:pStyle w:val="Standard"/>
      </w:pPr>
    </w:p>
    <w:p w14:paraId="4B03925B" w14:textId="63127CC8" w:rsidR="001F4E70" w:rsidRDefault="001F4E70">
      <w:pPr>
        <w:pStyle w:val="Standard"/>
      </w:pPr>
    </w:p>
    <w:p w14:paraId="5749E8AF" w14:textId="49706E38" w:rsidR="001F4E70" w:rsidRDefault="001F4E70">
      <w:pPr>
        <w:pStyle w:val="Standard"/>
      </w:pPr>
    </w:p>
    <w:p w14:paraId="794142B7" w14:textId="57A967A8" w:rsidR="001F4E70" w:rsidRDefault="001F4E70">
      <w:pPr>
        <w:pStyle w:val="Standard"/>
      </w:pPr>
    </w:p>
    <w:p w14:paraId="18FA7791" w14:textId="5BC9BFDA" w:rsidR="001F4E70" w:rsidRDefault="001F4E70">
      <w:pPr>
        <w:pStyle w:val="Standard"/>
      </w:pPr>
    </w:p>
    <w:p w14:paraId="65D207A7" w14:textId="457C7C5E" w:rsidR="001F4E70" w:rsidRDefault="001F4E70">
      <w:pPr>
        <w:pStyle w:val="Standard"/>
      </w:pPr>
    </w:p>
    <w:p w14:paraId="53BBEECD" w14:textId="6BC50157" w:rsidR="001F4E70" w:rsidRDefault="001F4E70">
      <w:pPr>
        <w:pStyle w:val="Standard"/>
      </w:pPr>
    </w:p>
    <w:p w14:paraId="00FFD48D" w14:textId="33E02214" w:rsidR="001F4E70" w:rsidRDefault="001F4E70">
      <w:pPr>
        <w:pStyle w:val="Standard"/>
      </w:pPr>
    </w:p>
    <w:p w14:paraId="3888356E" w14:textId="7089A24F" w:rsidR="001F4E70" w:rsidRDefault="001F4E70">
      <w:pPr>
        <w:pStyle w:val="Standard"/>
      </w:pPr>
    </w:p>
    <w:sectPr w:rsidR="001F4E70" w:rsidSect="00894046">
      <w:pgSz w:w="11906" w:h="16838"/>
      <w:pgMar w:top="1440" w:right="1440" w:bottom="1440" w:left="1440"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AC5FD" w14:textId="77777777" w:rsidR="004F70D4" w:rsidRDefault="004F70D4">
      <w:r>
        <w:separator/>
      </w:r>
    </w:p>
  </w:endnote>
  <w:endnote w:type="continuationSeparator" w:id="0">
    <w:p w14:paraId="57880CD3" w14:textId="77777777" w:rsidR="004F70D4" w:rsidRDefault="004F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iberation Sans">
    <w:charset w:val="00"/>
    <w:family w:val="swiss"/>
    <w:pitch w:val="variable"/>
  </w:font>
  <w:font w:name="Linux Libertine G">
    <w:charset w:val="00"/>
    <w:family w:val="auto"/>
    <w:pitch w:val="variable"/>
  </w:font>
  <w:font w:name="Mangal">
    <w:panose1 w:val="02040503050203030202"/>
    <w:charset w:val="00"/>
    <w:family w:val="roman"/>
    <w:pitch w:val="variable"/>
    <w:sig w:usb0="00008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4F38" w14:textId="138D21C6" w:rsidR="00535E53" w:rsidRDefault="00535E53">
    <w:pPr>
      <w:pStyle w:val="Standard"/>
    </w:pPr>
    <w:r>
      <w:rPr>
        <w:noProof/>
        <w:sz w:val="16"/>
        <w:szCs w:val="16"/>
      </w:rPr>
      <mc:AlternateContent>
        <mc:Choice Requires="wps">
          <w:drawing>
            <wp:anchor distT="0" distB="0" distL="114300" distR="114300" simplePos="0" relativeHeight="251659264" behindDoc="0" locked="0" layoutInCell="0" allowOverlap="1" wp14:anchorId="28555271" wp14:editId="33DA0A32">
              <wp:simplePos x="0" y="0"/>
              <wp:positionH relativeFrom="page">
                <wp:align>center</wp:align>
              </wp:positionH>
              <wp:positionV relativeFrom="page">
                <wp:align>bottom</wp:align>
              </wp:positionV>
              <wp:extent cx="7772400" cy="463550"/>
              <wp:effectExtent l="0" t="0" r="0" b="12700"/>
              <wp:wrapNone/>
              <wp:docPr id="5" name="MSIPCM99784a9591964c8441b8e475" descr="{&quot;HashCode&quot;:-156110202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5DF13" w14:textId="42884D7B" w:rsidR="00535E53" w:rsidRPr="00F53BD9" w:rsidRDefault="00F53BD9" w:rsidP="00F53BD9">
                          <w:pPr>
                            <w:jc w:val="center"/>
                            <w:rPr>
                              <w:rFonts w:ascii="Calibri" w:hAnsi="Calibri" w:cs="Calibri"/>
                              <w:color w:val="000000"/>
                              <w:sz w:val="20"/>
                            </w:rPr>
                          </w:pPr>
                          <w:r w:rsidRPr="00F53BD9">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555271" id="_x0000_t202" coordsize="21600,21600" o:spt="202" path="m,l,21600r21600,l21600,xe">
              <v:stroke joinstyle="miter"/>
              <v:path gradientshapeok="t" o:connecttype="rect"/>
            </v:shapetype>
            <v:shape id="MSIPCM99784a9591964c8441b8e475" o:spid="_x0000_s1026" type="#_x0000_t202" alt="{&quot;HashCode&quot;:-156110202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A+WkExqgIAAFEFAAAOAAAAAAAAAAAAAAAA&#10;AC4CAABkcnMvZTJvRG9jLnhtbFBLAQItABQABgAIAAAAIQC+Hwq32gAAAAUBAAAPAAAAAAAAAAAA&#10;AAAAAAQFAABkcnMvZG93bnJldi54bWxQSwUGAAAAAAQABADzAAAACwYAAAAA&#10;" o:allowincell="f" filled="f" stroked="f" strokeweight=".5pt">
              <v:textbox inset=",0,,0">
                <w:txbxContent>
                  <w:p w14:paraId="3515DF13" w14:textId="42884D7B" w:rsidR="00535E53" w:rsidRPr="00F53BD9" w:rsidRDefault="00F53BD9" w:rsidP="00F53BD9">
                    <w:pPr>
                      <w:jc w:val="center"/>
                      <w:rPr>
                        <w:rFonts w:ascii="Calibri" w:hAnsi="Calibri" w:cs="Calibri"/>
                        <w:color w:val="000000"/>
                        <w:sz w:val="20"/>
                      </w:rPr>
                    </w:pPr>
                    <w:r w:rsidRPr="00F53BD9">
                      <w:rPr>
                        <w:rFonts w:ascii="Calibri" w:hAnsi="Calibri" w:cs="Calibri"/>
                        <w:color w:val="000000"/>
                        <w:sz w:val="20"/>
                      </w:rPr>
                      <w:t>OFFICIAL-SENSITIVE</w:t>
                    </w:r>
                  </w:p>
                </w:txbxContent>
              </v:textbox>
              <w10:wrap anchorx="page" anchory="page"/>
            </v:shape>
          </w:pict>
        </mc:Fallback>
      </mc:AlternateContent>
    </w:r>
    <w:r>
      <w:rPr>
        <w:sz w:val="16"/>
        <w:szCs w:val="16"/>
      </w:rPr>
      <w:t>Management Consultancy Framework Three (MCF3) - RM6187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E5D80" w14:textId="77777777" w:rsidR="004F70D4" w:rsidRDefault="004F70D4">
      <w:r>
        <w:rPr>
          <w:color w:val="000000"/>
        </w:rPr>
        <w:separator/>
      </w:r>
    </w:p>
  </w:footnote>
  <w:footnote w:type="continuationSeparator" w:id="0">
    <w:p w14:paraId="49534ADD" w14:textId="77777777" w:rsidR="004F70D4" w:rsidRDefault="004F70D4">
      <w:r>
        <w:continuationSeparator/>
      </w:r>
    </w:p>
  </w:footnote>
  <w:footnote w:id="1">
    <w:p w14:paraId="29FA822C" w14:textId="77777777" w:rsidR="00535E53" w:rsidRDefault="00535E53" w:rsidP="007462DA">
      <w:pPr>
        <w:pStyle w:val="Standard"/>
        <w:spacing w:line="240" w:lineRule="auto"/>
      </w:pPr>
      <w:r>
        <w:rPr>
          <w:rStyle w:val="FootnoteReference"/>
        </w:rPr>
        <w:footnoteRef/>
      </w:r>
      <w:hyperlink r:id="rId1" w:history="1">
        <w:r>
          <w:rPr>
            <w:color w:val="0000FF"/>
            <w:sz w:val="20"/>
            <w:szCs w:val="20"/>
            <w:u w:val="single"/>
          </w:rPr>
          <w:t>https://www.iasplus.com/en/standards/ifrs/ifrs10</w:t>
        </w:r>
      </w:hyperlink>
    </w:p>
  </w:footnote>
  <w:footnote w:id="2">
    <w:p w14:paraId="0A609CEB" w14:textId="77777777" w:rsidR="00535E53" w:rsidRDefault="00535E53" w:rsidP="007462DA">
      <w:pPr>
        <w:pStyle w:val="Standard"/>
        <w:spacing w:line="240" w:lineRule="auto"/>
      </w:pPr>
      <w:r>
        <w:rPr>
          <w:rStyle w:val="FootnoteReference"/>
        </w:rPr>
        <w:footnoteRef/>
      </w:r>
      <w:r>
        <w:rPr>
          <w:color w:val="000000"/>
          <w:sz w:val="20"/>
          <w:szCs w:val="2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7708910" w14:textId="77777777" w:rsidR="00535E53" w:rsidRDefault="00535E53" w:rsidP="007462DA">
      <w:pPr>
        <w:pStyle w:val="Standard"/>
        <w:spacing w:line="240" w:lineRule="auto"/>
        <w:jc w:val="both"/>
      </w:pPr>
      <w:r>
        <w:rPr>
          <w:rStyle w:val="FootnoteReference"/>
        </w:rPr>
        <w:footnoteRef/>
      </w:r>
      <w:r>
        <w:rPr>
          <w:color w:val="000000"/>
          <w:sz w:val="20"/>
          <w:szCs w:val="20"/>
        </w:rPr>
        <w:t>“General Anti-Abuse Rule” means (a) the legislation in Part 5 of the Finance Act 2013; and (b) any</w:t>
      </w:r>
    </w:p>
    <w:p w14:paraId="7346EC4C" w14:textId="77777777" w:rsidR="00535E53" w:rsidRDefault="00535E53" w:rsidP="007462DA">
      <w:pPr>
        <w:pStyle w:val="Standard"/>
        <w:spacing w:line="240" w:lineRule="auto"/>
        <w:jc w:val="both"/>
      </w:pPr>
      <w:r>
        <w:rPr>
          <w:color w:val="000000"/>
          <w:sz w:val="20"/>
          <w:szCs w:val="20"/>
        </w:rPr>
        <w:t>future legislation introduced into Parliament to counteract tax advantages arising from abusive</w:t>
      </w:r>
    </w:p>
    <w:p w14:paraId="02E41660" w14:textId="77777777" w:rsidR="00535E53" w:rsidRDefault="00535E53" w:rsidP="007462DA">
      <w:pPr>
        <w:pStyle w:val="Standard"/>
        <w:spacing w:line="240" w:lineRule="auto"/>
      </w:pPr>
      <w:r>
        <w:rPr>
          <w:color w:val="000000"/>
          <w:sz w:val="20"/>
          <w:szCs w:val="20"/>
        </w:rPr>
        <w:t>arrangements to avoid national insurance contributions</w:t>
      </w:r>
    </w:p>
  </w:footnote>
  <w:footnote w:id="4">
    <w:p w14:paraId="033B109C" w14:textId="77777777" w:rsidR="00535E53" w:rsidRDefault="00535E53" w:rsidP="007462DA">
      <w:pPr>
        <w:pStyle w:val="Standard"/>
        <w:spacing w:line="240" w:lineRule="auto"/>
      </w:pPr>
      <w:r>
        <w:rPr>
          <w:rStyle w:val="FootnoteReference"/>
        </w:rPr>
        <w:footnoteRef/>
      </w:r>
      <w:r>
        <w:rPr>
          <w:color w:val="000000"/>
          <w:sz w:val="20"/>
          <w:szCs w:val="20"/>
        </w:rPr>
        <w:t>“Halifax Abuse Principle” means the principle explained in the CJEU Case C-255/02 Halifax and others</w:t>
      </w:r>
    </w:p>
  </w:footnote>
  <w:footnote w:id="5">
    <w:p w14:paraId="0BF8D8D7" w14:textId="77777777" w:rsidR="00535E53" w:rsidRDefault="00535E53" w:rsidP="007462DA">
      <w:pPr>
        <w:pStyle w:val="Standard"/>
        <w:spacing w:line="240" w:lineRule="auto"/>
        <w:jc w:val="both"/>
      </w:pPr>
      <w:r>
        <w:rPr>
          <w:rStyle w:val="FootnoteReference"/>
        </w:rPr>
        <w:footnoteRef/>
      </w:r>
      <w:r>
        <w:rPr>
          <w:color w:val="000000"/>
          <w:sz w:val="20"/>
          <w:szCs w:val="20"/>
        </w:rPr>
        <w:t>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4A36200" w14:textId="77777777" w:rsidR="00535E53" w:rsidRDefault="00535E53" w:rsidP="007462DA">
      <w:pPr>
        <w:pStyle w:val="Standard"/>
        <w:spacing w:line="240" w:lineRule="auto"/>
        <w:jc w:val="both"/>
      </w:pPr>
      <w:r>
        <w:rPr>
          <w:rStyle w:val="FootnoteReference"/>
        </w:rPr>
        <w:footnoteRef/>
      </w:r>
      <w:r>
        <w:rPr>
          <w:color w:val="000000"/>
          <w:sz w:val="20"/>
          <w:szCs w:val="20"/>
        </w:rPr>
        <w:t xml:space="preserve">The full definition of ‘Anti-avoidance rule’ can be found at Paragraph 25(1) of Schedule 18 to the Finance Act 2016 and Condition 2 (a) above shall be construed accordingly.     </w:t>
      </w:r>
    </w:p>
  </w:footnote>
  <w:footnote w:id="7">
    <w:p w14:paraId="6AF39187" w14:textId="77777777" w:rsidR="00535E53" w:rsidRDefault="00535E53" w:rsidP="007462DA">
      <w:pPr>
        <w:pStyle w:val="Standard"/>
        <w:spacing w:line="240" w:lineRule="auto"/>
        <w:jc w:val="both"/>
      </w:pPr>
      <w:r>
        <w:rPr>
          <w:rStyle w:val="FootnoteReference"/>
        </w:rPr>
        <w:footnoteRef/>
      </w:r>
      <w:r>
        <w:rPr>
          <w:color w:val="000000"/>
          <w:sz w:val="20"/>
          <w:szCs w:val="20"/>
        </w:rPr>
        <w:t xml:space="preserve">Targeted list of tax avoidance schemes that HMRC believes are being used to avoid paying tax due and which are listed on the Spotlight website: </w:t>
      </w:r>
      <w:hyperlink r:id="rId2" w:history="1">
        <w:r>
          <w:rPr>
            <w:color w:val="0000FF"/>
            <w:sz w:val="20"/>
            <w:szCs w:val="20"/>
            <w:u w:val="single"/>
          </w:rPr>
          <w:t>https://www.gov.uk/government/collections/tax-avoidance-schemes-currently-in-the-spotlight</w:t>
        </w:r>
      </w:hyperlink>
      <w:r>
        <w:rPr>
          <w:color w:val="000000"/>
          <w:sz w:val="20"/>
          <w:szCs w:val="20"/>
        </w:rPr>
        <w:t xml:space="preserve">  </w:t>
      </w:r>
    </w:p>
  </w:footnote>
  <w:footnote w:id="8">
    <w:p w14:paraId="1D22D584" w14:textId="77777777" w:rsidR="00535E53" w:rsidRDefault="00535E53" w:rsidP="007462DA">
      <w:pPr>
        <w:pStyle w:val="Standard"/>
        <w:spacing w:line="240" w:lineRule="auto"/>
        <w:jc w:val="both"/>
      </w:pPr>
      <w:r>
        <w:rPr>
          <w:rStyle w:val="FootnoteReference"/>
        </w:rPr>
        <w:footnoteRef/>
      </w:r>
      <w:r>
        <w:rPr>
          <w:color w:val="000000"/>
          <w:sz w:val="20"/>
          <w:szCs w:val="20"/>
        </w:rPr>
        <w:t>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F62"/>
    <w:multiLevelType w:val="multilevel"/>
    <w:tmpl w:val="420AD8A8"/>
    <w:styleLink w:val="WWNum5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62488"/>
    <w:multiLevelType w:val="hybridMultilevel"/>
    <w:tmpl w:val="7AEE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47FDF"/>
    <w:multiLevelType w:val="multilevel"/>
    <w:tmpl w:val="DDA804BC"/>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61568"/>
    <w:multiLevelType w:val="hybridMultilevel"/>
    <w:tmpl w:val="E6421756"/>
    <w:lvl w:ilvl="0" w:tplc="978C62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62193"/>
    <w:multiLevelType w:val="multilevel"/>
    <w:tmpl w:val="84B0B322"/>
    <w:styleLink w:val="WWNum42"/>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9F80FA4"/>
    <w:multiLevelType w:val="multilevel"/>
    <w:tmpl w:val="4E428DFE"/>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B02260"/>
    <w:multiLevelType w:val="multilevel"/>
    <w:tmpl w:val="E59E9B30"/>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6A1FCB"/>
    <w:multiLevelType w:val="multilevel"/>
    <w:tmpl w:val="B38211DE"/>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7500E"/>
    <w:multiLevelType w:val="multilevel"/>
    <w:tmpl w:val="E870B664"/>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6C4098"/>
    <w:multiLevelType w:val="multilevel"/>
    <w:tmpl w:val="9E34B472"/>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00D1B"/>
    <w:multiLevelType w:val="multilevel"/>
    <w:tmpl w:val="FAF29F04"/>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494311"/>
    <w:multiLevelType w:val="multilevel"/>
    <w:tmpl w:val="3BEC4106"/>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2" w15:restartNumberingAfterBreak="0">
    <w:nsid w:val="140E196C"/>
    <w:multiLevelType w:val="multilevel"/>
    <w:tmpl w:val="D264EC7E"/>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FB112C"/>
    <w:multiLevelType w:val="multilevel"/>
    <w:tmpl w:val="02E45FF4"/>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A1A5E"/>
    <w:multiLevelType w:val="multilevel"/>
    <w:tmpl w:val="62860924"/>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633C7A"/>
    <w:multiLevelType w:val="multilevel"/>
    <w:tmpl w:val="9278AF28"/>
    <w:styleLink w:val="WWNum32"/>
    <w:lvl w:ilvl="0">
      <w:start w:val="1"/>
      <w:numFmt w:val="decimal"/>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A80D99"/>
    <w:multiLevelType w:val="multilevel"/>
    <w:tmpl w:val="96C45234"/>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E3361"/>
    <w:multiLevelType w:val="multilevel"/>
    <w:tmpl w:val="B860F1C4"/>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023CD1"/>
    <w:multiLevelType w:val="multilevel"/>
    <w:tmpl w:val="9C4A616A"/>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907ECB"/>
    <w:multiLevelType w:val="multilevel"/>
    <w:tmpl w:val="0C3A7434"/>
    <w:styleLink w:val="WWNum1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A4E5CD8"/>
    <w:multiLevelType w:val="hybridMultilevel"/>
    <w:tmpl w:val="023617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E5D1092"/>
    <w:multiLevelType w:val="multilevel"/>
    <w:tmpl w:val="BCC41EF8"/>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DE575E"/>
    <w:multiLevelType w:val="hybridMultilevel"/>
    <w:tmpl w:val="EB4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323539"/>
    <w:multiLevelType w:val="multilevel"/>
    <w:tmpl w:val="0C3CC984"/>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2A954D9"/>
    <w:multiLevelType w:val="multilevel"/>
    <w:tmpl w:val="EB500C80"/>
    <w:lvl w:ilvl="0">
      <w:start w:val="1"/>
      <w:numFmt w:val="decimal"/>
      <w:lvlText w:val="%1."/>
      <w:lvlJc w:val="left"/>
      <w:pPr>
        <w:ind w:left="375" w:hanging="375"/>
      </w:pPr>
      <w:rPr>
        <w:rFonts w:hint="default"/>
      </w:rPr>
    </w:lvl>
    <w:lvl w:ilvl="1">
      <w:start w:val="1"/>
      <w:numFmt w:val="decimal"/>
      <w:pStyle w:val="2"/>
      <w:lvlText w:val="%1.%2."/>
      <w:lvlJc w:val="left"/>
      <w:pPr>
        <w:ind w:left="454" w:hanging="45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ascii="Arial" w:hAnsi="Arial" w:cs="Arial" w:hint="default"/>
        <w:b w:val="0"/>
        <w:bCs w:val="0"/>
        <w:color w:val="auto"/>
        <w:sz w:val="24"/>
        <w:szCs w:val="24"/>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050F02"/>
    <w:multiLevelType w:val="multilevel"/>
    <w:tmpl w:val="DA20AAAE"/>
    <w:styleLink w:val="WWNum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432685"/>
    <w:multiLevelType w:val="hybridMultilevel"/>
    <w:tmpl w:val="11B0F290"/>
    <w:lvl w:ilvl="0" w:tplc="08090017">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7" w15:restartNumberingAfterBreak="0">
    <w:nsid w:val="2A787170"/>
    <w:multiLevelType w:val="multilevel"/>
    <w:tmpl w:val="535A3C4A"/>
    <w:styleLink w:val="WWNum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C04639E"/>
    <w:multiLevelType w:val="hybridMultilevel"/>
    <w:tmpl w:val="BB9E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2D65D6"/>
    <w:multiLevelType w:val="hybridMultilevel"/>
    <w:tmpl w:val="3ECED82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0" w15:restartNumberingAfterBreak="0">
    <w:nsid w:val="2DB06D53"/>
    <w:multiLevelType w:val="multilevel"/>
    <w:tmpl w:val="92E27506"/>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EAB1B7F"/>
    <w:multiLevelType w:val="hybridMultilevel"/>
    <w:tmpl w:val="7CD68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0532009"/>
    <w:multiLevelType w:val="multilevel"/>
    <w:tmpl w:val="63C4B280"/>
    <w:styleLink w:val="WWNum1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3" w15:restartNumberingAfterBreak="0">
    <w:nsid w:val="32EE1E20"/>
    <w:multiLevelType w:val="hybridMultilevel"/>
    <w:tmpl w:val="B24453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3438797A"/>
    <w:multiLevelType w:val="multilevel"/>
    <w:tmpl w:val="42701826"/>
    <w:styleLink w:val="WWNum2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5" w15:restartNumberingAfterBreak="0">
    <w:nsid w:val="35885874"/>
    <w:multiLevelType w:val="multilevel"/>
    <w:tmpl w:val="51CEC97C"/>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72F500E"/>
    <w:multiLevelType w:val="multilevel"/>
    <w:tmpl w:val="E39EDCEE"/>
    <w:styleLink w:val="WWNum41"/>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7335F62"/>
    <w:multiLevelType w:val="multilevel"/>
    <w:tmpl w:val="0FA21008"/>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9D31B11"/>
    <w:multiLevelType w:val="hybridMultilevel"/>
    <w:tmpl w:val="A874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FD2D0D"/>
    <w:multiLevelType w:val="hybridMultilevel"/>
    <w:tmpl w:val="EB9AFA3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BEA491D"/>
    <w:multiLevelType w:val="multilevel"/>
    <w:tmpl w:val="5D04E196"/>
    <w:styleLink w:val="WWNum3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C6C422F"/>
    <w:multiLevelType w:val="multilevel"/>
    <w:tmpl w:val="74AEAC72"/>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CD575CE"/>
    <w:multiLevelType w:val="multilevel"/>
    <w:tmpl w:val="767C1102"/>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B62470"/>
    <w:multiLevelType w:val="multilevel"/>
    <w:tmpl w:val="48C4032C"/>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E3362A0"/>
    <w:multiLevelType w:val="multilevel"/>
    <w:tmpl w:val="D4A2E6A8"/>
    <w:styleLink w:val="WWNum3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FCD5E4B"/>
    <w:multiLevelType w:val="multilevel"/>
    <w:tmpl w:val="66705964"/>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FDD4D19"/>
    <w:multiLevelType w:val="multilevel"/>
    <w:tmpl w:val="1F50C5F6"/>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1B57A06"/>
    <w:multiLevelType w:val="multilevel"/>
    <w:tmpl w:val="F874271A"/>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45A7236"/>
    <w:multiLevelType w:val="multilevel"/>
    <w:tmpl w:val="C3CCFEE2"/>
    <w:styleLink w:val="WWNum13"/>
    <w:lvl w:ilvl="0">
      <w:start w:val="1"/>
      <w:numFmt w:val="decimal"/>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9" w15:restartNumberingAfterBreak="0">
    <w:nsid w:val="4653186E"/>
    <w:multiLevelType w:val="multilevel"/>
    <w:tmpl w:val="DD9C53DC"/>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74F55BA"/>
    <w:multiLevelType w:val="multilevel"/>
    <w:tmpl w:val="0D5CF4DA"/>
    <w:styleLink w:val="WWNum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BA62AC"/>
    <w:multiLevelType w:val="multilevel"/>
    <w:tmpl w:val="56020D8A"/>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9D65EB0"/>
    <w:multiLevelType w:val="multilevel"/>
    <w:tmpl w:val="9D80BF48"/>
    <w:styleLink w:val="WWNum4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B634AA2"/>
    <w:multiLevelType w:val="hybridMultilevel"/>
    <w:tmpl w:val="7B80627C"/>
    <w:lvl w:ilvl="0" w:tplc="C5A28636">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8D0ED0"/>
    <w:multiLevelType w:val="multilevel"/>
    <w:tmpl w:val="CA0CC80C"/>
    <w:styleLink w:val="WWNum221"/>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1557E1F"/>
    <w:multiLevelType w:val="multilevel"/>
    <w:tmpl w:val="6A385C80"/>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19928E8"/>
    <w:multiLevelType w:val="multilevel"/>
    <w:tmpl w:val="FBDE345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29902FC"/>
    <w:multiLevelType w:val="multilevel"/>
    <w:tmpl w:val="73562D70"/>
    <w:styleLink w:val="WWNum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3860C0F"/>
    <w:multiLevelType w:val="multilevel"/>
    <w:tmpl w:val="858836FA"/>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6350789"/>
    <w:multiLevelType w:val="multilevel"/>
    <w:tmpl w:val="9C4480B2"/>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6472AC8"/>
    <w:multiLevelType w:val="multilevel"/>
    <w:tmpl w:val="DA268B90"/>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6774B44"/>
    <w:multiLevelType w:val="multilevel"/>
    <w:tmpl w:val="63A2A19A"/>
    <w:styleLink w:val="WWNum1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A761AEA"/>
    <w:multiLevelType w:val="multilevel"/>
    <w:tmpl w:val="5E3EEF4A"/>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CE44FFD"/>
    <w:multiLevelType w:val="multilevel"/>
    <w:tmpl w:val="BF42D1F0"/>
    <w:styleLink w:val="WWNum4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E70406E"/>
    <w:multiLevelType w:val="multilevel"/>
    <w:tmpl w:val="1B70D6B0"/>
    <w:styleLink w:val="WWNum5"/>
    <w:lvl w:ilvl="0">
      <w:start w:val="1"/>
      <w:numFmt w:val="decimal"/>
      <w:lvlText w:val="%1."/>
      <w:lvlJc w:val="left"/>
      <w:pPr>
        <w:ind w:left="720" w:hanging="360"/>
      </w:pPr>
    </w:lvl>
    <w:lvl w:ilvl="1">
      <w:start w:val="1"/>
      <w:numFmt w:val="lowerRoman"/>
      <w:lvlText w:val="%2."/>
      <w:lvlJc w:val="righ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5EB879F7"/>
    <w:multiLevelType w:val="multilevel"/>
    <w:tmpl w:val="A70E6900"/>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F38347A"/>
    <w:multiLevelType w:val="multilevel"/>
    <w:tmpl w:val="AFBC5FA0"/>
    <w:styleLink w:val="WWNum12"/>
    <w:lvl w:ilvl="0">
      <w:start w:val="1"/>
      <w:numFmt w:val="decimal"/>
      <w:lvlText w:val="%1."/>
      <w:lvlJc w:val="left"/>
      <w:pPr>
        <w:ind w:left="360" w:hanging="360"/>
      </w:pPr>
      <w:rPr>
        <w:rFonts w:ascii="Arial" w:hAnsi="Arial"/>
        <w:b/>
        <w:color w:val="000000"/>
        <w:sz w:val="24"/>
      </w:rPr>
    </w:lvl>
    <w:lvl w:ilvl="1">
      <w:start w:val="1"/>
      <w:numFmt w:val="decimal"/>
      <w:lvlText w:val="%1.%2."/>
      <w:lvlJc w:val="left"/>
      <w:pPr>
        <w:ind w:left="792" w:hanging="432"/>
      </w:pPr>
      <w:rPr>
        <w:rFonts w:ascii="Arial" w:eastAsia="Arial" w:hAnsi="Arial" w:cs="Arial"/>
        <w:b/>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rFonts w:ascii="Arial" w:hAnsi="Arial"/>
        <w:color w:val="000000"/>
        <w:sz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0CE14D5"/>
    <w:multiLevelType w:val="multilevel"/>
    <w:tmpl w:val="D5E06C0E"/>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1332F14"/>
    <w:multiLevelType w:val="multilevel"/>
    <w:tmpl w:val="7AD6EDEA"/>
    <w:styleLink w:val="WWNum4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2A51219"/>
    <w:multiLevelType w:val="multilevel"/>
    <w:tmpl w:val="FD3CAEC2"/>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2A650E4"/>
    <w:multiLevelType w:val="hybridMultilevel"/>
    <w:tmpl w:val="E9F2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270C59"/>
    <w:multiLevelType w:val="hybridMultilevel"/>
    <w:tmpl w:val="C41CF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0A6F48"/>
    <w:multiLevelType w:val="multilevel"/>
    <w:tmpl w:val="D478782E"/>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66F07E5"/>
    <w:multiLevelType w:val="multilevel"/>
    <w:tmpl w:val="3A7634FA"/>
    <w:styleLink w:val="WWNum20"/>
    <w:lvl w:ilvl="0">
      <w:start w:val="1"/>
      <w:numFmt w:val="decimal"/>
      <w:lvlText w:val="%1)"/>
      <w:lvlJc w:val="left"/>
      <w:pPr>
        <w:ind w:left="360" w:hanging="360"/>
      </w:pPr>
    </w:lvl>
    <w:lvl w:ilvl="1">
      <w:start w:val="1"/>
      <w:numFmt w:val="lowerRoman"/>
      <w:lvlText w:val="(%2)"/>
      <w:lvlJc w:val="left"/>
      <w:pPr>
        <w:ind w:left="107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7520284"/>
    <w:multiLevelType w:val="multilevel"/>
    <w:tmpl w:val="7682D57C"/>
    <w:styleLink w:val="WWNum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91C23F0"/>
    <w:multiLevelType w:val="hybridMultilevel"/>
    <w:tmpl w:val="F08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DF6279"/>
    <w:multiLevelType w:val="hybridMultilevel"/>
    <w:tmpl w:val="F678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0A5584"/>
    <w:multiLevelType w:val="hybridMultilevel"/>
    <w:tmpl w:val="EDFA476C"/>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8" w15:restartNumberingAfterBreak="0">
    <w:nsid w:val="6B474292"/>
    <w:multiLevelType w:val="hybridMultilevel"/>
    <w:tmpl w:val="3C38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5B6254"/>
    <w:multiLevelType w:val="multilevel"/>
    <w:tmpl w:val="0E308AC8"/>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BA3283A"/>
    <w:multiLevelType w:val="multilevel"/>
    <w:tmpl w:val="E75A2EE4"/>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C3F6E2D"/>
    <w:multiLevelType w:val="hybridMultilevel"/>
    <w:tmpl w:val="60A6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CDE5DB0"/>
    <w:multiLevelType w:val="hybridMultilevel"/>
    <w:tmpl w:val="E44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0B931B1"/>
    <w:multiLevelType w:val="multilevel"/>
    <w:tmpl w:val="0A94381C"/>
    <w:styleLink w:val="WWNum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4" w15:restartNumberingAfterBreak="0">
    <w:nsid w:val="73B54A88"/>
    <w:multiLevelType w:val="multilevel"/>
    <w:tmpl w:val="14648E8E"/>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0831EB"/>
    <w:multiLevelType w:val="multilevel"/>
    <w:tmpl w:val="76DA219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88F5CCC"/>
    <w:multiLevelType w:val="multilevel"/>
    <w:tmpl w:val="A4283352"/>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87" w15:restartNumberingAfterBreak="0">
    <w:nsid w:val="7908777C"/>
    <w:multiLevelType w:val="multilevel"/>
    <w:tmpl w:val="2758D0A2"/>
    <w:styleLink w:val="WWNum3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8" w15:restartNumberingAfterBreak="0">
    <w:nsid w:val="7B694251"/>
    <w:multiLevelType w:val="multilevel"/>
    <w:tmpl w:val="CE10F636"/>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D102F40"/>
    <w:multiLevelType w:val="multilevel"/>
    <w:tmpl w:val="D518B2D6"/>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E375197"/>
    <w:multiLevelType w:val="hybridMultilevel"/>
    <w:tmpl w:val="9B8E0D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6"/>
  </w:num>
  <w:num w:numId="3">
    <w:abstractNumId w:val="11"/>
  </w:num>
  <w:num w:numId="4">
    <w:abstractNumId w:val="86"/>
  </w:num>
  <w:num w:numId="5">
    <w:abstractNumId w:val="35"/>
    <w:lvlOverride w:ilvl="0">
      <w:startOverride w:val="1"/>
    </w:lvlOverride>
  </w:num>
  <w:num w:numId="6">
    <w:abstractNumId w:val="11"/>
  </w:num>
  <w:num w:numId="7">
    <w:abstractNumId w:val="31"/>
  </w:num>
  <w:num w:numId="8">
    <w:abstractNumId w:val="32"/>
  </w:num>
  <w:num w:numId="9">
    <w:abstractNumId w:val="34"/>
  </w:num>
  <w:num w:numId="10">
    <w:abstractNumId w:val="87"/>
  </w:num>
  <w:num w:numId="11">
    <w:abstractNumId w:val="36"/>
  </w:num>
  <w:num w:numId="12">
    <w:abstractNumId w:val="87"/>
    <w:lvlOverride w:ilvl="0">
      <w:startOverride w:val="1"/>
    </w:lvlOverride>
  </w:num>
  <w:num w:numId="13">
    <w:abstractNumId w:val="36"/>
    <w:lvlOverride w:ilvl="0">
      <w:startOverride w:val="1"/>
    </w:lvlOverride>
  </w:num>
  <w:num w:numId="14">
    <w:abstractNumId w:val="34"/>
    <w:lvlOverride w:ilvl="0">
      <w:startOverride w:val="1"/>
    </w:lvlOverride>
  </w:num>
  <w:num w:numId="15">
    <w:abstractNumId w:val="66"/>
  </w:num>
  <w:num w:numId="16">
    <w:abstractNumId w:val="80"/>
  </w:num>
  <w:num w:numId="17">
    <w:abstractNumId w:val="15"/>
  </w:num>
  <w:num w:numId="18">
    <w:abstractNumId w:val="4"/>
  </w:num>
  <w:num w:numId="19">
    <w:abstractNumId w:val="64"/>
  </w:num>
  <w:num w:numId="20">
    <w:abstractNumId w:val="74"/>
  </w:num>
  <w:num w:numId="21">
    <w:abstractNumId w:val="56"/>
  </w:num>
  <w:num w:numId="22">
    <w:abstractNumId w:val="83"/>
  </w:num>
  <w:num w:numId="23">
    <w:abstractNumId w:val="66"/>
    <w:lvlOverride w:ilvl="0">
      <w:startOverride w:val="1"/>
    </w:lvlOverride>
  </w:num>
  <w:num w:numId="24">
    <w:abstractNumId w:val="80"/>
    <w:lvlOverride w:ilvl="0">
      <w:startOverride w:val="1"/>
    </w:lvlOverride>
  </w:num>
  <w:num w:numId="25">
    <w:abstractNumId w:val="83"/>
    <w:lvlOverride w:ilvl="0">
      <w:startOverride w:val="1"/>
    </w:lvlOverride>
  </w:num>
  <w:num w:numId="26">
    <w:abstractNumId w:val="56"/>
    <w:lvlOverride w:ilvl="0">
      <w:startOverride w:val="1"/>
    </w:lvlOverride>
  </w:num>
  <w:num w:numId="27">
    <w:abstractNumId w:val="74"/>
    <w:lvlOverride w:ilvl="0">
      <w:startOverride w:val="1"/>
    </w:lvlOverride>
  </w:num>
  <w:num w:numId="28">
    <w:abstractNumId w:val="15"/>
    <w:lvlOverride w:ilvl="0">
      <w:startOverride w:val="1"/>
    </w:lvlOverride>
  </w:num>
  <w:num w:numId="29">
    <w:abstractNumId w:val="24"/>
  </w:num>
  <w:num w:numId="30">
    <w:abstractNumId w:val="76"/>
  </w:num>
  <w:num w:numId="31">
    <w:abstractNumId w:val="78"/>
  </w:num>
  <w:num w:numId="32">
    <w:abstractNumId w:val="22"/>
  </w:num>
  <w:num w:numId="33">
    <w:abstractNumId w:val="33"/>
  </w:num>
  <w:num w:numId="34">
    <w:abstractNumId w:val="70"/>
  </w:num>
  <w:num w:numId="35">
    <w:abstractNumId w:val="28"/>
  </w:num>
  <w:num w:numId="36">
    <w:abstractNumId w:val="1"/>
  </w:num>
  <w:num w:numId="37">
    <w:abstractNumId w:val="75"/>
  </w:num>
  <w:num w:numId="38">
    <w:abstractNumId w:val="82"/>
  </w:num>
  <w:num w:numId="39">
    <w:abstractNumId w:val="81"/>
  </w:num>
  <w:num w:numId="40">
    <w:abstractNumId w:val="71"/>
  </w:num>
  <w:num w:numId="41">
    <w:abstractNumId w:val="53"/>
  </w:num>
  <w:num w:numId="42">
    <w:abstractNumId w:val="26"/>
  </w:num>
  <w:num w:numId="43">
    <w:abstractNumId w:val="77"/>
  </w:num>
  <w:num w:numId="44">
    <w:abstractNumId w:val="38"/>
  </w:num>
  <w:num w:numId="45">
    <w:abstractNumId w:val="90"/>
  </w:num>
  <w:num w:numId="46">
    <w:abstractNumId w:val="39"/>
  </w:num>
  <w:num w:numId="47">
    <w:abstractNumId w:val="29"/>
  </w:num>
  <w:num w:numId="48">
    <w:abstractNumId w:val="48"/>
  </w:num>
  <w:num w:numId="49">
    <w:abstractNumId w:val="69"/>
  </w:num>
  <w:num w:numId="50">
    <w:abstractNumId w:val="62"/>
  </w:num>
  <w:num w:numId="51">
    <w:abstractNumId w:val="59"/>
  </w:num>
  <w:num w:numId="52">
    <w:abstractNumId w:val="51"/>
  </w:num>
  <w:num w:numId="53">
    <w:abstractNumId w:val="84"/>
  </w:num>
  <w:num w:numId="54">
    <w:abstractNumId w:val="27"/>
  </w:num>
  <w:num w:numId="55">
    <w:abstractNumId w:val="23"/>
  </w:num>
  <w:num w:numId="56">
    <w:abstractNumId w:val="30"/>
  </w:num>
  <w:num w:numId="57">
    <w:abstractNumId w:val="2"/>
  </w:num>
  <w:num w:numId="58">
    <w:abstractNumId w:val="85"/>
  </w:num>
  <w:num w:numId="59">
    <w:abstractNumId w:val="61"/>
  </w:num>
  <w:num w:numId="60">
    <w:abstractNumId w:val="19"/>
  </w:num>
  <w:num w:numId="61">
    <w:abstractNumId w:val="47"/>
  </w:num>
  <w:num w:numId="62">
    <w:abstractNumId w:val="45"/>
  </w:num>
  <w:num w:numId="63">
    <w:abstractNumId w:val="55"/>
  </w:num>
  <w:num w:numId="64">
    <w:abstractNumId w:val="88"/>
  </w:num>
  <w:num w:numId="65">
    <w:abstractNumId w:val="18"/>
  </w:num>
  <w:num w:numId="66">
    <w:abstractNumId w:val="42"/>
  </w:num>
  <w:num w:numId="67">
    <w:abstractNumId w:val="73"/>
  </w:num>
  <w:num w:numId="68">
    <w:abstractNumId w:val="58"/>
  </w:num>
  <w:num w:numId="69">
    <w:abstractNumId w:val="54"/>
  </w:num>
  <w:num w:numId="70">
    <w:abstractNumId w:val="16"/>
  </w:num>
  <w:num w:numId="71">
    <w:abstractNumId w:val="7"/>
  </w:num>
  <w:num w:numId="72">
    <w:abstractNumId w:val="65"/>
  </w:num>
  <w:num w:numId="73">
    <w:abstractNumId w:val="46"/>
  </w:num>
  <w:num w:numId="74">
    <w:abstractNumId w:val="9"/>
  </w:num>
  <w:num w:numId="75">
    <w:abstractNumId w:val="10"/>
  </w:num>
  <w:num w:numId="76">
    <w:abstractNumId w:val="89"/>
  </w:num>
  <w:num w:numId="77">
    <w:abstractNumId w:val="17"/>
  </w:num>
  <w:num w:numId="78">
    <w:abstractNumId w:val="57"/>
  </w:num>
  <w:num w:numId="79">
    <w:abstractNumId w:val="44"/>
  </w:num>
  <w:num w:numId="80">
    <w:abstractNumId w:val="40"/>
  </w:num>
  <w:num w:numId="81">
    <w:abstractNumId w:val="72"/>
  </w:num>
  <w:num w:numId="82">
    <w:abstractNumId w:val="8"/>
  </w:num>
  <w:num w:numId="83">
    <w:abstractNumId w:val="60"/>
  </w:num>
  <w:num w:numId="84">
    <w:abstractNumId w:val="50"/>
  </w:num>
  <w:num w:numId="85">
    <w:abstractNumId w:val="5"/>
  </w:num>
  <w:num w:numId="86">
    <w:abstractNumId w:val="67"/>
  </w:num>
  <w:num w:numId="87">
    <w:abstractNumId w:val="79"/>
  </w:num>
  <w:num w:numId="88">
    <w:abstractNumId w:val="52"/>
  </w:num>
  <w:num w:numId="89">
    <w:abstractNumId w:val="68"/>
  </w:num>
  <w:num w:numId="90">
    <w:abstractNumId w:val="63"/>
  </w:num>
  <w:num w:numId="91">
    <w:abstractNumId w:val="37"/>
  </w:num>
  <w:num w:numId="92">
    <w:abstractNumId w:val="25"/>
  </w:num>
  <w:num w:numId="93">
    <w:abstractNumId w:val="41"/>
  </w:num>
  <w:num w:numId="94">
    <w:abstractNumId w:val="14"/>
  </w:num>
  <w:num w:numId="95">
    <w:abstractNumId w:val="13"/>
  </w:num>
  <w:num w:numId="96">
    <w:abstractNumId w:val="49"/>
  </w:num>
  <w:num w:numId="97">
    <w:abstractNumId w:val="43"/>
  </w:num>
  <w:num w:numId="98">
    <w:abstractNumId w:val="0"/>
  </w:num>
  <w:num w:numId="99">
    <w:abstractNumId w:val="12"/>
  </w:num>
  <w:num w:numId="100">
    <w:abstractNumId w:val="21"/>
  </w:num>
  <w:num w:numId="101">
    <w:abstractNumId w:val="3"/>
  </w:num>
  <w:num w:numId="102">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EF"/>
    <w:rsid w:val="000206B7"/>
    <w:rsid w:val="00022F51"/>
    <w:rsid w:val="00023C3D"/>
    <w:rsid w:val="00026F57"/>
    <w:rsid w:val="000330B0"/>
    <w:rsid w:val="0003486B"/>
    <w:rsid w:val="0003491B"/>
    <w:rsid w:val="00054250"/>
    <w:rsid w:val="000609B6"/>
    <w:rsid w:val="00076F30"/>
    <w:rsid w:val="000815BC"/>
    <w:rsid w:val="00086E9C"/>
    <w:rsid w:val="00095F3F"/>
    <w:rsid w:val="000B023A"/>
    <w:rsid w:val="000B205A"/>
    <w:rsid w:val="000F71AD"/>
    <w:rsid w:val="001254A4"/>
    <w:rsid w:val="00143C7E"/>
    <w:rsid w:val="00143F87"/>
    <w:rsid w:val="001612BC"/>
    <w:rsid w:val="00161928"/>
    <w:rsid w:val="00162982"/>
    <w:rsid w:val="0016450F"/>
    <w:rsid w:val="001750B8"/>
    <w:rsid w:val="001804D0"/>
    <w:rsid w:val="001A72DF"/>
    <w:rsid w:val="001B0C92"/>
    <w:rsid w:val="001D486F"/>
    <w:rsid w:val="001D6533"/>
    <w:rsid w:val="001D68AA"/>
    <w:rsid w:val="001F4E70"/>
    <w:rsid w:val="00223274"/>
    <w:rsid w:val="0022700C"/>
    <w:rsid w:val="002337CF"/>
    <w:rsid w:val="002413D3"/>
    <w:rsid w:val="00241417"/>
    <w:rsid w:val="00242A85"/>
    <w:rsid w:val="0025528D"/>
    <w:rsid w:val="002647DE"/>
    <w:rsid w:val="00282B54"/>
    <w:rsid w:val="002A1F64"/>
    <w:rsid w:val="002C3FD9"/>
    <w:rsid w:val="002D2542"/>
    <w:rsid w:val="002D6CB2"/>
    <w:rsid w:val="002E1012"/>
    <w:rsid w:val="002F1B3E"/>
    <w:rsid w:val="00341F55"/>
    <w:rsid w:val="003516CF"/>
    <w:rsid w:val="003521B3"/>
    <w:rsid w:val="0035589E"/>
    <w:rsid w:val="00366D93"/>
    <w:rsid w:val="003718AB"/>
    <w:rsid w:val="0038171D"/>
    <w:rsid w:val="0039782F"/>
    <w:rsid w:val="003C32A2"/>
    <w:rsid w:val="003E1E50"/>
    <w:rsid w:val="003E5254"/>
    <w:rsid w:val="004042AC"/>
    <w:rsid w:val="00404C4B"/>
    <w:rsid w:val="004056EB"/>
    <w:rsid w:val="00414574"/>
    <w:rsid w:val="00435AAA"/>
    <w:rsid w:val="00446BA7"/>
    <w:rsid w:val="00451863"/>
    <w:rsid w:val="00456C66"/>
    <w:rsid w:val="00457A8F"/>
    <w:rsid w:val="00473332"/>
    <w:rsid w:val="004747EE"/>
    <w:rsid w:val="00483DF0"/>
    <w:rsid w:val="00491291"/>
    <w:rsid w:val="004A1FC7"/>
    <w:rsid w:val="004B5A08"/>
    <w:rsid w:val="004B5D21"/>
    <w:rsid w:val="004C2CC6"/>
    <w:rsid w:val="004C37D1"/>
    <w:rsid w:val="004F70D4"/>
    <w:rsid w:val="00517039"/>
    <w:rsid w:val="005301EC"/>
    <w:rsid w:val="00535E53"/>
    <w:rsid w:val="00540369"/>
    <w:rsid w:val="00542D22"/>
    <w:rsid w:val="005434E4"/>
    <w:rsid w:val="0054650C"/>
    <w:rsid w:val="00570BCB"/>
    <w:rsid w:val="00570BD1"/>
    <w:rsid w:val="005829B2"/>
    <w:rsid w:val="005A3E01"/>
    <w:rsid w:val="005C0BDA"/>
    <w:rsid w:val="005D29E6"/>
    <w:rsid w:val="005D7360"/>
    <w:rsid w:val="005F132D"/>
    <w:rsid w:val="005F3A5D"/>
    <w:rsid w:val="00603D44"/>
    <w:rsid w:val="006251BA"/>
    <w:rsid w:val="0065089C"/>
    <w:rsid w:val="00652D5C"/>
    <w:rsid w:val="0065485E"/>
    <w:rsid w:val="00681F43"/>
    <w:rsid w:val="00686546"/>
    <w:rsid w:val="006867B8"/>
    <w:rsid w:val="00690268"/>
    <w:rsid w:val="00693764"/>
    <w:rsid w:val="006A1F39"/>
    <w:rsid w:val="006A6C82"/>
    <w:rsid w:val="006A7582"/>
    <w:rsid w:val="006A7B3D"/>
    <w:rsid w:val="006B10A9"/>
    <w:rsid w:val="006C7D88"/>
    <w:rsid w:val="0071705C"/>
    <w:rsid w:val="00726CF4"/>
    <w:rsid w:val="0073678D"/>
    <w:rsid w:val="007462DA"/>
    <w:rsid w:val="00781F93"/>
    <w:rsid w:val="00783C90"/>
    <w:rsid w:val="00790EF6"/>
    <w:rsid w:val="007C6395"/>
    <w:rsid w:val="007D42D0"/>
    <w:rsid w:val="007E079F"/>
    <w:rsid w:val="007E7498"/>
    <w:rsid w:val="007F69C0"/>
    <w:rsid w:val="008015A8"/>
    <w:rsid w:val="00813168"/>
    <w:rsid w:val="00833809"/>
    <w:rsid w:val="00836AC2"/>
    <w:rsid w:val="0084497A"/>
    <w:rsid w:val="00851FA8"/>
    <w:rsid w:val="00853088"/>
    <w:rsid w:val="00854E18"/>
    <w:rsid w:val="00855A4F"/>
    <w:rsid w:val="00861618"/>
    <w:rsid w:val="00871370"/>
    <w:rsid w:val="00881D97"/>
    <w:rsid w:val="00887EB0"/>
    <w:rsid w:val="00894046"/>
    <w:rsid w:val="00895810"/>
    <w:rsid w:val="008A000F"/>
    <w:rsid w:val="008B3B97"/>
    <w:rsid w:val="008D0353"/>
    <w:rsid w:val="008D468A"/>
    <w:rsid w:val="008D67AB"/>
    <w:rsid w:val="008E5CCD"/>
    <w:rsid w:val="008F154A"/>
    <w:rsid w:val="009056C0"/>
    <w:rsid w:val="00920656"/>
    <w:rsid w:val="009301A5"/>
    <w:rsid w:val="009334FC"/>
    <w:rsid w:val="00957B50"/>
    <w:rsid w:val="00972AEF"/>
    <w:rsid w:val="009960D2"/>
    <w:rsid w:val="009A695A"/>
    <w:rsid w:val="009B13DF"/>
    <w:rsid w:val="009C0095"/>
    <w:rsid w:val="009C3FEF"/>
    <w:rsid w:val="009F368F"/>
    <w:rsid w:val="009F5249"/>
    <w:rsid w:val="009F545B"/>
    <w:rsid w:val="00A10B53"/>
    <w:rsid w:val="00A14C5D"/>
    <w:rsid w:val="00A1707C"/>
    <w:rsid w:val="00A2659D"/>
    <w:rsid w:val="00A311A4"/>
    <w:rsid w:val="00A35ED0"/>
    <w:rsid w:val="00A40D25"/>
    <w:rsid w:val="00A43B94"/>
    <w:rsid w:val="00A44DA2"/>
    <w:rsid w:val="00A45224"/>
    <w:rsid w:val="00A465B1"/>
    <w:rsid w:val="00A573AE"/>
    <w:rsid w:val="00A755FC"/>
    <w:rsid w:val="00A76B5D"/>
    <w:rsid w:val="00A7797C"/>
    <w:rsid w:val="00A965F4"/>
    <w:rsid w:val="00AA21A8"/>
    <w:rsid w:val="00AD5955"/>
    <w:rsid w:val="00AF329E"/>
    <w:rsid w:val="00B02296"/>
    <w:rsid w:val="00B1603B"/>
    <w:rsid w:val="00B435A2"/>
    <w:rsid w:val="00B56289"/>
    <w:rsid w:val="00B64EE0"/>
    <w:rsid w:val="00B77235"/>
    <w:rsid w:val="00B80E4B"/>
    <w:rsid w:val="00B84DB0"/>
    <w:rsid w:val="00B85BBF"/>
    <w:rsid w:val="00BA6050"/>
    <w:rsid w:val="00BB44E1"/>
    <w:rsid w:val="00BB49E5"/>
    <w:rsid w:val="00BC360E"/>
    <w:rsid w:val="00BD2A6A"/>
    <w:rsid w:val="00BD768A"/>
    <w:rsid w:val="00BE078B"/>
    <w:rsid w:val="00BE1087"/>
    <w:rsid w:val="00BF0B50"/>
    <w:rsid w:val="00C3028D"/>
    <w:rsid w:val="00C434C7"/>
    <w:rsid w:val="00C54086"/>
    <w:rsid w:val="00C54D82"/>
    <w:rsid w:val="00C55B3F"/>
    <w:rsid w:val="00C6758D"/>
    <w:rsid w:val="00C71AE3"/>
    <w:rsid w:val="00C81900"/>
    <w:rsid w:val="00C93E69"/>
    <w:rsid w:val="00C94F6F"/>
    <w:rsid w:val="00CB3FC3"/>
    <w:rsid w:val="00CC2342"/>
    <w:rsid w:val="00CF4D40"/>
    <w:rsid w:val="00CF7D20"/>
    <w:rsid w:val="00D124F9"/>
    <w:rsid w:val="00D16212"/>
    <w:rsid w:val="00D17524"/>
    <w:rsid w:val="00D21222"/>
    <w:rsid w:val="00D21DE1"/>
    <w:rsid w:val="00D222E4"/>
    <w:rsid w:val="00D23D99"/>
    <w:rsid w:val="00D35C2B"/>
    <w:rsid w:val="00D451BE"/>
    <w:rsid w:val="00D46AC8"/>
    <w:rsid w:val="00D65498"/>
    <w:rsid w:val="00D778F4"/>
    <w:rsid w:val="00D81144"/>
    <w:rsid w:val="00DA0573"/>
    <w:rsid w:val="00DC55B8"/>
    <w:rsid w:val="00DD2CA5"/>
    <w:rsid w:val="00DF0410"/>
    <w:rsid w:val="00DF7540"/>
    <w:rsid w:val="00DF7E21"/>
    <w:rsid w:val="00E072E6"/>
    <w:rsid w:val="00E125F5"/>
    <w:rsid w:val="00E14385"/>
    <w:rsid w:val="00E3690B"/>
    <w:rsid w:val="00E371FB"/>
    <w:rsid w:val="00E6380A"/>
    <w:rsid w:val="00E73530"/>
    <w:rsid w:val="00EA34AB"/>
    <w:rsid w:val="00EA3EFD"/>
    <w:rsid w:val="00EC7A90"/>
    <w:rsid w:val="00EE03EE"/>
    <w:rsid w:val="00EE46D6"/>
    <w:rsid w:val="00EF6CBA"/>
    <w:rsid w:val="00F00BC4"/>
    <w:rsid w:val="00F1400D"/>
    <w:rsid w:val="00F53BD9"/>
    <w:rsid w:val="00F55715"/>
    <w:rsid w:val="00F66E5B"/>
    <w:rsid w:val="00F71958"/>
    <w:rsid w:val="00F76E3A"/>
    <w:rsid w:val="00FA008A"/>
    <w:rsid w:val="00FA0C28"/>
    <w:rsid w:val="00FC6A8A"/>
    <w:rsid w:val="00FC706D"/>
    <w:rsid w:val="00FC7A0D"/>
    <w:rsid w:val="00FD6749"/>
    <w:rsid w:val="00FE2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2C650"/>
  <w15:docId w15:val="{64F3F4B5-CA50-4CE5-8C2C-A100F5F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paragraph" w:styleId="Header">
    <w:name w:val="header"/>
    <w:basedOn w:val="Normal"/>
    <w:link w:val="HeaderChar"/>
    <w:uiPriority w:val="99"/>
    <w:unhideWhenUsed/>
    <w:rsid w:val="00026F57"/>
    <w:pPr>
      <w:tabs>
        <w:tab w:val="center" w:pos="4513"/>
        <w:tab w:val="right" w:pos="9026"/>
      </w:tabs>
    </w:pPr>
    <w:rPr>
      <w:rFonts w:cs="Mangal"/>
      <w:szCs w:val="20"/>
    </w:rPr>
  </w:style>
  <w:style w:type="character" w:customStyle="1" w:styleId="HeaderChar">
    <w:name w:val="Header Char"/>
    <w:basedOn w:val="DefaultParagraphFont"/>
    <w:link w:val="Header"/>
    <w:uiPriority w:val="99"/>
    <w:rsid w:val="00026F57"/>
    <w:rPr>
      <w:rFonts w:cs="Mangal"/>
      <w:szCs w:val="20"/>
    </w:rPr>
  </w:style>
  <w:style w:type="character" w:styleId="Hyperlink">
    <w:name w:val="Hyperlink"/>
    <w:basedOn w:val="DefaultParagraphFont"/>
    <w:rsid w:val="004B5A08"/>
    <w:rPr>
      <w:color w:val="0563C1"/>
      <w:u w:val="single"/>
    </w:rPr>
  </w:style>
  <w:style w:type="numbering" w:customStyle="1" w:styleId="WWNum11">
    <w:name w:val="WWNum11"/>
    <w:basedOn w:val="NoList"/>
    <w:rsid w:val="0003491B"/>
    <w:pPr>
      <w:numPr>
        <w:numId w:val="8"/>
      </w:numPr>
    </w:pPr>
  </w:style>
  <w:style w:type="numbering" w:customStyle="1" w:styleId="WWNum21">
    <w:name w:val="WWNum21"/>
    <w:basedOn w:val="NoList"/>
    <w:rsid w:val="0003491B"/>
    <w:pPr>
      <w:numPr>
        <w:numId w:val="9"/>
      </w:numPr>
    </w:pPr>
  </w:style>
  <w:style w:type="numbering" w:customStyle="1" w:styleId="WWNum31">
    <w:name w:val="WWNum31"/>
    <w:basedOn w:val="NoList"/>
    <w:rsid w:val="0003491B"/>
    <w:pPr>
      <w:numPr>
        <w:numId w:val="10"/>
      </w:numPr>
    </w:pPr>
  </w:style>
  <w:style w:type="numbering" w:customStyle="1" w:styleId="WWNum41">
    <w:name w:val="WWNum41"/>
    <w:basedOn w:val="NoList"/>
    <w:rsid w:val="0003491B"/>
    <w:pPr>
      <w:numPr>
        <w:numId w:val="11"/>
      </w:numPr>
    </w:pPr>
  </w:style>
  <w:style w:type="numbering" w:customStyle="1" w:styleId="WWNum12">
    <w:name w:val="WWNum12"/>
    <w:basedOn w:val="NoList"/>
    <w:rsid w:val="007462DA"/>
    <w:pPr>
      <w:numPr>
        <w:numId w:val="15"/>
      </w:numPr>
    </w:pPr>
  </w:style>
  <w:style w:type="numbering" w:customStyle="1" w:styleId="WWNum22">
    <w:name w:val="WWNum22"/>
    <w:basedOn w:val="NoList"/>
    <w:rsid w:val="007462DA"/>
    <w:pPr>
      <w:numPr>
        <w:numId w:val="16"/>
      </w:numPr>
    </w:pPr>
  </w:style>
  <w:style w:type="numbering" w:customStyle="1" w:styleId="WWNum32">
    <w:name w:val="WWNum32"/>
    <w:basedOn w:val="NoList"/>
    <w:rsid w:val="007462DA"/>
    <w:pPr>
      <w:numPr>
        <w:numId w:val="17"/>
      </w:numPr>
    </w:pPr>
  </w:style>
  <w:style w:type="numbering" w:customStyle="1" w:styleId="WWNum42">
    <w:name w:val="WWNum42"/>
    <w:basedOn w:val="NoList"/>
    <w:rsid w:val="007462DA"/>
    <w:pPr>
      <w:numPr>
        <w:numId w:val="18"/>
      </w:numPr>
    </w:pPr>
  </w:style>
  <w:style w:type="numbering" w:customStyle="1" w:styleId="WWNum5">
    <w:name w:val="WWNum5"/>
    <w:basedOn w:val="NoList"/>
    <w:rsid w:val="007462DA"/>
    <w:pPr>
      <w:numPr>
        <w:numId w:val="19"/>
      </w:numPr>
    </w:pPr>
  </w:style>
  <w:style w:type="numbering" w:customStyle="1" w:styleId="WWNum6">
    <w:name w:val="WWNum6"/>
    <w:basedOn w:val="NoList"/>
    <w:rsid w:val="007462DA"/>
    <w:pPr>
      <w:numPr>
        <w:numId w:val="20"/>
      </w:numPr>
    </w:pPr>
  </w:style>
  <w:style w:type="numbering" w:customStyle="1" w:styleId="WWNum7">
    <w:name w:val="WWNum7"/>
    <w:basedOn w:val="NoList"/>
    <w:rsid w:val="007462DA"/>
    <w:pPr>
      <w:numPr>
        <w:numId w:val="21"/>
      </w:numPr>
    </w:pPr>
  </w:style>
  <w:style w:type="numbering" w:customStyle="1" w:styleId="WWNum8">
    <w:name w:val="WWNum8"/>
    <w:basedOn w:val="NoList"/>
    <w:rsid w:val="007462DA"/>
    <w:pPr>
      <w:numPr>
        <w:numId w:val="22"/>
      </w:numPr>
    </w:pPr>
  </w:style>
  <w:style w:type="character" w:styleId="FootnoteReference">
    <w:name w:val="footnote reference"/>
    <w:basedOn w:val="DefaultParagraphFont"/>
    <w:uiPriority w:val="99"/>
    <w:semiHidden/>
    <w:unhideWhenUsed/>
    <w:rsid w:val="007462DA"/>
    <w:rPr>
      <w:vertAlign w:val="superscript"/>
    </w:rPr>
  </w:style>
  <w:style w:type="paragraph" w:styleId="ListParagraph">
    <w:name w:val="List Paragraph"/>
    <w:aliases w:val="Numbered Para 1,Dot pt,No Spacing1,List Paragraph Char Char Char,Indicator Text,Bullet 1,List Paragraph1,Bullet Points,Legal numbered paragraph,aHeading 2 - Sussex,Normal SWO Bullets,F5 List Paragraph,Colorful List - Accent 11"/>
    <w:basedOn w:val="Normal"/>
    <w:link w:val="ListParagraphChar"/>
    <w:uiPriority w:val="34"/>
    <w:qFormat/>
    <w:rsid w:val="00143F87"/>
    <w:pPr>
      <w:suppressAutoHyphens w:val="0"/>
      <w:autoSpaceDN/>
      <w:ind w:left="720"/>
      <w:contextualSpacing/>
      <w:textAlignment w:val="auto"/>
    </w:pPr>
    <w:rPr>
      <w:rFonts w:ascii="Times New Roman" w:eastAsia="Times New Roman" w:hAnsi="Times New Roman" w:cs="Times New Roman"/>
      <w:sz w:val="24"/>
      <w:szCs w:val="24"/>
      <w:lang w:eastAsia="en-GB" w:bidi="ar-SA"/>
    </w:rPr>
  </w:style>
  <w:style w:type="character" w:customStyle="1" w:styleId="ListParagraphChar">
    <w:name w:val="List Paragraph Char"/>
    <w:aliases w:val="Numbered Para 1 Char,Dot pt Char,No Spacing1 Char,List Paragraph Char Char Char Char,Indicator Text Char,Bullet 1 Char,List Paragraph1 Char,Bullet Points Char,Legal numbered paragraph Char,aHeading 2 - Sussex Char"/>
    <w:link w:val="ListParagraph"/>
    <w:uiPriority w:val="34"/>
    <w:qFormat/>
    <w:locked/>
    <w:rsid w:val="00143F87"/>
    <w:rPr>
      <w:rFonts w:ascii="Times New Roman" w:eastAsia="Times New Roman" w:hAnsi="Times New Roman" w:cs="Times New Roman"/>
      <w:sz w:val="24"/>
      <w:szCs w:val="24"/>
      <w:lang w:eastAsia="en-GB" w:bidi="ar-SA"/>
    </w:rPr>
  </w:style>
  <w:style w:type="paragraph" w:customStyle="1" w:styleId="2">
    <w:name w:val="2"/>
    <w:basedOn w:val="ListParagraph"/>
    <w:link w:val="2Char"/>
    <w:qFormat/>
    <w:rsid w:val="00143F87"/>
    <w:pPr>
      <w:numPr>
        <w:ilvl w:val="1"/>
        <w:numId w:val="29"/>
      </w:numPr>
      <w:spacing w:before="60" w:after="60" w:line="360" w:lineRule="auto"/>
    </w:pPr>
    <w:rPr>
      <w:b/>
      <w:bCs/>
      <w:sz w:val="28"/>
    </w:rPr>
  </w:style>
  <w:style w:type="character" w:styleId="Emphasis">
    <w:name w:val="Emphasis"/>
    <w:basedOn w:val="DefaultParagraphFont"/>
    <w:qFormat/>
    <w:rsid w:val="00143F87"/>
    <w:rPr>
      <w:i/>
      <w:iCs/>
    </w:rPr>
  </w:style>
  <w:style w:type="character" w:customStyle="1" w:styleId="2Char">
    <w:name w:val="2 Char"/>
    <w:basedOn w:val="ListParagraphChar"/>
    <w:link w:val="2"/>
    <w:rsid w:val="00143F87"/>
    <w:rPr>
      <w:rFonts w:ascii="Times New Roman" w:eastAsia="Times New Roman" w:hAnsi="Times New Roman" w:cs="Times New Roman"/>
      <w:b/>
      <w:bCs/>
      <w:sz w:val="28"/>
      <w:szCs w:val="24"/>
      <w:lang w:eastAsia="en-GB" w:bidi="ar-SA"/>
    </w:rPr>
  </w:style>
  <w:style w:type="character" w:styleId="CommentReference">
    <w:name w:val="annotation reference"/>
    <w:basedOn w:val="DefaultParagraphFont"/>
    <w:uiPriority w:val="99"/>
    <w:semiHidden/>
    <w:unhideWhenUsed/>
    <w:rsid w:val="00A44DA2"/>
    <w:rPr>
      <w:sz w:val="16"/>
      <w:szCs w:val="16"/>
    </w:rPr>
  </w:style>
  <w:style w:type="paragraph" w:styleId="CommentText">
    <w:name w:val="annotation text"/>
    <w:basedOn w:val="Normal"/>
    <w:link w:val="CommentTextChar"/>
    <w:uiPriority w:val="99"/>
    <w:semiHidden/>
    <w:unhideWhenUsed/>
    <w:rsid w:val="00A44DA2"/>
    <w:rPr>
      <w:rFonts w:cs="Mangal"/>
      <w:sz w:val="20"/>
      <w:szCs w:val="18"/>
    </w:rPr>
  </w:style>
  <w:style w:type="character" w:customStyle="1" w:styleId="CommentTextChar">
    <w:name w:val="Comment Text Char"/>
    <w:basedOn w:val="DefaultParagraphFont"/>
    <w:link w:val="CommentText"/>
    <w:uiPriority w:val="99"/>
    <w:semiHidden/>
    <w:rsid w:val="00A44DA2"/>
    <w:rPr>
      <w:rFonts w:cs="Mangal"/>
      <w:sz w:val="20"/>
      <w:szCs w:val="18"/>
    </w:rPr>
  </w:style>
  <w:style w:type="paragraph" w:styleId="CommentSubject">
    <w:name w:val="annotation subject"/>
    <w:basedOn w:val="CommentText"/>
    <w:next w:val="CommentText"/>
    <w:link w:val="CommentSubjectChar"/>
    <w:uiPriority w:val="99"/>
    <w:semiHidden/>
    <w:unhideWhenUsed/>
    <w:rsid w:val="00A44DA2"/>
    <w:rPr>
      <w:b/>
      <w:bCs/>
    </w:rPr>
  </w:style>
  <w:style w:type="character" w:customStyle="1" w:styleId="CommentSubjectChar">
    <w:name w:val="Comment Subject Char"/>
    <w:basedOn w:val="CommentTextChar"/>
    <w:link w:val="CommentSubject"/>
    <w:uiPriority w:val="99"/>
    <w:semiHidden/>
    <w:rsid w:val="00A44DA2"/>
    <w:rPr>
      <w:rFonts w:cs="Mangal"/>
      <w:b/>
      <w:bCs/>
      <w:sz w:val="20"/>
      <w:szCs w:val="18"/>
    </w:rPr>
  </w:style>
  <w:style w:type="table" w:styleId="TableGrid">
    <w:name w:val="Table Grid"/>
    <w:basedOn w:val="TableNormal"/>
    <w:uiPriority w:val="39"/>
    <w:rsid w:val="006A6C82"/>
    <w:pPr>
      <w:widowControl/>
      <w:suppressAutoHyphens w:val="0"/>
      <w:autoSpaceDN/>
      <w:textAlignment w:val="auto"/>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A6C82"/>
    <w:pPr>
      <w:suppressAutoHyphens w:val="0"/>
      <w:overflowPunct w:val="0"/>
      <w:autoSpaceDE w:val="0"/>
      <w:adjustRightInd w:val="0"/>
      <w:spacing w:after="120"/>
      <w:ind w:left="283"/>
    </w:pPr>
    <w:rPr>
      <w:rFonts w:ascii="Arial (W1)" w:eastAsia="Times New Roman" w:hAnsi="Arial (W1)" w:cs="Times New Roman"/>
      <w:sz w:val="24"/>
      <w:szCs w:val="20"/>
      <w:lang w:eastAsia="en-US" w:bidi="ar-SA"/>
    </w:rPr>
  </w:style>
  <w:style w:type="character" w:customStyle="1" w:styleId="BodyTextIndentChar">
    <w:name w:val="Body Text Indent Char"/>
    <w:basedOn w:val="DefaultParagraphFont"/>
    <w:link w:val="BodyTextIndent"/>
    <w:rsid w:val="006A6C82"/>
    <w:rPr>
      <w:rFonts w:ascii="Arial (W1)" w:eastAsia="Times New Roman" w:hAnsi="Arial (W1)" w:cs="Times New Roman"/>
      <w:sz w:val="24"/>
      <w:szCs w:val="20"/>
      <w:lang w:eastAsia="en-US" w:bidi="ar-SA"/>
    </w:rPr>
  </w:style>
  <w:style w:type="table" w:customStyle="1" w:styleId="TableGrid1">
    <w:name w:val="Table Grid1"/>
    <w:basedOn w:val="TableNormal"/>
    <w:next w:val="TableGrid"/>
    <w:uiPriority w:val="39"/>
    <w:rsid w:val="00E6380A"/>
    <w:pPr>
      <w:widowControl/>
      <w:suppressAutoHyphens w:val="0"/>
      <w:autoSpaceDN/>
      <w:textAlignment w:val="auto"/>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
    <w:name w:val="WWNum13"/>
    <w:basedOn w:val="NoList"/>
    <w:rsid w:val="00022F51"/>
    <w:pPr>
      <w:numPr>
        <w:numId w:val="48"/>
      </w:numPr>
    </w:pPr>
  </w:style>
  <w:style w:type="numbering" w:customStyle="1" w:styleId="WWNum23">
    <w:name w:val="WWNum23"/>
    <w:basedOn w:val="NoList"/>
    <w:rsid w:val="00022F51"/>
    <w:pPr>
      <w:numPr>
        <w:numId w:val="49"/>
      </w:numPr>
    </w:pPr>
  </w:style>
  <w:style w:type="numbering" w:customStyle="1" w:styleId="WWNum33">
    <w:name w:val="WWNum33"/>
    <w:basedOn w:val="NoList"/>
    <w:rsid w:val="00022F51"/>
    <w:pPr>
      <w:numPr>
        <w:numId w:val="50"/>
      </w:numPr>
    </w:pPr>
  </w:style>
  <w:style w:type="numbering" w:customStyle="1" w:styleId="WWNum43">
    <w:name w:val="WWNum43"/>
    <w:basedOn w:val="NoList"/>
    <w:rsid w:val="00022F51"/>
    <w:pPr>
      <w:numPr>
        <w:numId w:val="51"/>
      </w:numPr>
    </w:pPr>
  </w:style>
  <w:style w:type="numbering" w:customStyle="1" w:styleId="WWNum51">
    <w:name w:val="WWNum51"/>
    <w:basedOn w:val="NoList"/>
    <w:rsid w:val="00022F51"/>
    <w:pPr>
      <w:numPr>
        <w:numId w:val="52"/>
      </w:numPr>
    </w:pPr>
  </w:style>
  <w:style w:type="numbering" w:customStyle="1" w:styleId="WWNum61">
    <w:name w:val="WWNum61"/>
    <w:basedOn w:val="NoList"/>
    <w:rsid w:val="00022F51"/>
    <w:pPr>
      <w:numPr>
        <w:numId w:val="53"/>
      </w:numPr>
    </w:pPr>
  </w:style>
  <w:style w:type="numbering" w:customStyle="1" w:styleId="WWNum71">
    <w:name w:val="WWNum71"/>
    <w:basedOn w:val="NoList"/>
    <w:rsid w:val="00022F51"/>
    <w:pPr>
      <w:numPr>
        <w:numId w:val="54"/>
      </w:numPr>
    </w:pPr>
  </w:style>
  <w:style w:type="numbering" w:customStyle="1" w:styleId="WWNum81">
    <w:name w:val="WWNum81"/>
    <w:basedOn w:val="NoList"/>
    <w:rsid w:val="00022F51"/>
    <w:pPr>
      <w:numPr>
        <w:numId w:val="55"/>
      </w:numPr>
    </w:pPr>
  </w:style>
  <w:style w:type="numbering" w:customStyle="1" w:styleId="WWNum9">
    <w:name w:val="WWNum9"/>
    <w:basedOn w:val="NoList"/>
    <w:rsid w:val="00022F51"/>
    <w:pPr>
      <w:numPr>
        <w:numId w:val="56"/>
      </w:numPr>
    </w:pPr>
  </w:style>
  <w:style w:type="numbering" w:customStyle="1" w:styleId="WWNum10">
    <w:name w:val="WWNum10"/>
    <w:basedOn w:val="NoList"/>
    <w:rsid w:val="00022F51"/>
    <w:pPr>
      <w:numPr>
        <w:numId w:val="57"/>
      </w:numPr>
    </w:pPr>
  </w:style>
  <w:style w:type="numbering" w:customStyle="1" w:styleId="WWNum111">
    <w:name w:val="WWNum111"/>
    <w:basedOn w:val="NoList"/>
    <w:rsid w:val="00022F51"/>
    <w:pPr>
      <w:numPr>
        <w:numId w:val="58"/>
      </w:numPr>
    </w:pPr>
  </w:style>
  <w:style w:type="numbering" w:customStyle="1" w:styleId="WWNum121">
    <w:name w:val="WWNum121"/>
    <w:basedOn w:val="NoList"/>
    <w:rsid w:val="00022F51"/>
    <w:pPr>
      <w:numPr>
        <w:numId w:val="59"/>
      </w:numPr>
    </w:pPr>
  </w:style>
  <w:style w:type="numbering" w:customStyle="1" w:styleId="WWNum131">
    <w:name w:val="WWNum131"/>
    <w:basedOn w:val="NoList"/>
    <w:rsid w:val="00022F51"/>
    <w:pPr>
      <w:numPr>
        <w:numId w:val="60"/>
      </w:numPr>
    </w:pPr>
  </w:style>
  <w:style w:type="numbering" w:customStyle="1" w:styleId="WWNum14">
    <w:name w:val="WWNum14"/>
    <w:basedOn w:val="NoList"/>
    <w:rsid w:val="00022F51"/>
    <w:pPr>
      <w:numPr>
        <w:numId w:val="61"/>
      </w:numPr>
    </w:pPr>
  </w:style>
  <w:style w:type="numbering" w:customStyle="1" w:styleId="WWNum15">
    <w:name w:val="WWNum15"/>
    <w:basedOn w:val="NoList"/>
    <w:rsid w:val="00022F51"/>
    <w:pPr>
      <w:numPr>
        <w:numId w:val="62"/>
      </w:numPr>
    </w:pPr>
  </w:style>
  <w:style w:type="numbering" w:customStyle="1" w:styleId="WWNum16">
    <w:name w:val="WWNum16"/>
    <w:basedOn w:val="NoList"/>
    <w:rsid w:val="00022F51"/>
    <w:pPr>
      <w:numPr>
        <w:numId w:val="63"/>
      </w:numPr>
    </w:pPr>
  </w:style>
  <w:style w:type="numbering" w:customStyle="1" w:styleId="WWNum17">
    <w:name w:val="WWNum17"/>
    <w:basedOn w:val="NoList"/>
    <w:rsid w:val="00022F51"/>
    <w:pPr>
      <w:numPr>
        <w:numId w:val="64"/>
      </w:numPr>
    </w:pPr>
  </w:style>
  <w:style w:type="numbering" w:customStyle="1" w:styleId="WWNum18">
    <w:name w:val="WWNum18"/>
    <w:basedOn w:val="NoList"/>
    <w:rsid w:val="00022F51"/>
    <w:pPr>
      <w:numPr>
        <w:numId w:val="65"/>
      </w:numPr>
    </w:pPr>
  </w:style>
  <w:style w:type="numbering" w:customStyle="1" w:styleId="WWNum19">
    <w:name w:val="WWNum19"/>
    <w:basedOn w:val="NoList"/>
    <w:rsid w:val="00022F51"/>
    <w:pPr>
      <w:numPr>
        <w:numId w:val="66"/>
      </w:numPr>
    </w:pPr>
  </w:style>
  <w:style w:type="numbering" w:customStyle="1" w:styleId="WWNum20">
    <w:name w:val="WWNum20"/>
    <w:basedOn w:val="NoList"/>
    <w:rsid w:val="00022F51"/>
    <w:pPr>
      <w:numPr>
        <w:numId w:val="67"/>
      </w:numPr>
    </w:pPr>
  </w:style>
  <w:style w:type="numbering" w:customStyle="1" w:styleId="WWNum211">
    <w:name w:val="WWNum211"/>
    <w:basedOn w:val="NoList"/>
    <w:rsid w:val="00022F51"/>
    <w:pPr>
      <w:numPr>
        <w:numId w:val="68"/>
      </w:numPr>
    </w:pPr>
  </w:style>
  <w:style w:type="numbering" w:customStyle="1" w:styleId="WWNum221">
    <w:name w:val="WWNum221"/>
    <w:basedOn w:val="NoList"/>
    <w:rsid w:val="00022F51"/>
    <w:pPr>
      <w:numPr>
        <w:numId w:val="69"/>
      </w:numPr>
    </w:pPr>
  </w:style>
  <w:style w:type="numbering" w:customStyle="1" w:styleId="WWNum231">
    <w:name w:val="WWNum231"/>
    <w:basedOn w:val="NoList"/>
    <w:rsid w:val="00022F51"/>
    <w:pPr>
      <w:numPr>
        <w:numId w:val="70"/>
      </w:numPr>
    </w:pPr>
  </w:style>
  <w:style w:type="numbering" w:customStyle="1" w:styleId="WWNum24">
    <w:name w:val="WWNum24"/>
    <w:basedOn w:val="NoList"/>
    <w:rsid w:val="00022F51"/>
    <w:pPr>
      <w:numPr>
        <w:numId w:val="71"/>
      </w:numPr>
    </w:pPr>
  </w:style>
  <w:style w:type="numbering" w:customStyle="1" w:styleId="WWNum25">
    <w:name w:val="WWNum25"/>
    <w:basedOn w:val="NoList"/>
    <w:rsid w:val="00022F51"/>
    <w:pPr>
      <w:numPr>
        <w:numId w:val="72"/>
      </w:numPr>
    </w:pPr>
  </w:style>
  <w:style w:type="numbering" w:customStyle="1" w:styleId="WWNum26">
    <w:name w:val="WWNum26"/>
    <w:basedOn w:val="NoList"/>
    <w:rsid w:val="00022F51"/>
    <w:pPr>
      <w:numPr>
        <w:numId w:val="73"/>
      </w:numPr>
    </w:pPr>
  </w:style>
  <w:style w:type="numbering" w:customStyle="1" w:styleId="WWNum27">
    <w:name w:val="WWNum27"/>
    <w:basedOn w:val="NoList"/>
    <w:rsid w:val="00022F51"/>
    <w:pPr>
      <w:numPr>
        <w:numId w:val="74"/>
      </w:numPr>
    </w:pPr>
  </w:style>
  <w:style w:type="numbering" w:customStyle="1" w:styleId="WWNum28">
    <w:name w:val="WWNum28"/>
    <w:basedOn w:val="NoList"/>
    <w:rsid w:val="00022F51"/>
    <w:pPr>
      <w:numPr>
        <w:numId w:val="75"/>
      </w:numPr>
    </w:pPr>
  </w:style>
  <w:style w:type="numbering" w:customStyle="1" w:styleId="WWNum29">
    <w:name w:val="WWNum29"/>
    <w:basedOn w:val="NoList"/>
    <w:rsid w:val="00022F51"/>
    <w:pPr>
      <w:numPr>
        <w:numId w:val="76"/>
      </w:numPr>
    </w:pPr>
  </w:style>
  <w:style w:type="numbering" w:customStyle="1" w:styleId="WWNum30">
    <w:name w:val="WWNum30"/>
    <w:basedOn w:val="NoList"/>
    <w:rsid w:val="00022F51"/>
    <w:pPr>
      <w:numPr>
        <w:numId w:val="77"/>
      </w:numPr>
    </w:pPr>
  </w:style>
  <w:style w:type="numbering" w:customStyle="1" w:styleId="WWNum311">
    <w:name w:val="WWNum311"/>
    <w:basedOn w:val="NoList"/>
    <w:rsid w:val="00022F51"/>
    <w:pPr>
      <w:numPr>
        <w:numId w:val="78"/>
      </w:numPr>
    </w:pPr>
  </w:style>
  <w:style w:type="numbering" w:customStyle="1" w:styleId="WWNum321">
    <w:name w:val="WWNum321"/>
    <w:basedOn w:val="NoList"/>
    <w:rsid w:val="00022F51"/>
    <w:pPr>
      <w:numPr>
        <w:numId w:val="79"/>
      </w:numPr>
    </w:pPr>
  </w:style>
  <w:style w:type="numbering" w:customStyle="1" w:styleId="WWNum331">
    <w:name w:val="WWNum331"/>
    <w:basedOn w:val="NoList"/>
    <w:rsid w:val="00022F51"/>
    <w:pPr>
      <w:numPr>
        <w:numId w:val="80"/>
      </w:numPr>
    </w:pPr>
  </w:style>
  <w:style w:type="numbering" w:customStyle="1" w:styleId="WWNum34">
    <w:name w:val="WWNum34"/>
    <w:basedOn w:val="NoList"/>
    <w:rsid w:val="00022F51"/>
    <w:pPr>
      <w:numPr>
        <w:numId w:val="81"/>
      </w:numPr>
    </w:pPr>
  </w:style>
  <w:style w:type="numbering" w:customStyle="1" w:styleId="WWNum35">
    <w:name w:val="WWNum35"/>
    <w:basedOn w:val="NoList"/>
    <w:rsid w:val="00022F51"/>
    <w:pPr>
      <w:numPr>
        <w:numId w:val="82"/>
      </w:numPr>
    </w:pPr>
  </w:style>
  <w:style w:type="numbering" w:customStyle="1" w:styleId="WWNum36">
    <w:name w:val="WWNum36"/>
    <w:basedOn w:val="NoList"/>
    <w:rsid w:val="00022F51"/>
    <w:pPr>
      <w:numPr>
        <w:numId w:val="83"/>
      </w:numPr>
    </w:pPr>
  </w:style>
  <w:style w:type="numbering" w:customStyle="1" w:styleId="WWNum37">
    <w:name w:val="WWNum37"/>
    <w:basedOn w:val="NoList"/>
    <w:rsid w:val="00022F51"/>
    <w:pPr>
      <w:numPr>
        <w:numId w:val="84"/>
      </w:numPr>
    </w:pPr>
  </w:style>
  <w:style w:type="numbering" w:customStyle="1" w:styleId="WWNum38">
    <w:name w:val="WWNum38"/>
    <w:basedOn w:val="NoList"/>
    <w:rsid w:val="00022F51"/>
    <w:pPr>
      <w:numPr>
        <w:numId w:val="85"/>
      </w:numPr>
    </w:pPr>
  </w:style>
  <w:style w:type="numbering" w:customStyle="1" w:styleId="WWNum39">
    <w:name w:val="WWNum39"/>
    <w:basedOn w:val="NoList"/>
    <w:rsid w:val="00022F51"/>
    <w:pPr>
      <w:numPr>
        <w:numId w:val="86"/>
      </w:numPr>
    </w:pPr>
  </w:style>
  <w:style w:type="numbering" w:customStyle="1" w:styleId="WWNum40">
    <w:name w:val="WWNum40"/>
    <w:basedOn w:val="NoList"/>
    <w:rsid w:val="00022F51"/>
    <w:pPr>
      <w:numPr>
        <w:numId w:val="87"/>
      </w:numPr>
    </w:pPr>
  </w:style>
  <w:style w:type="numbering" w:customStyle="1" w:styleId="WWNum411">
    <w:name w:val="WWNum411"/>
    <w:basedOn w:val="NoList"/>
    <w:rsid w:val="00022F51"/>
    <w:pPr>
      <w:numPr>
        <w:numId w:val="88"/>
      </w:numPr>
    </w:pPr>
  </w:style>
  <w:style w:type="numbering" w:customStyle="1" w:styleId="WWNum421">
    <w:name w:val="WWNum421"/>
    <w:basedOn w:val="NoList"/>
    <w:rsid w:val="00022F51"/>
    <w:pPr>
      <w:numPr>
        <w:numId w:val="89"/>
      </w:numPr>
    </w:pPr>
  </w:style>
  <w:style w:type="numbering" w:customStyle="1" w:styleId="WWNum431">
    <w:name w:val="WWNum431"/>
    <w:basedOn w:val="NoList"/>
    <w:rsid w:val="00022F51"/>
    <w:pPr>
      <w:numPr>
        <w:numId w:val="90"/>
      </w:numPr>
    </w:pPr>
  </w:style>
  <w:style w:type="numbering" w:customStyle="1" w:styleId="WWNum44">
    <w:name w:val="WWNum44"/>
    <w:basedOn w:val="NoList"/>
    <w:rsid w:val="00022F51"/>
    <w:pPr>
      <w:numPr>
        <w:numId w:val="91"/>
      </w:numPr>
    </w:pPr>
  </w:style>
  <w:style w:type="numbering" w:customStyle="1" w:styleId="WWNum45">
    <w:name w:val="WWNum45"/>
    <w:basedOn w:val="NoList"/>
    <w:rsid w:val="00022F51"/>
    <w:pPr>
      <w:numPr>
        <w:numId w:val="92"/>
      </w:numPr>
    </w:pPr>
  </w:style>
  <w:style w:type="numbering" w:customStyle="1" w:styleId="WWNum46">
    <w:name w:val="WWNum46"/>
    <w:basedOn w:val="NoList"/>
    <w:rsid w:val="00022F51"/>
    <w:pPr>
      <w:numPr>
        <w:numId w:val="93"/>
      </w:numPr>
    </w:pPr>
  </w:style>
  <w:style w:type="numbering" w:customStyle="1" w:styleId="WWNum47">
    <w:name w:val="WWNum47"/>
    <w:basedOn w:val="NoList"/>
    <w:rsid w:val="00022F51"/>
    <w:pPr>
      <w:numPr>
        <w:numId w:val="94"/>
      </w:numPr>
    </w:pPr>
  </w:style>
  <w:style w:type="numbering" w:customStyle="1" w:styleId="WWNum48">
    <w:name w:val="WWNum48"/>
    <w:basedOn w:val="NoList"/>
    <w:rsid w:val="00022F51"/>
    <w:pPr>
      <w:numPr>
        <w:numId w:val="95"/>
      </w:numPr>
    </w:pPr>
  </w:style>
  <w:style w:type="numbering" w:customStyle="1" w:styleId="WWNum49">
    <w:name w:val="WWNum49"/>
    <w:basedOn w:val="NoList"/>
    <w:rsid w:val="00022F51"/>
    <w:pPr>
      <w:numPr>
        <w:numId w:val="96"/>
      </w:numPr>
    </w:pPr>
  </w:style>
  <w:style w:type="numbering" w:customStyle="1" w:styleId="WWNum50">
    <w:name w:val="WWNum50"/>
    <w:basedOn w:val="NoList"/>
    <w:rsid w:val="00022F51"/>
    <w:pPr>
      <w:numPr>
        <w:numId w:val="97"/>
      </w:numPr>
    </w:pPr>
  </w:style>
  <w:style w:type="numbering" w:customStyle="1" w:styleId="WWNum511">
    <w:name w:val="WWNum511"/>
    <w:basedOn w:val="NoList"/>
    <w:rsid w:val="00022F51"/>
    <w:pPr>
      <w:numPr>
        <w:numId w:val="98"/>
      </w:numPr>
    </w:pPr>
  </w:style>
  <w:style w:type="numbering" w:customStyle="1" w:styleId="WWNum52">
    <w:name w:val="WWNum52"/>
    <w:basedOn w:val="NoList"/>
    <w:rsid w:val="00022F51"/>
    <w:pPr>
      <w:numPr>
        <w:numId w:val="99"/>
      </w:numPr>
    </w:pPr>
  </w:style>
  <w:style w:type="numbering" w:customStyle="1" w:styleId="WWNum53">
    <w:name w:val="WWNum53"/>
    <w:basedOn w:val="NoList"/>
    <w:rsid w:val="00022F51"/>
    <w:pPr>
      <w:numPr>
        <w:numId w:val="100"/>
      </w:numPr>
    </w:pPr>
  </w:style>
  <w:style w:type="paragraph" w:styleId="Revision">
    <w:name w:val="Revision"/>
    <w:hidden/>
    <w:uiPriority w:val="99"/>
    <w:semiHidden/>
    <w:rsid w:val="00894046"/>
    <w:pPr>
      <w:widowControl/>
      <w:suppressAutoHyphens w:val="0"/>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55152">
      <w:bodyDiv w:val="1"/>
      <w:marLeft w:val="0"/>
      <w:marRight w:val="0"/>
      <w:marTop w:val="0"/>
      <w:marBottom w:val="0"/>
      <w:divBdr>
        <w:top w:val="none" w:sz="0" w:space="0" w:color="auto"/>
        <w:left w:val="none" w:sz="0" w:space="0" w:color="auto"/>
        <w:bottom w:val="none" w:sz="0" w:space="0" w:color="auto"/>
        <w:right w:val="none" w:sz="0" w:space="0" w:color="auto"/>
      </w:divBdr>
      <w:divsChild>
        <w:div w:id="793326505">
          <w:marLeft w:val="0"/>
          <w:marRight w:val="0"/>
          <w:marTop w:val="0"/>
          <w:marBottom w:val="0"/>
          <w:divBdr>
            <w:top w:val="none" w:sz="0" w:space="0" w:color="auto"/>
            <w:left w:val="none" w:sz="0" w:space="0" w:color="auto"/>
            <w:bottom w:val="none" w:sz="0" w:space="0" w:color="auto"/>
            <w:right w:val="none" w:sz="0" w:space="0" w:color="auto"/>
          </w:divBdr>
          <w:divsChild>
            <w:div w:id="15859726">
              <w:marLeft w:val="0"/>
              <w:marRight w:val="0"/>
              <w:marTop w:val="0"/>
              <w:marBottom w:val="0"/>
              <w:divBdr>
                <w:top w:val="none" w:sz="0" w:space="0" w:color="auto"/>
                <w:left w:val="none" w:sz="0" w:space="0" w:color="auto"/>
                <w:bottom w:val="none" w:sz="0" w:space="0" w:color="auto"/>
                <w:right w:val="none" w:sz="0" w:space="0" w:color="auto"/>
              </w:divBdr>
              <w:divsChild>
                <w:div w:id="17981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89912">
          <w:marLeft w:val="0"/>
          <w:marRight w:val="0"/>
          <w:marTop w:val="0"/>
          <w:marBottom w:val="0"/>
          <w:divBdr>
            <w:top w:val="none" w:sz="0" w:space="0" w:color="auto"/>
            <w:left w:val="none" w:sz="0" w:space="0" w:color="auto"/>
            <w:bottom w:val="none" w:sz="0" w:space="0" w:color="auto"/>
            <w:right w:val="none" w:sz="0" w:space="0" w:color="auto"/>
          </w:divBdr>
          <w:divsChild>
            <w:div w:id="1437364787">
              <w:marLeft w:val="0"/>
              <w:marRight w:val="0"/>
              <w:marTop w:val="0"/>
              <w:marBottom w:val="0"/>
              <w:divBdr>
                <w:top w:val="none" w:sz="0" w:space="0" w:color="auto"/>
                <w:left w:val="none" w:sz="0" w:space="0" w:color="auto"/>
                <w:bottom w:val="none" w:sz="0" w:space="0" w:color="auto"/>
                <w:right w:val="none" w:sz="0" w:space="0" w:color="auto"/>
              </w:divBdr>
              <w:divsChild>
                <w:div w:id="20637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0824">
          <w:marLeft w:val="0"/>
          <w:marRight w:val="0"/>
          <w:marTop w:val="0"/>
          <w:marBottom w:val="0"/>
          <w:divBdr>
            <w:top w:val="none" w:sz="0" w:space="0" w:color="auto"/>
            <w:left w:val="none" w:sz="0" w:space="0" w:color="auto"/>
            <w:bottom w:val="none" w:sz="0" w:space="0" w:color="auto"/>
            <w:right w:val="none" w:sz="0" w:space="0" w:color="auto"/>
          </w:divBdr>
          <w:divsChild>
            <w:div w:id="571546925">
              <w:marLeft w:val="0"/>
              <w:marRight w:val="0"/>
              <w:marTop w:val="0"/>
              <w:marBottom w:val="0"/>
              <w:divBdr>
                <w:top w:val="none" w:sz="0" w:space="0" w:color="auto"/>
                <w:left w:val="none" w:sz="0" w:space="0" w:color="auto"/>
                <w:bottom w:val="none" w:sz="0" w:space="0" w:color="auto"/>
                <w:right w:val="none" w:sz="0" w:space="0" w:color="auto"/>
              </w:divBdr>
              <w:divsChild>
                <w:div w:id="11096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59925">
          <w:marLeft w:val="0"/>
          <w:marRight w:val="0"/>
          <w:marTop w:val="0"/>
          <w:marBottom w:val="0"/>
          <w:divBdr>
            <w:top w:val="none" w:sz="0" w:space="0" w:color="auto"/>
            <w:left w:val="none" w:sz="0" w:space="0" w:color="auto"/>
            <w:bottom w:val="none" w:sz="0" w:space="0" w:color="auto"/>
            <w:right w:val="none" w:sz="0" w:space="0" w:color="auto"/>
          </w:divBdr>
          <w:divsChild>
            <w:div w:id="1493720376">
              <w:marLeft w:val="0"/>
              <w:marRight w:val="0"/>
              <w:marTop w:val="0"/>
              <w:marBottom w:val="0"/>
              <w:divBdr>
                <w:top w:val="none" w:sz="0" w:space="0" w:color="auto"/>
                <w:left w:val="none" w:sz="0" w:space="0" w:color="auto"/>
                <w:bottom w:val="none" w:sz="0" w:space="0" w:color="auto"/>
                <w:right w:val="none" w:sz="0" w:space="0" w:color="auto"/>
              </w:divBdr>
              <w:divsChild>
                <w:div w:id="9128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3570">
      <w:bodyDiv w:val="1"/>
      <w:marLeft w:val="0"/>
      <w:marRight w:val="0"/>
      <w:marTop w:val="0"/>
      <w:marBottom w:val="0"/>
      <w:divBdr>
        <w:top w:val="none" w:sz="0" w:space="0" w:color="auto"/>
        <w:left w:val="none" w:sz="0" w:space="0" w:color="auto"/>
        <w:bottom w:val="none" w:sz="0" w:space="0" w:color="auto"/>
        <w:right w:val="none" w:sz="0" w:space="0" w:color="auto"/>
      </w:divBdr>
    </w:div>
    <w:div w:id="1407997988">
      <w:bodyDiv w:val="1"/>
      <w:marLeft w:val="0"/>
      <w:marRight w:val="0"/>
      <w:marTop w:val="0"/>
      <w:marBottom w:val="0"/>
      <w:divBdr>
        <w:top w:val="none" w:sz="0" w:space="0" w:color="auto"/>
        <w:left w:val="none" w:sz="0" w:space="0" w:color="auto"/>
        <w:bottom w:val="none" w:sz="0" w:space="0" w:color="auto"/>
        <w:right w:val="none" w:sz="0" w:space="0" w:color="auto"/>
      </w:divBdr>
    </w:div>
    <w:div w:id="1688021801">
      <w:bodyDiv w:val="1"/>
      <w:marLeft w:val="0"/>
      <w:marRight w:val="0"/>
      <w:marTop w:val="0"/>
      <w:marBottom w:val="0"/>
      <w:divBdr>
        <w:top w:val="none" w:sz="0" w:space="0" w:color="auto"/>
        <w:left w:val="none" w:sz="0" w:space="0" w:color="auto"/>
        <w:bottom w:val="none" w:sz="0" w:space="0" w:color="auto"/>
        <w:right w:val="none" w:sz="0" w:space="0" w:color="auto"/>
      </w:divBdr>
    </w:div>
    <w:div w:id="1963153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overnment%2Fpublications%2Fprocurement-policy-note-0620-taking-account-of-social-value-in-the-award-of-central-government-contracts&amp;data=04|01|ben.leath%40hmrc.gov.uk|454a12bdb9a74452453108d98a4c5189|ac52f73cfd1a4a9a8e7a4a248f3139e1|0|0|637692882648632361|Unknown|TWFpbGZsb3d8eyJWIjoiMC4wLjAwMDAiLCJQIjoiV2luMzIiLCJBTiI6Ik1haWwiLCJXVCI6Mn0%3D|1000&amp;sdata=kqw7%2FpUWm2DKCPfydm5Ck1M5Qc24bFn91siZ%2FZZM5ho%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310632/HMRC_Sustainable_Procurement_Strateg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csc.gov.uk/section/products-services/ncsc-certification" TargetMode="External"/><Relationship Id="rId4" Type="http://schemas.openxmlformats.org/officeDocument/2006/relationships/webSettings" Target="webSettings.xml"/><Relationship Id="rId9" Type="http://schemas.openxmlformats.org/officeDocument/2006/relationships/hyperlink" Target="https://www.ncsc.gov.uk/guidance/end-user-device-securi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6784</Words>
  <Characters>38671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Leath, Ben (Commercial)</dc:creator>
  <cp:lastModifiedBy>Leath, Ben (Commercial)</cp:lastModifiedBy>
  <cp:revision>8</cp:revision>
  <dcterms:created xsi:type="dcterms:W3CDTF">2022-02-23T15:06:00Z</dcterms:created>
  <dcterms:modified xsi:type="dcterms:W3CDTF">2022-03-01T10:33:00Z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a3f16c-393f-48b5-a5cb-cb7982a1d1a2_Enabled">
    <vt:lpwstr>true</vt:lpwstr>
  </property>
  <property fmtid="{D5CDD505-2E9C-101B-9397-08002B2CF9AE}" pid="3" name="MSIP_Label_eca3f16c-393f-48b5-a5cb-cb7982a1d1a2_SetDate">
    <vt:lpwstr>2022-02-15T17:38:38Z</vt:lpwstr>
  </property>
  <property fmtid="{D5CDD505-2E9C-101B-9397-08002B2CF9AE}" pid="4" name="MSIP_Label_eca3f16c-393f-48b5-a5cb-cb7982a1d1a2_Method">
    <vt:lpwstr>Privileged</vt:lpwstr>
  </property>
  <property fmtid="{D5CDD505-2E9C-101B-9397-08002B2CF9AE}" pid="5" name="MSIP_Label_eca3f16c-393f-48b5-a5cb-cb7982a1d1a2_Name">
    <vt:lpwstr>Internal</vt:lpwstr>
  </property>
  <property fmtid="{D5CDD505-2E9C-101B-9397-08002B2CF9AE}" pid="6" name="MSIP_Label_eca3f16c-393f-48b5-a5cb-cb7982a1d1a2_SiteId">
    <vt:lpwstr>ac52f73c-fd1a-4a9a-8e7a-4a248f3139e1</vt:lpwstr>
  </property>
  <property fmtid="{D5CDD505-2E9C-101B-9397-08002B2CF9AE}" pid="7" name="MSIP_Label_eca3f16c-393f-48b5-a5cb-cb7982a1d1a2_ActionId">
    <vt:lpwstr>68a3f39f-ade7-429d-ae63-d4ef0be306ce</vt:lpwstr>
  </property>
  <property fmtid="{D5CDD505-2E9C-101B-9397-08002B2CF9AE}" pid="8" name="MSIP_Label_eca3f16c-393f-48b5-a5cb-cb7982a1d1a2_ContentBits">
    <vt:lpwstr>2</vt:lpwstr>
  </property>
</Properties>
</file>