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02385D8F" w14:textId="77777777" w:rsidR="00461C78" w:rsidRPr="00461C78" w:rsidRDefault="006568B3" w:rsidP="00461C78">
      <w:pPr>
        <w:rPr>
          <w:rFonts w:ascii="Arial" w:hAnsi="Arial" w:cs="Arial"/>
          <w:b/>
          <w:bCs/>
          <w:lang w:eastAsia="en-US"/>
        </w:rPr>
      </w:pPr>
      <w:r>
        <w:rPr>
          <w:rFonts w:ascii="Arial" w:hAnsi="Arial" w:cs="Arial"/>
        </w:rPr>
        <w:t>Contract Title</w:t>
      </w:r>
      <w:r>
        <w:rPr>
          <w:rFonts w:ascii="Arial" w:hAnsi="Arial" w:cs="Arial"/>
        </w:rPr>
        <w:tab/>
      </w:r>
      <w:r>
        <w:rPr>
          <w:rFonts w:ascii="Arial" w:hAnsi="Arial" w:cs="Arial"/>
        </w:rPr>
        <w:tab/>
      </w:r>
      <w:r>
        <w:rPr>
          <w:rFonts w:ascii="Arial" w:hAnsi="Arial" w:cs="Arial"/>
        </w:rPr>
        <w:tab/>
      </w:r>
      <w:r w:rsidR="00461C78" w:rsidRPr="00461C78">
        <w:rPr>
          <w:rFonts w:ascii="Arial" w:hAnsi="Arial" w:cs="Arial"/>
          <w:b/>
          <w:bCs/>
          <w:lang w:eastAsia="en-US"/>
        </w:rPr>
        <w:t>Benchmarking of Network Rail support functions</w:t>
      </w:r>
    </w:p>
    <w:p w14:paraId="047A8F54" w14:textId="4769E8C7" w:rsidR="006568B3" w:rsidRDefault="006568B3" w:rsidP="00461C78">
      <w:pPr>
        <w:pStyle w:val="MRParties"/>
        <w:numPr>
          <w:ilvl w:val="0"/>
          <w:numId w:val="0"/>
        </w:numPr>
        <w:spacing w:line="240" w:lineRule="auto"/>
        <w:jc w:val="left"/>
        <w:rPr>
          <w:rFonts w:ascii="Arial" w:hAnsi="Arial" w:cs="Arial"/>
          <w:sz w:val="20"/>
        </w:rPr>
      </w:pPr>
    </w:p>
    <w:p w14:paraId="6CD94934" w14:textId="10EB4729"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6B6BB7" w:rsidRPr="006B6BB7">
        <w:rPr>
          <w:rFonts w:ascii="Arial" w:hAnsi="Arial" w:cs="Arial"/>
          <w:b/>
          <w:bCs/>
          <w:sz w:val="20"/>
        </w:rPr>
        <w:t>ORR/CT/21-6</w:t>
      </w:r>
      <w:r w:rsidR="00691CAD">
        <w:rPr>
          <w:rFonts w:ascii="Arial" w:hAnsi="Arial" w:cs="Arial"/>
          <w:b/>
          <w:bCs/>
          <w:sz w:val="20"/>
        </w:rPr>
        <w:t>5</w:t>
      </w:r>
      <w:r w:rsidR="00CD4563">
        <w:rPr>
          <w:rFonts w:ascii="Arial" w:hAnsi="Arial" w:cs="Arial"/>
          <w:b/>
          <w:bCs/>
          <w:sz w:val="20"/>
        </w:rPr>
        <w:t>-02</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461C78"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6B6BB7" w:rsidRDefault="001A2092" w:rsidP="006568B3">
            <w:pPr>
              <w:tabs>
                <w:tab w:val="left" w:pos="0"/>
              </w:tabs>
              <w:suppressAutoHyphens/>
              <w:jc w:val="both"/>
              <w:rPr>
                <w:rFonts w:ascii="Arial" w:hAnsi="Arial" w:cs="Arial"/>
                <w:szCs w:val="22"/>
                <w:highlight w:val="yellow"/>
                <w:lang w:val="it-IT"/>
              </w:rPr>
            </w:pPr>
            <w:r w:rsidRPr="006B6BB7">
              <w:rPr>
                <w:rFonts w:ascii="Arial" w:hAnsi="Arial" w:cs="Arial"/>
                <w:szCs w:val="22"/>
                <w:highlight w:val="yellow"/>
                <w:lang w:val="it-IT"/>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5C44D5CA"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927C05">
        <w:rPr>
          <w:rFonts w:ascii="Arial" w:hAnsi="Arial" w:cs="Arial"/>
          <w:szCs w:val="22"/>
          <w:shd w:val="clear" w:color="auto" w:fill="FFFFFF" w:themeFill="background1"/>
        </w:rPr>
        <w:t xml:space="preserve">The </w:t>
      </w:r>
      <w:r w:rsidR="00292DF5" w:rsidRPr="00927C05">
        <w:rPr>
          <w:rFonts w:ascii="Arial" w:hAnsi="Arial" w:cs="Arial"/>
          <w:szCs w:val="22"/>
          <w:shd w:val="clear" w:color="auto" w:fill="FFFFFF" w:themeFill="background1"/>
        </w:rPr>
        <w:t>Supplier</w:t>
      </w:r>
      <w:r w:rsidRPr="00927C05">
        <w:rPr>
          <w:rFonts w:ascii="Arial" w:hAnsi="Arial" w:cs="Arial"/>
          <w:szCs w:val="22"/>
          <w:shd w:val="clear" w:color="auto" w:fill="FFFFFF" w:themeFill="background1"/>
        </w:rPr>
        <w:t xml:space="preserve"> shall use reasonable </w:t>
      </w:r>
      <w:r w:rsidRPr="00927C05">
        <w:rPr>
          <w:rFonts w:ascii="Arial" w:hAnsi="Arial" w:cs="Arial"/>
          <w:shd w:val="clear" w:color="auto" w:fill="FFFFFF" w:themeFill="background1"/>
        </w:rPr>
        <w:t>endeavours</w:t>
      </w:r>
      <w:r w:rsidRPr="00927C05">
        <w:rPr>
          <w:rFonts w:ascii="Arial" w:hAnsi="Arial" w:cs="Arial"/>
          <w:szCs w:val="22"/>
          <w:shd w:val="clear" w:color="auto" w:fill="FFFFFF" w:themeFill="background1"/>
        </w:rPr>
        <w:t xml:space="preserve"> to ensure the accuracy and completeness of information provided to it by third parties in relation to the subject matter of the Contract.  In addition,</w:t>
      </w:r>
      <w:r w:rsidRPr="00927C05">
        <w:rPr>
          <w:rFonts w:ascii="Arial" w:hAnsi="Arial" w:cs="Arial"/>
          <w:color w:val="FF0000"/>
          <w:szCs w:val="22"/>
          <w:shd w:val="clear" w:color="auto" w:fill="FFFFFF" w:themeFill="background1"/>
        </w:rPr>
        <w:t xml:space="preserve"> </w:t>
      </w:r>
      <w:r w:rsidRPr="00927C05">
        <w:rPr>
          <w:rFonts w:ascii="Arial" w:hAnsi="Arial" w:cs="Arial"/>
          <w:szCs w:val="22"/>
          <w:shd w:val="clear" w:color="auto" w:fill="FFFFFF" w:themeFill="background1"/>
        </w:rPr>
        <w:t xml:space="preserve">the </w:t>
      </w:r>
      <w:r w:rsidR="00292DF5" w:rsidRPr="00927C05">
        <w:rPr>
          <w:rFonts w:ascii="Arial" w:hAnsi="Arial" w:cs="Arial"/>
          <w:szCs w:val="22"/>
          <w:shd w:val="clear" w:color="auto" w:fill="FFFFFF" w:themeFill="background1"/>
        </w:rPr>
        <w:t>Supplier</w:t>
      </w:r>
      <w:r w:rsidRPr="00927C05">
        <w:rPr>
          <w:rFonts w:ascii="Arial" w:hAnsi="Arial" w:cs="Arial"/>
          <w:szCs w:val="22"/>
          <w:shd w:val="clear" w:color="auto" w:fill="FFFFFF" w:themeFill="background1"/>
        </w:rPr>
        <w:t xml:space="preserve"> shall be responsible for the accuracy and completeness of all drawings, </w:t>
      </w:r>
      <w:r>
        <w:rPr>
          <w:rFonts w:ascii="Arial" w:hAnsi="Arial" w:cs="Arial"/>
          <w:szCs w:val="22"/>
        </w:rPr>
        <w:t xml:space="preserve">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5B3A7A02"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927C05" w:rsidRPr="00927C05">
        <w:rPr>
          <w:rFonts w:ascii="Arial" w:hAnsi="Arial" w:cs="Arial"/>
          <w:szCs w:val="22"/>
        </w:rPr>
        <w:t>125</w:t>
      </w:r>
      <w:r w:rsidRPr="00927C05">
        <w:rPr>
          <w:rFonts w:ascii="Arial" w:hAnsi="Arial" w:cs="Arial"/>
          <w:szCs w:val="22"/>
        </w:rPr>
        <w:t>%</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15758071"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of </w:t>
      </w:r>
      <w:r w:rsidR="00927C05">
        <w:rPr>
          <w:rFonts w:ascii="Arial" w:hAnsi="Arial" w:cs="Arial"/>
          <w:szCs w:val="22"/>
        </w:rPr>
        <w:t>one hundred and twenty-five</w:t>
      </w:r>
      <w:r w:rsidRPr="00927C05">
        <w:rPr>
          <w:rFonts w:ascii="Arial" w:hAnsi="Arial" w:cs="Arial"/>
          <w:szCs w:val="22"/>
          <w:shd w:val="clear" w:color="auto" w:fill="FFFFFF" w:themeFill="background1"/>
        </w:rPr>
        <w:t xml:space="preserve"> per cent (</w:t>
      </w:r>
      <w:r w:rsidR="00927C05" w:rsidRPr="00927C05">
        <w:rPr>
          <w:rFonts w:ascii="Arial" w:hAnsi="Arial" w:cs="Arial"/>
          <w:szCs w:val="22"/>
          <w:shd w:val="clear" w:color="auto" w:fill="FFFFFF" w:themeFill="background1"/>
        </w:rPr>
        <w:t>125</w:t>
      </w:r>
      <w:r w:rsidRPr="00927C05">
        <w:rPr>
          <w:rFonts w:ascii="Arial" w:hAnsi="Arial" w:cs="Arial"/>
          <w:szCs w:val="22"/>
          <w:shd w:val="clear" w:color="auto" w:fill="FFFFFF" w:themeFill="background1"/>
        </w:rPr>
        <w:t xml:space="preserve">%) </w:t>
      </w:r>
      <w:r>
        <w:rPr>
          <w:rFonts w:ascii="Arial" w:hAnsi="Arial" w:cs="Arial"/>
          <w:szCs w:val="22"/>
        </w:rPr>
        <w:t>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3D8DFD4" w14:textId="1B77EB06" w:rsidR="00112F2D" w:rsidRDefault="00112F2D" w:rsidP="000A3B7F">
      <w:pPr>
        <w:spacing w:after="240"/>
        <w:contextualSpacing/>
        <w:rPr>
          <w:rFonts w:ascii="Arial" w:hAnsi="Arial" w:cs="Arial"/>
          <w:noProof w:val="0"/>
          <w:sz w:val="22"/>
          <w:szCs w:val="22"/>
          <w:lang w:eastAsia="en-US"/>
        </w:rPr>
      </w:pPr>
    </w:p>
    <w:p w14:paraId="6280041E" w14:textId="078D141B" w:rsidR="00112F2D" w:rsidRDefault="00112F2D" w:rsidP="000A3B7F">
      <w:pPr>
        <w:spacing w:after="240"/>
        <w:contextualSpacing/>
        <w:rPr>
          <w:rFonts w:ascii="Arial" w:hAnsi="Arial" w:cs="Arial"/>
          <w:noProof w:val="0"/>
          <w:sz w:val="22"/>
          <w:szCs w:val="22"/>
          <w:lang w:eastAsia="en-US"/>
        </w:rPr>
      </w:pPr>
    </w:p>
    <w:p w14:paraId="0A56F0E5" w14:textId="77777777" w:rsidR="005E0EB5" w:rsidRDefault="00DF6356" w:rsidP="0039272F">
      <w:pPr>
        <w:spacing w:after="240"/>
        <w:contextualSpacing/>
        <w:jc w:val="both"/>
        <w:rPr>
          <w:rFonts w:ascii="Arial" w:hAnsi="Arial" w:cs="Arial"/>
          <w:noProof w:val="0"/>
          <w:sz w:val="22"/>
          <w:szCs w:val="22"/>
          <w:lang w:val="en-US" w:eastAsia="en-US"/>
        </w:rPr>
      </w:pPr>
      <w:r w:rsidRPr="00DF6356">
        <w:rPr>
          <w:rFonts w:ascii="Arial" w:hAnsi="Arial" w:cs="Arial"/>
          <w:noProof w:val="0"/>
          <w:sz w:val="22"/>
          <w:szCs w:val="22"/>
          <w:lang w:val="en-US" w:eastAsia="en-US"/>
        </w:rPr>
        <w:t xml:space="preserve">The ORR seeks to commission a consultancy project to understand Network Rail’s expenditure on workplace management (comprising facility management, accommodation and utilities within office spaces). This evidence base will inform our PR23 initial advice to funders, as well as the broader PR23 cost and efficiency assessment.  </w:t>
      </w:r>
    </w:p>
    <w:p w14:paraId="44F08B56" w14:textId="77777777" w:rsidR="005E0EB5" w:rsidRDefault="005E0EB5" w:rsidP="0039272F">
      <w:pPr>
        <w:spacing w:after="240"/>
        <w:contextualSpacing/>
        <w:jc w:val="both"/>
        <w:rPr>
          <w:rFonts w:ascii="Arial" w:hAnsi="Arial" w:cs="Arial"/>
          <w:noProof w:val="0"/>
          <w:sz w:val="22"/>
          <w:szCs w:val="22"/>
          <w:lang w:val="en-US" w:eastAsia="en-US"/>
        </w:rPr>
      </w:pPr>
    </w:p>
    <w:p w14:paraId="6C39B8A1" w14:textId="42172FA0" w:rsidR="00DF6356" w:rsidRDefault="00DF6356" w:rsidP="0039272F">
      <w:pPr>
        <w:spacing w:after="240"/>
        <w:contextualSpacing/>
        <w:jc w:val="both"/>
        <w:rPr>
          <w:rFonts w:ascii="Arial" w:hAnsi="Arial" w:cs="Arial"/>
          <w:noProof w:val="0"/>
          <w:sz w:val="22"/>
          <w:szCs w:val="22"/>
          <w:lang w:val="en-US" w:eastAsia="en-US"/>
        </w:rPr>
      </w:pPr>
      <w:r w:rsidRPr="00DF6356">
        <w:rPr>
          <w:rFonts w:ascii="Arial" w:hAnsi="Arial" w:cs="Arial"/>
          <w:noProof w:val="0"/>
          <w:sz w:val="22"/>
          <w:szCs w:val="22"/>
          <w:lang w:val="en-US" w:eastAsia="en-US"/>
        </w:rPr>
        <w:t>The analysis forms two parts:</w:t>
      </w:r>
    </w:p>
    <w:p w14:paraId="0E8AEAB7" w14:textId="77777777" w:rsidR="005E0EB5" w:rsidRPr="00DF6356" w:rsidRDefault="005E0EB5" w:rsidP="0039272F">
      <w:pPr>
        <w:spacing w:after="240"/>
        <w:contextualSpacing/>
        <w:jc w:val="both"/>
        <w:rPr>
          <w:rFonts w:ascii="Arial" w:hAnsi="Arial" w:cs="Arial"/>
          <w:noProof w:val="0"/>
          <w:sz w:val="22"/>
          <w:szCs w:val="22"/>
          <w:lang w:val="en-US" w:eastAsia="en-US"/>
        </w:rPr>
      </w:pPr>
    </w:p>
    <w:p w14:paraId="7D6CF6AA" w14:textId="77777777" w:rsidR="00DF6356" w:rsidRPr="00DF6356" w:rsidRDefault="00DF6356" w:rsidP="0039272F">
      <w:pPr>
        <w:spacing w:after="240"/>
        <w:contextualSpacing/>
        <w:jc w:val="both"/>
        <w:rPr>
          <w:rFonts w:ascii="Arial" w:hAnsi="Arial" w:cs="Arial"/>
          <w:noProof w:val="0"/>
          <w:sz w:val="22"/>
          <w:szCs w:val="22"/>
          <w:lang w:val="en-US" w:eastAsia="en-US"/>
        </w:rPr>
      </w:pPr>
      <w:r w:rsidRPr="00DF6356">
        <w:rPr>
          <w:rFonts w:ascii="Arial" w:hAnsi="Arial" w:cs="Arial"/>
          <w:noProof w:val="0"/>
          <w:sz w:val="22"/>
          <w:szCs w:val="22"/>
          <w:lang w:val="en-US" w:eastAsia="en-US"/>
        </w:rPr>
        <w:t>1) Benchmarking: We anticipate that consultants will compare Network Rail against: domestic companies of comparable scale and/or scope (for example, utility companies or train operating companies); and potentially rail infrastructure managers abroad</w:t>
      </w:r>
    </w:p>
    <w:p w14:paraId="4A48FECA" w14:textId="351DFF72" w:rsidR="00112F2D" w:rsidRDefault="00112F2D" w:rsidP="0039272F">
      <w:pPr>
        <w:spacing w:after="240"/>
        <w:contextualSpacing/>
        <w:jc w:val="both"/>
        <w:rPr>
          <w:rFonts w:ascii="Arial" w:hAnsi="Arial" w:cs="Arial"/>
          <w:noProof w:val="0"/>
          <w:sz w:val="22"/>
          <w:szCs w:val="22"/>
          <w:lang w:val="en-US" w:eastAsia="en-US"/>
        </w:rPr>
      </w:pPr>
    </w:p>
    <w:p w14:paraId="4C42FAD8" w14:textId="77777777" w:rsidR="00BA37A0" w:rsidRPr="00BA37A0" w:rsidRDefault="00BA37A0" w:rsidP="0039272F">
      <w:pPr>
        <w:spacing w:after="240"/>
        <w:contextualSpacing/>
        <w:jc w:val="both"/>
        <w:rPr>
          <w:rFonts w:ascii="Arial" w:hAnsi="Arial" w:cs="Arial"/>
          <w:noProof w:val="0"/>
          <w:sz w:val="22"/>
          <w:szCs w:val="22"/>
          <w:lang w:val="en-US" w:eastAsia="en-US"/>
        </w:rPr>
      </w:pPr>
      <w:r w:rsidRPr="00BA37A0">
        <w:rPr>
          <w:rFonts w:ascii="Arial" w:hAnsi="Arial" w:cs="Arial"/>
          <w:noProof w:val="0"/>
          <w:sz w:val="22"/>
          <w:szCs w:val="22"/>
          <w:lang w:val="en-US" w:eastAsia="en-US"/>
        </w:rPr>
        <w:t>The work should also take account of existing evidence, including work previously commissioned by Network Rail and ORR, any on-going work by Network Rail along with any benchmarking work in other industries from which lessons could be drawn.</w:t>
      </w:r>
    </w:p>
    <w:p w14:paraId="409E2069" w14:textId="77777777" w:rsidR="00BA37A0" w:rsidRPr="00BA37A0" w:rsidRDefault="00BA37A0" w:rsidP="0039272F">
      <w:pPr>
        <w:spacing w:after="240"/>
        <w:contextualSpacing/>
        <w:jc w:val="both"/>
        <w:rPr>
          <w:rFonts w:ascii="Arial" w:hAnsi="Arial" w:cs="Arial"/>
          <w:noProof w:val="0"/>
          <w:sz w:val="22"/>
          <w:szCs w:val="22"/>
          <w:lang w:val="en-US" w:eastAsia="en-US"/>
        </w:rPr>
      </w:pPr>
    </w:p>
    <w:p w14:paraId="0D4E4439" w14:textId="77777777" w:rsidR="00BA37A0" w:rsidRPr="00BA37A0" w:rsidRDefault="00BA37A0" w:rsidP="0039272F">
      <w:pPr>
        <w:spacing w:after="240"/>
        <w:contextualSpacing/>
        <w:jc w:val="both"/>
        <w:rPr>
          <w:rFonts w:ascii="Arial" w:hAnsi="Arial" w:cs="Arial"/>
          <w:noProof w:val="0"/>
          <w:sz w:val="22"/>
          <w:szCs w:val="22"/>
          <w:lang w:val="en-US" w:eastAsia="en-US"/>
        </w:rPr>
      </w:pPr>
      <w:r w:rsidRPr="00BA37A0">
        <w:rPr>
          <w:rFonts w:ascii="Arial" w:hAnsi="Arial" w:cs="Arial"/>
          <w:noProof w:val="0"/>
          <w:sz w:val="22"/>
          <w:szCs w:val="22"/>
          <w:lang w:val="en-US" w:eastAsia="en-US"/>
        </w:rPr>
        <w:t>2) The project should extend to a detailed analysis of Network Rail’s office workplace management.  This second and larger element of the task will require a bottom-up or similar approach to assessing spend areas (nationally &amp; regionally) with a view to identifying any potential efficiencies.</w:t>
      </w:r>
    </w:p>
    <w:p w14:paraId="195914DD" w14:textId="77777777" w:rsidR="009F09D9" w:rsidRDefault="009F09D9" w:rsidP="0039272F">
      <w:pPr>
        <w:spacing w:after="240"/>
        <w:contextualSpacing/>
        <w:jc w:val="both"/>
        <w:rPr>
          <w:rFonts w:ascii="Arial" w:hAnsi="Arial" w:cs="Arial"/>
          <w:noProof w:val="0"/>
          <w:sz w:val="22"/>
          <w:szCs w:val="22"/>
          <w:lang w:val="en-US" w:eastAsia="en-US"/>
        </w:rPr>
      </w:pPr>
    </w:p>
    <w:p w14:paraId="5ADD8D28" w14:textId="636A8737" w:rsidR="00BA37A0" w:rsidRDefault="00BA37A0" w:rsidP="00BA37A0">
      <w:pPr>
        <w:spacing w:after="240"/>
        <w:contextualSpacing/>
        <w:rPr>
          <w:rFonts w:ascii="Arial" w:hAnsi="Arial" w:cs="Arial"/>
          <w:b/>
          <w:bCs/>
          <w:noProof w:val="0"/>
          <w:sz w:val="24"/>
          <w:szCs w:val="24"/>
          <w:lang w:val="en-US" w:eastAsia="en-US"/>
        </w:rPr>
      </w:pPr>
      <w:r w:rsidRPr="009F09D9">
        <w:rPr>
          <w:rFonts w:ascii="Arial" w:hAnsi="Arial" w:cs="Arial"/>
          <w:b/>
          <w:bCs/>
          <w:noProof w:val="0"/>
          <w:sz w:val="24"/>
          <w:szCs w:val="24"/>
          <w:lang w:val="en-US" w:eastAsia="en-US"/>
        </w:rPr>
        <w:t>Methodology</w:t>
      </w:r>
    </w:p>
    <w:p w14:paraId="08D222F9" w14:textId="77777777" w:rsidR="008E60E1" w:rsidRPr="009F09D9" w:rsidRDefault="008E60E1" w:rsidP="00BA37A0">
      <w:pPr>
        <w:spacing w:after="240"/>
        <w:contextualSpacing/>
        <w:rPr>
          <w:rFonts w:ascii="Arial" w:hAnsi="Arial" w:cs="Arial"/>
          <w:b/>
          <w:bCs/>
          <w:noProof w:val="0"/>
          <w:sz w:val="24"/>
          <w:szCs w:val="24"/>
          <w:lang w:val="en-US" w:eastAsia="en-US"/>
        </w:rPr>
      </w:pPr>
    </w:p>
    <w:p w14:paraId="67C1F18C" w14:textId="65F84A73" w:rsidR="009F09D9" w:rsidRPr="009F09D9" w:rsidRDefault="008E60E1" w:rsidP="0039272F">
      <w:pPr>
        <w:spacing w:after="240"/>
        <w:contextualSpacing/>
        <w:jc w:val="both"/>
        <w:rPr>
          <w:rFonts w:ascii="Arial" w:hAnsi="Arial" w:cs="Arial"/>
          <w:noProof w:val="0"/>
          <w:sz w:val="22"/>
          <w:szCs w:val="22"/>
          <w:lang w:val="en-US" w:eastAsia="en-US"/>
        </w:rPr>
      </w:pPr>
      <w:r>
        <w:rPr>
          <w:rFonts w:ascii="Arial" w:hAnsi="Arial" w:cs="Arial"/>
          <w:noProof w:val="0"/>
          <w:sz w:val="22"/>
          <w:szCs w:val="22"/>
          <w:lang w:val="en-US" w:eastAsia="en-US"/>
        </w:rPr>
        <w:t>ORR</w:t>
      </w:r>
      <w:r w:rsidR="009F09D9" w:rsidRPr="009F09D9">
        <w:rPr>
          <w:rFonts w:ascii="Arial" w:hAnsi="Arial" w:cs="Arial"/>
          <w:noProof w:val="0"/>
          <w:sz w:val="22"/>
          <w:szCs w:val="22"/>
          <w:lang w:val="en-US" w:eastAsia="en-US"/>
        </w:rPr>
        <w:t xml:space="preserve"> welcome</w:t>
      </w:r>
      <w:r>
        <w:rPr>
          <w:rFonts w:ascii="Arial" w:hAnsi="Arial" w:cs="Arial"/>
          <w:noProof w:val="0"/>
          <w:sz w:val="22"/>
          <w:szCs w:val="22"/>
          <w:lang w:val="en-US" w:eastAsia="en-US"/>
        </w:rPr>
        <w:t>s</w:t>
      </w:r>
      <w:r w:rsidR="009F09D9" w:rsidRPr="009F09D9">
        <w:rPr>
          <w:rFonts w:ascii="Arial" w:hAnsi="Arial" w:cs="Arial"/>
          <w:noProof w:val="0"/>
          <w:sz w:val="22"/>
          <w:szCs w:val="22"/>
          <w:lang w:val="en-US" w:eastAsia="en-US"/>
        </w:rPr>
        <w:t xml:space="preserve"> views from consultants on the most appropriate approach to this work, including the most relevant comparators, companies and the types of metrics we should use.</w:t>
      </w:r>
    </w:p>
    <w:p w14:paraId="165C8165" w14:textId="77777777" w:rsidR="009F09D9" w:rsidRPr="009F09D9" w:rsidRDefault="009F09D9" w:rsidP="0039272F">
      <w:pPr>
        <w:spacing w:after="240"/>
        <w:contextualSpacing/>
        <w:jc w:val="both"/>
        <w:rPr>
          <w:rFonts w:ascii="Arial" w:hAnsi="Arial" w:cs="Arial"/>
          <w:noProof w:val="0"/>
          <w:sz w:val="22"/>
          <w:szCs w:val="22"/>
          <w:lang w:val="en-US" w:eastAsia="en-US"/>
        </w:rPr>
      </w:pPr>
    </w:p>
    <w:p w14:paraId="75DCCAFE" w14:textId="77777777" w:rsidR="009F09D9" w:rsidRPr="009F09D9" w:rsidRDefault="009F09D9" w:rsidP="0039272F">
      <w:pPr>
        <w:spacing w:after="240"/>
        <w:contextualSpacing/>
        <w:jc w:val="both"/>
        <w:rPr>
          <w:rFonts w:ascii="Arial" w:hAnsi="Arial" w:cs="Arial"/>
          <w:noProof w:val="0"/>
          <w:sz w:val="22"/>
          <w:szCs w:val="22"/>
          <w:lang w:val="en-US" w:eastAsia="en-US"/>
        </w:rPr>
      </w:pPr>
      <w:r w:rsidRPr="009F09D9">
        <w:rPr>
          <w:rFonts w:ascii="Arial" w:hAnsi="Arial" w:cs="Arial"/>
          <w:noProof w:val="0"/>
          <w:sz w:val="22"/>
          <w:szCs w:val="22"/>
          <w:lang w:val="en-US" w:eastAsia="en-US"/>
        </w:rPr>
        <w:t>We consider that the project should include:</w:t>
      </w:r>
    </w:p>
    <w:p w14:paraId="3264612B" w14:textId="77777777" w:rsidR="009F09D9" w:rsidRPr="009F09D9" w:rsidRDefault="009F09D9" w:rsidP="0039272F">
      <w:pPr>
        <w:spacing w:after="240"/>
        <w:contextualSpacing/>
        <w:jc w:val="both"/>
        <w:rPr>
          <w:rFonts w:ascii="Arial" w:hAnsi="Arial" w:cs="Arial"/>
          <w:noProof w:val="0"/>
          <w:sz w:val="22"/>
          <w:szCs w:val="22"/>
          <w:lang w:val="en-US" w:eastAsia="en-US"/>
        </w:rPr>
      </w:pPr>
    </w:p>
    <w:p w14:paraId="4FF081DE" w14:textId="77777777" w:rsidR="009F09D9" w:rsidRPr="009F09D9" w:rsidRDefault="009F09D9" w:rsidP="0039272F">
      <w:pPr>
        <w:spacing w:after="240"/>
        <w:contextualSpacing/>
        <w:jc w:val="both"/>
        <w:rPr>
          <w:rFonts w:ascii="Arial" w:hAnsi="Arial" w:cs="Arial"/>
          <w:noProof w:val="0"/>
          <w:sz w:val="22"/>
          <w:szCs w:val="22"/>
          <w:lang w:val="en-US" w:eastAsia="en-US"/>
        </w:rPr>
      </w:pPr>
      <w:r w:rsidRPr="009F09D9">
        <w:rPr>
          <w:rFonts w:ascii="Arial" w:hAnsi="Arial" w:cs="Arial"/>
          <w:noProof w:val="0"/>
          <w:sz w:val="22"/>
          <w:szCs w:val="22"/>
          <w:lang w:val="en-US" w:eastAsia="en-US"/>
        </w:rPr>
        <w:t>•</w:t>
      </w:r>
      <w:r w:rsidRPr="009F09D9">
        <w:rPr>
          <w:rFonts w:ascii="Arial" w:hAnsi="Arial" w:cs="Arial"/>
          <w:noProof w:val="0"/>
          <w:sz w:val="22"/>
          <w:szCs w:val="22"/>
          <w:lang w:val="en-US" w:eastAsia="en-US"/>
        </w:rPr>
        <w:tab/>
        <w:t>a review of evidence from previous work including information provided by NR to the Cabinet Office on office accommodation;</w:t>
      </w:r>
    </w:p>
    <w:p w14:paraId="58B2F3EB" w14:textId="77777777" w:rsidR="009F09D9" w:rsidRPr="009F09D9" w:rsidRDefault="009F09D9" w:rsidP="0039272F">
      <w:pPr>
        <w:spacing w:after="240"/>
        <w:contextualSpacing/>
        <w:jc w:val="both"/>
        <w:rPr>
          <w:rFonts w:ascii="Arial" w:hAnsi="Arial" w:cs="Arial"/>
          <w:noProof w:val="0"/>
          <w:sz w:val="22"/>
          <w:szCs w:val="22"/>
          <w:lang w:val="en-US" w:eastAsia="en-US"/>
        </w:rPr>
      </w:pPr>
      <w:r w:rsidRPr="009F09D9">
        <w:rPr>
          <w:rFonts w:ascii="Arial" w:hAnsi="Arial" w:cs="Arial"/>
          <w:noProof w:val="0"/>
          <w:sz w:val="22"/>
          <w:szCs w:val="22"/>
          <w:lang w:val="en-US" w:eastAsia="en-US"/>
        </w:rPr>
        <w:t>•</w:t>
      </w:r>
      <w:r w:rsidRPr="009F09D9">
        <w:rPr>
          <w:rFonts w:ascii="Arial" w:hAnsi="Arial" w:cs="Arial"/>
          <w:noProof w:val="0"/>
          <w:sz w:val="22"/>
          <w:szCs w:val="22"/>
          <w:lang w:val="en-US" w:eastAsia="en-US"/>
        </w:rPr>
        <w:tab/>
        <w:t>benchmarking comparisons of both staff numbers and overall expenditure, normalised using suitable metrics (such as total office area);</w:t>
      </w:r>
    </w:p>
    <w:p w14:paraId="64446924" w14:textId="77777777" w:rsidR="009F09D9" w:rsidRPr="009F09D9" w:rsidRDefault="009F09D9" w:rsidP="0039272F">
      <w:pPr>
        <w:spacing w:after="240"/>
        <w:contextualSpacing/>
        <w:jc w:val="both"/>
        <w:rPr>
          <w:rFonts w:ascii="Arial" w:hAnsi="Arial" w:cs="Arial"/>
          <w:noProof w:val="0"/>
          <w:sz w:val="22"/>
          <w:szCs w:val="22"/>
          <w:lang w:val="en-US" w:eastAsia="en-US"/>
        </w:rPr>
      </w:pPr>
      <w:r w:rsidRPr="009F09D9">
        <w:rPr>
          <w:rFonts w:ascii="Arial" w:hAnsi="Arial" w:cs="Arial"/>
          <w:noProof w:val="0"/>
          <w:sz w:val="22"/>
          <w:szCs w:val="22"/>
          <w:lang w:val="en-US" w:eastAsia="en-US"/>
        </w:rPr>
        <w:t>•</w:t>
      </w:r>
      <w:r w:rsidRPr="009F09D9">
        <w:rPr>
          <w:rFonts w:ascii="Arial" w:hAnsi="Arial" w:cs="Arial"/>
          <w:noProof w:val="0"/>
          <w:sz w:val="22"/>
          <w:szCs w:val="22"/>
          <w:lang w:val="en-US" w:eastAsia="en-US"/>
        </w:rPr>
        <w:tab/>
        <w:t>a consideration of outsourcing and the devolution of some activities to geographical business units, and how efficiency in this area can be improved;</w:t>
      </w:r>
    </w:p>
    <w:p w14:paraId="2F828410" w14:textId="77777777" w:rsidR="009F09D9" w:rsidRPr="009F09D9" w:rsidRDefault="009F09D9" w:rsidP="0039272F">
      <w:pPr>
        <w:spacing w:after="240"/>
        <w:contextualSpacing/>
        <w:jc w:val="both"/>
        <w:rPr>
          <w:rFonts w:ascii="Arial" w:hAnsi="Arial" w:cs="Arial"/>
          <w:noProof w:val="0"/>
          <w:sz w:val="22"/>
          <w:szCs w:val="22"/>
          <w:lang w:val="en-US" w:eastAsia="en-US"/>
        </w:rPr>
      </w:pPr>
      <w:r w:rsidRPr="009F09D9">
        <w:rPr>
          <w:rFonts w:ascii="Arial" w:hAnsi="Arial" w:cs="Arial"/>
          <w:noProof w:val="0"/>
          <w:sz w:val="22"/>
          <w:szCs w:val="22"/>
          <w:lang w:val="en-US" w:eastAsia="en-US"/>
        </w:rPr>
        <w:t>•</w:t>
      </w:r>
      <w:r w:rsidRPr="009F09D9">
        <w:rPr>
          <w:rFonts w:ascii="Arial" w:hAnsi="Arial" w:cs="Arial"/>
          <w:noProof w:val="0"/>
          <w:sz w:val="22"/>
          <w:szCs w:val="22"/>
          <w:lang w:val="en-US" w:eastAsia="en-US"/>
        </w:rPr>
        <w:tab/>
        <w:t>a consideration of how expenditure has changed over time;</w:t>
      </w:r>
    </w:p>
    <w:p w14:paraId="3D112890" w14:textId="77777777" w:rsidR="009F09D9" w:rsidRPr="009F09D9" w:rsidRDefault="009F09D9" w:rsidP="0039272F">
      <w:pPr>
        <w:spacing w:after="240"/>
        <w:contextualSpacing/>
        <w:jc w:val="both"/>
        <w:rPr>
          <w:rFonts w:ascii="Arial" w:hAnsi="Arial" w:cs="Arial"/>
          <w:noProof w:val="0"/>
          <w:sz w:val="22"/>
          <w:szCs w:val="22"/>
          <w:lang w:val="en-US" w:eastAsia="en-US"/>
        </w:rPr>
      </w:pPr>
      <w:r w:rsidRPr="009F09D9">
        <w:rPr>
          <w:rFonts w:ascii="Arial" w:hAnsi="Arial" w:cs="Arial"/>
          <w:noProof w:val="0"/>
          <w:sz w:val="22"/>
          <w:szCs w:val="22"/>
          <w:lang w:val="en-US" w:eastAsia="en-US"/>
        </w:rPr>
        <w:t>•</w:t>
      </w:r>
      <w:r w:rsidRPr="009F09D9">
        <w:rPr>
          <w:rFonts w:ascii="Arial" w:hAnsi="Arial" w:cs="Arial"/>
          <w:noProof w:val="0"/>
          <w:sz w:val="22"/>
          <w:szCs w:val="22"/>
          <w:lang w:val="en-US" w:eastAsia="en-US"/>
        </w:rPr>
        <w:tab/>
        <w:t>a comparison across the 5x regions of NR and the central function;</w:t>
      </w:r>
    </w:p>
    <w:p w14:paraId="564DF27B" w14:textId="77777777" w:rsidR="009F09D9" w:rsidRPr="009F09D9" w:rsidRDefault="009F09D9" w:rsidP="0039272F">
      <w:pPr>
        <w:spacing w:after="240"/>
        <w:contextualSpacing/>
        <w:jc w:val="both"/>
        <w:rPr>
          <w:rFonts w:ascii="Arial" w:hAnsi="Arial" w:cs="Arial"/>
          <w:noProof w:val="0"/>
          <w:sz w:val="22"/>
          <w:szCs w:val="22"/>
          <w:lang w:val="en-US" w:eastAsia="en-US"/>
        </w:rPr>
      </w:pPr>
      <w:r w:rsidRPr="009F09D9">
        <w:rPr>
          <w:rFonts w:ascii="Arial" w:hAnsi="Arial" w:cs="Arial"/>
          <w:noProof w:val="0"/>
          <w:sz w:val="22"/>
          <w:szCs w:val="22"/>
          <w:lang w:val="en-US" w:eastAsia="en-US"/>
        </w:rPr>
        <w:t>•</w:t>
      </w:r>
      <w:r w:rsidRPr="009F09D9">
        <w:rPr>
          <w:rFonts w:ascii="Arial" w:hAnsi="Arial" w:cs="Arial"/>
          <w:noProof w:val="0"/>
          <w:sz w:val="22"/>
          <w:szCs w:val="22"/>
          <w:lang w:val="en-US" w:eastAsia="en-US"/>
        </w:rPr>
        <w:tab/>
        <w:t>a view on the extent to which the evidence suggests there is scope to improve efficiency and/or effectiveness; and,</w:t>
      </w:r>
    </w:p>
    <w:p w14:paraId="075C2E2E" w14:textId="77777777" w:rsidR="009F09D9" w:rsidRPr="009F09D9" w:rsidRDefault="009F09D9" w:rsidP="0039272F">
      <w:pPr>
        <w:spacing w:after="240"/>
        <w:contextualSpacing/>
        <w:jc w:val="both"/>
        <w:rPr>
          <w:rFonts w:ascii="Arial" w:hAnsi="Arial" w:cs="Arial"/>
          <w:noProof w:val="0"/>
          <w:sz w:val="22"/>
          <w:szCs w:val="22"/>
          <w:lang w:val="en-US" w:eastAsia="en-US"/>
        </w:rPr>
      </w:pPr>
      <w:r w:rsidRPr="009F09D9">
        <w:rPr>
          <w:rFonts w:ascii="Arial" w:hAnsi="Arial" w:cs="Arial"/>
          <w:noProof w:val="0"/>
          <w:sz w:val="22"/>
          <w:szCs w:val="22"/>
          <w:lang w:val="en-US" w:eastAsia="en-US"/>
        </w:rPr>
        <w:t>•</w:t>
      </w:r>
      <w:r w:rsidRPr="009F09D9">
        <w:rPr>
          <w:rFonts w:ascii="Arial" w:hAnsi="Arial" w:cs="Arial"/>
          <w:noProof w:val="0"/>
          <w:sz w:val="22"/>
          <w:szCs w:val="22"/>
          <w:lang w:val="en-US" w:eastAsia="en-US"/>
        </w:rPr>
        <w:tab/>
        <w:t xml:space="preserve">a view on the effectiveness of interfaces between Network Rail’s Workplace Management. </w:t>
      </w:r>
    </w:p>
    <w:p w14:paraId="766457D9" w14:textId="77777777" w:rsidR="009F09D9" w:rsidRPr="009F09D9" w:rsidRDefault="009F09D9" w:rsidP="0039272F">
      <w:pPr>
        <w:spacing w:after="240"/>
        <w:contextualSpacing/>
        <w:jc w:val="both"/>
        <w:rPr>
          <w:rFonts w:ascii="Arial" w:hAnsi="Arial" w:cs="Arial"/>
          <w:noProof w:val="0"/>
          <w:sz w:val="22"/>
          <w:szCs w:val="22"/>
          <w:lang w:val="en-US" w:eastAsia="en-US"/>
        </w:rPr>
      </w:pPr>
    </w:p>
    <w:p w14:paraId="028B286E" w14:textId="77777777" w:rsidR="009F09D9" w:rsidRPr="009F09D9" w:rsidRDefault="009F09D9" w:rsidP="0039272F">
      <w:pPr>
        <w:spacing w:after="240"/>
        <w:contextualSpacing/>
        <w:jc w:val="both"/>
        <w:rPr>
          <w:rFonts w:ascii="Arial" w:hAnsi="Arial" w:cs="Arial"/>
          <w:noProof w:val="0"/>
          <w:sz w:val="22"/>
          <w:szCs w:val="22"/>
          <w:lang w:val="en-US" w:eastAsia="en-US"/>
        </w:rPr>
      </w:pPr>
      <w:r w:rsidRPr="009F09D9">
        <w:rPr>
          <w:rFonts w:ascii="Arial" w:hAnsi="Arial" w:cs="Arial"/>
          <w:noProof w:val="0"/>
          <w:sz w:val="22"/>
          <w:szCs w:val="22"/>
          <w:lang w:val="en-US" w:eastAsia="en-US"/>
        </w:rPr>
        <w:t>We consider that the project should exclude:</w:t>
      </w:r>
    </w:p>
    <w:p w14:paraId="2F9ABC88" w14:textId="77777777" w:rsidR="009F09D9" w:rsidRPr="009F09D9" w:rsidRDefault="009F09D9" w:rsidP="0039272F">
      <w:pPr>
        <w:spacing w:after="240"/>
        <w:contextualSpacing/>
        <w:jc w:val="both"/>
        <w:rPr>
          <w:rFonts w:ascii="Arial" w:hAnsi="Arial" w:cs="Arial"/>
          <w:noProof w:val="0"/>
          <w:sz w:val="22"/>
          <w:szCs w:val="22"/>
          <w:lang w:val="en-US" w:eastAsia="en-US"/>
        </w:rPr>
      </w:pPr>
    </w:p>
    <w:p w14:paraId="5E3F8C91" w14:textId="77777777" w:rsidR="009F09D9" w:rsidRPr="009F09D9" w:rsidRDefault="009F09D9" w:rsidP="0039272F">
      <w:pPr>
        <w:spacing w:after="240"/>
        <w:contextualSpacing/>
        <w:jc w:val="both"/>
        <w:rPr>
          <w:rFonts w:ascii="Arial" w:hAnsi="Arial" w:cs="Arial"/>
          <w:noProof w:val="0"/>
          <w:sz w:val="22"/>
          <w:szCs w:val="22"/>
          <w:lang w:val="en-US" w:eastAsia="en-US"/>
        </w:rPr>
      </w:pPr>
      <w:r w:rsidRPr="009F09D9">
        <w:rPr>
          <w:rFonts w:ascii="Arial" w:hAnsi="Arial" w:cs="Arial"/>
          <w:noProof w:val="0"/>
          <w:sz w:val="22"/>
          <w:szCs w:val="22"/>
          <w:lang w:val="en-US" w:eastAsia="en-US"/>
        </w:rPr>
        <w:t>•</w:t>
      </w:r>
      <w:r w:rsidRPr="009F09D9">
        <w:rPr>
          <w:rFonts w:ascii="Arial" w:hAnsi="Arial" w:cs="Arial"/>
          <w:noProof w:val="0"/>
          <w:sz w:val="22"/>
          <w:szCs w:val="22"/>
          <w:lang w:val="en-US" w:eastAsia="en-US"/>
        </w:rPr>
        <w:tab/>
        <w:t>Stations;</w:t>
      </w:r>
    </w:p>
    <w:p w14:paraId="47007B61" w14:textId="77777777" w:rsidR="009F09D9" w:rsidRPr="009F09D9" w:rsidRDefault="009F09D9" w:rsidP="0039272F">
      <w:pPr>
        <w:spacing w:after="240"/>
        <w:contextualSpacing/>
        <w:jc w:val="both"/>
        <w:rPr>
          <w:rFonts w:ascii="Arial" w:hAnsi="Arial" w:cs="Arial"/>
          <w:noProof w:val="0"/>
          <w:sz w:val="22"/>
          <w:szCs w:val="22"/>
          <w:lang w:val="en-US" w:eastAsia="en-US"/>
        </w:rPr>
      </w:pPr>
      <w:r w:rsidRPr="009F09D9">
        <w:rPr>
          <w:rFonts w:ascii="Arial" w:hAnsi="Arial" w:cs="Arial"/>
          <w:noProof w:val="0"/>
          <w:sz w:val="22"/>
          <w:szCs w:val="22"/>
          <w:lang w:val="en-US" w:eastAsia="en-US"/>
        </w:rPr>
        <w:t>•</w:t>
      </w:r>
      <w:r w:rsidRPr="009F09D9">
        <w:rPr>
          <w:rFonts w:ascii="Arial" w:hAnsi="Arial" w:cs="Arial"/>
          <w:noProof w:val="0"/>
          <w:sz w:val="22"/>
          <w:szCs w:val="22"/>
          <w:lang w:val="en-US" w:eastAsia="en-US"/>
        </w:rPr>
        <w:tab/>
        <w:t>Maintenance depots; and,</w:t>
      </w:r>
    </w:p>
    <w:p w14:paraId="4E1ADD9A" w14:textId="788A16DF" w:rsidR="009F09D9" w:rsidRPr="00DF6356" w:rsidRDefault="009F09D9" w:rsidP="0039272F">
      <w:pPr>
        <w:spacing w:after="240"/>
        <w:contextualSpacing/>
        <w:jc w:val="both"/>
        <w:rPr>
          <w:rFonts w:ascii="Arial" w:hAnsi="Arial" w:cs="Arial"/>
          <w:noProof w:val="0"/>
          <w:sz w:val="22"/>
          <w:szCs w:val="22"/>
          <w:lang w:val="en-US" w:eastAsia="en-US"/>
        </w:rPr>
      </w:pPr>
      <w:r w:rsidRPr="009F09D9">
        <w:rPr>
          <w:rFonts w:ascii="Arial" w:hAnsi="Arial" w:cs="Arial"/>
          <w:noProof w:val="0"/>
          <w:sz w:val="22"/>
          <w:szCs w:val="22"/>
          <w:lang w:val="en-US" w:eastAsia="en-US"/>
        </w:rPr>
        <w:t>•</w:t>
      </w:r>
      <w:r w:rsidRPr="009F09D9">
        <w:rPr>
          <w:rFonts w:ascii="Arial" w:hAnsi="Arial" w:cs="Arial"/>
          <w:noProof w:val="0"/>
          <w:sz w:val="22"/>
          <w:szCs w:val="22"/>
          <w:lang w:val="en-US" w:eastAsia="en-US"/>
        </w:rPr>
        <w:tab/>
        <w:t>signaling buildings</w:t>
      </w:r>
    </w:p>
    <w:p w14:paraId="18097CDD" w14:textId="77777777" w:rsidR="00CE6C49" w:rsidRDefault="00CE6C49" w:rsidP="000A3B7F">
      <w:pPr>
        <w:spacing w:after="240"/>
        <w:contextualSpacing/>
        <w:rPr>
          <w:rFonts w:ascii="Arial" w:hAnsi="Arial" w:cs="Arial"/>
          <w:noProof w:val="0"/>
          <w:sz w:val="22"/>
          <w:szCs w:val="22"/>
          <w:lang w:eastAsia="en-US"/>
        </w:rPr>
      </w:pPr>
    </w:p>
    <w:p w14:paraId="59FAEF26" w14:textId="77777777" w:rsidR="00112F2D" w:rsidRPr="00CD059D" w:rsidRDefault="00112F2D" w:rsidP="000A3B7F">
      <w:pPr>
        <w:spacing w:after="240"/>
        <w:contextualSpacing/>
        <w:rPr>
          <w:rFonts w:ascii="Arial" w:hAnsi="Arial" w:cs="Arial"/>
          <w:noProof w:val="0"/>
          <w:sz w:val="22"/>
          <w:szCs w:val="22"/>
          <w:lang w:eastAsia="en-US"/>
        </w:rPr>
      </w:pPr>
    </w:p>
    <w:p w14:paraId="167CB7A0" w14:textId="77777777" w:rsidR="00CD059D" w:rsidRPr="00EF49DF" w:rsidRDefault="00CD059D" w:rsidP="000A3B7F">
      <w:pPr>
        <w:spacing w:after="240"/>
        <w:ind w:left="720"/>
        <w:contextualSpacing/>
        <w:rPr>
          <w:rFonts w:ascii="Arial" w:hAnsi="Arial" w:cs="Arial"/>
          <w:noProof w:val="0"/>
          <w:sz w:val="22"/>
          <w:szCs w:val="22"/>
          <w:lang w:eastAsia="en-US"/>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1E688282" w14:textId="77777777" w:rsidR="006B1DC9" w:rsidRPr="008E60E1" w:rsidRDefault="006B1DC9" w:rsidP="006B1DC9">
      <w:pPr>
        <w:ind w:hanging="4"/>
        <w:rPr>
          <w:rFonts w:ascii="Arial" w:hAnsi="Arial" w:cs="Arial"/>
          <w:b/>
          <w:bCs/>
          <w:sz w:val="24"/>
          <w:szCs w:val="24"/>
        </w:rPr>
      </w:pPr>
      <w:r w:rsidRPr="008E60E1">
        <w:rPr>
          <w:rFonts w:ascii="Arial" w:hAnsi="Arial" w:cs="Arial"/>
          <w:b/>
          <w:bCs/>
          <w:sz w:val="24"/>
          <w:szCs w:val="24"/>
        </w:rPr>
        <w:t>Outputs/deliverables</w:t>
      </w:r>
    </w:p>
    <w:p w14:paraId="2A636CE6" w14:textId="77777777" w:rsidR="006B1DC9" w:rsidRPr="006B1DC9" w:rsidRDefault="006B1DC9" w:rsidP="006B1DC9">
      <w:pPr>
        <w:ind w:hanging="4"/>
        <w:rPr>
          <w:rFonts w:ascii="Arial" w:hAnsi="Arial" w:cs="Arial"/>
          <w:u w:val="single"/>
        </w:rPr>
      </w:pPr>
    </w:p>
    <w:p w14:paraId="43558BD2" w14:textId="67663646" w:rsidR="006B1DC9" w:rsidRPr="006B1DC9" w:rsidRDefault="006B1DC9" w:rsidP="0039272F">
      <w:pPr>
        <w:ind w:hanging="4"/>
        <w:jc w:val="both"/>
        <w:rPr>
          <w:rFonts w:ascii="Arial" w:hAnsi="Arial" w:cs="Arial"/>
          <w:sz w:val="22"/>
          <w:szCs w:val="22"/>
        </w:rPr>
      </w:pPr>
      <w:r w:rsidRPr="006B1DC9">
        <w:rPr>
          <w:rFonts w:ascii="Arial" w:hAnsi="Arial" w:cs="Arial"/>
          <w:sz w:val="22"/>
          <w:szCs w:val="22"/>
        </w:rPr>
        <w:t>The main output of this work will be a report setting out the analysis and conclusions of the work set out above.</w:t>
      </w:r>
    </w:p>
    <w:p w14:paraId="43E1D014" w14:textId="77777777" w:rsidR="006B1DC9" w:rsidRPr="006B1DC9" w:rsidRDefault="006B1DC9" w:rsidP="0039272F">
      <w:pPr>
        <w:ind w:hanging="4"/>
        <w:jc w:val="both"/>
        <w:rPr>
          <w:rFonts w:ascii="Arial" w:hAnsi="Arial" w:cs="Arial"/>
          <w:sz w:val="22"/>
          <w:szCs w:val="22"/>
        </w:rPr>
      </w:pPr>
    </w:p>
    <w:p w14:paraId="48F87278" w14:textId="77777777" w:rsidR="006B1DC9" w:rsidRPr="006B1DC9" w:rsidRDefault="006B1DC9" w:rsidP="0039272F">
      <w:pPr>
        <w:ind w:hanging="4"/>
        <w:jc w:val="both"/>
        <w:rPr>
          <w:rFonts w:ascii="Arial" w:hAnsi="Arial" w:cs="Arial"/>
          <w:sz w:val="22"/>
          <w:szCs w:val="22"/>
        </w:rPr>
      </w:pPr>
      <w:r w:rsidRPr="006B1DC9">
        <w:rPr>
          <w:rFonts w:ascii="Arial" w:hAnsi="Arial" w:cs="Arial"/>
          <w:sz w:val="22"/>
          <w:szCs w:val="22"/>
        </w:rPr>
        <w:t>The report will need to be produced to a publishable standard, as we would expect to publish it alongside ORR’s PR23 consultations or other documents.</w:t>
      </w:r>
    </w:p>
    <w:p w14:paraId="7E4C5250" w14:textId="77777777" w:rsidR="006B1DC9" w:rsidRPr="006B1DC9" w:rsidRDefault="006B1DC9" w:rsidP="0039272F">
      <w:pPr>
        <w:ind w:hanging="4"/>
        <w:jc w:val="both"/>
        <w:rPr>
          <w:rFonts w:ascii="Arial" w:hAnsi="Arial" w:cs="Arial"/>
          <w:sz w:val="22"/>
          <w:szCs w:val="22"/>
        </w:rPr>
      </w:pPr>
    </w:p>
    <w:p w14:paraId="20031B43" w14:textId="77777777" w:rsidR="008954DC" w:rsidRDefault="006B1DC9" w:rsidP="0039272F">
      <w:pPr>
        <w:ind w:hanging="4"/>
        <w:jc w:val="both"/>
        <w:rPr>
          <w:rFonts w:ascii="Arial" w:hAnsi="Arial" w:cs="Arial"/>
          <w:sz w:val="22"/>
          <w:szCs w:val="22"/>
        </w:rPr>
      </w:pPr>
      <w:r w:rsidRPr="006B1DC9">
        <w:rPr>
          <w:rFonts w:ascii="Arial" w:hAnsi="Arial" w:cs="Arial"/>
          <w:sz w:val="22"/>
          <w:szCs w:val="22"/>
        </w:rPr>
        <w:t>We also require the consultant to deliver a draft report for comment, which details their provisional findings and recommendations, in advance of the end date for this project. The final report would then incorporate comments and suggested amendments from ORR.</w:t>
      </w:r>
    </w:p>
    <w:p w14:paraId="60155F68" w14:textId="77777777" w:rsidR="008954DC" w:rsidRDefault="008954DC" w:rsidP="006B1DC9">
      <w:pPr>
        <w:ind w:hanging="4"/>
        <w:rPr>
          <w:rFonts w:ascii="Arial" w:hAnsi="Arial" w:cs="Arial"/>
          <w:sz w:val="22"/>
          <w:szCs w:val="22"/>
        </w:rPr>
      </w:pPr>
    </w:p>
    <w:p w14:paraId="0165568E" w14:textId="77777777" w:rsidR="008954DC" w:rsidRDefault="008954DC" w:rsidP="008954DC">
      <w:pPr>
        <w:ind w:hanging="4"/>
        <w:rPr>
          <w:rFonts w:ascii="Arial" w:hAnsi="Arial" w:cs="Arial"/>
          <w:b/>
          <w:bCs/>
          <w:sz w:val="24"/>
          <w:szCs w:val="24"/>
        </w:rPr>
      </w:pPr>
    </w:p>
    <w:p w14:paraId="6B5C88ED" w14:textId="244EE2F3" w:rsidR="008954DC" w:rsidRPr="008954DC" w:rsidRDefault="008954DC" w:rsidP="008954DC">
      <w:pPr>
        <w:ind w:hanging="4"/>
        <w:rPr>
          <w:rFonts w:ascii="Arial" w:hAnsi="Arial" w:cs="Arial"/>
          <w:b/>
          <w:bCs/>
          <w:sz w:val="24"/>
          <w:szCs w:val="24"/>
        </w:rPr>
      </w:pPr>
      <w:r w:rsidRPr="008954DC">
        <w:rPr>
          <w:rFonts w:ascii="Arial" w:hAnsi="Arial" w:cs="Arial"/>
          <w:b/>
          <w:bCs/>
          <w:sz w:val="24"/>
          <w:szCs w:val="24"/>
        </w:rPr>
        <w:t>Contract Management Arrangements</w:t>
      </w:r>
    </w:p>
    <w:p w14:paraId="57FDD5BF" w14:textId="77777777" w:rsidR="008954DC" w:rsidRPr="008954DC" w:rsidRDefault="008954DC" w:rsidP="008954DC">
      <w:pPr>
        <w:ind w:hanging="4"/>
        <w:rPr>
          <w:rFonts w:ascii="Arial" w:hAnsi="Arial" w:cs="Arial"/>
          <w:sz w:val="22"/>
          <w:szCs w:val="22"/>
        </w:rPr>
      </w:pPr>
    </w:p>
    <w:p w14:paraId="3FFDDEB9" w14:textId="77777777" w:rsidR="008954DC" w:rsidRPr="008954DC" w:rsidRDefault="008954DC" w:rsidP="0039272F">
      <w:pPr>
        <w:ind w:hanging="4"/>
        <w:jc w:val="both"/>
        <w:rPr>
          <w:rFonts w:ascii="Arial" w:hAnsi="Arial" w:cs="Arial"/>
          <w:sz w:val="22"/>
          <w:szCs w:val="22"/>
        </w:rPr>
      </w:pPr>
      <w:r w:rsidRPr="008954DC">
        <w:rPr>
          <w:rFonts w:ascii="Arial" w:hAnsi="Arial" w:cs="Arial"/>
          <w:sz w:val="22"/>
          <w:szCs w:val="22"/>
        </w:rPr>
        <w:t>We expect the consultant will work closely with ORR’s project team leading the PR23 assessment of Network Rail’s expenditure. As such, we would expect to have regular interaction with the consultant, as required by the work.</w:t>
      </w:r>
    </w:p>
    <w:p w14:paraId="09562CFC" w14:textId="77777777" w:rsidR="008954DC" w:rsidRPr="008954DC" w:rsidRDefault="008954DC" w:rsidP="0039272F">
      <w:pPr>
        <w:ind w:hanging="4"/>
        <w:jc w:val="both"/>
        <w:rPr>
          <w:rFonts w:ascii="Arial" w:hAnsi="Arial" w:cs="Arial"/>
          <w:sz w:val="22"/>
          <w:szCs w:val="22"/>
        </w:rPr>
      </w:pPr>
    </w:p>
    <w:p w14:paraId="4A0887DA" w14:textId="77777777" w:rsidR="008954DC" w:rsidRPr="008954DC" w:rsidRDefault="008954DC" w:rsidP="0039272F">
      <w:pPr>
        <w:ind w:hanging="4"/>
        <w:jc w:val="both"/>
        <w:rPr>
          <w:rFonts w:ascii="Arial" w:hAnsi="Arial" w:cs="Arial"/>
          <w:sz w:val="22"/>
          <w:szCs w:val="22"/>
        </w:rPr>
      </w:pPr>
      <w:r w:rsidRPr="008954DC">
        <w:rPr>
          <w:rFonts w:ascii="Arial" w:hAnsi="Arial" w:cs="Arial"/>
          <w:sz w:val="22"/>
          <w:szCs w:val="22"/>
        </w:rPr>
        <w:t>At a minimum, we would expect the consultant to provide a weekly progress update by email, as well as holding fortnightly update meetings to discuss any emerging issues in more detail. We would also expect to have more regular engagement than this at key stages in the project, i.e. at the start of the contract, in order to agree a clear approach and methodology for the work; and in advance of the draft report being produced, to agree the scope and structure of this report.</w:t>
      </w:r>
    </w:p>
    <w:p w14:paraId="44509AE6" w14:textId="77777777" w:rsidR="008954DC" w:rsidRPr="008954DC" w:rsidRDefault="008954DC" w:rsidP="0039272F">
      <w:pPr>
        <w:ind w:hanging="4"/>
        <w:jc w:val="both"/>
        <w:rPr>
          <w:rFonts w:ascii="Arial" w:hAnsi="Arial" w:cs="Arial"/>
          <w:sz w:val="22"/>
          <w:szCs w:val="22"/>
        </w:rPr>
      </w:pPr>
    </w:p>
    <w:p w14:paraId="12B21578" w14:textId="77777777" w:rsidR="00DC1CD6" w:rsidRDefault="008954DC" w:rsidP="0039272F">
      <w:pPr>
        <w:ind w:hanging="4"/>
        <w:jc w:val="both"/>
        <w:rPr>
          <w:rFonts w:ascii="Arial" w:hAnsi="Arial" w:cs="Arial"/>
          <w:sz w:val="22"/>
          <w:szCs w:val="22"/>
        </w:rPr>
      </w:pPr>
      <w:r w:rsidRPr="008954DC">
        <w:rPr>
          <w:rFonts w:ascii="Arial" w:hAnsi="Arial" w:cs="Arial"/>
          <w:sz w:val="22"/>
          <w:szCs w:val="22"/>
        </w:rPr>
        <w:t>We expect that most meetings would be conducted virtually over Microsoft Teams. Where circumstances allow, we would seek to conduct the project start-up meeting face-to-face in our London offices.</w:t>
      </w:r>
    </w:p>
    <w:p w14:paraId="4AFD6037" w14:textId="77777777" w:rsidR="00DC1CD6" w:rsidRDefault="00DC1CD6" w:rsidP="0039272F">
      <w:pPr>
        <w:ind w:hanging="4"/>
        <w:jc w:val="both"/>
        <w:rPr>
          <w:rFonts w:ascii="Arial" w:hAnsi="Arial" w:cs="Arial"/>
          <w:sz w:val="22"/>
          <w:szCs w:val="22"/>
        </w:rPr>
      </w:pPr>
    </w:p>
    <w:p w14:paraId="11E395DE" w14:textId="77777777" w:rsidR="009D4A4D" w:rsidRDefault="009D4A4D" w:rsidP="0039272F">
      <w:pPr>
        <w:ind w:hanging="4"/>
        <w:jc w:val="both"/>
        <w:rPr>
          <w:rFonts w:ascii="Arial" w:hAnsi="Arial" w:cs="Arial"/>
          <w:u w:val="single"/>
        </w:rPr>
      </w:pPr>
    </w:p>
    <w:p w14:paraId="4BCCDD89" w14:textId="77777777" w:rsidR="009D4A4D" w:rsidRDefault="009D4A4D" w:rsidP="0039272F">
      <w:pPr>
        <w:ind w:hanging="4"/>
        <w:jc w:val="both"/>
        <w:rPr>
          <w:rFonts w:ascii="Arial" w:hAnsi="Arial" w:cs="Arial"/>
          <w:b/>
          <w:bCs/>
          <w:sz w:val="24"/>
          <w:szCs w:val="24"/>
        </w:rPr>
      </w:pPr>
      <w:r w:rsidRPr="009D4A4D">
        <w:rPr>
          <w:rFonts w:ascii="Arial" w:hAnsi="Arial" w:cs="Arial"/>
          <w:b/>
          <w:bCs/>
          <w:sz w:val="24"/>
          <w:szCs w:val="24"/>
        </w:rPr>
        <w:t>Project Timescales</w:t>
      </w:r>
    </w:p>
    <w:p w14:paraId="69E1BE15" w14:textId="77777777" w:rsidR="009D4A4D" w:rsidRDefault="009D4A4D" w:rsidP="0039272F">
      <w:pPr>
        <w:ind w:hanging="4"/>
        <w:jc w:val="both"/>
        <w:rPr>
          <w:rFonts w:ascii="Arial" w:hAnsi="Arial" w:cs="Arial"/>
          <w:b/>
          <w:bCs/>
          <w:sz w:val="24"/>
          <w:szCs w:val="24"/>
        </w:rPr>
      </w:pPr>
    </w:p>
    <w:p w14:paraId="5A8CBE25" w14:textId="0AA05249" w:rsidR="006568B3" w:rsidRPr="00852035" w:rsidRDefault="00E419E8" w:rsidP="0039272F">
      <w:pPr>
        <w:ind w:hanging="4"/>
        <w:jc w:val="both"/>
        <w:rPr>
          <w:rFonts w:ascii="Arial" w:hAnsi="Arial" w:cs="Arial"/>
          <w:sz w:val="24"/>
          <w:szCs w:val="24"/>
        </w:rPr>
      </w:pPr>
      <w:r>
        <w:rPr>
          <w:rFonts w:ascii="Arial" w:hAnsi="Arial" w:cs="Arial"/>
          <w:sz w:val="24"/>
          <w:szCs w:val="24"/>
        </w:rPr>
        <w:t>Anticipation that the</w:t>
      </w:r>
      <w:r w:rsidR="00852035" w:rsidRPr="00852035">
        <w:rPr>
          <w:rFonts w:ascii="Arial" w:hAnsi="Arial" w:cs="Arial"/>
          <w:sz w:val="24"/>
          <w:szCs w:val="24"/>
        </w:rPr>
        <w:t xml:space="preserve"> project </w:t>
      </w:r>
      <w:r>
        <w:rPr>
          <w:rFonts w:ascii="Arial" w:hAnsi="Arial" w:cs="Arial"/>
          <w:sz w:val="24"/>
          <w:szCs w:val="24"/>
        </w:rPr>
        <w:t xml:space="preserve">will </w:t>
      </w:r>
      <w:r w:rsidR="00852035" w:rsidRPr="00852035">
        <w:rPr>
          <w:rFonts w:ascii="Arial" w:hAnsi="Arial" w:cs="Arial"/>
          <w:sz w:val="24"/>
          <w:szCs w:val="24"/>
        </w:rPr>
        <w:t>tak</w:t>
      </w:r>
      <w:r>
        <w:rPr>
          <w:rFonts w:ascii="Arial" w:hAnsi="Arial" w:cs="Arial"/>
          <w:sz w:val="24"/>
          <w:szCs w:val="24"/>
        </w:rPr>
        <w:t>e</w:t>
      </w:r>
      <w:r w:rsidR="003D47CC">
        <w:rPr>
          <w:rFonts w:ascii="Arial" w:hAnsi="Arial" w:cs="Arial"/>
          <w:sz w:val="24"/>
          <w:szCs w:val="24"/>
        </w:rPr>
        <w:t xml:space="preserve"> </w:t>
      </w:r>
      <w:r w:rsidR="00852035" w:rsidRPr="00852035">
        <w:rPr>
          <w:rFonts w:ascii="Arial" w:hAnsi="Arial" w:cs="Arial"/>
          <w:sz w:val="24"/>
          <w:szCs w:val="24"/>
        </w:rPr>
        <w:t>2 months</w:t>
      </w:r>
      <w:r w:rsidR="003D47CC">
        <w:rPr>
          <w:rFonts w:ascii="Arial" w:hAnsi="Arial" w:cs="Arial"/>
          <w:sz w:val="24"/>
          <w:szCs w:val="24"/>
        </w:rPr>
        <w:t xml:space="preserve"> to complete</w:t>
      </w:r>
      <w:r w:rsidR="00852035" w:rsidRPr="00852035">
        <w:rPr>
          <w:rFonts w:ascii="Arial" w:hAnsi="Arial" w:cs="Arial"/>
          <w:sz w:val="24"/>
          <w:szCs w:val="24"/>
        </w:rPr>
        <w:t xml:space="preserve">, from mid-February 2022 to </w:t>
      </w:r>
      <w:r w:rsidR="003D47CC">
        <w:rPr>
          <w:rFonts w:ascii="Arial" w:hAnsi="Arial" w:cs="Arial"/>
          <w:sz w:val="24"/>
          <w:szCs w:val="24"/>
        </w:rPr>
        <w:t>final report being submitted by</w:t>
      </w:r>
      <w:r w:rsidR="00543475">
        <w:rPr>
          <w:rFonts w:ascii="Arial" w:hAnsi="Arial" w:cs="Arial"/>
          <w:sz w:val="24"/>
          <w:szCs w:val="24"/>
        </w:rPr>
        <w:t xml:space="preserve"> the</w:t>
      </w:r>
      <w:r w:rsidR="003D47CC">
        <w:rPr>
          <w:rFonts w:ascii="Arial" w:hAnsi="Arial" w:cs="Arial"/>
          <w:sz w:val="24"/>
          <w:szCs w:val="24"/>
        </w:rPr>
        <w:t xml:space="preserve"> </w:t>
      </w:r>
      <w:r w:rsidR="00543475">
        <w:rPr>
          <w:rFonts w:ascii="Arial" w:hAnsi="Arial" w:cs="Arial"/>
          <w:sz w:val="24"/>
          <w:szCs w:val="24"/>
        </w:rPr>
        <w:t xml:space="preserve">end of </w:t>
      </w:r>
      <w:r w:rsidR="00852035" w:rsidRPr="00852035">
        <w:rPr>
          <w:rFonts w:ascii="Arial" w:hAnsi="Arial" w:cs="Arial"/>
          <w:sz w:val="24"/>
          <w:szCs w:val="24"/>
        </w:rPr>
        <w:t>April 2022.</w:t>
      </w:r>
      <w:r w:rsidR="006568B3" w:rsidRPr="00852035">
        <w:rPr>
          <w:rFonts w:ascii="Arial" w:hAnsi="Arial" w:cs="Arial"/>
          <w:sz w:val="24"/>
          <w:szCs w:val="24"/>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54D749A9" w:rsidR="006568B3" w:rsidRDefault="0090517F">
      <w:pPr>
        <w:jc w:val="center"/>
        <w:rPr>
          <w:rFonts w:ascii="Arial" w:hAnsi="Arial" w:cs="Arial"/>
          <w:szCs w:val="22"/>
        </w:rPr>
      </w:pPr>
      <w:r>
        <w:rPr>
          <w:rFonts w:ascii="Arial" w:hAnsi="Arial" w:cs="Arial"/>
          <w:i/>
          <w:iCs/>
          <w:szCs w:val="22"/>
        </w:rPr>
        <w:t>Not Applicable</w:t>
      </w:r>
      <w:r w:rsidR="006568B3">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B29F7" w14:textId="77777777" w:rsidR="005557E4" w:rsidRDefault="005557E4">
      <w:r>
        <w:separator/>
      </w:r>
    </w:p>
  </w:endnote>
  <w:endnote w:type="continuationSeparator" w:id="0">
    <w:p w14:paraId="1BD068B8" w14:textId="77777777" w:rsidR="005557E4" w:rsidRDefault="0055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256AD641"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7B70EC">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7B70EC">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AB9E" w14:textId="77777777" w:rsidR="005557E4" w:rsidRDefault="005557E4">
      <w:r>
        <w:separator/>
      </w:r>
    </w:p>
  </w:footnote>
  <w:footnote w:type="continuationSeparator" w:id="0">
    <w:p w14:paraId="175A26B2" w14:textId="77777777" w:rsidR="005557E4" w:rsidRDefault="00555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456488"/>
    <w:multiLevelType w:val="hybridMultilevel"/>
    <w:tmpl w:val="27069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10" w15:restartNumberingAfterBreak="0">
    <w:nsid w:val="437930E8"/>
    <w:multiLevelType w:val="hybridMultilevel"/>
    <w:tmpl w:val="E2FA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D5B7231"/>
    <w:multiLevelType w:val="hybridMultilevel"/>
    <w:tmpl w:val="3AF8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457AAD"/>
    <w:multiLevelType w:val="hybridMultilevel"/>
    <w:tmpl w:val="4648B4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552E1917"/>
    <w:multiLevelType w:val="hybridMultilevel"/>
    <w:tmpl w:val="0C3C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8" w15:restartNumberingAfterBreak="0">
    <w:nsid w:val="5AA36F1D"/>
    <w:multiLevelType w:val="hybridMultilevel"/>
    <w:tmpl w:val="D77C4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C83828"/>
    <w:multiLevelType w:val="hybridMultilevel"/>
    <w:tmpl w:val="1E96D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22"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6DF644EE"/>
    <w:multiLevelType w:val="hybridMultilevel"/>
    <w:tmpl w:val="17242C0E"/>
    <w:lvl w:ilvl="0" w:tplc="6CDCA78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26"/>
  </w:num>
  <w:num w:numId="2">
    <w:abstractNumId w:val="5"/>
  </w:num>
  <w:num w:numId="3">
    <w:abstractNumId w:val="21"/>
  </w:num>
  <w:num w:numId="4">
    <w:abstractNumId w:val="24"/>
  </w:num>
  <w:num w:numId="5">
    <w:abstractNumId w:val="22"/>
  </w:num>
  <w:num w:numId="6">
    <w:abstractNumId w:val="25"/>
  </w:num>
  <w:num w:numId="7">
    <w:abstractNumId w:val="1"/>
  </w:num>
  <w:num w:numId="8">
    <w:abstractNumId w:val="9"/>
  </w:num>
  <w:num w:numId="9">
    <w:abstractNumId w:val="17"/>
  </w:num>
  <w:num w:numId="10">
    <w:abstractNumId w:val="0"/>
  </w:num>
  <w:num w:numId="11">
    <w:abstractNumId w:val="6"/>
  </w:num>
  <w:num w:numId="12">
    <w:abstractNumId w:val="13"/>
  </w:num>
  <w:num w:numId="13">
    <w:abstractNumId w:val="11"/>
  </w:num>
  <w:num w:numId="14">
    <w:abstractNumId w:val="2"/>
  </w:num>
  <w:num w:numId="15">
    <w:abstractNumId w:val="4"/>
  </w:num>
  <w:num w:numId="16">
    <w:abstractNumId w:val="15"/>
  </w:num>
  <w:num w:numId="17">
    <w:abstractNumId w:val="7"/>
  </w:num>
  <w:num w:numId="18">
    <w:abstractNumId w:val="23"/>
  </w:num>
  <w:num w:numId="19">
    <w:abstractNumId w:val="19"/>
  </w:num>
  <w:num w:numId="20">
    <w:abstractNumId w:val="8"/>
  </w:num>
  <w:num w:numId="21">
    <w:abstractNumId w:val="14"/>
  </w:num>
  <w:num w:numId="22">
    <w:abstractNumId w:val="20"/>
  </w:num>
  <w:num w:numId="23">
    <w:abstractNumId w:val="18"/>
  </w:num>
  <w:num w:numId="24">
    <w:abstractNumId w:val="16"/>
  </w:num>
  <w:num w:numId="25">
    <w:abstractNumId w:val="10"/>
  </w:num>
  <w:num w:numId="26">
    <w:abstractNumId w:val="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85537"/>
    <w:rsid w:val="000A3B7F"/>
    <w:rsid w:val="000A5F65"/>
    <w:rsid w:val="000F6129"/>
    <w:rsid w:val="00112F2D"/>
    <w:rsid w:val="0011582A"/>
    <w:rsid w:val="0013276B"/>
    <w:rsid w:val="001A2092"/>
    <w:rsid w:val="001D2989"/>
    <w:rsid w:val="00292DF5"/>
    <w:rsid w:val="002C20F5"/>
    <w:rsid w:val="0033168E"/>
    <w:rsid w:val="00331CC2"/>
    <w:rsid w:val="00341027"/>
    <w:rsid w:val="003516FC"/>
    <w:rsid w:val="0039272F"/>
    <w:rsid w:val="00397A94"/>
    <w:rsid w:val="003B1433"/>
    <w:rsid w:val="003D47CC"/>
    <w:rsid w:val="003E75C9"/>
    <w:rsid w:val="00461929"/>
    <w:rsid w:val="00461C78"/>
    <w:rsid w:val="004622B7"/>
    <w:rsid w:val="00487EE5"/>
    <w:rsid w:val="004E52A2"/>
    <w:rsid w:val="00504D8A"/>
    <w:rsid w:val="00543475"/>
    <w:rsid w:val="005557E4"/>
    <w:rsid w:val="00593E94"/>
    <w:rsid w:val="00593F45"/>
    <w:rsid w:val="005E0EB5"/>
    <w:rsid w:val="00622E57"/>
    <w:rsid w:val="0064781E"/>
    <w:rsid w:val="006568B3"/>
    <w:rsid w:val="00662175"/>
    <w:rsid w:val="00691CAD"/>
    <w:rsid w:val="006B1DC9"/>
    <w:rsid w:val="006B6540"/>
    <w:rsid w:val="006B6BB7"/>
    <w:rsid w:val="00707217"/>
    <w:rsid w:val="007154B9"/>
    <w:rsid w:val="007B70EC"/>
    <w:rsid w:val="007C07A6"/>
    <w:rsid w:val="007D7C2C"/>
    <w:rsid w:val="008306C8"/>
    <w:rsid w:val="008514B3"/>
    <w:rsid w:val="00852035"/>
    <w:rsid w:val="00887201"/>
    <w:rsid w:val="008954DC"/>
    <w:rsid w:val="008957F8"/>
    <w:rsid w:val="008D0B16"/>
    <w:rsid w:val="008E4DBA"/>
    <w:rsid w:val="008E60E1"/>
    <w:rsid w:val="0090517F"/>
    <w:rsid w:val="00927C05"/>
    <w:rsid w:val="00963AFD"/>
    <w:rsid w:val="009D4A4D"/>
    <w:rsid w:val="009F09D9"/>
    <w:rsid w:val="00A02AFA"/>
    <w:rsid w:val="00A153E2"/>
    <w:rsid w:val="00A17A55"/>
    <w:rsid w:val="00A32CCD"/>
    <w:rsid w:val="00A53407"/>
    <w:rsid w:val="00A70A26"/>
    <w:rsid w:val="00AD0A8F"/>
    <w:rsid w:val="00B02FA7"/>
    <w:rsid w:val="00B6334D"/>
    <w:rsid w:val="00BA37A0"/>
    <w:rsid w:val="00BF2863"/>
    <w:rsid w:val="00C74E1E"/>
    <w:rsid w:val="00CA5773"/>
    <w:rsid w:val="00CB70E4"/>
    <w:rsid w:val="00CD059D"/>
    <w:rsid w:val="00CD4563"/>
    <w:rsid w:val="00CE6C49"/>
    <w:rsid w:val="00D332B8"/>
    <w:rsid w:val="00D43E00"/>
    <w:rsid w:val="00D9005F"/>
    <w:rsid w:val="00DB5E2B"/>
    <w:rsid w:val="00DC1CD6"/>
    <w:rsid w:val="00DC2C9D"/>
    <w:rsid w:val="00DF6356"/>
    <w:rsid w:val="00E070BE"/>
    <w:rsid w:val="00E24608"/>
    <w:rsid w:val="00E41047"/>
    <w:rsid w:val="00E419E8"/>
    <w:rsid w:val="00E701A2"/>
    <w:rsid w:val="00EB1A53"/>
    <w:rsid w:val="00EF49DF"/>
    <w:rsid w:val="00F2152B"/>
    <w:rsid w:val="00F217B1"/>
    <w:rsid w:val="00F53D74"/>
    <w:rsid w:val="00FC0E3B"/>
    <w:rsid w:val="00FE56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4D4350"/>
    <w:rsid w:val="0078061B"/>
    <w:rsid w:val="0082595B"/>
    <w:rsid w:val="00903ECF"/>
    <w:rsid w:val="00915AFB"/>
    <w:rsid w:val="00922E6B"/>
    <w:rsid w:val="00937086"/>
    <w:rsid w:val="009B3C84"/>
    <w:rsid w:val="00B83F65"/>
    <w:rsid w:val="00F51C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14773</Words>
  <Characters>81846</Characters>
  <Application>Microsoft Office Word</Application>
  <DocSecurity>0</DocSecurity>
  <Lines>2923</Lines>
  <Paragraphs>1123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Ndlovu, Nobu</cp:lastModifiedBy>
  <cp:revision>2</cp:revision>
  <cp:lastPrinted>2019-02-06T14:49:00Z</cp:lastPrinted>
  <dcterms:created xsi:type="dcterms:W3CDTF">2022-01-14T11:33:00Z</dcterms:created>
  <dcterms:modified xsi:type="dcterms:W3CDTF">2022-01-14T11:33:00Z</dcterms:modified>
  <cp:category/>
</cp:coreProperties>
</file>