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9F895"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4749F898" w14:textId="77777777" w:rsidTr="00061C01">
        <w:tc>
          <w:tcPr>
            <w:tcW w:w="4539" w:type="dxa"/>
          </w:tcPr>
          <w:p w14:paraId="4749F896"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749FB1D" wp14:editId="4749FB1E">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749F897"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749FB1F" wp14:editId="4749FB20">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749F899" w14:textId="77777777" w:rsidR="00582B96" w:rsidRDefault="00582B96" w:rsidP="00582B96"/>
    <w:p w14:paraId="4749F89A" w14:textId="77777777" w:rsidR="00582B96" w:rsidRPr="00D144D9" w:rsidRDefault="00582B96" w:rsidP="00582B96">
      <w:pPr>
        <w:rPr>
          <w:color w:val="FF0000"/>
        </w:rPr>
      </w:pPr>
    </w:p>
    <w:p w14:paraId="4749F89B" w14:textId="77777777" w:rsidR="00582B96" w:rsidRDefault="00582B96" w:rsidP="00582B96"/>
    <w:p w14:paraId="4749F89C" w14:textId="77777777" w:rsidR="00582B96" w:rsidRDefault="00582B96" w:rsidP="00582B96"/>
    <w:p w14:paraId="4749F89D" w14:textId="77777777" w:rsidR="00582B96" w:rsidRDefault="00582B96" w:rsidP="00582B96"/>
    <w:p w14:paraId="4749F89E" w14:textId="77777777" w:rsidR="00C5289B" w:rsidRDefault="00C5289B" w:rsidP="00582B96">
      <w:pPr>
        <w:rPr>
          <w:b/>
          <w:sz w:val="52"/>
          <w:szCs w:val="52"/>
        </w:rPr>
      </w:pPr>
    </w:p>
    <w:p w14:paraId="4749F89F" w14:textId="38F10014" w:rsidR="00582B96" w:rsidRPr="00681ED5" w:rsidRDefault="00582B96" w:rsidP="00582B96">
      <w:pPr>
        <w:rPr>
          <w:b/>
          <w:sz w:val="48"/>
          <w:szCs w:val="48"/>
        </w:rPr>
      </w:pPr>
      <w:r w:rsidRPr="00681ED5">
        <w:rPr>
          <w:b/>
          <w:sz w:val="48"/>
          <w:szCs w:val="48"/>
        </w:rPr>
        <w:t xml:space="preserve">SPECIFICATION </w:t>
      </w:r>
      <w:bookmarkStart w:id="0" w:name="_GoBack"/>
      <w:bookmarkEnd w:id="0"/>
    </w:p>
    <w:p w14:paraId="4749F8A0" w14:textId="77777777" w:rsidR="00582B96" w:rsidRDefault="00582B96" w:rsidP="00582B96">
      <w:pPr>
        <w:rPr>
          <w:b/>
          <w:sz w:val="48"/>
          <w:szCs w:val="48"/>
        </w:rPr>
      </w:pPr>
    </w:p>
    <w:p w14:paraId="4749F8A1" w14:textId="77777777" w:rsidR="00582B96" w:rsidRDefault="00582B96" w:rsidP="00582B96">
      <w:pPr>
        <w:rPr>
          <w:b/>
          <w:sz w:val="48"/>
          <w:szCs w:val="48"/>
        </w:rPr>
      </w:pPr>
    </w:p>
    <w:p w14:paraId="4749F8A2" w14:textId="77777777" w:rsidR="00582B96" w:rsidRDefault="00582B96" w:rsidP="00582B96">
      <w:pPr>
        <w:rPr>
          <w:b/>
          <w:sz w:val="48"/>
          <w:szCs w:val="48"/>
        </w:rPr>
      </w:pPr>
    </w:p>
    <w:p w14:paraId="4749F8A3" w14:textId="7B0BE626" w:rsidR="00582B96" w:rsidRPr="00681ED5" w:rsidRDefault="00582B96" w:rsidP="00582B96">
      <w:pPr>
        <w:rPr>
          <w:b/>
          <w:sz w:val="36"/>
          <w:szCs w:val="36"/>
        </w:rPr>
      </w:pPr>
      <w:r w:rsidRPr="00360CDD">
        <w:rPr>
          <w:b/>
          <w:sz w:val="36"/>
          <w:szCs w:val="36"/>
        </w:rPr>
        <w:t xml:space="preserve">INVITATION TO TENDER </w:t>
      </w:r>
      <w:r w:rsidR="00681ED5" w:rsidRPr="00681ED5">
        <w:rPr>
          <w:b/>
          <w:sz w:val="36"/>
          <w:szCs w:val="36"/>
        </w:rPr>
        <w:t>itt_30097</w:t>
      </w:r>
    </w:p>
    <w:p w14:paraId="4749F8A4" w14:textId="77777777" w:rsidR="00582B96" w:rsidRPr="00360CDD" w:rsidRDefault="00582B96" w:rsidP="00582B96">
      <w:pPr>
        <w:autoSpaceDE w:val="0"/>
        <w:autoSpaceDN w:val="0"/>
        <w:adjustRightInd w:val="0"/>
        <w:rPr>
          <w:rFonts w:cs="Arial"/>
          <w:b/>
          <w:bCs/>
          <w:sz w:val="48"/>
          <w:szCs w:val="48"/>
        </w:rPr>
      </w:pPr>
    </w:p>
    <w:p w14:paraId="4749F8A5" w14:textId="77777777" w:rsidR="00582B96" w:rsidRPr="00360CDD" w:rsidRDefault="00582B96" w:rsidP="00582B96">
      <w:pPr>
        <w:autoSpaceDE w:val="0"/>
        <w:autoSpaceDN w:val="0"/>
        <w:adjustRightInd w:val="0"/>
        <w:rPr>
          <w:rFonts w:cs="Arial"/>
          <w:b/>
          <w:bCs/>
          <w:sz w:val="48"/>
          <w:szCs w:val="48"/>
        </w:rPr>
      </w:pPr>
    </w:p>
    <w:p w14:paraId="4749F8A7" w14:textId="1F31C448" w:rsidR="009F5E11" w:rsidRPr="002425BB" w:rsidRDefault="00204192" w:rsidP="00582B96">
      <w:pPr>
        <w:autoSpaceDE w:val="0"/>
        <w:autoSpaceDN w:val="0"/>
        <w:adjustRightInd w:val="0"/>
        <w:rPr>
          <w:rFonts w:cs="Arial"/>
          <w:b/>
          <w:bCs/>
          <w:sz w:val="36"/>
          <w:szCs w:val="36"/>
        </w:rPr>
      </w:pPr>
      <w:r w:rsidRPr="002425BB">
        <w:rPr>
          <w:rFonts w:cs="Arial"/>
          <w:b/>
          <w:bCs/>
          <w:sz w:val="36"/>
          <w:szCs w:val="36"/>
        </w:rPr>
        <w:t>Inclusive Labour Markets</w:t>
      </w:r>
      <w:r w:rsidR="00681ED5">
        <w:rPr>
          <w:rFonts w:cs="Arial"/>
          <w:b/>
          <w:bCs/>
          <w:sz w:val="36"/>
          <w:szCs w:val="36"/>
        </w:rPr>
        <w:t xml:space="preserve"> </w:t>
      </w:r>
      <w:r w:rsidR="009F5E11">
        <w:rPr>
          <w:rFonts w:cs="Arial"/>
          <w:b/>
          <w:bCs/>
          <w:sz w:val="36"/>
          <w:szCs w:val="36"/>
        </w:rPr>
        <w:t>18-002</w:t>
      </w:r>
    </w:p>
    <w:p w14:paraId="4749F8A8" w14:textId="77777777" w:rsidR="00582B96" w:rsidRDefault="00582B96" w:rsidP="00582B96">
      <w:pPr>
        <w:rPr>
          <w:b/>
          <w:sz w:val="48"/>
          <w:szCs w:val="48"/>
        </w:rPr>
      </w:pPr>
    </w:p>
    <w:p w14:paraId="4749F8A9" w14:textId="77777777" w:rsidR="00582B96" w:rsidRDefault="00582B96" w:rsidP="00582B96">
      <w:pPr>
        <w:rPr>
          <w:b/>
          <w:sz w:val="48"/>
          <w:szCs w:val="48"/>
        </w:rPr>
      </w:pPr>
    </w:p>
    <w:p w14:paraId="4749F8AA" w14:textId="77777777" w:rsidR="00582B96" w:rsidRPr="009B36AE" w:rsidRDefault="009B36AE" w:rsidP="00582B96">
      <w:pPr>
        <w:rPr>
          <w:b/>
          <w:sz w:val="36"/>
          <w:szCs w:val="36"/>
        </w:rPr>
      </w:pPr>
      <w:r w:rsidRPr="009B36AE">
        <w:rPr>
          <w:b/>
          <w:sz w:val="36"/>
          <w:szCs w:val="36"/>
        </w:rPr>
        <w:t>Humber</w:t>
      </w:r>
      <w:r w:rsidR="002425BB">
        <w:rPr>
          <w:b/>
          <w:sz w:val="36"/>
          <w:szCs w:val="36"/>
        </w:rPr>
        <w:t xml:space="preserve"> LEP</w:t>
      </w:r>
    </w:p>
    <w:p w14:paraId="4749F8AB" w14:textId="77777777" w:rsidR="00582B96" w:rsidRDefault="00582B96" w:rsidP="00582B96">
      <w:pPr>
        <w:rPr>
          <w:b/>
          <w:sz w:val="48"/>
          <w:szCs w:val="48"/>
        </w:rPr>
      </w:pPr>
    </w:p>
    <w:p w14:paraId="4749F8AC" w14:textId="77777777" w:rsidR="00582B96" w:rsidRDefault="00582B96" w:rsidP="00582B96">
      <w:pPr>
        <w:rPr>
          <w:b/>
          <w:sz w:val="48"/>
          <w:szCs w:val="48"/>
        </w:rPr>
      </w:pPr>
    </w:p>
    <w:p w14:paraId="4749F8AD" w14:textId="77777777" w:rsidR="00582B96" w:rsidRDefault="00582B96" w:rsidP="00582B96">
      <w:pPr>
        <w:rPr>
          <w:b/>
          <w:sz w:val="48"/>
          <w:szCs w:val="48"/>
        </w:rPr>
      </w:pPr>
    </w:p>
    <w:p w14:paraId="4749F8AE" w14:textId="77777777" w:rsidR="00582B96" w:rsidRPr="00360CDD" w:rsidRDefault="00582B96" w:rsidP="00582B96">
      <w:pPr>
        <w:rPr>
          <w:b/>
          <w:sz w:val="36"/>
          <w:szCs w:val="36"/>
        </w:rPr>
      </w:pPr>
      <w:r w:rsidRPr="00360CDD">
        <w:rPr>
          <w:b/>
          <w:sz w:val="36"/>
          <w:szCs w:val="36"/>
        </w:rPr>
        <w:t>DATE:</w:t>
      </w:r>
      <w:r w:rsidR="002F71DB">
        <w:rPr>
          <w:b/>
          <w:sz w:val="36"/>
          <w:szCs w:val="36"/>
        </w:rPr>
        <w:t xml:space="preserve"> </w:t>
      </w:r>
      <w:r w:rsidR="009F5E11">
        <w:rPr>
          <w:b/>
          <w:sz w:val="36"/>
          <w:szCs w:val="36"/>
        </w:rPr>
        <w:t>June</w:t>
      </w:r>
      <w:r w:rsidR="006002A9">
        <w:rPr>
          <w:b/>
          <w:sz w:val="36"/>
          <w:szCs w:val="36"/>
        </w:rPr>
        <w:t xml:space="preserve"> </w:t>
      </w:r>
      <w:r w:rsidR="00204192">
        <w:rPr>
          <w:b/>
          <w:sz w:val="36"/>
          <w:szCs w:val="36"/>
        </w:rPr>
        <w:t>2016</w:t>
      </w:r>
    </w:p>
    <w:p w14:paraId="4749F8AF" w14:textId="77777777" w:rsidR="00582B96" w:rsidRDefault="00582B96"/>
    <w:tbl>
      <w:tblPr>
        <w:tblW w:w="0" w:type="auto"/>
        <w:tblLook w:val="01E0" w:firstRow="1" w:lastRow="1" w:firstColumn="1" w:lastColumn="1" w:noHBand="0" w:noVBand="0"/>
      </w:tblPr>
      <w:tblGrid>
        <w:gridCol w:w="4421"/>
        <w:gridCol w:w="4366"/>
      </w:tblGrid>
      <w:tr w:rsidR="00ED67E0" w14:paraId="4749F8B2" w14:textId="77777777" w:rsidTr="00B24D65">
        <w:tc>
          <w:tcPr>
            <w:tcW w:w="4421" w:type="dxa"/>
          </w:tcPr>
          <w:p w14:paraId="4749F8B0" w14:textId="77777777" w:rsidR="00ED67E0" w:rsidRDefault="00ED67E0" w:rsidP="000419AD">
            <w:pPr>
              <w:pStyle w:val="Header"/>
              <w:tabs>
                <w:tab w:val="clear" w:pos="4153"/>
                <w:tab w:val="clear" w:pos="8306"/>
                <w:tab w:val="left" w:pos="1185"/>
              </w:tabs>
            </w:pPr>
            <w:r>
              <w:tab/>
            </w:r>
          </w:p>
        </w:tc>
        <w:tc>
          <w:tcPr>
            <w:tcW w:w="4366" w:type="dxa"/>
          </w:tcPr>
          <w:p w14:paraId="4749F8B1" w14:textId="77777777" w:rsidR="00ED67E0" w:rsidRDefault="00ED67E0" w:rsidP="000419AD">
            <w:pPr>
              <w:pStyle w:val="Header"/>
              <w:jc w:val="right"/>
            </w:pPr>
          </w:p>
        </w:tc>
      </w:tr>
      <w:tr w:rsidR="00ED67E0" w:rsidRPr="002465E9" w14:paraId="4749F8B5" w14:textId="77777777" w:rsidTr="00B24D65">
        <w:tc>
          <w:tcPr>
            <w:tcW w:w="4421" w:type="dxa"/>
          </w:tcPr>
          <w:p w14:paraId="4749F8B3" w14:textId="77777777" w:rsidR="00ED67E0" w:rsidRDefault="00ED67E0" w:rsidP="000419AD">
            <w:pPr>
              <w:pStyle w:val="Header"/>
            </w:pPr>
            <w:r>
              <w:rPr>
                <w:noProof/>
                <w:lang w:eastAsia="en-GB"/>
              </w:rPr>
              <w:lastRenderedPageBreak/>
              <w:drawing>
                <wp:inline distT="0" distB="0" distL="0" distR="0" wp14:anchorId="4749FB21" wp14:editId="4749FB22">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749F8B4" w14:textId="77777777" w:rsidR="00ED67E0" w:rsidRDefault="000D51DE" w:rsidP="000419AD">
            <w:pPr>
              <w:pStyle w:val="Header"/>
              <w:jc w:val="right"/>
            </w:pPr>
            <w:r>
              <w:rPr>
                <w:noProof/>
                <w:lang w:eastAsia="en-GB"/>
              </w:rPr>
              <w:drawing>
                <wp:inline distT="0" distB="0" distL="0" distR="0" wp14:anchorId="4749FB23" wp14:editId="4749FB24">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4749F8B8" w14:textId="77777777" w:rsidTr="00B24D65">
        <w:tc>
          <w:tcPr>
            <w:tcW w:w="4421" w:type="dxa"/>
          </w:tcPr>
          <w:p w14:paraId="4749F8B6" w14:textId="77777777" w:rsidR="008441FE" w:rsidRDefault="008441FE" w:rsidP="000419AD">
            <w:pPr>
              <w:pStyle w:val="Header"/>
              <w:rPr>
                <w:noProof/>
                <w:lang w:eastAsia="en-GB"/>
              </w:rPr>
            </w:pPr>
          </w:p>
        </w:tc>
        <w:tc>
          <w:tcPr>
            <w:tcW w:w="4366" w:type="dxa"/>
          </w:tcPr>
          <w:p w14:paraId="4749F8B7" w14:textId="77777777" w:rsidR="008441FE" w:rsidRDefault="008441FE" w:rsidP="000419AD">
            <w:pPr>
              <w:pStyle w:val="Header"/>
              <w:jc w:val="right"/>
              <w:rPr>
                <w:noProof/>
                <w:lang w:eastAsia="en-GB"/>
              </w:rPr>
            </w:pPr>
          </w:p>
        </w:tc>
      </w:tr>
    </w:tbl>
    <w:p w14:paraId="4749F8B9" w14:textId="77777777" w:rsidR="0015011A" w:rsidRDefault="0015011A" w:rsidP="0015011A"/>
    <w:tbl>
      <w:tblPr>
        <w:tblStyle w:val="TableGrid"/>
        <w:tblW w:w="5177" w:type="pct"/>
        <w:tblLook w:val="04A0" w:firstRow="1" w:lastRow="0" w:firstColumn="1" w:lastColumn="0" w:noHBand="0" w:noVBand="1"/>
      </w:tblPr>
      <w:tblGrid>
        <w:gridCol w:w="9686"/>
      </w:tblGrid>
      <w:tr w:rsidR="00967429" w:rsidRPr="008F3655" w14:paraId="4749F8C0" w14:textId="77777777" w:rsidTr="009F5E11">
        <w:trPr>
          <w:trHeight w:val="597"/>
        </w:trPr>
        <w:tc>
          <w:tcPr>
            <w:tcW w:w="9088" w:type="dxa"/>
          </w:tcPr>
          <w:p w14:paraId="4749F8BA" w14:textId="67F3DAA8" w:rsidR="007654E6" w:rsidRPr="008F3655" w:rsidRDefault="00681ED5" w:rsidP="00A524B5">
            <w:pPr>
              <w:pStyle w:val="BodyText"/>
              <w:tabs>
                <w:tab w:val="num" w:pos="1134"/>
              </w:tabs>
              <w:spacing w:after="0"/>
              <w:jc w:val="both"/>
              <w:rPr>
                <w:rFonts w:ascii="Arial" w:hAnsi="Arial" w:cs="Arial"/>
                <w:b/>
              </w:rPr>
            </w:pPr>
            <w:r>
              <w:rPr>
                <w:rFonts w:ascii="Arial" w:hAnsi="Arial" w:cs="Arial"/>
                <w:b/>
              </w:rPr>
              <w:t>ESF</w:t>
            </w:r>
            <w:r w:rsidR="00B3399A" w:rsidRPr="008F3655">
              <w:rPr>
                <w:rFonts w:ascii="Arial" w:hAnsi="Arial" w:cs="Arial"/>
                <w:b/>
              </w:rPr>
              <w:t xml:space="preserve">: </w:t>
            </w:r>
            <w:r w:rsidR="0005224F" w:rsidRPr="008F3655">
              <w:rPr>
                <w:rFonts w:ascii="Arial" w:hAnsi="Arial" w:cs="Arial"/>
                <w:b/>
              </w:rPr>
              <w:t>Access to Employment</w:t>
            </w:r>
          </w:p>
          <w:p w14:paraId="4749F8BE" w14:textId="64B9E520" w:rsidR="006002A9" w:rsidRPr="00681ED5" w:rsidRDefault="009B36AE" w:rsidP="00A524B5">
            <w:pPr>
              <w:pStyle w:val="BodyText"/>
              <w:tabs>
                <w:tab w:val="num" w:pos="1134"/>
              </w:tabs>
              <w:spacing w:after="0"/>
              <w:jc w:val="both"/>
              <w:rPr>
                <w:rFonts w:ascii="Arial" w:hAnsi="Arial" w:cs="Arial"/>
                <w:b/>
              </w:rPr>
            </w:pPr>
            <w:r w:rsidRPr="008F3655">
              <w:rPr>
                <w:rFonts w:ascii="Arial" w:hAnsi="Arial" w:cs="Arial"/>
                <w:b/>
              </w:rPr>
              <w:t>Humber</w:t>
            </w:r>
            <w:r w:rsidR="005B3F9D" w:rsidRPr="008F3655">
              <w:rPr>
                <w:rFonts w:ascii="Arial" w:hAnsi="Arial" w:cs="Arial"/>
                <w:b/>
              </w:rPr>
              <w:t xml:space="preserve"> LEP </w:t>
            </w:r>
            <w:r w:rsidR="00681ED5">
              <w:rPr>
                <w:rFonts w:ascii="Arial" w:hAnsi="Arial" w:cs="Arial"/>
                <w:b/>
              </w:rPr>
              <w:t xml:space="preserve"> </w:t>
            </w:r>
            <w:r w:rsidR="00902FEA">
              <w:rPr>
                <w:rFonts w:ascii="Arial" w:hAnsi="Arial" w:cs="Arial"/>
                <w:b/>
              </w:rPr>
              <w:t>Humber Apprenticeship Growth Programme</w:t>
            </w:r>
            <w:r w:rsidR="00681ED5">
              <w:rPr>
                <w:rFonts w:ascii="Arial" w:hAnsi="Arial" w:cs="Arial"/>
                <w:b/>
              </w:rPr>
              <w:t xml:space="preserve"> </w:t>
            </w:r>
            <w:r w:rsidR="006002A9" w:rsidRPr="00681ED5">
              <w:rPr>
                <w:rFonts w:ascii="Arial" w:hAnsi="Arial" w:cs="Arial"/>
                <w:b/>
              </w:rPr>
              <w:t>ITT</w:t>
            </w:r>
            <w:r w:rsidR="00681ED5" w:rsidRPr="00681ED5">
              <w:rPr>
                <w:rFonts w:ascii="Arial" w:hAnsi="Arial" w:cs="Arial"/>
                <w:b/>
              </w:rPr>
              <w:t>_30097</w:t>
            </w:r>
          </w:p>
          <w:p w14:paraId="4749F8BF" w14:textId="77777777" w:rsidR="00967429" w:rsidRPr="008F3655" w:rsidRDefault="00967429" w:rsidP="00A524B5">
            <w:pPr>
              <w:pStyle w:val="BodyText"/>
              <w:tabs>
                <w:tab w:val="num" w:pos="1134"/>
              </w:tabs>
              <w:spacing w:after="0"/>
              <w:jc w:val="both"/>
              <w:rPr>
                <w:rFonts w:ascii="Arial" w:hAnsi="Arial" w:cs="Arial"/>
                <w:b/>
                <w:color w:val="FF0000"/>
              </w:rPr>
            </w:pPr>
          </w:p>
        </w:tc>
      </w:tr>
      <w:tr w:rsidR="00967429" w:rsidRPr="008F3655" w14:paraId="4749F8C2" w14:textId="77777777" w:rsidTr="003A63C6">
        <w:trPr>
          <w:trHeight w:val="567"/>
        </w:trPr>
        <w:tc>
          <w:tcPr>
            <w:tcW w:w="9088" w:type="dxa"/>
            <w:shd w:val="clear" w:color="auto" w:fill="D9D9D9" w:themeFill="background1" w:themeFillShade="D9"/>
            <w:vAlign w:val="center"/>
          </w:tcPr>
          <w:p w14:paraId="4749F8C1" w14:textId="77777777" w:rsidR="00967429" w:rsidRPr="008F3655" w:rsidRDefault="004C726D" w:rsidP="00FD3B0A">
            <w:pPr>
              <w:pStyle w:val="SpecificationHeading"/>
            </w:pPr>
            <w:r w:rsidRPr="008F3655">
              <w:t>BACKGROUND</w:t>
            </w:r>
          </w:p>
        </w:tc>
      </w:tr>
      <w:tr w:rsidR="00967429" w:rsidRPr="008F3655" w14:paraId="4749F905" w14:textId="77777777" w:rsidTr="009F5E11">
        <w:tc>
          <w:tcPr>
            <w:tcW w:w="9088" w:type="dxa"/>
          </w:tcPr>
          <w:p w14:paraId="4749F8C3" w14:textId="77777777" w:rsidR="00B24D65" w:rsidRPr="008F3655" w:rsidRDefault="00B24D65" w:rsidP="00A524B5">
            <w:pPr>
              <w:tabs>
                <w:tab w:val="num" w:pos="900"/>
              </w:tabs>
              <w:autoSpaceDE w:val="0"/>
              <w:autoSpaceDN w:val="0"/>
              <w:adjustRightInd w:val="0"/>
              <w:rPr>
                <w:rFonts w:cs="Arial"/>
                <w:b/>
              </w:rPr>
            </w:pPr>
          </w:p>
          <w:p w14:paraId="4749F8C4" w14:textId="77777777" w:rsidR="001F0385" w:rsidRPr="008F3655" w:rsidRDefault="002833D9" w:rsidP="00A524B5">
            <w:pPr>
              <w:tabs>
                <w:tab w:val="num" w:pos="900"/>
              </w:tabs>
              <w:autoSpaceDE w:val="0"/>
              <w:autoSpaceDN w:val="0"/>
              <w:adjustRightInd w:val="0"/>
              <w:rPr>
                <w:rFonts w:cs="Arial"/>
                <w:b/>
              </w:rPr>
            </w:pPr>
            <w:r w:rsidRPr="008F3655">
              <w:rPr>
                <w:rFonts w:cs="Arial"/>
                <w:b/>
              </w:rPr>
              <w:t>General</w:t>
            </w:r>
          </w:p>
          <w:p w14:paraId="4749F8C5" w14:textId="77777777" w:rsidR="002833D9" w:rsidRPr="008F3655" w:rsidRDefault="002833D9" w:rsidP="00A524B5">
            <w:pPr>
              <w:tabs>
                <w:tab w:val="num" w:pos="900"/>
              </w:tabs>
              <w:autoSpaceDE w:val="0"/>
              <w:autoSpaceDN w:val="0"/>
              <w:adjustRightInd w:val="0"/>
              <w:rPr>
                <w:rFonts w:cs="Arial"/>
                <w:b/>
              </w:rPr>
            </w:pPr>
          </w:p>
          <w:p w14:paraId="4749F8C6" w14:textId="77777777" w:rsidR="00B24D65" w:rsidRPr="008F3655" w:rsidRDefault="00B24D65" w:rsidP="00A524B5">
            <w:pPr>
              <w:tabs>
                <w:tab w:val="num" w:pos="900"/>
              </w:tabs>
              <w:autoSpaceDE w:val="0"/>
              <w:autoSpaceDN w:val="0"/>
              <w:adjustRightInd w:val="0"/>
              <w:rPr>
                <w:rFonts w:cs="Arial"/>
              </w:rPr>
            </w:pPr>
            <w:r w:rsidRPr="008F3655">
              <w:rPr>
                <w:rFonts w:cs="Arial"/>
              </w:rPr>
              <w:t xml:space="preserve">The contracting authority is the Secretary of State for Business Innovation and </w:t>
            </w:r>
            <w:r w:rsidR="002E3B40" w:rsidRPr="008F3655">
              <w:rPr>
                <w:rFonts w:cs="Arial"/>
              </w:rPr>
              <w:t xml:space="preserve">Skills </w:t>
            </w:r>
            <w:r w:rsidRPr="008F3655">
              <w:rPr>
                <w:rFonts w:cs="Arial"/>
              </w:rPr>
              <w:t>acting through the Skills Funding Agency</w:t>
            </w:r>
            <w:r w:rsidR="00442DA3" w:rsidRPr="008F3655">
              <w:rPr>
                <w:rFonts w:cs="Arial"/>
              </w:rPr>
              <w:t xml:space="preserve"> </w:t>
            </w:r>
            <w:r w:rsidRPr="008F3655">
              <w:rPr>
                <w:rFonts w:cs="Arial"/>
              </w:rPr>
              <w:t>(SFA), an executive agency of the Department for Business Innovation and Skills exercising functions to fund adult education and skills.</w:t>
            </w:r>
          </w:p>
          <w:p w14:paraId="4749F8C7" w14:textId="77777777" w:rsidR="002833D9" w:rsidRPr="008F3655" w:rsidRDefault="002833D9" w:rsidP="00A524B5">
            <w:pPr>
              <w:tabs>
                <w:tab w:val="num" w:pos="900"/>
              </w:tabs>
              <w:autoSpaceDE w:val="0"/>
              <w:autoSpaceDN w:val="0"/>
              <w:adjustRightInd w:val="0"/>
              <w:rPr>
                <w:rFonts w:cs="Arial"/>
              </w:rPr>
            </w:pPr>
          </w:p>
          <w:p w14:paraId="4749F8C8" w14:textId="77777777" w:rsidR="002833D9" w:rsidRPr="008F3655" w:rsidRDefault="002833D9" w:rsidP="00A524B5">
            <w:pPr>
              <w:rPr>
                <w:rFonts w:cs="Arial"/>
              </w:rPr>
            </w:pPr>
            <w:r w:rsidRPr="008F3655">
              <w:rPr>
                <w:rFonts w:cs="Arial"/>
              </w:rPr>
              <w:t>T</w:t>
            </w:r>
            <w:r w:rsidR="009F51A8" w:rsidRPr="008F3655">
              <w:rPr>
                <w:rFonts w:cs="Arial"/>
              </w:rPr>
              <w:t>he SFA, acting as an Opt-In Organisation</w:t>
            </w:r>
            <w:r w:rsidRPr="008F3655">
              <w:rPr>
                <w:rFonts w:cs="Arial"/>
              </w:rPr>
              <w:t xml:space="preserve"> for the European Social Fund (ESF), is procuring education and training services to meet priorities identified by </w:t>
            </w:r>
            <w:r w:rsidR="00F3689D" w:rsidRPr="008F3655">
              <w:rPr>
                <w:rFonts w:cs="Arial"/>
              </w:rPr>
              <w:t xml:space="preserve">Local Enterprise Partnership (LEP) area European Structural and Investment Funds Sub–Committees. </w:t>
            </w:r>
            <w:r w:rsidRPr="008F3655">
              <w:rPr>
                <w:rFonts w:cs="Arial"/>
              </w:rPr>
              <w:t>As a</w:t>
            </w:r>
            <w:r w:rsidR="009F51A8" w:rsidRPr="008F3655">
              <w:rPr>
                <w:rFonts w:cs="Arial"/>
              </w:rPr>
              <w:t>n</w:t>
            </w:r>
            <w:r w:rsidRPr="008F3655">
              <w:rPr>
                <w:rFonts w:cs="Arial"/>
              </w:rPr>
              <w:t xml:space="preserve"> </w:t>
            </w:r>
            <w:r w:rsidR="009F51A8" w:rsidRPr="008F3655">
              <w:rPr>
                <w:rFonts w:cs="Arial"/>
              </w:rPr>
              <w:t>Opt-In Organisation</w:t>
            </w:r>
            <w:r w:rsidRPr="008F3655">
              <w:rPr>
                <w:rFonts w:cs="Arial"/>
              </w:rPr>
              <w:t xml:space="preserve"> the SFA provides match funding at Priority Axis level utilising sources of public funding as match for ESF funded activity.</w:t>
            </w:r>
          </w:p>
          <w:p w14:paraId="4749F8C9" w14:textId="77777777" w:rsidR="002833D9" w:rsidRPr="008F3655" w:rsidRDefault="002833D9" w:rsidP="00A524B5">
            <w:pPr>
              <w:rPr>
                <w:rFonts w:cs="Arial"/>
              </w:rPr>
            </w:pPr>
          </w:p>
          <w:p w14:paraId="4749F8CA" w14:textId="77777777" w:rsidR="00AD0B65" w:rsidRDefault="00AD0B65" w:rsidP="00AD0B65">
            <w:pPr>
              <w:rPr>
                <w:rFonts w:cs="Arial"/>
              </w:rPr>
            </w:pPr>
            <w:r w:rsidRPr="008F3655">
              <w:rPr>
                <w:rFonts w:cs="Arial"/>
              </w:rPr>
              <w:t>This Invitation to Tender (ITT) is for Priority</w:t>
            </w:r>
            <w:r w:rsidR="00A63E89" w:rsidRPr="008F3655">
              <w:rPr>
                <w:rFonts w:cs="Arial"/>
              </w:rPr>
              <w:t xml:space="preserve"> Axis</w:t>
            </w:r>
            <w:r w:rsidRPr="008F3655">
              <w:rPr>
                <w:rFonts w:cs="Arial"/>
              </w:rPr>
              <w:t xml:space="preserve"> </w:t>
            </w:r>
            <w:r w:rsidR="00204192" w:rsidRPr="008F3655">
              <w:rPr>
                <w:rFonts w:cs="Arial"/>
              </w:rPr>
              <w:t>1</w:t>
            </w:r>
            <w:r w:rsidR="00A63E89" w:rsidRPr="008F3655">
              <w:rPr>
                <w:rFonts w:cs="Arial"/>
              </w:rPr>
              <w:t xml:space="preserve"> and </w:t>
            </w:r>
            <w:r w:rsidR="00204192" w:rsidRPr="008F3655">
              <w:rPr>
                <w:rFonts w:cs="Arial"/>
              </w:rPr>
              <w:t>its</w:t>
            </w:r>
            <w:r w:rsidR="00A63E89" w:rsidRPr="008F3655">
              <w:rPr>
                <w:rFonts w:cs="Arial"/>
              </w:rPr>
              <w:t xml:space="preserve"> Investment Priorit</w:t>
            </w:r>
            <w:r w:rsidR="00204192" w:rsidRPr="008F3655">
              <w:rPr>
                <w:rFonts w:cs="Arial"/>
              </w:rPr>
              <w:t>ies</w:t>
            </w:r>
            <w:r w:rsidR="00A63E89" w:rsidRPr="008F3655">
              <w:rPr>
                <w:rFonts w:cs="Arial"/>
              </w:rPr>
              <w:t xml:space="preserve"> </w:t>
            </w:r>
            <w:r w:rsidR="008F3655" w:rsidRPr="008F3655">
              <w:rPr>
                <w:rFonts w:cs="Arial"/>
              </w:rPr>
              <w:t>(</w:t>
            </w:r>
            <w:r w:rsidR="00A63E89" w:rsidRPr="008F3655">
              <w:rPr>
                <w:rFonts w:cs="Arial"/>
              </w:rPr>
              <w:t>IP)</w:t>
            </w:r>
            <w:r w:rsidR="008F3655" w:rsidRPr="008F3655">
              <w:rPr>
                <w:rFonts w:cs="Arial"/>
              </w:rPr>
              <w:t xml:space="preserve"> 1.1.</w:t>
            </w:r>
            <w:r w:rsidR="00204192" w:rsidRPr="008F3655">
              <w:rPr>
                <w:rFonts w:cs="Arial"/>
              </w:rPr>
              <w:t xml:space="preserve"> </w:t>
            </w:r>
          </w:p>
          <w:p w14:paraId="4749F8CB" w14:textId="77777777" w:rsidR="0066098C" w:rsidRPr="008F3655" w:rsidRDefault="0066098C" w:rsidP="00AD0B65">
            <w:pPr>
              <w:rPr>
                <w:rFonts w:cs="Arial"/>
              </w:rPr>
            </w:pPr>
          </w:p>
          <w:p w14:paraId="4749F8CC" w14:textId="77777777" w:rsidR="007E51DD" w:rsidRPr="008F3655" w:rsidRDefault="009E7A30" w:rsidP="00AD0B65">
            <w:pPr>
              <w:rPr>
                <w:rFonts w:cs="Arial"/>
              </w:rPr>
            </w:pPr>
            <w:r w:rsidRPr="008F3655">
              <w:rPr>
                <w:rFonts w:cs="Arial"/>
              </w:rPr>
              <w:t>The</w:t>
            </w:r>
            <w:r w:rsidR="00A63E89" w:rsidRPr="008F3655">
              <w:rPr>
                <w:rFonts w:cs="Arial"/>
              </w:rPr>
              <w:t xml:space="preserve"> </w:t>
            </w:r>
            <w:r w:rsidR="00204192" w:rsidRPr="008F3655">
              <w:rPr>
                <w:rFonts w:cs="Arial"/>
              </w:rPr>
              <w:t xml:space="preserve">Priority Axis 1 </w:t>
            </w:r>
            <w:r w:rsidR="00A63E89" w:rsidRPr="008F3655">
              <w:rPr>
                <w:rFonts w:cs="Arial"/>
              </w:rPr>
              <w:t xml:space="preserve">supports </w:t>
            </w:r>
            <w:r w:rsidR="00204192" w:rsidRPr="008F3655">
              <w:rPr>
                <w:rFonts w:cs="Arial"/>
              </w:rPr>
              <w:t xml:space="preserve">activity </w:t>
            </w:r>
            <w:r w:rsidR="00432EA4" w:rsidRPr="00432EA4">
              <w:rPr>
                <w:rFonts w:cs="Arial"/>
              </w:rPr>
              <w:t xml:space="preserve">to increase participation in the labour market and thereby improve social inclusion and mobility.  </w:t>
            </w:r>
          </w:p>
          <w:p w14:paraId="4749F8CD" w14:textId="77777777" w:rsidR="0066098C" w:rsidRDefault="0066098C" w:rsidP="00AD0B65">
            <w:pPr>
              <w:rPr>
                <w:rFonts w:cs="Arial"/>
              </w:rPr>
            </w:pPr>
          </w:p>
          <w:p w14:paraId="4749F8CE" w14:textId="77777777" w:rsidR="004A2467" w:rsidRDefault="004A2467" w:rsidP="00AD0B65">
            <w:pPr>
              <w:rPr>
                <w:rFonts w:cs="Arial"/>
              </w:rPr>
            </w:pPr>
            <w:r w:rsidRPr="008F3655">
              <w:rPr>
                <w:rFonts w:cs="Arial"/>
              </w:rPr>
              <w:t xml:space="preserve">The </w:t>
            </w:r>
            <w:r w:rsidR="00204192" w:rsidRPr="008F3655">
              <w:rPr>
                <w:rFonts w:cs="Arial"/>
              </w:rPr>
              <w:t>Priority Axis 1</w:t>
            </w:r>
            <w:r w:rsidR="008F3655" w:rsidRPr="008F3655">
              <w:rPr>
                <w:rFonts w:cs="Arial"/>
              </w:rPr>
              <w:t>strand</w:t>
            </w:r>
            <w:r w:rsidRPr="008F3655">
              <w:rPr>
                <w:rFonts w:cs="Arial"/>
              </w:rPr>
              <w:t xml:space="preserve"> </w:t>
            </w:r>
            <w:r w:rsidR="00F0539E" w:rsidRPr="008F3655">
              <w:rPr>
                <w:rFonts w:cs="Arial"/>
              </w:rPr>
              <w:t xml:space="preserve">in this specification </w:t>
            </w:r>
            <w:r w:rsidR="008F3655" w:rsidRPr="008F3655">
              <w:rPr>
                <w:rFonts w:cs="Arial"/>
              </w:rPr>
              <w:t>is</w:t>
            </w:r>
            <w:r w:rsidRPr="008F3655">
              <w:rPr>
                <w:rFonts w:cs="Arial"/>
              </w:rPr>
              <w:t>:</w:t>
            </w:r>
          </w:p>
          <w:p w14:paraId="4749F8CF" w14:textId="77777777" w:rsidR="003A63C6" w:rsidRPr="008F3655" w:rsidRDefault="003A63C6" w:rsidP="00AD0B65">
            <w:pPr>
              <w:rPr>
                <w:rFonts w:cs="Arial"/>
              </w:rPr>
            </w:pPr>
          </w:p>
          <w:p w14:paraId="4749F8D0" w14:textId="77777777" w:rsidR="00204192" w:rsidRPr="008F3655" w:rsidRDefault="00204192" w:rsidP="00A503FD">
            <w:pPr>
              <w:pStyle w:val="ListParagraph"/>
              <w:numPr>
                <w:ilvl w:val="0"/>
                <w:numId w:val="12"/>
              </w:numPr>
              <w:rPr>
                <w:rFonts w:cs="Arial"/>
              </w:rPr>
            </w:pPr>
            <w:r w:rsidRPr="008F3655">
              <w:rPr>
                <w:rFonts w:cs="Arial"/>
                <w:b/>
              </w:rPr>
              <w:t>Access to employment for jobseekers and inactive people</w:t>
            </w:r>
            <w:r w:rsidRPr="008F3655">
              <w:rPr>
                <w:rFonts w:cs="Arial"/>
              </w:rPr>
              <w:t xml:space="preserve"> (IP1.1) - to help those who are disadvantaged but still relatively close to the labour market to tackle their barriers to work, and enter and sustain employment.</w:t>
            </w:r>
            <w:r w:rsidR="005C5B32" w:rsidRPr="008F3655">
              <w:rPr>
                <w:rFonts w:cs="Arial"/>
              </w:rPr>
              <w:t xml:space="preserve">  </w:t>
            </w:r>
          </w:p>
          <w:p w14:paraId="4749F8D1" w14:textId="77777777" w:rsidR="009B1204" w:rsidRPr="008F3655" w:rsidRDefault="009B1204" w:rsidP="00A524B5">
            <w:pPr>
              <w:tabs>
                <w:tab w:val="num" w:pos="900"/>
              </w:tabs>
              <w:autoSpaceDE w:val="0"/>
              <w:autoSpaceDN w:val="0"/>
              <w:adjustRightInd w:val="0"/>
              <w:rPr>
                <w:rFonts w:cs="Arial"/>
              </w:rPr>
            </w:pPr>
          </w:p>
          <w:p w14:paraId="4749F8D2" w14:textId="77777777" w:rsidR="009B1204" w:rsidRPr="008F3655" w:rsidRDefault="009B1204" w:rsidP="009B1204">
            <w:pPr>
              <w:rPr>
                <w:rFonts w:cs="Arial"/>
                <w:b/>
              </w:rPr>
            </w:pPr>
            <w:r w:rsidRPr="008F3655">
              <w:rPr>
                <w:rFonts w:cs="Arial"/>
                <w:b/>
              </w:rPr>
              <w:t xml:space="preserve">Access to </w:t>
            </w:r>
            <w:r w:rsidR="003E0C7F" w:rsidRPr="008F3655">
              <w:rPr>
                <w:rFonts w:cs="Arial"/>
                <w:b/>
              </w:rPr>
              <w:t>E</w:t>
            </w:r>
            <w:r w:rsidRPr="008F3655">
              <w:rPr>
                <w:rFonts w:cs="Arial"/>
                <w:b/>
              </w:rPr>
              <w:t xml:space="preserve">mployment for </w:t>
            </w:r>
            <w:r w:rsidR="003E0C7F" w:rsidRPr="008F3655">
              <w:rPr>
                <w:rFonts w:cs="Arial"/>
                <w:b/>
              </w:rPr>
              <w:t>J</w:t>
            </w:r>
            <w:r w:rsidRPr="008F3655">
              <w:rPr>
                <w:rFonts w:cs="Arial"/>
                <w:b/>
              </w:rPr>
              <w:t xml:space="preserve">obseekers and </w:t>
            </w:r>
            <w:r w:rsidR="003E0C7F" w:rsidRPr="008F3655">
              <w:rPr>
                <w:rFonts w:cs="Arial"/>
                <w:b/>
              </w:rPr>
              <w:t>I</w:t>
            </w:r>
            <w:r w:rsidRPr="008F3655">
              <w:rPr>
                <w:rFonts w:cs="Arial"/>
                <w:b/>
              </w:rPr>
              <w:t xml:space="preserve">nactive </w:t>
            </w:r>
            <w:r w:rsidR="003E0C7F" w:rsidRPr="008F3655">
              <w:rPr>
                <w:rFonts w:cs="Arial"/>
                <w:b/>
              </w:rPr>
              <w:t>P</w:t>
            </w:r>
            <w:r w:rsidRPr="008F3655">
              <w:rPr>
                <w:rFonts w:cs="Arial"/>
                <w:b/>
              </w:rPr>
              <w:t>eople</w:t>
            </w:r>
          </w:p>
          <w:p w14:paraId="4749F8D3" w14:textId="77777777" w:rsidR="009B1204" w:rsidRPr="008F3655" w:rsidRDefault="009B1204" w:rsidP="009B1204">
            <w:pPr>
              <w:rPr>
                <w:rFonts w:cs="Arial"/>
                <w:b/>
              </w:rPr>
            </w:pPr>
          </w:p>
          <w:p w14:paraId="4749F8D4" w14:textId="77777777" w:rsidR="009B1204" w:rsidRPr="008F3655" w:rsidRDefault="00432EA4" w:rsidP="009B1204">
            <w:pPr>
              <w:autoSpaceDE w:val="0"/>
              <w:autoSpaceDN w:val="0"/>
              <w:adjustRightInd w:val="0"/>
              <w:rPr>
                <w:rFonts w:cs="Arial"/>
                <w:color w:val="000000"/>
                <w:lang w:eastAsia="en-GB"/>
              </w:rPr>
            </w:pPr>
            <w:r w:rsidRPr="00432EA4">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4749F8D5" w14:textId="77777777" w:rsidR="009B1204" w:rsidRPr="008F3655" w:rsidRDefault="009B1204" w:rsidP="009B1204">
            <w:pPr>
              <w:autoSpaceDE w:val="0"/>
              <w:autoSpaceDN w:val="0"/>
              <w:adjustRightInd w:val="0"/>
              <w:rPr>
                <w:rFonts w:cs="Arial"/>
                <w:color w:val="000000"/>
                <w:lang w:eastAsia="en-GB"/>
              </w:rPr>
            </w:pPr>
          </w:p>
          <w:p w14:paraId="4749F8D6" w14:textId="77777777" w:rsidR="0066098C" w:rsidRDefault="00432EA4" w:rsidP="009B1204">
            <w:pPr>
              <w:tabs>
                <w:tab w:val="num" w:pos="900"/>
              </w:tabs>
              <w:autoSpaceDE w:val="0"/>
              <w:autoSpaceDN w:val="0"/>
              <w:adjustRightInd w:val="0"/>
              <w:rPr>
                <w:rFonts w:cs="Arial"/>
                <w:color w:val="000000"/>
                <w:lang w:eastAsia="en-GB"/>
              </w:rPr>
            </w:pPr>
            <w:r w:rsidRPr="00432EA4">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w:t>
            </w:r>
            <w:r w:rsidRPr="00432EA4">
              <w:rPr>
                <w:rFonts w:cs="Arial"/>
                <w:color w:val="000000"/>
                <w:lang w:eastAsia="en-GB"/>
              </w:rPr>
              <w:lastRenderedPageBreak/>
              <w:t xml:space="preserve">ensure that these disadvantaged groups are provided with the right level of support, tailored to the needs of individuals and businesses in local labour markets. This will be the primary added value for ESF. </w:t>
            </w:r>
          </w:p>
          <w:p w14:paraId="4749F8D7" w14:textId="77777777" w:rsidR="0066098C" w:rsidRDefault="0066098C" w:rsidP="009B1204">
            <w:pPr>
              <w:tabs>
                <w:tab w:val="num" w:pos="900"/>
              </w:tabs>
              <w:autoSpaceDE w:val="0"/>
              <w:autoSpaceDN w:val="0"/>
              <w:adjustRightInd w:val="0"/>
              <w:rPr>
                <w:rFonts w:cs="Arial"/>
                <w:color w:val="000000"/>
                <w:lang w:eastAsia="en-GB"/>
              </w:rPr>
            </w:pPr>
          </w:p>
          <w:p w14:paraId="4749F8D8" w14:textId="77777777" w:rsidR="009B1204" w:rsidRPr="008F3655" w:rsidRDefault="00432EA4" w:rsidP="009B1204">
            <w:pPr>
              <w:tabs>
                <w:tab w:val="num" w:pos="900"/>
              </w:tabs>
              <w:autoSpaceDE w:val="0"/>
              <w:autoSpaceDN w:val="0"/>
              <w:adjustRightInd w:val="0"/>
              <w:rPr>
                <w:rFonts w:cs="Arial"/>
              </w:rPr>
            </w:pPr>
            <w:r w:rsidRPr="00432EA4">
              <w:rPr>
                <w:rFonts w:cs="Arial"/>
                <w:color w:val="000000"/>
                <w:lang w:eastAsia="en-GB"/>
              </w:rPr>
              <w:t>Activities include help to identify the barriers individuals face in moving into work (for example: confidence, lack of recent work experience, basic skills, job-related skills, job-seeking skills, or other material barriers like debt and working with them to tackle these barriers.</w:t>
            </w:r>
          </w:p>
          <w:p w14:paraId="4749F8D9" w14:textId="77777777" w:rsidR="009B1204" w:rsidRPr="008F3655" w:rsidRDefault="009B1204" w:rsidP="00A524B5">
            <w:pPr>
              <w:tabs>
                <w:tab w:val="num" w:pos="900"/>
              </w:tabs>
              <w:autoSpaceDE w:val="0"/>
              <w:autoSpaceDN w:val="0"/>
              <w:adjustRightInd w:val="0"/>
              <w:rPr>
                <w:rFonts w:cs="Arial"/>
              </w:rPr>
            </w:pPr>
          </w:p>
          <w:p w14:paraId="4749F8DA" w14:textId="77777777" w:rsidR="001A4B42" w:rsidRPr="008F3655" w:rsidRDefault="009B36AE" w:rsidP="000D51DE">
            <w:pPr>
              <w:rPr>
                <w:rFonts w:cs="Arial"/>
                <w:lang w:eastAsia="en-GB"/>
              </w:rPr>
            </w:pPr>
            <w:r w:rsidRPr="008F3655">
              <w:rPr>
                <w:rFonts w:cs="Arial"/>
                <w:b/>
              </w:rPr>
              <w:t>Humber</w:t>
            </w:r>
            <w:r w:rsidR="000304B2" w:rsidRPr="008F3655">
              <w:rPr>
                <w:rFonts w:cs="Arial"/>
                <w:b/>
              </w:rPr>
              <w:t xml:space="preserve"> Local </w:t>
            </w:r>
            <w:r w:rsidR="00A76A58" w:rsidRPr="008F3655">
              <w:rPr>
                <w:rFonts w:cs="Arial"/>
                <w:b/>
              </w:rPr>
              <w:t>Enterprise Partnership</w:t>
            </w:r>
            <w:r w:rsidR="00F24C41" w:rsidRPr="008F3655">
              <w:rPr>
                <w:rFonts w:cs="Arial"/>
                <w:b/>
              </w:rPr>
              <w:t xml:space="preserve"> Background</w:t>
            </w:r>
          </w:p>
          <w:p w14:paraId="4749F8DB" w14:textId="77777777" w:rsidR="001A4EF8" w:rsidRPr="008F3655" w:rsidRDefault="001A4EF8" w:rsidP="000D51DE">
            <w:pPr>
              <w:rPr>
                <w:rFonts w:cs="Arial"/>
                <w:lang w:eastAsia="en-GB"/>
              </w:rPr>
            </w:pPr>
          </w:p>
          <w:p w14:paraId="4749F8DC" w14:textId="77777777" w:rsidR="001A4EF8" w:rsidRPr="008F3655" w:rsidRDefault="001A4EF8" w:rsidP="001A4EF8">
            <w:pPr>
              <w:autoSpaceDE w:val="0"/>
              <w:autoSpaceDN w:val="0"/>
              <w:adjustRightInd w:val="0"/>
              <w:rPr>
                <w:rFonts w:cs="Arial"/>
                <w:color w:val="000000"/>
                <w:lang w:eastAsia="en-GB"/>
              </w:rPr>
            </w:pPr>
            <w:r w:rsidRPr="008F3655">
              <w:rPr>
                <w:rFonts w:cs="Arial"/>
                <w:color w:val="000000"/>
                <w:lang w:eastAsia="en-GB"/>
              </w:rPr>
              <w:t xml:space="preserve">The Humber is centrally located on the East Coast of the UK, equidistant from London and Edinburgh. The Humber has an almost unique spatial configuration, dominated by the estuary and its river systems and framed by a Heritage Coastline to the east, an Area of Outstanding Natural Beauty (the Lincolnshire Wolds) to the south, the Yorkshire Moors and Yorkshire Wolds to the north and the Yorkshire conurbations to the west. The Humber LEP area covers four local authorities: Hull, the East Riding, North Lincolnshire and North East Lincolnshire (see </w:t>
            </w:r>
            <w:hyperlink r:id="rId15" w:history="1">
              <w:r w:rsidR="00432EA4" w:rsidRPr="00432EA4">
                <w:rPr>
                  <w:rStyle w:val="Hyperlink"/>
                  <w:rFonts w:cs="Arial"/>
                  <w:sz w:val="24"/>
                  <w:szCs w:val="24"/>
                  <w:lang w:eastAsia="en-GB"/>
                </w:rPr>
                <w:t>http://www.humberlep.org/strategy/european-structural-and-investment-fund-strategy/</w:t>
              </w:r>
            </w:hyperlink>
            <w:r w:rsidRPr="008F3655">
              <w:rPr>
                <w:rFonts w:cs="Arial"/>
                <w:color w:val="000000"/>
                <w:lang w:eastAsia="en-GB"/>
              </w:rPr>
              <w:t>).</w:t>
            </w:r>
          </w:p>
          <w:p w14:paraId="4749F8DD" w14:textId="77777777" w:rsidR="001A4EF8" w:rsidRPr="008F3655" w:rsidRDefault="001A4EF8" w:rsidP="001A4EF8">
            <w:pPr>
              <w:autoSpaceDE w:val="0"/>
              <w:autoSpaceDN w:val="0"/>
              <w:adjustRightInd w:val="0"/>
              <w:rPr>
                <w:rFonts w:cs="Arial"/>
                <w:color w:val="000000"/>
                <w:lang w:eastAsia="en-GB"/>
              </w:rPr>
            </w:pPr>
          </w:p>
          <w:p w14:paraId="4749F8DE" w14:textId="77777777" w:rsidR="001A4EF8" w:rsidRPr="008F3655" w:rsidRDefault="001A4EF8" w:rsidP="001A4EF8">
            <w:pPr>
              <w:autoSpaceDE w:val="0"/>
              <w:autoSpaceDN w:val="0"/>
              <w:adjustRightInd w:val="0"/>
              <w:rPr>
                <w:rFonts w:cs="Arial"/>
                <w:color w:val="000000"/>
                <w:lang w:eastAsia="en-GB"/>
              </w:rPr>
            </w:pPr>
            <w:r w:rsidRPr="008F3655">
              <w:rPr>
                <w:rFonts w:cs="Arial"/>
                <w:color w:val="000000"/>
                <w:lang w:eastAsia="en-GB"/>
              </w:rPr>
              <w:t xml:space="preserve">Skills levels in the Humber are improving but more is needed  to close the productivity gap, address the low skills equilibrium and create a workforce that can maximise private sector investments opportunities. </w:t>
            </w:r>
          </w:p>
          <w:p w14:paraId="4749F8DF" w14:textId="77777777" w:rsidR="001A4EF8" w:rsidRPr="008F3655" w:rsidRDefault="001A4EF8" w:rsidP="001A4EF8">
            <w:pPr>
              <w:autoSpaceDE w:val="0"/>
              <w:autoSpaceDN w:val="0"/>
              <w:adjustRightInd w:val="0"/>
              <w:rPr>
                <w:rFonts w:cs="Arial"/>
                <w:color w:val="000000"/>
                <w:lang w:eastAsia="en-GB"/>
              </w:rPr>
            </w:pPr>
          </w:p>
          <w:p w14:paraId="4749F8E0" w14:textId="48750561" w:rsidR="001A4EF8" w:rsidRPr="008F3655" w:rsidRDefault="001A4EF8" w:rsidP="001A4EF8">
            <w:pPr>
              <w:rPr>
                <w:rFonts w:cs="Arial"/>
                <w:lang w:eastAsia="en-GB"/>
              </w:rPr>
            </w:pPr>
            <w:r w:rsidRPr="008F3655">
              <w:rPr>
                <w:rFonts w:cs="Arial"/>
                <w:color w:val="000000"/>
                <w:lang w:eastAsia="en-GB"/>
              </w:rPr>
              <w:t xml:space="preserve">Despite improvements, the Humber continues to be behind national average for qualifications at level four and above and </w:t>
            </w:r>
            <w:r w:rsidR="005606DB">
              <w:rPr>
                <w:rFonts w:cs="Arial"/>
                <w:color w:val="000000"/>
                <w:lang w:eastAsia="en-GB"/>
              </w:rPr>
              <w:t>potential learners</w:t>
            </w:r>
            <w:r w:rsidRPr="008F3655">
              <w:rPr>
                <w:rFonts w:cs="Arial"/>
                <w:color w:val="000000"/>
                <w:lang w:eastAsia="en-GB"/>
              </w:rPr>
              <w:t xml:space="preserve"> remain a higher national percentage of those with no qualifications.</w:t>
            </w:r>
          </w:p>
          <w:p w14:paraId="4749F8E1" w14:textId="77777777" w:rsidR="000D51DE" w:rsidRPr="008F3655" w:rsidRDefault="000D51DE" w:rsidP="000D51DE">
            <w:pPr>
              <w:rPr>
                <w:rFonts w:cs="Arial"/>
                <w:lang w:eastAsia="en-GB"/>
              </w:rPr>
            </w:pPr>
          </w:p>
          <w:p w14:paraId="4749F8E2" w14:textId="77777777" w:rsidR="00442284" w:rsidRDefault="001A4EF8" w:rsidP="001A4EF8">
            <w:pPr>
              <w:autoSpaceDE w:val="0"/>
              <w:autoSpaceDN w:val="0"/>
              <w:adjustRightInd w:val="0"/>
              <w:rPr>
                <w:rFonts w:cs="Arial"/>
                <w:color w:val="000000"/>
                <w:lang w:eastAsia="en-GB"/>
              </w:rPr>
            </w:pPr>
            <w:r w:rsidRPr="008F3655">
              <w:rPr>
                <w:rFonts w:cs="Arial"/>
                <w:color w:val="000000"/>
                <w:lang w:eastAsia="en-GB"/>
              </w:rPr>
              <w:t>Persistent low levels of skills threaten to hold back business growth, business export is under performing and there needs to be a stronger recognition of the link between knowledge application and productivity.</w:t>
            </w:r>
          </w:p>
          <w:p w14:paraId="4749F8E3" w14:textId="77777777" w:rsidR="00442284" w:rsidRDefault="00442284" w:rsidP="001A4EF8">
            <w:pPr>
              <w:autoSpaceDE w:val="0"/>
              <w:autoSpaceDN w:val="0"/>
              <w:adjustRightInd w:val="0"/>
              <w:rPr>
                <w:rFonts w:cs="Arial"/>
                <w:color w:val="000000"/>
                <w:lang w:eastAsia="en-GB"/>
              </w:rPr>
            </w:pPr>
          </w:p>
          <w:p w14:paraId="4749F8E4" w14:textId="77777777" w:rsidR="00442284" w:rsidRDefault="00442284" w:rsidP="001A4EF8">
            <w:pPr>
              <w:autoSpaceDE w:val="0"/>
              <w:autoSpaceDN w:val="0"/>
              <w:adjustRightInd w:val="0"/>
              <w:rPr>
                <w:rFonts w:cs="Arial"/>
                <w:color w:val="000000"/>
                <w:lang w:eastAsia="en-GB"/>
              </w:rPr>
            </w:pPr>
            <w:r>
              <w:rPr>
                <w:rFonts w:cs="Arial"/>
                <w:color w:val="000000"/>
                <w:lang w:eastAsia="en-GB"/>
              </w:rPr>
              <w:t>The following are the LEPs priority and growth sectors:</w:t>
            </w:r>
          </w:p>
          <w:p w14:paraId="4749F8E5" w14:textId="77777777" w:rsidR="00442284" w:rsidRDefault="00442284" w:rsidP="001A4EF8">
            <w:pPr>
              <w:autoSpaceDE w:val="0"/>
              <w:autoSpaceDN w:val="0"/>
              <w:adjustRightInd w:val="0"/>
              <w:rPr>
                <w:rFonts w:cs="Arial"/>
                <w:color w:val="000000"/>
                <w:lang w:eastAsia="en-GB"/>
              </w:rPr>
            </w:pPr>
          </w:p>
          <w:p w14:paraId="4749F8E6"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Renewable technologies/Green energy</w:t>
            </w:r>
          </w:p>
          <w:p w14:paraId="4749F8E7"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Ports and logistics</w:t>
            </w:r>
          </w:p>
          <w:p w14:paraId="4749F8E8"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Creative and Digital</w:t>
            </w:r>
          </w:p>
          <w:p w14:paraId="4749F8E9"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Chemicals</w:t>
            </w:r>
          </w:p>
          <w:p w14:paraId="4749F8EA"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Engineering and Manufacturing</w:t>
            </w:r>
          </w:p>
          <w:p w14:paraId="4749F8EB"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Food</w:t>
            </w:r>
          </w:p>
          <w:p w14:paraId="4749F8EC" w14:textId="77777777" w:rsidR="00442284" w:rsidRPr="00EA64E8" w:rsidRDefault="00442284" w:rsidP="00442284">
            <w:pPr>
              <w:pStyle w:val="ListParagraph"/>
              <w:numPr>
                <w:ilvl w:val="0"/>
                <w:numId w:val="30"/>
              </w:numPr>
              <w:rPr>
                <w:rFonts w:cs="Arial"/>
                <w:color w:val="000000" w:themeColor="text1"/>
              </w:rPr>
            </w:pPr>
            <w:r w:rsidRPr="00EA64E8">
              <w:rPr>
                <w:rFonts w:cs="Arial"/>
                <w:color w:val="000000" w:themeColor="text1"/>
              </w:rPr>
              <w:t>Visitor economy</w:t>
            </w:r>
          </w:p>
          <w:p w14:paraId="4749F8ED" w14:textId="77777777" w:rsidR="008F3655" w:rsidRDefault="008F3655" w:rsidP="001A4EF8">
            <w:pPr>
              <w:autoSpaceDE w:val="0"/>
              <w:autoSpaceDN w:val="0"/>
              <w:adjustRightInd w:val="0"/>
              <w:rPr>
                <w:rFonts w:cs="Arial"/>
                <w:color w:val="000000"/>
                <w:lang w:eastAsia="en-GB"/>
              </w:rPr>
            </w:pPr>
          </w:p>
          <w:p w14:paraId="4749F8FD" w14:textId="77777777" w:rsidR="00F16AF4" w:rsidRDefault="0066098C">
            <w:pPr>
              <w:autoSpaceDE w:val="0"/>
              <w:autoSpaceDN w:val="0"/>
              <w:adjustRightInd w:val="0"/>
              <w:rPr>
                <w:rFonts w:cs="Arial"/>
                <w:color w:val="000000" w:themeColor="text1"/>
              </w:rPr>
            </w:pPr>
            <w:r>
              <w:rPr>
                <w:rFonts w:cs="Arial"/>
                <w:color w:val="000000" w:themeColor="text1"/>
              </w:rPr>
              <w:t>T</w:t>
            </w:r>
            <w:r w:rsidR="001A4EF8" w:rsidRPr="008F3655">
              <w:rPr>
                <w:rFonts w:cs="Arial"/>
                <w:color w:val="000000" w:themeColor="text1"/>
              </w:rPr>
              <w:t xml:space="preserve">he </w:t>
            </w:r>
            <w:r w:rsidR="00D567C8">
              <w:rPr>
                <w:rFonts w:cs="Arial"/>
                <w:color w:val="000000" w:themeColor="text1"/>
              </w:rPr>
              <w:t>SFA</w:t>
            </w:r>
            <w:r w:rsidR="001A4EF8" w:rsidRPr="008F3655">
              <w:rPr>
                <w:rFonts w:cs="Arial"/>
                <w:color w:val="000000" w:themeColor="text1"/>
              </w:rPr>
              <w:t xml:space="preserve"> is seeking to procure </w:t>
            </w:r>
            <w:r w:rsidR="00442284">
              <w:rPr>
                <w:rFonts w:cs="Arial"/>
                <w:color w:val="000000" w:themeColor="text1"/>
              </w:rPr>
              <w:t xml:space="preserve">a </w:t>
            </w:r>
            <w:r w:rsidR="001A4EF8" w:rsidRPr="008F3655">
              <w:rPr>
                <w:rFonts w:cs="Arial"/>
                <w:color w:val="000000" w:themeColor="text1"/>
              </w:rPr>
              <w:t xml:space="preserve">service that will work </w:t>
            </w:r>
            <w:r w:rsidR="00442284">
              <w:rPr>
                <w:rFonts w:cs="Arial"/>
                <w:color w:val="000000" w:themeColor="text1"/>
              </w:rPr>
              <w:t>across</w:t>
            </w:r>
            <w:r w:rsidR="001A4EF8" w:rsidRPr="008F3655">
              <w:rPr>
                <w:rFonts w:cs="Arial"/>
                <w:color w:val="000000" w:themeColor="text1"/>
              </w:rPr>
              <w:t xml:space="preserve"> Humber</w:t>
            </w:r>
            <w:r w:rsidR="00442284">
              <w:rPr>
                <w:rFonts w:cs="Arial"/>
                <w:color w:val="000000" w:themeColor="text1"/>
              </w:rPr>
              <w:t xml:space="preserve"> to </w:t>
            </w:r>
            <w:r w:rsidR="001A4EF8" w:rsidRPr="008F3655">
              <w:rPr>
                <w:rFonts w:cs="Arial"/>
                <w:color w:val="000000" w:themeColor="text1"/>
              </w:rPr>
              <w:t>deliver a responsive apprenticeship brokerage service to meet resident and employer need</w:t>
            </w:r>
            <w:r w:rsidR="00C05FC8">
              <w:rPr>
                <w:rFonts w:cs="Arial"/>
                <w:color w:val="000000" w:themeColor="text1"/>
              </w:rPr>
              <w:t xml:space="preserve">s. The focus of the services will be mainly on the LEPs priority areas however learner preference will take priority. </w:t>
            </w:r>
          </w:p>
          <w:p w14:paraId="4749F8FE" w14:textId="77777777" w:rsidR="001A4EF8" w:rsidRDefault="001A4EF8" w:rsidP="001A4EF8">
            <w:pPr>
              <w:rPr>
                <w:rFonts w:cs="Arial"/>
                <w:color w:val="000000" w:themeColor="text1"/>
              </w:rPr>
            </w:pPr>
          </w:p>
          <w:p w14:paraId="4749F8FF" w14:textId="77777777" w:rsidR="0066098C" w:rsidRDefault="001A4EF8" w:rsidP="001A4EF8">
            <w:pPr>
              <w:autoSpaceDE w:val="0"/>
              <w:autoSpaceDN w:val="0"/>
              <w:adjustRightInd w:val="0"/>
              <w:rPr>
                <w:rFonts w:cs="Arial"/>
                <w:color w:val="000000"/>
                <w:lang w:eastAsia="en-GB"/>
              </w:rPr>
            </w:pPr>
            <w:r w:rsidRPr="008F3655">
              <w:rPr>
                <w:rFonts w:cs="Arial"/>
                <w:color w:val="000000"/>
                <w:lang w:eastAsia="en-GB"/>
              </w:rPr>
              <w:lastRenderedPageBreak/>
              <w:t xml:space="preserve">The LEP seeks to increase the quantity of apprenticeships </w:t>
            </w:r>
            <w:r w:rsidR="0066098C">
              <w:rPr>
                <w:rFonts w:cs="Arial"/>
                <w:color w:val="000000"/>
                <w:lang w:eastAsia="en-GB"/>
              </w:rPr>
              <w:t xml:space="preserve">in the Humber </w:t>
            </w:r>
            <w:r w:rsidRPr="008F3655">
              <w:rPr>
                <w:rFonts w:cs="Arial"/>
                <w:color w:val="000000"/>
                <w:lang w:eastAsia="en-GB"/>
              </w:rPr>
              <w:t xml:space="preserve">at all levels, including higher degree levels, recognising the opportunity to engage with business in developing new provision, creating additional jobs and encouraging SMEs to take an apprentice.  </w:t>
            </w:r>
          </w:p>
          <w:p w14:paraId="4749F900" w14:textId="77777777" w:rsidR="0066098C" w:rsidRDefault="0066098C" w:rsidP="001A4EF8">
            <w:pPr>
              <w:autoSpaceDE w:val="0"/>
              <w:autoSpaceDN w:val="0"/>
              <w:adjustRightInd w:val="0"/>
              <w:rPr>
                <w:rFonts w:cs="Arial"/>
                <w:color w:val="000000"/>
                <w:lang w:eastAsia="en-GB"/>
              </w:rPr>
            </w:pPr>
          </w:p>
          <w:p w14:paraId="4749F901" w14:textId="77777777" w:rsidR="001A4EF8" w:rsidRPr="008F3655" w:rsidRDefault="001A4EF8" w:rsidP="001A4EF8">
            <w:pPr>
              <w:autoSpaceDE w:val="0"/>
              <w:autoSpaceDN w:val="0"/>
              <w:adjustRightInd w:val="0"/>
              <w:rPr>
                <w:rFonts w:cs="Arial"/>
                <w:color w:val="000000"/>
                <w:lang w:eastAsia="en-GB"/>
              </w:rPr>
            </w:pPr>
            <w:r w:rsidRPr="008F3655">
              <w:rPr>
                <w:rFonts w:cs="Arial"/>
                <w:color w:val="000000"/>
                <w:lang w:eastAsia="en-GB"/>
              </w:rPr>
              <w:t xml:space="preserve">The service will provide an information and brokerage service to reduce bureaucracy and support small businesses to maximise resources. </w:t>
            </w:r>
            <w:r w:rsidR="00F16AF4">
              <w:rPr>
                <w:rFonts w:cs="Arial"/>
                <w:color w:val="000000"/>
                <w:lang w:eastAsia="en-GB"/>
              </w:rPr>
              <w:t xml:space="preserve">It will match suitable candidates with employment opportunities that meet both the employer and employee’s </w:t>
            </w:r>
            <w:r w:rsidR="00D60867">
              <w:rPr>
                <w:rFonts w:cs="Arial"/>
                <w:color w:val="000000"/>
                <w:lang w:eastAsia="en-GB"/>
              </w:rPr>
              <w:t xml:space="preserve">needs and </w:t>
            </w:r>
            <w:r w:rsidR="00F16AF4">
              <w:rPr>
                <w:rFonts w:cs="Arial"/>
                <w:color w:val="000000"/>
                <w:lang w:eastAsia="en-GB"/>
              </w:rPr>
              <w:t xml:space="preserve">expectations. </w:t>
            </w:r>
            <w:r w:rsidRPr="008F3655">
              <w:rPr>
                <w:rFonts w:cs="Arial"/>
                <w:color w:val="000000"/>
                <w:lang w:eastAsia="en-GB"/>
              </w:rPr>
              <w:t xml:space="preserve">This </w:t>
            </w:r>
            <w:r w:rsidR="0066098C">
              <w:rPr>
                <w:rFonts w:cs="Arial"/>
                <w:color w:val="000000"/>
                <w:lang w:eastAsia="en-GB"/>
              </w:rPr>
              <w:t xml:space="preserve">again </w:t>
            </w:r>
            <w:r w:rsidRPr="008F3655">
              <w:rPr>
                <w:rFonts w:cs="Arial"/>
                <w:color w:val="000000"/>
                <w:lang w:eastAsia="en-GB"/>
              </w:rPr>
              <w:t>builds on the success of the Humber Apprenticeship Support Service pilot, which ceased in December 2015.</w:t>
            </w:r>
          </w:p>
          <w:p w14:paraId="4749F902" w14:textId="77777777" w:rsidR="001A4EF8" w:rsidRPr="008F3655" w:rsidRDefault="001A4EF8" w:rsidP="001A4EF8">
            <w:pPr>
              <w:autoSpaceDE w:val="0"/>
              <w:autoSpaceDN w:val="0"/>
              <w:adjustRightInd w:val="0"/>
              <w:rPr>
                <w:rFonts w:cs="Arial"/>
                <w:color w:val="000000"/>
                <w:lang w:eastAsia="en-GB"/>
              </w:rPr>
            </w:pPr>
          </w:p>
          <w:p w14:paraId="4749F903" w14:textId="77777777" w:rsidR="001A4EF8" w:rsidRDefault="00442284" w:rsidP="001A4EF8">
            <w:pPr>
              <w:autoSpaceDE w:val="0"/>
              <w:autoSpaceDN w:val="0"/>
              <w:adjustRightInd w:val="0"/>
              <w:rPr>
                <w:rFonts w:cs="Arial"/>
                <w:color w:val="000000"/>
                <w:lang w:eastAsia="en-GB"/>
              </w:rPr>
            </w:pPr>
            <w:r>
              <w:rPr>
                <w:rFonts w:cs="Arial"/>
                <w:color w:val="000000"/>
                <w:lang w:eastAsia="en-GB"/>
              </w:rPr>
              <w:t xml:space="preserve">The service will </w:t>
            </w:r>
            <w:r w:rsidR="001A4EF8" w:rsidRPr="008F3655">
              <w:rPr>
                <w:rFonts w:cs="Arial"/>
                <w:color w:val="000000"/>
                <w:lang w:eastAsia="en-GB"/>
              </w:rPr>
              <w:t>also seek to grow additional Traineeships, recognising these are an important pathway for many young people</w:t>
            </w:r>
            <w:r w:rsidR="00FE7FDA">
              <w:rPr>
                <w:rFonts w:cs="Arial"/>
                <w:color w:val="000000"/>
                <w:lang w:eastAsia="en-GB"/>
              </w:rPr>
              <w:t xml:space="preserve">. </w:t>
            </w:r>
            <w:r w:rsidR="001A4EF8" w:rsidRPr="008F3655">
              <w:rPr>
                <w:rFonts w:cs="Arial"/>
                <w:color w:val="000000"/>
                <w:lang w:eastAsia="en-GB"/>
              </w:rPr>
              <w:t xml:space="preserve"> </w:t>
            </w:r>
          </w:p>
          <w:p w14:paraId="4749F904" w14:textId="77777777" w:rsidR="001A4EF8" w:rsidRPr="008F3655" w:rsidRDefault="001A4EF8" w:rsidP="000D51DE">
            <w:pPr>
              <w:rPr>
                <w:rFonts w:cs="Arial"/>
                <w:lang w:eastAsia="en-GB"/>
              </w:rPr>
            </w:pPr>
          </w:p>
        </w:tc>
      </w:tr>
      <w:tr w:rsidR="00967429" w:rsidRPr="008F3655" w14:paraId="4749F907" w14:textId="77777777" w:rsidTr="003A63C6">
        <w:trPr>
          <w:trHeight w:val="567"/>
        </w:trPr>
        <w:tc>
          <w:tcPr>
            <w:tcW w:w="9088" w:type="dxa"/>
            <w:shd w:val="clear" w:color="auto" w:fill="D9D9D9" w:themeFill="background1" w:themeFillShade="D9"/>
            <w:vAlign w:val="center"/>
          </w:tcPr>
          <w:p w14:paraId="4749F906" w14:textId="77777777" w:rsidR="00967429" w:rsidRPr="008F3655" w:rsidRDefault="002E25F4" w:rsidP="00C107CE">
            <w:pPr>
              <w:tabs>
                <w:tab w:val="num" w:pos="900"/>
              </w:tabs>
              <w:autoSpaceDE w:val="0"/>
              <w:autoSpaceDN w:val="0"/>
              <w:adjustRightInd w:val="0"/>
              <w:rPr>
                <w:rFonts w:cs="Arial"/>
                <w:b/>
              </w:rPr>
            </w:pPr>
            <w:r w:rsidRPr="008F3655">
              <w:rPr>
                <w:rFonts w:cs="Arial"/>
                <w:b/>
              </w:rPr>
              <w:lastRenderedPageBreak/>
              <w:t>DEFINITION OF TERMS</w:t>
            </w:r>
          </w:p>
        </w:tc>
      </w:tr>
      <w:tr w:rsidR="00967429" w:rsidRPr="008F3655" w14:paraId="4749F929" w14:textId="77777777" w:rsidTr="009F5E11">
        <w:tc>
          <w:tcPr>
            <w:tcW w:w="9088" w:type="dxa"/>
          </w:tcPr>
          <w:p w14:paraId="4749F908" w14:textId="77777777" w:rsidR="002E25F4" w:rsidRPr="008F3655" w:rsidRDefault="002E25F4" w:rsidP="00A524B5">
            <w:pPr>
              <w:rPr>
                <w:rFonts w:cs="Arial"/>
                <w:i/>
              </w:rPr>
            </w:pPr>
          </w:p>
          <w:p w14:paraId="4749F909" w14:textId="77777777" w:rsidR="0004585A" w:rsidRPr="008F3655" w:rsidRDefault="005C44C5" w:rsidP="000304B2">
            <w:pPr>
              <w:ind w:left="360" w:hanging="360"/>
              <w:rPr>
                <w:rFonts w:cs="Arial"/>
                <w:b/>
              </w:rPr>
            </w:pPr>
            <w:r w:rsidRPr="008F3655">
              <w:rPr>
                <w:rFonts w:cs="Arial"/>
                <w:b/>
              </w:rPr>
              <w:t xml:space="preserve">At risk of Redundancy: </w:t>
            </w:r>
            <w:r w:rsidRPr="008F3655">
              <w:rPr>
                <w:rFonts w:cs="Arial"/>
              </w:rPr>
              <w:t xml:space="preserve">means </w:t>
            </w:r>
            <w:r w:rsidR="00E82E42" w:rsidRPr="008F3655">
              <w:rPr>
                <w:rFonts w:cs="Arial"/>
              </w:rPr>
              <w:t>E</w:t>
            </w:r>
            <w:r w:rsidRPr="008F3655">
              <w:rPr>
                <w:rFonts w:cs="Arial"/>
              </w:rPr>
              <w:t xml:space="preserve">mployees </w:t>
            </w:r>
            <w:r w:rsidR="00E82E42" w:rsidRPr="008F3655">
              <w:rPr>
                <w:rFonts w:cs="Arial"/>
              </w:rPr>
              <w:t xml:space="preserve">identified by the </w:t>
            </w:r>
            <w:r w:rsidRPr="008F3655">
              <w:rPr>
                <w:rFonts w:cs="Arial"/>
              </w:rPr>
              <w:t>employer as</w:t>
            </w:r>
            <w:r w:rsidR="00E82E42" w:rsidRPr="008F3655">
              <w:rPr>
                <w:rFonts w:cs="Arial"/>
              </w:rPr>
              <w:t xml:space="preserve"> at risk or redundancy and/or</w:t>
            </w:r>
            <w:r w:rsidRPr="008F3655">
              <w:rPr>
                <w:rFonts w:cs="Arial"/>
              </w:rPr>
              <w:t xml:space="preserve"> commenced formal consultation with staff representatives on the need to make redundancies</w:t>
            </w:r>
          </w:p>
          <w:p w14:paraId="4749F90A" w14:textId="77777777" w:rsidR="005C44C5" w:rsidRPr="008F3655" w:rsidRDefault="005C44C5" w:rsidP="000304B2">
            <w:pPr>
              <w:ind w:left="360" w:hanging="360"/>
              <w:rPr>
                <w:rFonts w:cs="Arial"/>
                <w:b/>
              </w:rPr>
            </w:pPr>
          </w:p>
          <w:p w14:paraId="4749F90B" w14:textId="77777777" w:rsidR="000304B2" w:rsidRPr="008F3655" w:rsidRDefault="000304B2" w:rsidP="000304B2">
            <w:pPr>
              <w:ind w:left="360" w:hanging="360"/>
              <w:rPr>
                <w:rFonts w:cs="Arial"/>
              </w:rPr>
            </w:pPr>
            <w:r w:rsidRPr="008F3655">
              <w:rPr>
                <w:rFonts w:cs="Arial"/>
                <w:b/>
              </w:rPr>
              <w:t xml:space="preserve">Candidate: </w:t>
            </w:r>
            <w:r w:rsidRPr="008F3655">
              <w:rPr>
                <w:rFonts w:cs="Arial"/>
              </w:rPr>
              <w:t>means an organisation who has been invited to take part in this restricted procurement procedure</w:t>
            </w:r>
          </w:p>
          <w:p w14:paraId="4749F90C" w14:textId="77777777" w:rsidR="000304B2" w:rsidRPr="008F3655" w:rsidRDefault="000304B2" w:rsidP="000304B2">
            <w:pPr>
              <w:ind w:left="360" w:hanging="360"/>
              <w:rPr>
                <w:rFonts w:cs="Arial"/>
                <w:b/>
              </w:rPr>
            </w:pPr>
          </w:p>
          <w:p w14:paraId="4749F90D" w14:textId="77777777" w:rsidR="005C5B32" w:rsidRPr="008F3655" w:rsidRDefault="005C5B32" w:rsidP="005C5B32">
            <w:pPr>
              <w:ind w:left="360" w:hanging="360"/>
              <w:rPr>
                <w:rFonts w:cs="Arial"/>
              </w:rPr>
            </w:pPr>
            <w:r w:rsidRPr="008F3655">
              <w:rPr>
                <w:rFonts w:cs="Arial"/>
                <w:b/>
              </w:rPr>
              <w:t>Disability</w:t>
            </w:r>
            <w:r w:rsidRPr="008F3655">
              <w:rPr>
                <w:rFonts w:cs="Arial"/>
              </w:rPr>
              <w:t>: A person has a disability if they disclose a disability that limits their ability to work.</w:t>
            </w:r>
          </w:p>
          <w:p w14:paraId="4749F90E" w14:textId="77777777" w:rsidR="000304B2" w:rsidRPr="008F3655" w:rsidRDefault="000304B2" w:rsidP="000304B2">
            <w:pPr>
              <w:ind w:left="360" w:hanging="360"/>
              <w:rPr>
                <w:rFonts w:cs="Arial"/>
                <w:b/>
              </w:rPr>
            </w:pPr>
          </w:p>
          <w:p w14:paraId="4749F90F" w14:textId="77777777" w:rsidR="000304B2" w:rsidRPr="008F3655" w:rsidRDefault="000304B2" w:rsidP="000304B2">
            <w:pPr>
              <w:ind w:left="360" w:hanging="360"/>
              <w:rPr>
                <w:rFonts w:cs="Arial"/>
              </w:rPr>
            </w:pPr>
            <w:r w:rsidRPr="008F3655">
              <w:rPr>
                <w:rFonts w:cs="Arial"/>
                <w:b/>
              </w:rPr>
              <w:t>Eligibility:</w:t>
            </w:r>
            <w:r w:rsidRPr="008F3655">
              <w:rPr>
                <w:rFonts w:cs="Arial"/>
              </w:rPr>
              <w:t xml:space="preserve"> Only people who are eligible to work in UK are eligible for this </w:t>
            </w:r>
            <w:r w:rsidR="00BC7F87" w:rsidRPr="008F3655">
              <w:rPr>
                <w:rFonts w:cs="Arial"/>
              </w:rPr>
              <w:t xml:space="preserve">EU </w:t>
            </w:r>
            <w:r w:rsidRPr="008F3655">
              <w:rPr>
                <w:rFonts w:cs="Arial"/>
              </w:rPr>
              <w:t xml:space="preserve">programme.  </w:t>
            </w:r>
          </w:p>
          <w:p w14:paraId="4749F910" w14:textId="77777777" w:rsidR="00AA0B4C" w:rsidRPr="008F3655" w:rsidRDefault="00AA0B4C" w:rsidP="00AA0B4C">
            <w:pPr>
              <w:autoSpaceDE w:val="0"/>
              <w:autoSpaceDN w:val="0"/>
              <w:adjustRightInd w:val="0"/>
              <w:ind w:left="360" w:hanging="360"/>
              <w:rPr>
                <w:rFonts w:cs="Arial"/>
              </w:rPr>
            </w:pPr>
          </w:p>
          <w:p w14:paraId="4749F911" w14:textId="77777777" w:rsidR="00035FB6" w:rsidRPr="008F3655" w:rsidRDefault="00AA0B4C" w:rsidP="00035FB6">
            <w:pPr>
              <w:autoSpaceDE w:val="0"/>
              <w:autoSpaceDN w:val="0"/>
              <w:adjustRightInd w:val="0"/>
              <w:ind w:left="360" w:hanging="360"/>
              <w:rPr>
                <w:rFonts w:cs="Arial"/>
              </w:rPr>
            </w:pPr>
            <w:r w:rsidRPr="008F3655">
              <w:rPr>
                <w:rFonts w:cs="Arial"/>
                <w:b/>
              </w:rPr>
              <w:t>Employed</w:t>
            </w:r>
            <w:r w:rsidRPr="008F3655">
              <w:rPr>
                <w:rFonts w:cs="Arial"/>
              </w:rPr>
              <w:t xml:space="preserve">: </w:t>
            </w:r>
            <w:r w:rsidR="00035FB6" w:rsidRPr="008F3655">
              <w:rPr>
                <w:rFonts w:cs="Arial"/>
              </w:rPr>
              <w:t>People are employed if they perform work for pay, profit or family gain. People are self-employed if they work in his/her own business for the purpose of earning a profit, even if they are not making a profit or are just setting up.</w:t>
            </w:r>
          </w:p>
          <w:p w14:paraId="4749F912" w14:textId="77777777" w:rsidR="008E2A7B" w:rsidRPr="008F3655" w:rsidRDefault="008E2A7B" w:rsidP="000304B2">
            <w:pPr>
              <w:autoSpaceDE w:val="0"/>
              <w:autoSpaceDN w:val="0"/>
              <w:adjustRightInd w:val="0"/>
              <w:ind w:left="360" w:hanging="360"/>
              <w:rPr>
                <w:rFonts w:cs="Arial"/>
                <w:b/>
              </w:rPr>
            </w:pPr>
          </w:p>
          <w:p w14:paraId="4749F913" w14:textId="77777777" w:rsidR="008E2A7B" w:rsidRPr="008F3655" w:rsidRDefault="008E2A7B" w:rsidP="000304B2">
            <w:pPr>
              <w:autoSpaceDE w:val="0"/>
              <w:autoSpaceDN w:val="0"/>
              <w:adjustRightInd w:val="0"/>
              <w:ind w:left="360" w:hanging="360"/>
              <w:rPr>
                <w:rFonts w:cs="Arial"/>
                <w:b/>
              </w:rPr>
            </w:pPr>
            <w:r w:rsidRPr="008F3655">
              <w:rPr>
                <w:rFonts w:cs="Arial"/>
                <w:b/>
              </w:rPr>
              <w:t xml:space="preserve">IAG: </w:t>
            </w:r>
            <w:r w:rsidRPr="008F3655">
              <w:rPr>
                <w:rFonts w:cs="Arial"/>
              </w:rPr>
              <w:t xml:space="preserve">Information, advice and guidance service offered to </w:t>
            </w:r>
            <w:r w:rsidR="003E0C7F" w:rsidRPr="008F3655">
              <w:rPr>
                <w:rFonts w:cs="Arial"/>
              </w:rPr>
              <w:t>participants</w:t>
            </w:r>
            <w:r w:rsidRPr="008F3655">
              <w:rPr>
                <w:rFonts w:cs="Arial"/>
              </w:rPr>
              <w:t>.</w:t>
            </w:r>
            <w:r w:rsidRPr="008F3655">
              <w:rPr>
                <w:rFonts w:cs="Arial"/>
                <w:b/>
              </w:rPr>
              <w:t xml:space="preserve"> </w:t>
            </w:r>
          </w:p>
          <w:p w14:paraId="4749F914" w14:textId="77777777" w:rsidR="003A723F" w:rsidRPr="008F3655" w:rsidRDefault="003A723F" w:rsidP="005A1D76">
            <w:pPr>
              <w:autoSpaceDE w:val="0"/>
              <w:autoSpaceDN w:val="0"/>
              <w:adjustRightInd w:val="0"/>
              <w:rPr>
                <w:rFonts w:cs="Arial"/>
              </w:rPr>
            </w:pPr>
          </w:p>
          <w:p w14:paraId="4749F915" w14:textId="77777777" w:rsidR="005C5B32" w:rsidRPr="008F3655" w:rsidRDefault="005C5B32" w:rsidP="003A63C6">
            <w:pPr>
              <w:autoSpaceDE w:val="0"/>
              <w:autoSpaceDN w:val="0"/>
              <w:adjustRightInd w:val="0"/>
              <w:ind w:left="360" w:hanging="360"/>
              <w:rPr>
                <w:rFonts w:cs="Arial"/>
              </w:rPr>
            </w:pPr>
            <w:r w:rsidRPr="008F3655">
              <w:rPr>
                <w:rFonts w:cs="Arial"/>
                <w:b/>
              </w:rPr>
              <w:t>Inactive:</w:t>
            </w:r>
            <w:r w:rsidRPr="008F3655">
              <w:rPr>
                <w:rFonts w:cs="Arial"/>
              </w:rPr>
              <w:t xml:space="preserve"> </w:t>
            </w:r>
            <w:r w:rsidR="008E2A7B" w:rsidRPr="008F3655">
              <w:rPr>
                <w:rFonts w:cs="Arial"/>
              </w:rPr>
              <w:t>Inactive are persons currently not part of the labour force (in the sense that they are not employed or unemployed according to the definitions provided).</w:t>
            </w:r>
          </w:p>
          <w:p w14:paraId="4749F916" w14:textId="77777777" w:rsidR="005C5B32" w:rsidRPr="008F3655" w:rsidRDefault="005C5B32" w:rsidP="005A1D76">
            <w:pPr>
              <w:autoSpaceDE w:val="0"/>
              <w:autoSpaceDN w:val="0"/>
              <w:adjustRightInd w:val="0"/>
              <w:rPr>
                <w:rFonts w:cs="Arial"/>
              </w:rPr>
            </w:pPr>
          </w:p>
          <w:p w14:paraId="4749F917" w14:textId="77777777" w:rsidR="005C5B32" w:rsidRPr="008F3655" w:rsidRDefault="005C5B32" w:rsidP="005C5B32">
            <w:pPr>
              <w:autoSpaceDE w:val="0"/>
              <w:autoSpaceDN w:val="0"/>
              <w:adjustRightInd w:val="0"/>
              <w:ind w:left="360" w:hanging="360"/>
              <w:rPr>
                <w:rFonts w:cs="Arial"/>
              </w:rPr>
            </w:pPr>
            <w:r w:rsidRPr="008F3655">
              <w:rPr>
                <w:rFonts w:cs="Arial"/>
                <w:b/>
              </w:rPr>
              <w:t>Job Seeking:</w:t>
            </w:r>
            <w:r w:rsidRPr="008F3655">
              <w:rPr>
                <w:rFonts w:cs="Arial"/>
              </w:rPr>
              <w:t xml:space="preserve"> Where app</w:t>
            </w:r>
            <w:r w:rsidR="0023373D">
              <w:rPr>
                <w:rFonts w:cs="Arial"/>
              </w:rPr>
              <w:t xml:space="preserve">licable, persons engaged in job </w:t>
            </w:r>
            <w:r w:rsidRPr="008F3655">
              <w:rPr>
                <w:rFonts w:cs="Arial"/>
              </w:rPr>
              <w:t>seeking is understood to be persons usually without work and actively seeking work.</w:t>
            </w:r>
          </w:p>
          <w:p w14:paraId="4749F918" w14:textId="77777777" w:rsidR="005C5B32" w:rsidRPr="008F3655" w:rsidRDefault="005C5B32" w:rsidP="005A1D76">
            <w:pPr>
              <w:autoSpaceDE w:val="0"/>
              <w:autoSpaceDN w:val="0"/>
              <w:adjustRightInd w:val="0"/>
              <w:rPr>
                <w:rFonts w:cs="Arial"/>
              </w:rPr>
            </w:pPr>
          </w:p>
          <w:p w14:paraId="4749F919" w14:textId="77777777" w:rsidR="000304B2" w:rsidRPr="008F3655" w:rsidRDefault="000304B2" w:rsidP="000304B2">
            <w:pPr>
              <w:autoSpaceDE w:val="0"/>
              <w:autoSpaceDN w:val="0"/>
              <w:adjustRightInd w:val="0"/>
              <w:ind w:left="360" w:hanging="360"/>
              <w:rPr>
                <w:rFonts w:cs="Arial"/>
              </w:rPr>
            </w:pPr>
            <w:r w:rsidRPr="008F3655">
              <w:rPr>
                <w:rFonts w:cs="Arial"/>
                <w:b/>
              </w:rPr>
              <w:t xml:space="preserve">Qualifications: </w:t>
            </w:r>
            <w:r w:rsidRPr="008F3655">
              <w:rPr>
                <w:rFonts w:cs="Arial"/>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749F91A" w14:textId="77777777" w:rsidR="000304B2" w:rsidRPr="008F3655" w:rsidRDefault="000304B2" w:rsidP="000304B2">
            <w:pPr>
              <w:autoSpaceDE w:val="0"/>
              <w:autoSpaceDN w:val="0"/>
              <w:adjustRightInd w:val="0"/>
              <w:ind w:left="360" w:hanging="360"/>
              <w:rPr>
                <w:rFonts w:cs="Arial"/>
              </w:rPr>
            </w:pPr>
          </w:p>
          <w:p w14:paraId="4749F91B" w14:textId="77777777" w:rsidR="000304B2" w:rsidRPr="008F3655" w:rsidRDefault="00C107CE" w:rsidP="00C107CE">
            <w:pPr>
              <w:autoSpaceDE w:val="0"/>
              <w:autoSpaceDN w:val="0"/>
              <w:adjustRightInd w:val="0"/>
              <w:ind w:left="360" w:hanging="360"/>
              <w:rPr>
                <w:rFonts w:cs="Arial"/>
              </w:rPr>
            </w:pPr>
            <w:r w:rsidRPr="008F3655">
              <w:rPr>
                <w:rFonts w:cs="Arial"/>
              </w:rPr>
              <w:lastRenderedPageBreak/>
              <w:t xml:space="preserve">     </w:t>
            </w:r>
            <w:r w:rsidR="000304B2" w:rsidRPr="008F3655">
              <w:rPr>
                <w:rFonts w:cs="Arial"/>
              </w:rPr>
              <w:t>Regulated and non-regulated aims must be planned to be delivered within budget.</w:t>
            </w:r>
          </w:p>
          <w:p w14:paraId="4749F91C" w14:textId="77777777" w:rsidR="000304B2" w:rsidRPr="008F3655" w:rsidRDefault="000304B2" w:rsidP="00C107CE">
            <w:pPr>
              <w:autoSpaceDE w:val="0"/>
              <w:autoSpaceDN w:val="0"/>
              <w:adjustRightInd w:val="0"/>
              <w:ind w:left="360" w:hanging="360"/>
              <w:rPr>
                <w:rFonts w:cs="Arial"/>
              </w:rPr>
            </w:pPr>
          </w:p>
          <w:p w14:paraId="4749F91D" w14:textId="77777777" w:rsidR="000304B2" w:rsidRPr="008F3655" w:rsidRDefault="00C107CE" w:rsidP="00C107CE">
            <w:pPr>
              <w:autoSpaceDE w:val="0"/>
              <w:autoSpaceDN w:val="0"/>
              <w:adjustRightInd w:val="0"/>
              <w:ind w:left="360" w:hanging="360"/>
              <w:rPr>
                <w:rFonts w:cs="Arial"/>
              </w:rPr>
            </w:pPr>
            <w:r w:rsidRPr="008F3655">
              <w:rPr>
                <w:rFonts w:cs="Arial"/>
              </w:rPr>
              <w:t xml:space="preserve">     </w:t>
            </w:r>
            <w:r w:rsidR="000304B2" w:rsidRPr="008F3655">
              <w:rPr>
                <w:rFonts w:cs="Arial"/>
              </w:rPr>
              <w:t>Qualification rates are based on the published LARS rates at the start of the contract</w:t>
            </w:r>
            <w:r w:rsidR="005C5B32" w:rsidRPr="008F3655">
              <w:rPr>
                <w:rFonts w:cs="Arial"/>
              </w:rPr>
              <w:t xml:space="preserve"> or when the qualification starts if this later</w:t>
            </w:r>
            <w:r w:rsidR="000304B2" w:rsidRPr="008F3655">
              <w:rPr>
                <w:rFonts w:cs="Arial"/>
              </w:rPr>
              <w:t>.</w:t>
            </w:r>
            <w:r w:rsidR="005C5B32" w:rsidRPr="008F3655">
              <w:rPr>
                <w:rFonts w:cs="Arial"/>
              </w:rPr>
              <w:t xml:space="preserve">  </w:t>
            </w:r>
          </w:p>
          <w:p w14:paraId="4749F91E" w14:textId="77777777" w:rsidR="000304B2" w:rsidRPr="008F3655" w:rsidRDefault="000304B2" w:rsidP="000304B2">
            <w:pPr>
              <w:autoSpaceDE w:val="0"/>
              <w:autoSpaceDN w:val="0"/>
              <w:adjustRightInd w:val="0"/>
              <w:ind w:left="360" w:hanging="360"/>
              <w:rPr>
                <w:rFonts w:cs="Arial"/>
              </w:rPr>
            </w:pPr>
          </w:p>
          <w:p w14:paraId="4749F91F" w14:textId="77777777" w:rsidR="000304B2" w:rsidRPr="008F3655" w:rsidRDefault="000304B2" w:rsidP="000304B2">
            <w:pPr>
              <w:autoSpaceDE w:val="0"/>
              <w:autoSpaceDN w:val="0"/>
              <w:adjustRightInd w:val="0"/>
              <w:ind w:left="360" w:hanging="360"/>
              <w:rPr>
                <w:rFonts w:cs="Arial"/>
              </w:rPr>
            </w:pPr>
            <w:r w:rsidRPr="008F3655">
              <w:rPr>
                <w:rFonts w:cs="Arial"/>
                <w:b/>
              </w:rPr>
              <w:t xml:space="preserve">Services:  </w:t>
            </w:r>
            <w:r w:rsidRPr="008F3655">
              <w:rPr>
                <w:rFonts w:cs="Arial"/>
              </w:rPr>
              <w:t>The provision of education, training or support delivered to individuals.</w:t>
            </w:r>
          </w:p>
          <w:p w14:paraId="4749F920" w14:textId="77777777" w:rsidR="000304B2" w:rsidRPr="008F3655" w:rsidRDefault="000304B2" w:rsidP="000304B2">
            <w:pPr>
              <w:autoSpaceDE w:val="0"/>
              <w:autoSpaceDN w:val="0"/>
              <w:adjustRightInd w:val="0"/>
              <w:ind w:left="360" w:hanging="360"/>
              <w:rPr>
                <w:rFonts w:cs="Arial"/>
              </w:rPr>
            </w:pPr>
          </w:p>
          <w:p w14:paraId="4749F921" w14:textId="77777777" w:rsidR="000304B2" w:rsidRPr="008F3655" w:rsidRDefault="005C5B32" w:rsidP="000304B2">
            <w:pPr>
              <w:autoSpaceDE w:val="0"/>
              <w:autoSpaceDN w:val="0"/>
              <w:adjustRightInd w:val="0"/>
              <w:ind w:left="360" w:hanging="360"/>
              <w:rPr>
                <w:rFonts w:cs="Arial"/>
              </w:rPr>
            </w:pPr>
            <w:r w:rsidRPr="008F3655">
              <w:rPr>
                <w:rFonts w:cs="Arial"/>
                <w:b/>
              </w:rPr>
              <w:t>Status</w:t>
            </w:r>
            <w:r w:rsidR="000304B2" w:rsidRPr="008F3655">
              <w:rPr>
                <w:rFonts w:cs="Arial"/>
                <w:b/>
              </w:rPr>
              <w:t>:</w:t>
            </w:r>
            <w:r w:rsidR="000304B2" w:rsidRPr="008F3655">
              <w:rPr>
                <w:rFonts w:cs="Arial"/>
              </w:rPr>
              <w:t xml:space="preserve"> Employment status and age are determined on the date of starting on the</w:t>
            </w:r>
            <w:r w:rsidR="00E82E42" w:rsidRPr="008F3655">
              <w:rPr>
                <w:rFonts w:cs="Arial"/>
              </w:rPr>
              <w:t xml:space="preserve"> Services</w:t>
            </w:r>
            <w:r w:rsidR="000304B2" w:rsidRPr="008F3655">
              <w:rPr>
                <w:rFonts w:cs="Arial"/>
              </w:rPr>
              <w:t>.</w:t>
            </w:r>
            <w:r w:rsidR="000304B2" w:rsidRPr="008F3655">
              <w:rPr>
                <w:rFonts w:cs="Arial"/>
                <w:b/>
              </w:rPr>
              <w:t xml:space="preserve"> </w:t>
            </w:r>
          </w:p>
          <w:p w14:paraId="4749F922" w14:textId="77777777" w:rsidR="000304B2" w:rsidRPr="008F3655" w:rsidRDefault="000304B2" w:rsidP="000304B2">
            <w:pPr>
              <w:autoSpaceDE w:val="0"/>
              <w:autoSpaceDN w:val="0"/>
              <w:adjustRightInd w:val="0"/>
              <w:ind w:left="360" w:hanging="360"/>
              <w:rPr>
                <w:rFonts w:cs="Arial"/>
              </w:rPr>
            </w:pPr>
          </w:p>
          <w:p w14:paraId="4749F923" w14:textId="77777777" w:rsidR="000304B2" w:rsidRPr="008F3655" w:rsidRDefault="000304B2" w:rsidP="000304B2">
            <w:pPr>
              <w:autoSpaceDE w:val="0"/>
              <w:autoSpaceDN w:val="0"/>
              <w:adjustRightInd w:val="0"/>
              <w:ind w:left="360" w:hanging="360"/>
              <w:rPr>
                <w:rFonts w:cs="Arial"/>
              </w:rPr>
            </w:pPr>
            <w:r w:rsidRPr="008F3655">
              <w:rPr>
                <w:rFonts w:cs="Arial"/>
                <w:b/>
              </w:rPr>
              <w:t>Survey</w:t>
            </w:r>
            <w:r w:rsidRPr="008F3655">
              <w:rPr>
                <w:rFonts w:cs="Arial"/>
              </w:rPr>
              <w:t>: Where applicable, long term sustained outcomes over 6 months will be monitored separately.  Some ESF indicators will be collected by survey by the ESF Managing Authority directly from the participants.</w:t>
            </w:r>
          </w:p>
          <w:p w14:paraId="4749F924" w14:textId="77777777" w:rsidR="005A1D76" w:rsidRPr="008F3655" w:rsidRDefault="005A1D76" w:rsidP="000304B2">
            <w:pPr>
              <w:autoSpaceDE w:val="0"/>
              <w:autoSpaceDN w:val="0"/>
              <w:adjustRightInd w:val="0"/>
              <w:ind w:left="360" w:hanging="360"/>
              <w:rPr>
                <w:rFonts w:cs="Arial"/>
              </w:rPr>
            </w:pPr>
          </w:p>
          <w:p w14:paraId="4749F925" w14:textId="77777777" w:rsidR="000304B2" w:rsidRPr="008F3655" w:rsidRDefault="005A1D76" w:rsidP="003E0C7F">
            <w:pPr>
              <w:autoSpaceDE w:val="0"/>
              <w:autoSpaceDN w:val="0"/>
              <w:adjustRightInd w:val="0"/>
              <w:ind w:left="360" w:hanging="360"/>
              <w:rPr>
                <w:rFonts w:cs="Arial"/>
              </w:rPr>
            </w:pPr>
            <w:r w:rsidRPr="008F3655">
              <w:rPr>
                <w:rFonts w:cs="Arial"/>
                <w:b/>
              </w:rPr>
              <w:t>Unemployed:</w:t>
            </w:r>
            <w:r w:rsidRPr="008F3655">
              <w:rPr>
                <w:rFonts w:cs="Arial"/>
              </w:rP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749F926" w14:textId="77777777" w:rsidR="00200BC6" w:rsidRDefault="00200BC6" w:rsidP="005A1D76">
            <w:pPr>
              <w:autoSpaceDE w:val="0"/>
              <w:autoSpaceDN w:val="0"/>
              <w:adjustRightInd w:val="0"/>
              <w:ind w:left="360" w:hanging="360"/>
              <w:rPr>
                <w:rFonts w:cs="Arial"/>
              </w:rPr>
            </w:pPr>
          </w:p>
          <w:p w14:paraId="4749F927" w14:textId="77777777" w:rsidR="003A63C6" w:rsidRDefault="003A63C6" w:rsidP="005A1D76">
            <w:pPr>
              <w:autoSpaceDE w:val="0"/>
              <w:autoSpaceDN w:val="0"/>
              <w:adjustRightInd w:val="0"/>
              <w:ind w:left="360" w:hanging="360"/>
              <w:rPr>
                <w:rFonts w:cs="Arial"/>
              </w:rPr>
            </w:pPr>
          </w:p>
          <w:p w14:paraId="4749F928" w14:textId="77777777" w:rsidR="003A63C6" w:rsidRPr="008F3655" w:rsidRDefault="003A63C6" w:rsidP="005A1D76">
            <w:pPr>
              <w:autoSpaceDE w:val="0"/>
              <w:autoSpaceDN w:val="0"/>
              <w:adjustRightInd w:val="0"/>
              <w:ind w:left="360" w:hanging="360"/>
              <w:rPr>
                <w:rFonts w:cs="Arial"/>
              </w:rPr>
            </w:pPr>
          </w:p>
        </w:tc>
      </w:tr>
      <w:tr w:rsidR="00967429" w:rsidRPr="008F3655" w14:paraId="4749F92B" w14:textId="77777777" w:rsidTr="003A63C6">
        <w:trPr>
          <w:trHeight w:val="567"/>
        </w:trPr>
        <w:tc>
          <w:tcPr>
            <w:tcW w:w="9088" w:type="dxa"/>
            <w:shd w:val="clear" w:color="auto" w:fill="D9D9D9" w:themeFill="background1" w:themeFillShade="D9"/>
            <w:vAlign w:val="center"/>
          </w:tcPr>
          <w:p w14:paraId="4749F92A" w14:textId="77777777" w:rsidR="00967429" w:rsidRPr="008F3655" w:rsidRDefault="002E25F4" w:rsidP="00C107CE">
            <w:pPr>
              <w:autoSpaceDE w:val="0"/>
              <w:autoSpaceDN w:val="0"/>
              <w:adjustRightInd w:val="0"/>
              <w:rPr>
                <w:rFonts w:cs="Arial"/>
                <w:b/>
                <w:lang w:eastAsia="en-GB"/>
              </w:rPr>
            </w:pPr>
            <w:r w:rsidRPr="008F3655">
              <w:rPr>
                <w:rFonts w:cs="Arial"/>
                <w:b/>
                <w:lang w:eastAsia="en-GB"/>
              </w:rPr>
              <w:lastRenderedPageBreak/>
              <w:t>SERVICE REQUIREMENTS</w:t>
            </w:r>
          </w:p>
        </w:tc>
      </w:tr>
      <w:tr w:rsidR="00967429" w:rsidRPr="008F3655" w14:paraId="4749F9BD" w14:textId="77777777" w:rsidTr="009F5E11">
        <w:tc>
          <w:tcPr>
            <w:tcW w:w="9088" w:type="dxa"/>
          </w:tcPr>
          <w:p w14:paraId="4749F92C" w14:textId="77777777" w:rsidR="000D51DE" w:rsidRPr="008F3655" w:rsidRDefault="000D51DE" w:rsidP="00A524B5">
            <w:pPr>
              <w:rPr>
                <w:rFonts w:cs="Arial"/>
                <w:b/>
              </w:rPr>
            </w:pPr>
          </w:p>
          <w:p w14:paraId="4749F92D" w14:textId="77777777" w:rsidR="002E25F4" w:rsidRPr="008F3655" w:rsidRDefault="002E25F4" w:rsidP="00A524B5">
            <w:pPr>
              <w:rPr>
                <w:rFonts w:cs="Arial"/>
                <w:b/>
              </w:rPr>
            </w:pPr>
            <w:r w:rsidRPr="008F3655">
              <w:rPr>
                <w:rFonts w:cs="Arial"/>
                <w:b/>
              </w:rPr>
              <w:t xml:space="preserve">General </w:t>
            </w:r>
            <w:r w:rsidR="00EA180F" w:rsidRPr="008F3655">
              <w:rPr>
                <w:rFonts w:cs="Arial"/>
                <w:b/>
              </w:rPr>
              <w:t>Service Requirements</w:t>
            </w:r>
          </w:p>
          <w:p w14:paraId="4749F92E" w14:textId="77777777" w:rsidR="00EA180F" w:rsidRPr="008F3655" w:rsidRDefault="00EA180F" w:rsidP="00A524B5">
            <w:pPr>
              <w:rPr>
                <w:rFonts w:cs="Arial"/>
                <w:b/>
              </w:rPr>
            </w:pPr>
          </w:p>
          <w:p w14:paraId="4749F92F" w14:textId="77777777" w:rsidR="002E25F4" w:rsidRPr="008F3655" w:rsidRDefault="002E25F4" w:rsidP="00A524B5">
            <w:pPr>
              <w:rPr>
                <w:rFonts w:cs="Arial"/>
              </w:rPr>
            </w:pPr>
            <w:r w:rsidRPr="008F3655">
              <w:rPr>
                <w:rFonts w:cs="Arial"/>
              </w:rPr>
              <w:t>All activities must complement and avoid duplication with other provision, thereby adding value to D</w:t>
            </w:r>
            <w:r w:rsidR="00F3689D" w:rsidRPr="008F3655">
              <w:rPr>
                <w:rFonts w:cs="Arial"/>
              </w:rPr>
              <w:t xml:space="preserve">epartment for </w:t>
            </w:r>
            <w:r w:rsidRPr="008F3655">
              <w:rPr>
                <w:rFonts w:cs="Arial"/>
              </w:rPr>
              <w:t>W</w:t>
            </w:r>
            <w:r w:rsidR="00F3689D" w:rsidRPr="008F3655">
              <w:rPr>
                <w:rFonts w:cs="Arial"/>
              </w:rPr>
              <w:t xml:space="preserve">ork and </w:t>
            </w:r>
            <w:r w:rsidRPr="008F3655">
              <w:rPr>
                <w:rFonts w:cs="Arial"/>
              </w:rPr>
              <w:t>P</w:t>
            </w:r>
            <w:r w:rsidR="00F3689D" w:rsidRPr="008F3655">
              <w:rPr>
                <w:rFonts w:cs="Arial"/>
              </w:rPr>
              <w:t>ensions</w:t>
            </w:r>
            <w:r w:rsidRPr="008F3655">
              <w:rPr>
                <w:rFonts w:cs="Arial"/>
              </w:rPr>
              <w:t>/Big Lottery</w:t>
            </w:r>
            <w:r w:rsidR="00581451" w:rsidRPr="008F3655">
              <w:rPr>
                <w:rFonts w:cs="Arial"/>
              </w:rPr>
              <w:t>, E</w:t>
            </w:r>
            <w:r w:rsidR="00F3689D" w:rsidRPr="008F3655">
              <w:rPr>
                <w:rFonts w:cs="Arial"/>
              </w:rPr>
              <w:t xml:space="preserve">ducation </w:t>
            </w:r>
            <w:r w:rsidR="00581451" w:rsidRPr="008F3655">
              <w:rPr>
                <w:rFonts w:cs="Arial"/>
              </w:rPr>
              <w:t>F</w:t>
            </w:r>
            <w:r w:rsidR="00F3689D" w:rsidRPr="008F3655">
              <w:rPr>
                <w:rFonts w:cs="Arial"/>
              </w:rPr>
              <w:t xml:space="preserve">unding </w:t>
            </w:r>
            <w:r w:rsidR="00581451" w:rsidRPr="008F3655">
              <w:rPr>
                <w:rFonts w:cs="Arial"/>
              </w:rPr>
              <w:t>A</w:t>
            </w:r>
            <w:r w:rsidR="00F3689D" w:rsidRPr="008F3655">
              <w:rPr>
                <w:rFonts w:cs="Arial"/>
              </w:rPr>
              <w:t>gency</w:t>
            </w:r>
            <w:r w:rsidR="00581451" w:rsidRPr="008F3655">
              <w:rPr>
                <w:rFonts w:cs="Arial"/>
              </w:rPr>
              <w:t>,</w:t>
            </w:r>
            <w:r w:rsidRPr="008F3655">
              <w:rPr>
                <w:rFonts w:cs="Arial"/>
              </w:rPr>
              <w:t xml:space="preserve"> Skills Funding Agency</w:t>
            </w:r>
            <w:r w:rsidR="00C107CE" w:rsidRPr="008F3655">
              <w:rPr>
                <w:rFonts w:cs="Arial"/>
              </w:rPr>
              <w:t>, local</w:t>
            </w:r>
            <w:r w:rsidR="00581451" w:rsidRPr="008F3655">
              <w:rPr>
                <w:rFonts w:cs="Arial"/>
              </w:rPr>
              <w:t xml:space="preserve"> authority</w:t>
            </w:r>
            <w:r w:rsidR="00C0243B" w:rsidRPr="008F3655">
              <w:rPr>
                <w:rFonts w:cs="Arial"/>
              </w:rPr>
              <w:t>,</w:t>
            </w:r>
            <w:r w:rsidR="00581451" w:rsidRPr="008F3655">
              <w:rPr>
                <w:rFonts w:cs="Arial"/>
              </w:rPr>
              <w:t xml:space="preserve"> </w:t>
            </w:r>
            <w:r w:rsidR="00C0243B" w:rsidRPr="008F3655">
              <w:rPr>
                <w:rFonts w:cs="Arial"/>
              </w:rPr>
              <w:t>N</w:t>
            </w:r>
            <w:r w:rsidR="00F3689D" w:rsidRPr="008F3655">
              <w:rPr>
                <w:rFonts w:cs="Arial"/>
              </w:rPr>
              <w:t xml:space="preserve">ational </w:t>
            </w:r>
            <w:r w:rsidR="00C0243B" w:rsidRPr="008F3655">
              <w:rPr>
                <w:rFonts w:cs="Arial"/>
              </w:rPr>
              <w:t>C</w:t>
            </w:r>
            <w:r w:rsidR="00F3689D" w:rsidRPr="008F3655">
              <w:rPr>
                <w:rFonts w:cs="Arial"/>
              </w:rPr>
              <w:t xml:space="preserve">areers </w:t>
            </w:r>
            <w:r w:rsidR="00C0243B" w:rsidRPr="008F3655">
              <w:rPr>
                <w:rFonts w:cs="Arial"/>
              </w:rPr>
              <w:t>S</w:t>
            </w:r>
            <w:r w:rsidR="00F3689D" w:rsidRPr="008F3655">
              <w:rPr>
                <w:rFonts w:cs="Arial"/>
              </w:rPr>
              <w:t>ervice</w:t>
            </w:r>
            <w:r w:rsidR="00C0243B" w:rsidRPr="008F3655">
              <w:rPr>
                <w:rFonts w:cs="Arial"/>
              </w:rPr>
              <w:t xml:space="preserve"> and the new Careers Enterprise Company </w:t>
            </w:r>
            <w:r w:rsidRPr="008F3655">
              <w:rPr>
                <w:rFonts w:cs="Arial"/>
              </w:rPr>
              <w:t xml:space="preserve">funded provision. </w:t>
            </w:r>
            <w:r w:rsidR="0006724D" w:rsidRPr="008F3655">
              <w:rPr>
                <w:rFonts w:cs="Arial"/>
              </w:rPr>
              <w:t xml:space="preserve"> </w:t>
            </w:r>
            <w:r w:rsidRPr="008F3655">
              <w:rPr>
                <w:rFonts w:cs="Arial"/>
              </w:rPr>
              <w:t xml:space="preserve">Successful </w:t>
            </w:r>
            <w:r w:rsidR="00C6219F" w:rsidRPr="008F3655">
              <w:rPr>
                <w:rFonts w:cs="Arial"/>
              </w:rPr>
              <w:t>candidate</w:t>
            </w:r>
            <w:r w:rsidRPr="008F3655">
              <w:rPr>
                <w:rFonts w:cs="Arial"/>
              </w:rPr>
              <w:t>s will be required to ensure that ESF provision will clearly add value and not duplicate any provision that can be arranged locally through existing mainstream institutions.</w:t>
            </w:r>
          </w:p>
          <w:p w14:paraId="4749F930" w14:textId="77777777" w:rsidR="00ED156A" w:rsidRPr="008F3655" w:rsidRDefault="00ED156A" w:rsidP="00A524B5">
            <w:pPr>
              <w:rPr>
                <w:rFonts w:cs="Arial"/>
              </w:rPr>
            </w:pPr>
          </w:p>
          <w:p w14:paraId="4749F931" w14:textId="77777777" w:rsidR="0031325C" w:rsidRPr="008F3655" w:rsidRDefault="00ED156A" w:rsidP="00A524B5">
            <w:pPr>
              <w:rPr>
                <w:rFonts w:cs="Arial"/>
                <w:b/>
                <w:i/>
              </w:rPr>
            </w:pPr>
            <w:r w:rsidRPr="008F3655">
              <w:rPr>
                <w:rFonts w:cs="Arial"/>
                <w:b/>
                <w:i/>
              </w:rPr>
              <w:t>Capacity and readiness to deliver</w:t>
            </w:r>
          </w:p>
          <w:p w14:paraId="4749F932" w14:textId="77777777" w:rsidR="00ED156A" w:rsidRPr="008F3655" w:rsidRDefault="00ED156A" w:rsidP="00ED156A">
            <w:pPr>
              <w:autoSpaceDE w:val="0"/>
              <w:autoSpaceDN w:val="0"/>
              <w:adjustRightInd w:val="0"/>
              <w:rPr>
                <w:rFonts w:cs="Arial"/>
              </w:rPr>
            </w:pPr>
            <w:r w:rsidRPr="008F3655">
              <w:rPr>
                <w:rFonts w:cs="Arial"/>
              </w:rPr>
              <w:t>Candidates must have:</w:t>
            </w:r>
          </w:p>
          <w:p w14:paraId="4749F933" w14:textId="77777777" w:rsidR="00ED156A" w:rsidRPr="008F3655" w:rsidRDefault="00ED156A" w:rsidP="00A503FD">
            <w:pPr>
              <w:pStyle w:val="ListParagraph"/>
              <w:numPr>
                <w:ilvl w:val="0"/>
                <w:numId w:val="8"/>
              </w:numPr>
              <w:autoSpaceDE w:val="0"/>
              <w:autoSpaceDN w:val="0"/>
              <w:adjustRightInd w:val="0"/>
              <w:ind w:left="313"/>
              <w:rPr>
                <w:rFonts w:cs="Arial"/>
                <w:strike/>
              </w:rPr>
            </w:pPr>
            <w:r w:rsidRPr="008F3655">
              <w:rPr>
                <w:rFonts w:cs="Arial"/>
              </w:rPr>
              <w:t>The resources to offer</w:t>
            </w:r>
            <w:r w:rsidR="003B0CB7" w:rsidRPr="008F3655">
              <w:rPr>
                <w:rFonts w:cs="Arial"/>
              </w:rPr>
              <w:t xml:space="preserve"> locally tailored solutions </w:t>
            </w:r>
            <w:r w:rsidRPr="008F3655">
              <w:rPr>
                <w:rFonts w:cs="Arial"/>
              </w:rPr>
              <w:t>and flexible delivery</w:t>
            </w:r>
            <w:r w:rsidR="005A1D76" w:rsidRPr="008F3655">
              <w:rPr>
                <w:rFonts w:cs="Arial"/>
              </w:rPr>
              <w:t xml:space="preserve"> </w:t>
            </w:r>
            <w:r w:rsidR="003B0CB7" w:rsidRPr="008F3655">
              <w:rPr>
                <w:rFonts w:cs="Arial"/>
              </w:rPr>
              <w:t xml:space="preserve">to meet the skills and Apprenticeship priorities of employers and employees in the </w:t>
            </w:r>
            <w:r w:rsidR="005A1D76" w:rsidRPr="008F3655">
              <w:rPr>
                <w:rFonts w:cs="Arial"/>
              </w:rPr>
              <w:t>defined geographical area of delivery</w:t>
            </w:r>
            <w:r w:rsidR="002F4192" w:rsidRPr="008F3655">
              <w:rPr>
                <w:rFonts w:cs="Arial"/>
              </w:rPr>
              <w:t xml:space="preserve">. If the </w:t>
            </w:r>
            <w:r w:rsidR="001A4B05" w:rsidRPr="008F3655">
              <w:rPr>
                <w:rFonts w:cs="Arial"/>
              </w:rPr>
              <w:t xml:space="preserve">LEP </w:t>
            </w:r>
            <w:r w:rsidR="002F4192" w:rsidRPr="008F3655">
              <w:rPr>
                <w:rFonts w:cs="Arial"/>
              </w:rPr>
              <w:t>area</w:t>
            </w:r>
            <w:r w:rsidR="001A4B05" w:rsidRPr="008F3655">
              <w:rPr>
                <w:rFonts w:cs="Arial"/>
              </w:rPr>
              <w:t xml:space="preserve"> also has a</w:t>
            </w:r>
            <w:r w:rsidR="002F4192" w:rsidRPr="008F3655">
              <w:rPr>
                <w:rFonts w:cs="Arial"/>
              </w:rPr>
              <w:t xml:space="preserve"> ‘transitional’  </w:t>
            </w:r>
            <w:r w:rsidR="001A4B05" w:rsidRPr="008F3655">
              <w:rPr>
                <w:rFonts w:cs="Arial"/>
              </w:rPr>
              <w:t xml:space="preserve">area defined in addition to the ‘more developed’ area, </w:t>
            </w:r>
            <w:r w:rsidR="002F4192" w:rsidRPr="008F3655">
              <w:rPr>
                <w:rFonts w:cs="Arial"/>
              </w:rPr>
              <w:t xml:space="preserve">delivery locations will have to be available </w:t>
            </w:r>
            <w:r w:rsidR="002F4192" w:rsidRPr="008F3655">
              <w:rPr>
                <w:rFonts w:cs="Arial"/>
                <w:i/>
              </w:rPr>
              <w:t>in each locality</w:t>
            </w:r>
          </w:p>
          <w:p w14:paraId="4749F934" w14:textId="77777777" w:rsidR="00ED156A" w:rsidRPr="008F3655" w:rsidRDefault="00ED156A" w:rsidP="00A503FD">
            <w:pPr>
              <w:pStyle w:val="ListParagraph"/>
              <w:numPr>
                <w:ilvl w:val="0"/>
                <w:numId w:val="8"/>
              </w:numPr>
              <w:ind w:left="313"/>
              <w:rPr>
                <w:rFonts w:cs="Arial"/>
                <w:lang w:eastAsia="en-GB"/>
              </w:rPr>
            </w:pPr>
            <w:r w:rsidRPr="008F3655">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4749F935" w14:textId="77777777" w:rsidR="002F71DB" w:rsidRPr="008F3655" w:rsidRDefault="002F71DB" w:rsidP="00A503FD">
            <w:pPr>
              <w:pStyle w:val="ListParagraph"/>
              <w:numPr>
                <w:ilvl w:val="0"/>
                <w:numId w:val="8"/>
              </w:numPr>
              <w:rPr>
                <w:rFonts w:cs="Arial"/>
                <w:lang w:eastAsia="en-GB"/>
              </w:rPr>
            </w:pPr>
            <w:r w:rsidRPr="008F3655">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8F3655">
              <w:rPr>
                <w:rFonts w:cs="Arial"/>
                <w:lang w:eastAsia="en-GB"/>
              </w:rPr>
              <w:t>progression</w:t>
            </w:r>
          </w:p>
          <w:p w14:paraId="4749F936" w14:textId="77777777" w:rsidR="00ED156A" w:rsidRPr="008F3655" w:rsidRDefault="00ED156A" w:rsidP="00515602">
            <w:pPr>
              <w:rPr>
                <w:rFonts w:cs="Arial"/>
                <w:lang w:eastAsia="en-GB"/>
              </w:rPr>
            </w:pPr>
          </w:p>
          <w:p w14:paraId="4749F937" w14:textId="77777777" w:rsidR="00ED156A" w:rsidRPr="008F3655" w:rsidRDefault="00ED156A" w:rsidP="00515602">
            <w:pPr>
              <w:rPr>
                <w:rFonts w:cs="Arial"/>
                <w:b/>
                <w:i/>
                <w:lang w:eastAsia="en-GB"/>
              </w:rPr>
            </w:pPr>
            <w:r w:rsidRPr="008F3655">
              <w:rPr>
                <w:rFonts w:cs="Arial"/>
                <w:b/>
                <w:i/>
                <w:lang w:eastAsia="en-GB"/>
              </w:rPr>
              <w:lastRenderedPageBreak/>
              <w:t>Track record</w:t>
            </w:r>
          </w:p>
          <w:p w14:paraId="4749F938" w14:textId="77777777" w:rsidR="00ED156A" w:rsidRPr="008F3655" w:rsidRDefault="00812EC6" w:rsidP="00515602">
            <w:pPr>
              <w:rPr>
                <w:rFonts w:cs="Arial"/>
              </w:rPr>
            </w:pPr>
            <w:r w:rsidRPr="008F3655">
              <w:rPr>
                <w:rFonts w:cs="Arial"/>
              </w:rPr>
              <w:t xml:space="preserve">The ability to deliver the required activity, based on a track record in the successful delivery and management of this type </w:t>
            </w:r>
            <w:r w:rsidR="00273291" w:rsidRPr="008F3655">
              <w:rPr>
                <w:rFonts w:cs="Arial"/>
              </w:rPr>
              <w:t xml:space="preserve">and size </w:t>
            </w:r>
            <w:r w:rsidRPr="008F3655">
              <w:rPr>
                <w:rFonts w:cs="Arial"/>
              </w:rPr>
              <w:t>of programme</w:t>
            </w:r>
          </w:p>
          <w:p w14:paraId="4749F939" w14:textId="77777777" w:rsidR="00E43DDB" w:rsidRPr="008F3655" w:rsidRDefault="00E43DDB" w:rsidP="00515602">
            <w:pPr>
              <w:rPr>
                <w:rFonts w:cs="Arial"/>
              </w:rPr>
            </w:pPr>
          </w:p>
          <w:p w14:paraId="4749F93A" w14:textId="77777777" w:rsidR="00E43DDB" w:rsidRPr="008F3655" w:rsidRDefault="00E43DDB" w:rsidP="00E43DDB">
            <w:pPr>
              <w:rPr>
                <w:rFonts w:cs="Arial"/>
                <w:b/>
                <w:i/>
                <w:lang w:eastAsia="en-GB"/>
              </w:rPr>
            </w:pPr>
            <w:r w:rsidRPr="008F3655">
              <w:rPr>
                <w:rFonts w:cs="Arial"/>
                <w:b/>
                <w:i/>
                <w:lang w:eastAsia="en-GB"/>
              </w:rPr>
              <w:t>Information, Advice and Guidance</w:t>
            </w:r>
          </w:p>
          <w:p w14:paraId="4749F93B" w14:textId="77777777" w:rsidR="00E43DDB" w:rsidRPr="008F3655" w:rsidRDefault="00E43DDB" w:rsidP="00E43DDB">
            <w:pPr>
              <w:rPr>
                <w:rFonts w:cs="Arial"/>
                <w:lang w:eastAsia="en-GB"/>
              </w:rPr>
            </w:pPr>
            <w:r w:rsidRPr="008F3655">
              <w:rPr>
                <w:rFonts w:cs="Arial"/>
                <w:lang w:eastAsia="en-GB"/>
              </w:rPr>
              <w:t>Where the activity requires effective Information, Advice and Guidance successful</w:t>
            </w:r>
          </w:p>
          <w:p w14:paraId="4749F93C" w14:textId="77777777" w:rsidR="00E43DDB" w:rsidRPr="008F3655" w:rsidRDefault="00E43DDB" w:rsidP="00E43DDB">
            <w:pPr>
              <w:rPr>
                <w:rFonts w:cs="Arial"/>
                <w:lang w:eastAsia="en-GB"/>
              </w:rPr>
            </w:pPr>
            <w:r w:rsidRPr="008F3655">
              <w:rPr>
                <w:rFonts w:cs="Arial"/>
                <w:lang w:eastAsia="en-GB"/>
              </w:rPr>
              <w:t>applicants and/or subcontractors delivering this element will either hold or be</w:t>
            </w:r>
          </w:p>
          <w:p w14:paraId="4749F93D" w14:textId="77777777" w:rsidR="00E43DDB" w:rsidRPr="008F3655" w:rsidRDefault="00E43DDB" w:rsidP="00E43DDB">
            <w:pPr>
              <w:rPr>
                <w:rFonts w:cs="Arial"/>
                <w:lang w:eastAsia="en-GB"/>
              </w:rPr>
            </w:pPr>
            <w:proofErr w:type="gramStart"/>
            <w:r w:rsidRPr="008F3655">
              <w:rPr>
                <w:rFonts w:cs="Arial"/>
                <w:lang w:eastAsia="en-GB"/>
              </w:rPr>
              <w:t>working</w:t>
            </w:r>
            <w:proofErr w:type="gramEnd"/>
            <w:r w:rsidRPr="008F3655">
              <w:rPr>
                <w:rFonts w:cs="Arial"/>
                <w:lang w:eastAsia="en-GB"/>
              </w:rPr>
              <w:t xml:space="preserve"> towards the Matrix standard.</w:t>
            </w:r>
          </w:p>
          <w:p w14:paraId="4749F93E" w14:textId="77777777" w:rsidR="00E43DDB" w:rsidRPr="008F3655" w:rsidRDefault="00E43DDB" w:rsidP="00E43DDB">
            <w:pPr>
              <w:rPr>
                <w:rFonts w:cs="Arial"/>
                <w:lang w:eastAsia="en-GB"/>
              </w:rPr>
            </w:pPr>
          </w:p>
          <w:p w14:paraId="4749F93F" w14:textId="77777777" w:rsidR="00ED156A" w:rsidRPr="008F3655" w:rsidRDefault="002E25F4" w:rsidP="00A524B5">
            <w:pPr>
              <w:rPr>
                <w:rFonts w:cs="Arial"/>
              </w:rPr>
            </w:pPr>
            <w:r w:rsidRPr="008F3655">
              <w:rPr>
                <w:rFonts w:cs="Arial"/>
                <w:b/>
                <w:i/>
              </w:rPr>
              <w:t>Management and quality assurance</w:t>
            </w:r>
          </w:p>
          <w:p w14:paraId="4749F940" w14:textId="77777777" w:rsidR="002E25F4" w:rsidRPr="008F3655" w:rsidRDefault="002E25F4" w:rsidP="00A524B5">
            <w:pPr>
              <w:rPr>
                <w:rFonts w:cs="Arial"/>
              </w:rPr>
            </w:pPr>
            <w:r w:rsidRPr="008F3655">
              <w:rPr>
                <w:rFonts w:cs="Arial"/>
              </w:rPr>
              <w:t>Candidates will need to have effective management arrangements in place to ensure all of the req</w:t>
            </w:r>
            <w:r w:rsidR="001E712C" w:rsidRPr="008F3655">
              <w:rPr>
                <w:rFonts w:cs="Arial"/>
              </w:rPr>
              <w:t>uirements of this specification are fulfilled</w:t>
            </w:r>
            <w:r w:rsidRPr="008F3655">
              <w:rPr>
                <w:rFonts w:cs="Arial"/>
              </w:rPr>
              <w:t xml:space="preserve">. </w:t>
            </w:r>
            <w:r w:rsidR="00F45857" w:rsidRPr="008F3655">
              <w:rPr>
                <w:rFonts w:cs="Arial"/>
              </w:rPr>
              <w:t xml:space="preserve"> </w:t>
            </w:r>
            <w:r w:rsidRPr="008F3655">
              <w:rPr>
                <w:rFonts w:cs="Arial"/>
              </w:rPr>
              <w:t>The Services must be delivered to a high quality and successful tenderers will need to have in place quality assurance and improvement processes.</w:t>
            </w:r>
          </w:p>
          <w:p w14:paraId="4749F941" w14:textId="77777777" w:rsidR="00B06A9F" w:rsidRPr="008F3655" w:rsidRDefault="00B06A9F" w:rsidP="00A524B5">
            <w:pPr>
              <w:rPr>
                <w:rFonts w:cs="Arial"/>
              </w:rPr>
            </w:pPr>
          </w:p>
          <w:p w14:paraId="4749F942" w14:textId="77777777" w:rsidR="00B06A9F" w:rsidRPr="008F3655" w:rsidRDefault="00B06A9F" w:rsidP="00515602">
            <w:pPr>
              <w:rPr>
                <w:rFonts w:cs="Arial"/>
              </w:rPr>
            </w:pPr>
            <w:r w:rsidRPr="008F3655">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749F945" w14:textId="77777777" w:rsidR="003A63C6" w:rsidRDefault="003A63C6" w:rsidP="00A524B5">
            <w:pPr>
              <w:rPr>
                <w:rFonts w:cs="Arial"/>
                <w:b/>
                <w:i/>
              </w:rPr>
            </w:pPr>
          </w:p>
          <w:p w14:paraId="4749F946" w14:textId="77777777" w:rsidR="002E25F4" w:rsidRPr="008F3655" w:rsidRDefault="002E25F4" w:rsidP="00A524B5">
            <w:pPr>
              <w:rPr>
                <w:rFonts w:cs="Arial"/>
              </w:rPr>
            </w:pPr>
            <w:r w:rsidRPr="008F3655">
              <w:rPr>
                <w:rFonts w:cs="Arial"/>
                <w:b/>
                <w:i/>
              </w:rPr>
              <w:t>Partnership working</w:t>
            </w:r>
          </w:p>
          <w:p w14:paraId="4749F947" w14:textId="77777777" w:rsidR="002E25F4" w:rsidRPr="008F3655" w:rsidRDefault="002E25F4" w:rsidP="00A524B5">
            <w:pPr>
              <w:rPr>
                <w:rFonts w:cs="Arial"/>
              </w:rPr>
            </w:pPr>
            <w:r w:rsidRPr="008F3655">
              <w:rPr>
                <w:rFonts w:cs="Arial"/>
              </w:rPr>
              <w:t>Candidates will be required to work in partnership with other organisations delivering education and training in the area to ensure the Service is complementary to and not in competition with other funded provision.</w:t>
            </w:r>
          </w:p>
          <w:p w14:paraId="4749F948" w14:textId="77777777" w:rsidR="002E25F4" w:rsidRPr="008F3655" w:rsidRDefault="002E25F4" w:rsidP="00A524B5">
            <w:pPr>
              <w:rPr>
                <w:rFonts w:cs="Arial"/>
              </w:rPr>
            </w:pPr>
          </w:p>
          <w:p w14:paraId="4749F949" w14:textId="77777777" w:rsidR="002E25F4" w:rsidRPr="008F3655" w:rsidRDefault="002E25F4" w:rsidP="00A524B5">
            <w:pPr>
              <w:rPr>
                <w:rFonts w:cs="Arial"/>
              </w:rPr>
            </w:pPr>
            <w:r w:rsidRPr="008F3655">
              <w:rPr>
                <w:rFonts w:cs="Arial"/>
              </w:rPr>
              <w:t xml:space="preserve">The Service must be able to respond to changing local needs and opportunities, as well as policy changes. </w:t>
            </w:r>
          </w:p>
          <w:p w14:paraId="4749F94A" w14:textId="77777777" w:rsidR="00ED156A" w:rsidRPr="008F3655" w:rsidRDefault="00ED156A" w:rsidP="00A524B5">
            <w:pPr>
              <w:rPr>
                <w:rFonts w:cs="Arial"/>
                <w:highlight w:val="yellow"/>
              </w:rPr>
            </w:pPr>
          </w:p>
          <w:p w14:paraId="4749F94B" w14:textId="77777777" w:rsidR="00603F09" w:rsidRPr="008F3655" w:rsidRDefault="00ED156A" w:rsidP="00C107CE">
            <w:pPr>
              <w:autoSpaceDE w:val="0"/>
              <w:autoSpaceDN w:val="0"/>
              <w:adjustRightInd w:val="0"/>
              <w:rPr>
                <w:rFonts w:cs="Arial"/>
              </w:rPr>
            </w:pPr>
            <w:r w:rsidRPr="008F3655">
              <w:rPr>
                <w:rFonts w:cs="Arial"/>
              </w:rPr>
              <w:t>Candidates will be required to establish linkages with and have an understanding of, local stakeholder needs and develop strong links with the key stakeholders.</w:t>
            </w:r>
          </w:p>
          <w:p w14:paraId="4749F94C" w14:textId="77777777" w:rsidR="000E66D3" w:rsidRPr="008F3655" w:rsidRDefault="00FA5F66" w:rsidP="00A524B5">
            <w:pPr>
              <w:rPr>
                <w:rFonts w:cs="Arial"/>
              </w:rPr>
            </w:pPr>
            <w:r w:rsidRPr="008F3655">
              <w:rPr>
                <w:rFonts w:cs="Arial"/>
              </w:rPr>
              <w:t xml:space="preserve">Where the Service works with Jobcentre Plus clients the Candidates will be required to co-operate </w:t>
            </w:r>
            <w:r w:rsidR="004B698A" w:rsidRPr="008F3655">
              <w:rPr>
                <w:rFonts w:cs="Arial"/>
                <w:bCs/>
                <w:lang w:eastAsia="en-GB"/>
              </w:rPr>
              <w:t>effectively with Jobcentre Plus making them aware of candidates who fail to attend training and notifying them of any instances where individuals leave training due to starting work.</w:t>
            </w:r>
            <w:r w:rsidR="00210134" w:rsidRPr="008F3655">
              <w:rPr>
                <w:rFonts w:cs="Arial"/>
                <w:bCs/>
                <w:lang w:eastAsia="en-GB"/>
              </w:rPr>
              <w:t xml:space="preserve">  </w:t>
            </w:r>
            <w:r w:rsidR="00136327" w:rsidRPr="008F3655">
              <w:rPr>
                <w:rFonts w:cs="Arial"/>
              </w:rPr>
              <w:t xml:space="preserve">Candidates will be required to establish links with </w:t>
            </w:r>
            <w:r w:rsidR="000E66D3" w:rsidRPr="008F3655">
              <w:rPr>
                <w:rFonts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4749F94D" w14:textId="77777777" w:rsidR="000E66D3" w:rsidRPr="008F3655" w:rsidRDefault="000E66D3" w:rsidP="00A524B5">
            <w:pPr>
              <w:rPr>
                <w:rFonts w:cs="Arial"/>
              </w:rPr>
            </w:pPr>
          </w:p>
          <w:p w14:paraId="4749F94E" w14:textId="77777777" w:rsidR="002E25F4" w:rsidRPr="008F3655" w:rsidRDefault="002E25F4" w:rsidP="00A524B5">
            <w:pPr>
              <w:rPr>
                <w:rFonts w:cs="Arial"/>
              </w:rPr>
            </w:pPr>
            <w:r w:rsidRPr="008F3655">
              <w:rPr>
                <w:rFonts w:cs="Arial"/>
                <w:b/>
                <w:i/>
              </w:rPr>
              <w:t>Market intelligence and local knowledge</w:t>
            </w:r>
          </w:p>
          <w:p w14:paraId="4749F94F" w14:textId="77777777" w:rsidR="002E25F4" w:rsidRPr="008F3655" w:rsidRDefault="002E25F4" w:rsidP="00BC7F87">
            <w:pPr>
              <w:autoSpaceDE w:val="0"/>
              <w:autoSpaceDN w:val="0"/>
              <w:adjustRightInd w:val="0"/>
              <w:ind w:left="29"/>
              <w:rPr>
                <w:rFonts w:cs="Arial"/>
                <w:strike/>
                <w:highlight w:val="yellow"/>
              </w:rPr>
            </w:pPr>
            <w:r w:rsidRPr="008F3655">
              <w:rPr>
                <w:rFonts w:cs="Arial"/>
              </w:rPr>
              <w:t>The delivery of the Services must take into account the current and future social and economic indicators including labour market</w:t>
            </w:r>
            <w:r w:rsidR="00BC7F87" w:rsidRPr="008F3655">
              <w:rPr>
                <w:rFonts w:cs="Arial"/>
              </w:rPr>
              <w:t xml:space="preserve"> intelligence. Candidates must be able to demonstrate a</w:t>
            </w:r>
            <w:r w:rsidR="00812EC6" w:rsidRPr="008F3655">
              <w:rPr>
                <w:rFonts w:cs="Arial"/>
              </w:rPr>
              <w:t xml:space="preserve"> comprehensive understanding of the current employment market and the current and future social and economic indicators including labour market intelligence</w:t>
            </w:r>
            <w:r w:rsidR="00BC7F87" w:rsidRPr="008F3655">
              <w:rPr>
                <w:rFonts w:cs="Arial"/>
              </w:rPr>
              <w:t xml:space="preserve"> for the geographical area being supported</w:t>
            </w:r>
            <w:r w:rsidR="00885437" w:rsidRPr="008F3655">
              <w:rPr>
                <w:rFonts w:cs="Arial"/>
              </w:rPr>
              <w:t xml:space="preserve">. Candidates must also have an understanding of local skills shortages and gaps and any existing skills support structures within the LEP area. </w:t>
            </w:r>
          </w:p>
          <w:p w14:paraId="4749F950" w14:textId="77777777" w:rsidR="00812EC6" w:rsidRPr="008F3655" w:rsidRDefault="00812EC6" w:rsidP="00A524B5">
            <w:pPr>
              <w:rPr>
                <w:rFonts w:cs="Arial"/>
              </w:rPr>
            </w:pPr>
          </w:p>
          <w:p w14:paraId="4749F951" w14:textId="77777777" w:rsidR="002E25F4" w:rsidRPr="008F3655" w:rsidRDefault="002E25F4" w:rsidP="00A524B5">
            <w:pPr>
              <w:pStyle w:val="letteredlist"/>
              <w:numPr>
                <w:ilvl w:val="0"/>
                <w:numId w:val="0"/>
              </w:numPr>
              <w:spacing w:after="0"/>
              <w:ind w:left="29"/>
              <w:rPr>
                <w:b/>
                <w:i/>
              </w:rPr>
            </w:pPr>
            <w:r w:rsidRPr="008F3655">
              <w:rPr>
                <w:b/>
                <w:i/>
              </w:rPr>
              <w:t>Management information and reporting</w:t>
            </w:r>
          </w:p>
          <w:p w14:paraId="4749F952" w14:textId="77777777" w:rsidR="002E25F4" w:rsidRPr="008F3655" w:rsidRDefault="002E25F4" w:rsidP="00A524B5">
            <w:pPr>
              <w:rPr>
                <w:rFonts w:cs="Arial"/>
              </w:rPr>
            </w:pPr>
            <w:r w:rsidRPr="008F3655">
              <w:rPr>
                <w:rFonts w:cs="Arial"/>
              </w:rPr>
              <w:lastRenderedPageBreak/>
              <w:t xml:space="preserve">Candidates will develop management information systems to enable it to submit data to the Skills Funding Agency via the Individual Learner Record </w:t>
            </w:r>
            <w:r w:rsidR="00F20E79" w:rsidRPr="008F3655">
              <w:rPr>
                <w:rFonts w:cs="Arial"/>
              </w:rPr>
              <w:t xml:space="preserve">(ILR) </w:t>
            </w:r>
            <w:r w:rsidRPr="008F3655">
              <w:rPr>
                <w:rFonts w:cs="Arial"/>
              </w:rPr>
              <w:t xml:space="preserve">and put in place robust arrangements for ensuring that the evidence required to support payments is collected and retained.  </w:t>
            </w:r>
          </w:p>
          <w:p w14:paraId="4749F953" w14:textId="77777777" w:rsidR="002E25F4" w:rsidRPr="008F3655" w:rsidRDefault="002E25F4" w:rsidP="00A524B5">
            <w:pPr>
              <w:rPr>
                <w:rFonts w:cs="Arial"/>
              </w:rPr>
            </w:pPr>
          </w:p>
          <w:p w14:paraId="4749F954" w14:textId="77777777" w:rsidR="002E25F4" w:rsidRPr="008F3655" w:rsidRDefault="002E25F4" w:rsidP="00A524B5">
            <w:pPr>
              <w:rPr>
                <w:rFonts w:cs="Arial"/>
                <w:strike/>
              </w:rPr>
            </w:pPr>
            <w:r w:rsidRPr="008F3655">
              <w:rPr>
                <w:rFonts w:cs="Arial"/>
              </w:rPr>
              <w:t xml:space="preserve">Candidates will be required to share with LEPs </w:t>
            </w:r>
            <w:r w:rsidR="00025EF8" w:rsidRPr="008F3655">
              <w:rPr>
                <w:rFonts w:cs="Arial"/>
              </w:rPr>
              <w:t xml:space="preserve">and the Skills Funding Agency </w:t>
            </w:r>
            <w:r w:rsidRPr="008F3655">
              <w:rPr>
                <w:rFonts w:cs="Arial"/>
              </w:rPr>
              <w:t xml:space="preserve">ongoing performance management data as well as additional intelligence to improve the effectiveness </w:t>
            </w:r>
            <w:r w:rsidR="002F71DB" w:rsidRPr="008F3655">
              <w:rPr>
                <w:rFonts w:cs="Arial"/>
              </w:rPr>
              <w:t xml:space="preserve">of </w:t>
            </w:r>
            <w:r w:rsidR="006B0A4D" w:rsidRPr="008F3655">
              <w:rPr>
                <w:rFonts w:cs="Arial"/>
              </w:rPr>
              <w:t>projects in the LEP area in the future</w:t>
            </w:r>
            <w:r w:rsidRPr="008F3655">
              <w:rPr>
                <w:rFonts w:cs="Arial"/>
                <w:strike/>
              </w:rPr>
              <w:t xml:space="preserve"> </w:t>
            </w:r>
          </w:p>
          <w:p w14:paraId="4749F955" w14:textId="77777777" w:rsidR="00C0243B" w:rsidRPr="008F3655" w:rsidRDefault="00C0243B" w:rsidP="009E7A30">
            <w:pPr>
              <w:rPr>
                <w:rFonts w:cs="Arial"/>
              </w:rPr>
            </w:pPr>
          </w:p>
          <w:p w14:paraId="4749F956" w14:textId="77777777" w:rsidR="00B85F61" w:rsidRPr="008F3655" w:rsidRDefault="00EA180F" w:rsidP="009E7A30">
            <w:pPr>
              <w:rPr>
                <w:rFonts w:cs="Arial"/>
                <w:b/>
                <w:i/>
              </w:rPr>
            </w:pPr>
            <w:r w:rsidRPr="008F3655">
              <w:rPr>
                <w:rFonts w:cs="Arial"/>
                <w:b/>
              </w:rPr>
              <w:t>Specific Service Requirements</w:t>
            </w:r>
          </w:p>
          <w:p w14:paraId="4749F957" w14:textId="77777777" w:rsidR="00F65D61" w:rsidRPr="00FE7FDA" w:rsidRDefault="00F65D61" w:rsidP="00F65D61">
            <w:pPr>
              <w:pStyle w:val="Default"/>
              <w:rPr>
                <w:color w:val="auto"/>
                <w:highlight w:val="green"/>
              </w:rPr>
            </w:pPr>
          </w:p>
          <w:p w14:paraId="4749F997" w14:textId="47CFFD73" w:rsidR="00F65D61" w:rsidRPr="008F3655" w:rsidRDefault="002600A9" w:rsidP="00F65D61">
            <w:pPr>
              <w:rPr>
                <w:rFonts w:cs="Arial"/>
                <w:b/>
              </w:rPr>
            </w:pPr>
            <w:r>
              <w:rPr>
                <w:rFonts w:cs="Arial"/>
                <w:b/>
                <w:bCs/>
              </w:rPr>
              <w:t>HUMBER</w:t>
            </w:r>
            <w:r w:rsidR="00F65D61" w:rsidRPr="008F3655">
              <w:rPr>
                <w:rFonts w:cs="Arial"/>
                <w:b/>
                <w:bCs/>
              </w:rPr>
              <w:t xml:space="preserve"> </w:t>
            </w:r>
            <w:r w:rsidR="00DB4716">
              <w:rPr>
                <w:rFonts w:cs="Arial"/>
                <w:b/>
              </w:rPr>
              <w:t>APPRENTICESHIP</w:t>
            </w:r>
            <w:r w:rsidR="00C1183A" w:rsidRPr="008F3655">
              <w:rPr>
                <w:rFonts w:cs="Arial"/>
                <w:b/>
              </w:rPr>
              <w:t xml:space="preserve"> </w:t>
            </w:r>
            <w:r>
              <w:rPr>
                <w:rFonts w:cs="Arial"/>
                <w:b/>
              </w:rPr>
              <w:t>GROWTH PROGRAMME</w:t>
            </w:r>
          </w:p>
          <w:p w14:paraId="4749F998" w14:textId="77777777" w:rsidR="00F65D61" w:rsidRPr="008F3655" w:rsidRDefault="00F65D61" w:rsidP="00F65D61">
            <w:pPr>
              <w:rPr>
                <w:rFonts w:cs="Arial"/>
                <w:color w:val="000000"/>
              </w:rPr>
            </w:pPr>
          </w:p>
          <w:p w14:paraId="4749F999" w14:textId="77777777" w:rsidR="00F65D61" w:rsidRDefault="00F65D61" w:rsidP="00F65D61">
            <w:pPr>
              <w:ind w:right="113"/>
              <w:rPr>
                <w:rFonts w:cs="Arial"/>
                <w:color w:val="000000"/>
              </w:rPr>
            </w:pPr>
            <w:r w:rsidRPr="008F3655">
              <w:rPr>
                <w:rFonts w:cs="Arial"/>
              </w:rPr>
              <w:t xml:space="preserve">The </w:t>
            </w:r>
            <w:r w:rsidR="00331FD0" w:rsidRPr="008F3655">
              <w:rPr>
                <w:rFonts w:cs="Arial"/>
              </w:rPr>
              <w:t xml:space="preserve">aim of the </w:t>
            </w:r>
            <w:r w:rsidRPr="008F3655">
              <w:rPr>
                <w:rFonts w:cs="Arial"/>
              </w:rPr>
              <w:t>Service</w:t>
            </w:r>
            <w:r w:rsidR="002C0338">
              <w:rPr>
                <w:rFonts w:cs="Arial"/>
              </w:rPr>
              <w:t>s</w:t>
            </w:r>
            <w:r w:rsidR="00331FD0" w:rsidRPr="008F3655">
              <w:rPr>
                <w:rFonts w:cs="Arial"/>
              </w:rPr>
              <w:t xml:space="preserve"> is </w:t>
            </w:r>
            <w:r w:rsidRPr="008F3655">
              <w:rPr>
                <w:rFonts w:cs="Arial"/>
              </w:rPr>
              <w:t xml:space="preserve">to increase the number of individuals entering traineeships and apprenticeships at all levels and increase </w:t>
            </w:r>
            <w:r w:rsidRPr="008F3655">
              <w:rPr>
                <w:rFonts w:cs="Arial"/>
                <w:color w:val="000000"/>
              </w:rPr>
              <w:t>employer participation in traineeships and apprenticeships.</w:t>
            </w:r>
          </w:p>
          <w:p w14:paraId="4749F99A" w14:textId="77777777" w:rsidR="00125382" w:rsidRDefault="00125382" w:rsidP="00F65D61">
            <w:pPr>
              <w:ind w:right="113"/>
              <w:rPr>
                <w:rFonts w:cs="Arial"/>
                <w:color w:val="000000"/>
              </w:rPr>
            </w:pPr>
          </w:p>
          <w:p w14:paraId="4749F99B" w14:textId="77777777" w:rsidR="00125382" w:rsidRPr="008F3655" w:rsidRDefault="00125382" w:rsidP="00125382">
            <w:pPr>
              <w:rPr>
                <w:rFonts w:cs="Arial"/>
              </w:rPr>
            </w:pPr>
            <w:r>
              <w:rPr>
                <w:rFonts w:cs="Arial"/>
              </w:rPr>
              <w:t>As part of a holistic approach to Apprenticeship growth, t</w:t>
            </w:r>
            <w:r w:rsidRPr="008F3655">
              <w:rPr>
                <w:rFonts w:cs="Arial"/>
              </w:rPr>
              <w:t xml:space="preserve">he </w:t>
            </w:r>
            <w:r>
              <w:rPr>
                <w:rFonts w:cs="Arial"/>
              </w:rPr>
              <w:t>S</w:t>
            </w:r>
            <w:r w:rsidRPr="008F3655">
              <w:rPr>
                <w:rFonts w:cs="Arial"/>
              </w:rPr>
              <w:t>ervice</w:t>
            </w:r>
            <w:r>
              <w:rPr>
                <w:rFonts w:cs="Arial"/>
              </w:rPr>
              <w:t>s</w:t>
            </w:r>
            <w:r w:rsidRPr="008F3655">
              <w:rPr>
                <w:rFonts w:cs="Arial"/>
              </w:rPr>
              <w:t xml:space="preserve"> will raise the profile of Traineeships and Apprenticeships within schools and academies and parental networks from year 8 through to leaving education. </w:t>
            </w:r>
            <w:r w:rsidRPr="008F3655">
              <w:rPr>
                <w:rFonts w:cs="Arial"/>
                <w:bCs/>
                <w:lang w:eastAsia="en-GB"/>
              </w:rPr>
              <w:t>This will entail a greater focus on CEIAG from year 8 to enable young people and their families/influencers to make informed decisions on positive progressions/future jobs.</w:t>
            </w:r>
            <w:r>
              <w:rPr>
                <w:rFonts w:cs="Arial"/>
              </w:rPr>
              <w:t xml:space="preserve">  </w:t>
            </w:r>
            <w:r w:rsidRPr="008F3655">
              <w:rPr>
                <w:rFonts w:cs="Arial"/>
              </w:rPr>
              <w:t>It will also inform and strengthen links between referral agencies such</w:t>
            </w:r>
            <w:r>
              <w:rPr>
                <w:rFonts w:cs="Arial"/>
              </w:rPr>
              <w:t xml:space="preserve"> as</w:t>
            </w:r>
            <w:r w:rsidRPr="008F3655">
              <w:rPr>
                <w:rFonts w:cs="Arial"/>
              </w:rPr>
              <w:t xml:space="preserve"> the DWP along with education and training providers.</w:t>
            </w:r>
          </w:p>
          <w:p w14:paraId="4749F99C" w14:textId="77777777" w:rsidR="00125382" w:rsidRPr="008F3655" w:rsidRDefault="00125382" w:rsidP="00125382">
            <w:pPr>
              <w:rPr>
                <w:rFonts w:cs="Arial"/>
              </w:rPr>
            </w:pPr>
          </w:p>
          <w:p w14:paraId="4749F99D" w14:textId="77777777" w:rsidR="00AF3D29" w:rsidRDefault="00432EA4" w:rsidP="00AF3D29">
            <w:pPr>
              <w:autoSpaceDE w:val="0"/>
              <w:autoSpaceDN w:val="0"/>
              <w:adjustRightInd w:val="0"/>
              <w:rPr>
                <w:rFonts w:cs="Arial"/>
                <w:color w:val="000000" w:themeColor="text1"/>
              </w:rPr>
            </w:pPr>
            <w:r w:rsidRPr="00432EA4">
              <w:rPr>
                <w:rFonts w:cs="Arial"/>
              </w:rPr>
              <w:t>The</w:t>
            </w:r>
            <w:r w:rsidR="00BF669C">
              <w:rPr>
                <w:rFonts w:cs="Arial"/>
                <w:b/>
              </w:rPr>
              <w:t xml:space="preserve"> </w:t>
            </w:r>
            <w:r w:rsidR="00BA5E69" w:rsidRPr="00BF669C">
              <w:rPr>
                <w:rFonts w:cs="Arial"/>
                <w:color w:val="000000" w:themeColor="text1"/>
              </w:rPr>
              <w:t>Service</w:t>
            </w:r>
            <w:r w:rsidR="002C0338">
              <w:rPr>
                <w:rFonts w:cs="Arial"/>
                <w:color w:val="000000" w:themeColor="text1"/>
              </w:rPr>
              <w:t>s</w:t>
            </w:r>
            <w:r w:rsidR="00AF3D29" w:rsidRPr="00BF669C">
              <w:rPr>
                <w:rFonts w:cs="Arial"/>
                <w:color w:val="000000" w:themeColor="text1"/>
              </w:rPr>
              <w:t xml:space="preserve"> will work across Humber to deliver a responsive apprenticeship brokerage</w:t>
            </w:r>
            <w:r w:rsidR="00BA5E69">
              <w:rPr>
                <w:rFonts w:cs="Arial"/>
                <w:color w:val="000000" w:themeColor="text1"/>
              </w:rPr>
              <w:t xml:space="preserve"> service to meet learner </w:t>
            </w:r>
            <w:r w:rsidR="00AF3D29" w:rsidRPr="008F3655">
              <w:rPr>
                <w:rFonts w:cs="Arial"/>
                <w:color w:val="000000" w:themeColor="text1"/>
              </w:rPr>
              <w:t>and employer need</w:t>
            </w:r>
            <w:r w:rsidR="00AF3D29">
              <w:rPr>
                <w:rFonts w:cs="Arial"/>
                <w:color w:val="000000" w:themeColor="text1"/>
              </w:rPr>
              <w:t xml:space="preserve">s. The focus of the </w:t>
            </w:r>
            <w:r w:rsidR="00125382">
              <w:rPr>
                <w:rFonts w:cs="Arial"/>
                <w:color w:val="000000" w:themeColor="text1"/>
              </w:rPr>
              <w:t>S</w:t>
            </w:r>
            <w:r w:rsidR="00AF3D29">
              <w:rPr>
                <w:rFonts w:cs="Arial"/>
                <w:color w:val="000000" w:themeColor="text1"/>
              </w:rPr>
              <w:t xml:space="preserve">ervices will be mainly on the LEPs priority </w:t>
            </w:r>
            <w:r w:rsidR="00184C5C">
              <w:rPr>
                <w:rFonts w:cs="Arial"/>
                <w:color w:val="000000" w:themeColor="text1"/>
              </w:rPr>
              <w:t>sector</w:t>
            </w:r>
            <w:r w:rsidR="00AF3D29">
              <w:rPr>
                <w:rFonts w:cs="Arial"/>
                <w:color w:val="000000" w:themeColor="text1"/>
              </w:rPr>
              <w:t xml:space="preserve">s however learner preference will take priority. </w:t>
            </w:r>
          </w:p>
          <w:p w14:paraId="4749F99E" w14:textId="77777777" w:rsidR="00BA5E69" w:rsidRDefault="00BA5E69" w:rsidP="00AF3D29">
            <w:pPr>
              <w:autoSpaceDE w:val="0"/>
              <w:autoSpaceDN w:val="0"/>
              <w:adjustRightInd w:val="0"/>
              <w:rPr>
                <w:rFonts w:cs="Arial"/>
                <w:color w:val="000000" w:themeColor="text1"/>
              </w:rPr>
            </w:pPr>
          </w:p>
          <w:p w14:paraId="4749F99F" w14:textId="77777777" w:rsidR="00292CB3" w:rsidRDefault="003B5BA1" w:rsidP="003B5BA1">
            <w:pPr>
              <w:rPr>
                <w:rFonts w:cs="Arial"/>
              </w:rPr>
            </w:pPr>
            <w:r w:rsidRPr="008F3655">
              <w:rPr>
                <w:rFonts w:cs="Arial"/>
              </w:rPr>
              <w:t>T</w:t>
            </w:r>
            <w:r w:rsidR="00DB4716">
              <w:rPr>
                <w:rFonts w:cs="Arial"/>
              </w:rPr>
              <w:t xml:space="preserve">he </w:t>
            </w:r>
            <w:r w:rsidR="009F5E11">
              <w:rPr>
                <w:rFonts w:cs="Arial"/>
              </w:rPr>
              <w:t xml:space="preserve">Services </w:t>
            </w:r>
            <w:r w:rsidR="002C0338">
              <w:rPr>
                <w:rFonts w:cs="Arial"/>
              </w:rPr>
              <w:t xml:space="preserve">must </w:t>
            </w:r>
            <w:r w:rsidRPr="008F3655">
              <w:rPr>
                <w:rFonts w:cs="Arial"/>
              </w:rPr>
              <w:t xml:space="preserve">work closely with individuals and potential employees to provide positive job outcomes by delivery of an impartial brokerage service.  This will involve working with a range of education and training providers in a collaborative and supportive process. </w:t>
            </w:r>
            <w:r w:rsidR="00184C5C">
              <w:rPr>
                <w:rFonts w:cs="Arial"/>
              </w:rPr>
              <w:t xml:space="preserve"> </w:t>
            </w:r>
          </w:p>
          <w:p w14:paraId="4749F9A0" w14:textId="77777777" w:rsidR="00292CB3" w:rsidRDefault="00292CB3" w:rsidP="003B5BA1">
            <w:pPr>
              <w:rPr>
                <w:rFonts w:cs="Arial"/>
              </w:rPr>
            </w:pPr>
          </w:p>
          <w:p w14:paraId="4749F9A1" w14:textId="77777777" w:rsidR="002B7118" w:rsidRDefault="00184C5C" w:rsidP="003B5BA1">
            <w:pPr>
              <w:rPr>
                <w:rFonts w:cs="Arial"/>
              </w:rPr>
            </w:pPr>
            <w:r>
              <w:rPr>
                <w:rFonts w:cs="Arial"/>
                <w:color w:val="000000"/>
                <w:lang w:eastAsia="en-GB"/>
              </w:rPr>
              <w:t xml:space="preserve">The Service will match suitable candidates with </w:t>
            </w:r>
            <w:r w:rsidR="003F2CE1">
              <w:rPr>
                <w:rFonts w:cs="Arial"/>
                <w:color w:val="000000"/>
                <w:lang w:eastAsia="en-GB"/>
              </w:rPr>
              <w:t>Apprenticeship</w:t>
            </w:r>
            <w:r>
              <w:rPr>
                <w:rFonts w:cs="Arial"/>
                <w:color w:val="000000"/>
                <w:lang w:eastAsia="en-GB"/>
              </w:rPr>
              <w:t xml:space="preserve"> opportunities that meet both the employer and employee’s needs and expectations.</w:t>
            </w:r>
            <w:r w:rsidR="00275DAE">
              <w:rPr>
                <w:rFonts w:cs="Arial"/>
                <w:color w:val="000000"/>
                <w:lang w:eastAsia="en-GB"/>
              </w:rPr>
              <w:t xml:space="preserve"> They will advise on the range of Apprenticeship providers in the area in an impartial manner.</w:t>
            </w:r>
          </w:p>
          <w:p w14:paraId="4749F9A2" w14:textId="77777777" w:rsidR="002B7118" w:rsidRDefault="002B7118" w:rsidP="003B5BA1">
            <w:pPr>
              <w:rPr>
                <w:rFonts w:cs="Arial"/>
              </w:rPr>
            </w:pPr>
          </w:p>
          <w:p w14:paraId="4749F9A3" w14:textId="77777777" w:rsidR="00DB4716" w:rsidRDefault="00125382" w:rsidP="003B5BA1">
            <w:pPr>
              <w:rPr>
                <w:rFonts w:eastAsia="SymbolOOEnc" w:cs="Arial"/>
              </w:rPr>
            </w:pPr>
            <w:r>
              <w:rPr>
                <w:rFonts w:cs="Arial"/>
              </w:rPr>
              <w:t>The funding for the Services includes a</w:t>
            </w:r>
            <w:r w:rsidR="00902FEA">
              <w:rPr>
                <w:rFonts w:cs="Arial"/>
              </w:rPr>
              <w:t xml:space="preserve"> flexible resource that can be </w:t>
            </w:r>
            <w:r>
              <w:rPr>
                <w:rFonts w:cs="Arial"/>
              </w:rPr>
              <w:t xml:space="preserve">used </w:t>
            </w:r>
            <w:r w:rsidR="00DB4716">
              <w:rPr>
                <w:rFonts w:cs="Arial"/>
              </w:rPr>
              <w:t xml:space="preserve">to </w:t>
            </w:r>
            <w:r w:rsidR="002B7118">
              <w:rPr>
                <w:rFonts w:eastAsia="SymbolOOEnc" w:cs="Arial"/>
              </w:rPr>
              <w:t xml:space="preserve">bring forward </w:t>
            </w:r>
            <w:r w:rsidR="003B5BA1" w:rsidRPr="008F3655">
              <w:rPr>
                <w:rFonts w:eastAsia="SymbolOOEnc" w:cs="Arial"/>
              </w:rPr>
              <w:t xml:space="preserve">Apprenticeship engagement opportunities and overcome barriers to participation, achievement and progression for </w:t>
            </w:r>
            <w:r w:rsidR="000F626B" w:rsidRPr="008F3655">
              <w:rPr>
                <w:rFonts w:eastAsia="SymbolOOEnc" w:cs="Arial"/>
              </w:rPr>
              <w:t>underrepresented</w:t>
            </w:r>
            <w:r w:rsidR="003B5BA1" w:rsidRPr="008F3655">
              <w:rPr>
                <w:rFonts w:eastAsia="SymbolOOEnc" w:cs="Arial"/>
              </w:rPr>
              <w:t xml:space="preserve"> groups and/or SME engagement. </w:t>
            </w:r>
          </w:p>
          <w:p w14:paraId="4749F9A4" w14:textId="77777777" w:rsidR="00DB4716" w:rsidRDefault="00DB4716" w:rsidP="003B5BA1">
            <w:pPr>
              <w:rPr>
                <w:rFonts w:eastAsia="SymbolOOEnc" w:cs="Arial"/>
              </w:rPr>
            </w:pPr>
          </w:p>
          <w:p w14:paraId="4749F9A5" w14:textId="77777777" w:rsidR="00A41157" w:rsidRDefault="003B5BA1" w:rsidP="00A41157">
            <w:pPr>
              <w:rPr>
                <w:rFonts w:cs="Arial"/>
              </w:rPr>
            </w:pPr>
            <w:r w:rsidRPr="008F3655">
              <w:rPr>
                <w:rFonts w:eastAsia="SymbolOOEnc" w:cs="Arial"/>
                <w:color w:val="000000" w:themeColor="text1"/>
              </w:rPr>
              <w:t>This will enable providers to use this funding to develop new approaches to engage individuals and employers with Traineeships and Apprenticeships, assisting the local partnerships to engage effectively with SMEs in key sectors to promote the benefits of learning</w:t>
            </w:r>
            <w:r w:rsidRPr="008F3655">
              <w:rPr>
                <w:rFonts w:cs="Arial"/>
              </w:rPr>
              <w:t xml:space="preserve">. </w:t>
            </w:r>
            <w:r w:rsidR="00A41157">
              <w:rPr>
                <w:rFonts w:cs="Arial"/>
              </w:rPr>
              <w:t xml:space="preserve">The following deliverables are associated with this </w:t>
            </w:r>
            <w:r w:rsidR="00125382">
              <w:rPr>
                <w:rFonts w:cs="Arial"/>
              </w:rPr>
              <w:t xml:space="preserve"> funding</w:t>
            </w:r>
            <w:r w:rsidR="00A41157">
              <w:rPr>
                <w:rFonts w:cs="Arial"/>
              </w:rPr>
              <w:t>:</w:t>
            </w:r>
          </w:p>
          <w:p w14:paraId="4749F9A6" w14:textId="77777777" w:rsidR="00A41157" w:rsidRPr="00E276FE" w:rsidRDefault="00A41157" w:rsidP="00A41157">
            <w:pPr>
              <w:rPr>
                <w:rFonts w:cs="Arial"/>
                <w:bCs/>
                <w:lang w:eastAsia="en-GB"/>
              </w:rPr>
            </w:pPr>
          </w:p>
          <w:p w14:paraId="4749F9A7" w14:textId="77777777" w:rsidR="00BD0822" w:rsidRPr="00FE569F" w:rsidRDefault="00A41157" w:rsidP="00A41157">
            <w:pPr>
              <w:pStyle w:val="ListParagraph"/>
              <w:numPr>
                <w:ilvl w:val="0"/>
                <w:numId w:val="37"/>
              </w:numPr>
              <w:rPr>
                <w:rFonts w:cs="Arial"/>
                <w:lang w:eastAsia="en-GB"/>
              </w:rPr>
            </w:pPr>
            <w:r w:rsidRPr="00FE569F">
              <w:rPr>
                <w:rFonts w:cs="Arial"/>
                <w:lang w:eastAsia="en-GB"/>
              </w:rPr>
              <w:lastRenderedPageBreak/>
              <w:t xml:space="preserve">SD04 </w:t>
            </w:r>
            <w:r w:rsidRPr="00A41157">
              <w:rPr>
                <w:rFonts w:cs="Arial"/>
                <w:lang w:eastAsia="en-GB"/>
              </w:rPr>
              <w:t>Deliver school</w:t>
            </w:r>
            <w:r w:rsidR="00FE569F" w:rsidRPr="00FE569F">
              <w:rPr>
                <w:rFonts w:cs="Arial"/>
                <w:lang w:eastAsia="en-GB"/>
              </w:rPr>
              <w:t xml:space="preserve"> / provider</w:t>
            </w:r>
            <w:r w:rsidRPr="00A41157">
              <w:rPr>
                <w:rFonts w:cs="Arial"/>
                <w:lang w:eastAsia="en-GB"/>
              </w:rPr>
              <w:t xml:space="preserve"> events</w:t>
            </w:r>
            <w:r w:rsidRPr="00FE569F">
              <w:rPr>
                <w:rFonts w:cs="Arial"/>
                <w:lang w:eastAsia="en-GB"/>
              </w:rPr>
              <w:t xml:space="preserve"> – promoting Apprenticeship opportunities and raising awareness of this route to learning with students, teachers and parents/carers</w:t>
            </w:r>
            <w:r w:rsidR="00FE569F" w:rsidRPr="00FE569F">
              <w:rPr>
                <w:rFonts w:cs="Arial"/>
                <w:lang w:eastAsia="en-GB"/>
              </w:rPr>
              <w:t>.  To be agreed in advance with the LEP and ensure coverage across the Humber.</w:t>
            </w:r>
          </w:p>
          <w:p w14:paraId="4749F9A8" w14:textId="77777777" w:rsidR="00A41157" w:rsidRPr="00FE569F" w:rsidRDefault="00A41157" w:rsidP="00A41157">
            <w:pPr>
              <w:pStyle w:val="ListParagraph"/>
              <w:numPr>
                <w:ilvl w:val="0"/>
                <w:numId w:val="37"/>
              </w:numPr>
              <w:rPr>
                <w:rFonts w:cs="Arial"/>
                <w:lang w:eastAsia="en-GB"/>
              </w:rPr>
            </w:pPr>
            <w:r w:rsidRPr="00FE569F">
              <w:rPr>
                <w:rFonts w:cs="Arial"/>
                <w:lang w:eastAsia="en-GB"/>
              </w:rPr>
              <w:t xml:space="preserve">SD05 </w:t>
            </w:r>
            <w:r w:rsidRPr="00A41157">
              <w:rPr>
                <w:rFonts w:cs="Arial"/>
                <w:lang w:eastAsia="en-GB"/>
              </w:rPr>
              <w:t>Develop Apprenticeship Resource packs</w:t>
            </w:r>
            <w:r w:rsidR="00FE569F" w:rsidRPr="00FE569F">
              <w:rPr>
                <w:rFonts w:cs="Arial"/>
                <w:lang w:eastAsia="en-GB"/>
              </w:rPr>
              <w:t xml:space="preserve"> – three packs to be developed through the programme targeted at 1.  Schools/Teachers/Providers, 2. Prospective apprentices, 3.  Employers.   </w:t>
            </w:r>
          </w:p>
          <w:p w14:paraId="4749F9A9" w14:textId="77777777" w:rsidR="00A41157" w:rsidRPr="00FE569F" w:rsidRDefault="00A41157" w:rsidP="00A41157">
            <w:pPr>
              <w:pStyle w:val="ListParagraph"/>
              <w:numPr>
                <w:ilvl w:val="0"/>
                <w:numId w:val="37"/>
              </w:numPr>
              <w:rPr>
                <w:rFonts w:cs="Arial"/>
                <w:lang w:eastAsia="en-GB"/>
              </w:rPr>
            </w:pPr>
            <w:r w:rsidRPr="00A41157">
              <w:rPr>
                <w:rFonts w:cs="Arial"/>
                <w:lang w:eastAsia="en-GB"/>
              </w:rPr>
              <w:t xml:space="preserve">SD06 Humber Apprenticeship </w:t>
            </w:r>
            <w:r w:rsidR="00902FEA">
              <w:rPr>
                <w:rFonts w:cs="Arial"/>
                <w:lang w:eastAsia="en-GB"/>
              </w:rPr>
              <w:t xml:space="preserve">Support Service </w:t>
            </w:r>
            <w:r w:rsidRPr="00A41157">
              <w:rPr>
                <w:rFonts w:cs="Arial"/>
                <w:lang w:eastAsia="en-GB"/>
              </w:rPr>
              <w:t>Pilot Tracking System and reporting</w:t>
            </w:r>
            <w:r w:rsidR="00FE569F" w:rsidRPr="00FE569F">
              <w:rPr>
                <w:rFonts w:cs="Arial"/>
                <w:lang w:eastAsia="en-GB"/>
              </w:rPr>
              <w:t xml:space="preserve"> - </w:t>
            </w:r>
            <w:r w:rsidR="00FE569F">
              <w:rPr>
                <w:rFonts w:cs="Arial"/>
                <w:lang w:eastAsia="en-GB"/>
              </w:rPr>
              <w:t xml:space="preserve">As part of this commission, the </w:t>
            </w:r>
            <w:r w:rsidR="00CC6445">
              <w:rPr>
                <w:rFonts w:cs="Arial"/>
                <w:lang w:eastAsia="en-GB"/>
              </w:rPr>
              <w:t>Candidate</w:t>
            </w:r>
            <w:r w:rsidR="00FE569F">
              <w:rPr>
                <w:rFonts w:cs="Arial"/>
                <w:lang w:eastAsia="en-GB"/>
              </w:rPr>
              <w:t xml:space="preserve"> will be expected to undertake the continued monitoring of the outcomes of this programme and report these to the Humber </w:t>
            </w:r>
            <w:r w:rsidR="00FE569F" w:rsidRPr="008F3655">
              <w:rPr>
                <w:rFonts w:cs="Arial"/>
                <w:lang w:eastAsia="en-GB"/>
              </w:rPr>
              <w:t>Growth Hub team</w:t>
            </w:r>
            <w:r w:rsidR="00FE569F">
              <w:rPr>
                <w:rFonts w:cs="Arial"/>
                <w:lang w:eastAsia="en-GB"/>
              </w:rPr>
              <w:t xml:space="preserve"> until end of January 2017</w:t>
            </w:r>
          </w:p>
          <w:p w14:paraId="4749F9AA" w14:textId="77777777" w:rsidR="00A41157" w:rsidRPr="00FE569F" w:rsidRDefault="008E45F1" w:rsidP="00A41157">
            <w:pPr>
              <w:pStyle w:val="ListParagraph"/>
              <w:numPr>
                <w:ilvl w:val="0"/>
                <w:numId w:val="37"/>
              </w:numPr>
              <w:rPr>
                <w:rFonts w:cs="Arial"/>
                <w:lang w:eastAsia="en-GB"/>
              </w:rPr>
            </w:pPr>
            <w:r>
              <w:rPr>
                <w:rFonts w:cs="Arial"/>
                <w:lang w:eastAsia="en-GB"/>
              </w:rPr>
              <w:t>SD07</w:t>
            </w:r>
            <w:r w:rsidR="00A41157" w:rsidRPr="00A41157">
              <w:rPr>
                <w:rFonts w:cs="Arial"/>
                <w:lang w:eastAsia="en-GB"/>
              </w:rPr>
              <w:t xml:space="preserve"> Refresh Apprenticeship Micro Site</w:t>
            </w:r>
            <w:r w:rsidR="00FE569F" w:rsidRPr="00FE569F">
              <w:rPr>
                <w:rFonts w:cs="Arial"/>
                <w:lang w:eastAsia="en-GB"/>
              </w:rPr>
              <w:t xml:space="preserve"> – building on the existing content, the successful provider will develop this resource as a key tool in increasing interest in and uptake of Apprenticeship opportunities in the Humber.</w:t>
            </w:r>
          </w:p>
          <w:p w14:paraId="4749F9AB" w14:textId="77777777" w:rsidR="00E276FE" w:rsidRDefault="00E276FE" w:rsidP="00E276FE">
            <w:pPr>
              <w:rPr>
                <w:rFonts w:cs="Arial"/>
                <w:bCs/>
                <w:lang w:eastAsia="en-GB"/>
              </w:rPr>
            </w:pPr>
          </w:p>
          <w:p w14:paraId="4749F9AC" w14:textId="77777777" w:rsidR="003B5BA1" w:rsidRDefault="00294C0E" w:rsidP="003B5BA1">
            <w:pPr>
              <w:rPr>
                <w:rFonts w:cs="Arial"/>
              </w:rPr>
            </w:pPr>
            <w:r>
              <w:rPr>
                <w:rFonts w:cs="Arial"/>
                <w:bCs/>
                <w:lang w:eastAsia="en-GB"/>
              </w:rPr>
              <w:t xml:space="preserve">The </w:t>
            </w:r>
            <w:r w:rsidR="00CC6445">
              <w:rPr>
                <w:rFonts w:cs="Arial"/>
                <w:bCs/>
                <w:lang w:eastAsia="en-GB"/>
              </w:rPr>
              <w:t>Candidate</w:t>
            </w:r>
            <w:r>
              <w:rPr>
                <w:rFonts w:cs="Arial"/>
                <w:bCs/>
                <w:lang w:eastAsia="en-GB"/>
              </w:rPr>
              <w:t xml:space="preserve"> will be required to work closely with the successful CEIAG provider to ensure that Apprenticeship opportunities are promoted effectively, as well as with other ESF funded projects and programmes of activity including Skills Support for the Workforce, Access to Employment etc.</w:t>
            </w:r>
          </w:p>
          <w:p w14:paraId="4749F9AD" w14:textId="77777777" w:rsidR="00DF6AC3" w:rsidRPr="008F3655" w:rsidRDefault="00DF6AC3" w:rsidP="003B5BA1">
            <w:pPr>
              <w:rPr>
                <w:rFonts w:cs="Arial"/>
              </w:rPr>
            </w:pPr>
          </w:p>
          <w:p w14:paraId="4749F9AE" w14:textId="77777777" w:rsidR="00EB4A03" w:rsidRDefault="00294C0E" w:rsidP="00EB4A03">
            <w:pPr>
              <w:rPr>
                <w:rFonts w:cs="Arial"/>
                <w:lang w:eastAsia="en-GB"/>
              </w:rPr>
            </w:pPr>
            <w:r>
              <w:rPr>
                <w:rFonts w:cs="Arial"/>
                <w:lang w:eastAsia="en-GB"/>
              </w:rPr>
              <w:t xml:space="preserve">As part of the Humber Apprenticeship Service Pilot, 157 new apprenticeship opportunities were created and over 350 businesses engaged.  </w:t>
            </w:r>
            <w:r w:rsidR="00125382">
              <w:rPr>
                <w:rFonts w:cs="Arial"/>
                <w:lang w:eastAsia="en-GB"/>
              </w:rPr>
              <w:t>T</w:t>
            </w:r>
            <w:r w:rsidR="00CC6445">
              <w:rPr>
                <w:rFonts w:cs="Arial"/>
                <w:lang w:eastAsia="en-GB"/>
              </w:rPr>
              <w:t xml:space="preserve">he </w:t>
            </w:r>
            <w:r w:rsidR="00125382">
              <w:rPr>
                <w:rFonts w:cs="Arial"/>
                <w:lang w:eastAsia="en-GB"/>
              </w:rPr>
              <w:t xml:space="preserve">successful </w:t>
            </w:r>
            <w:r w:rsidR="00CC6445">
              <w:rPr>
                <w:rFonts w:cs="Arial"/>
                <w:lang w:eastAsia="en-GB"/>
              </w:rPr>
              <w:t>Candidate</w:t>
            </w:r>
            <w:r>
              <w:rPr>
                <w:rFonts w:cs="Arial"/>
                <w:lang w:eastAsia="en-GB"/>
              </w:rPr>
              <w:t xml:space="preserve"> </w:t>
            </w:r>
            <w:r w:rsidR="00125382">
              <w:rPr>
                <w:rFonts w:cs="Arial"/>
                <w:lang w:eastAsia="en-GB"/>
              </w:rPr>
              <w:t>must</w:t>
            </w:r>
            <w:r>
              <w:rPr>
                <w:rFonts w:cs="Arial"/>
                <w:lang w:eastAsia="en-GB"/>
              </w:rPr>
              <w:t xml:space="preserve"> undertake the continued monitoring of the outcomes of this programme and report these to the Humber </w:t>
            </w:r>
            <w:r w:rsidR="00EB4A03" w:rsidRPr="008F3655">
              <w:rPr>
                <w:rFonts w:cs="Arial"/>
                <w:lang w:eastAsia="en-GB"/>
              </w:rPr>
              <w:t>Growth Hub team</w:t>
            </w:r>
            <w:r>
              <w:rPr>
                <w:rFonts w:cs="Arial"/>
                <w:lang w:eastAsia="en-GB"/>
              </w:rPr>
              <w:t xml:space="preserve"> until end of January 2017</w:t>
            </w:r>
            <w:r w:rsidR="00EB4A03">
              <w:rPr>
                <w:rFonts w:cs="Arial"/>
                <w:lang w:eastAsia="en-GB"/>
              </w:rPr>
              <w:t>.</w:t>
            </w:r>
            <w:r>
              <w:rPr>
                <w:rFonts w:cs="Arial"/>
                <w:lang w:eastAsia="en-GB"/>
              </w:rPr>
              <w:t xml:space="preserve">  This database of companies and contacts made through this requirement will provide a key resource to enable the identification of further apprenticeship opportunities through the Humber Apprenticeship Growth Programme.</w:t>
            </w:r>
          </w:p>
          <w:p w14:paraId="4749F9AF" w14:textId="77777777" w:rsidR="00EB4A03" w:rsidRDefault="00EB4A03" w:rsidP="00EB4A03">
            <w:pPr>
              <w:rPr>
                <w:rFonts w:cs="Arial"/>
                <w:lang w:eastAsia="en-GB"/>
              </w:rPr>
            </w:pPr>
          </w:p>
          <w:p w14:paraId="4749F9B0" w14:textId="77777777" w:rsidR="00EB4A03" w:rsidRPr="00D3757D" w:rsidRDefault="00CA6357" w:rsidP="00EB4A03">
            <w:pPr>
              <w:rPr>
                <w:rFonts w:cs="Arial"/>
              </w:rPr>
            </w:pPr>
            <w:r>
              <w:rPr>
                <w:rFonts w:cs="Arial"/>
                <w:lang w:eastAsia="en-GB"/>
              </w:rPr>
              <w:t xml:space="preserve">It is anticipated the Growth Hub will provide a referral route into the </w:t>
            </w:r>
            <w:r w:rsidR="00294C0E">
              <w:rPr>
                <w:rFonts w:cs="Arial"/>
                <w:lang w:eastAsia="en-GB"/>
              </w:rPr>
              <w:t>Humber Apprenticeship Growth Programme.</w:t>
            </w:r>
            <w:r>
              <w:rPr>
                <w:rFonts w:cs="Arial"/>
                <w:lang w:eastAsia="en-GB"/>
              </w:rPr>
              <w:t xml:space="preserve">  </w:t>
            </w:r>
            <w:r w:rsidR="00EB4A03" w:rsidRPr="008F3655">
              <w:rPr>
                <w:rFonts w:cs="Arial"/>
                <w:lang w:eastAsia="en-GB"/>
              </w:rPr>
              <w:t xml:space="preserve">The </w:t>
            </w:r>
            <w:r w:rsidR="00125382">
              <w:rPr>
                <w:rFonts w:cs="Arial"/>
                <w:lang w:eastAsia="en-GB"/>
              </w:rPr>
              <w:t xml:space="preserve">successful </w:t>
            </w:r>
            <w:r w:rsidR="00CC6445">
              <w:rPr>
                <w:rFonts w:cs="Arial"/>
                <w:lang w:eastAsia="en-GB"/>
              </w:rPr>
              <w:t>Candidate</w:t>
            </w:r>
            <w:r w:rsidR="00EB4A03">
              <w:rPr>
                <w:rFonts w:cs="Arial"/>
                <w:lang w:eastAsia="en-GB"/>
              </w:rPr>
              <w:t xml:space="preserve"> </w:t>
            </w:r>
            <w:r w:rsidR="00125382">
              <w:rPr>
                <w:rFonts w:cs="Arial"/>
                <w:lang w:eastAsia="en-GB"/>
              </w:rPr>
              <w:t xml:space="preserve">must </w:t>
            </w:r>
            <w:r w:rsidR="00EB4A03" w:rsidRPr="008F3655">
              <w:rPr>
                <w:rFonts w:cs="Arial"/>
                <w:lang w:eastAsia="en-GB"/>
              </w:rPr>
              <w:t xml:space="preserve">work </w:t>
            </w:r>
            <w:r w:rsidR="00EB4A03">
              <w:rPr>
                <w:rFonts w:cs="Arial"/>
                <w:lang w:eastAsia="en-GB"/>
              </w:rPr>
              <w:t xml:space="preserve">closely </w:t>
            </w:r>
            <w:r w:rsidR="00EB4A03" w:rsidRPr="008F3655">
              <w:rPr>
                <w:rFonts w:cs="Arial"/>
                <w:lang w:eastAsia="en-GB"/>
              </w:rPr>
              <w:t xml:space="preserve">with the Humber Growth Hub advisors to deliver a seamless service to local SMEs. </w:t>
            </w:r>
            <w:r>
              <w:rPr>
                <w:rFonts w:cs="Arial"/>
                <w:lang w:eastAsia="en-GB"/>
              </w:rPr>
              <w:t>T</w:t>
            </w:r>
            <w:r w:rsidR="00EB4A03" w:rsidRPr="4967CF8D">
              <w:rPr>
                <w:rFonts w:eastAsia="Arial" w:cs="Arial"/>
              </w:rPr>
              <w:t xml:space="preserve">he </w:t>
            </w:r>
            <w:r w:rsidR="00125382">
              <w:rPr>
                <w:rFonts w:eastAsia="Arial" w:cs="Arial"/>
              </w:rPr>
              <w:t xml:space="preserve">successful </w:t>
            </w:r>
            <w:r w:rsidR="00CC6445">
              <w:rPr>
                <w:rFonts w:eastAsia="Arial" w:cs="Arial"/>
              </w:rPr>
              <w:t>Candidate</w:t>
            </w:r>
            <w:r w:rsidR="00EB4A03" w:rsidRPr="4967CF8D">
              <w:rPr>
                <w:rFonts w:eastAsia="Arial" w:cs="Arial"/>
              </w:rPr>
              <w:t xml:space="preserve"> must establish clear referral processes </w:t>
            </w:r>
            <w:r w:rsidR="00EB4A03">
              <w:rPr>
                <w:rFonts w:eastAsia="Arial" w:cs="Arial"/>
              </w:rPr>
              <w:t xml:space="preserve">/ routes </w:t>
            </w:r>
            <w:r w:rsidR="00EB4A03" w:rsidRPr="4967CF8D">
              <w:rPr>
                <w:rFonts w:eastAsia="Arial" w:cs="Arial"/>
              </w:rPr>
              <w:t xml:space="preserve">to other </w:t>
            </w:r>
            <w:r>
              <w:rPr>
                <w:rFonts w:eastAsia="Arial" w:cs="Arial"/>
              </w:rPr>
              <w:t xml:space="preserve">business support </w:t>
            </w:r>
            <w:r w:rsidR="00EB4A03" w:rsidRPr="4967CF8D">
              <w:rPr>
                <w:rFonts w:eastAsia="Arial" w:cs="Arial"/>
              </w:rPr>
              <w:t xml:space="preserve">services and organisations where </w:t>
            </w:r>
            <w:r>
              <w:rPr>
                <w:rFonts w:eastAsia="Arial" w:cs="Arial"/>
              </w:rPr>
              <w:t xml:space="preserve">a need is identified by the employer through their engagement in the </w:t>
            </w:r>
            <w:r w:rsidR="00294C0E">
              <w:rPr>
                <w:rFonts w:cs="Arial"/>
                <w:lang w:eastAsia="en-GB"/>
              </w:rPr>
              <w:t>Humber Apprenticeship Growth Programme.</w:t>
            </w:r>
          </w:p>
          <w:p w14:paraId="4749F9B1" w14:textId="77777777" w:rsidR="00EB4A03" w:rsidRDefault="00EB4A03" w:rsidP="00EB4A03">
            <w:pPr>
              <w:rPr>
                <w:rFonts w:cs="Arial"/>
                <w:lang w:eastAsia="en-GB"/>
              </w:rPr>
            </w:pPr>
          </w:p>
          <w:p w14:paraId="4749F9B2" w14:textId="77777777" w:rsidR="00EB4A03" w:rsidRDefault="00EB4A03" w:rsidP="00EB4A03">
            <w:pPr>
              <w:rPr>
                <w:rFonts w:cs="Arial"/>
                <w:lang w:eastAsia="en-GB"/>
              </w:rPr>
            </w:pPr>
            <w:r w:rsidRPr="008F3655">
              <w:rPr>
                <w:rFonts w:cs="Arial"/>
                <w:lang w:eastAsia="en-GB"/>
              </w:rPr>
              <w:t xml:space="preserve">The </w:t>
            </w:r>
            <w:r w:rsidR="00125382">
              <w:rPr>
                <w:rFonts w:cs="Arial"/>
                <w:lang w:eastAsia="en-GB"/>
              </w:rPr>
              <w:t xml:space="preserve">Services </w:t>
            </w:r>
            <w:r w:rsidRPr="008F3655">
              <w:rPr>
                <w:rFonts w:cs="Arial"/>
                <w:lang w:eastAsia="en-GB"/>
              </w:rPr>
              <w:t xml:space="preserve">will contribute to the development and delivery of the Humber Apprenticeship Growth Plan. The </w:t>
            </w:r>
            <w:r w:rsidR="00125382">
              <w:rPr>
                <w:rFonts w:cs="Arial"/>
                <w:lang w:eastAsia="en-GB"/>
              </w:rPr>
              <w:t>S</w:t>
            </w:r>
            <w:r w:rsidRPr="008F3655">
              <w:rPr>
                <w:rFonts w:cs="Arial"/>
                <w:lang w:eastAsia="en-GB"/>
              </w:rPr>
              <w:t>ervice</w:t>
            </w:r>
            <w:r w:rsidR="00125382">
              <w:rPr>
                <w:rFonts w:cs="Arial"/>
                <w:lang w:eastAsia="en-GB"/>
              </w:rPr>
              <w:t>s</w:t>
            </w:r>
            <w:r w:rsidRPr="008F3655">
              <w:rPr>
                <w:rFonts w:cs="Arial"/>
                <w:lang w:eastAsia="en-GB"/>
              </w:rPr>
              <w:t xml:space="preserve"> </w:t>
            </w:r>
            <w:r w:rsidR="00125382">
              <w:rPr>
                <w:rFonts w:cs="Arial"/>
                <w:lang w:eastAsia="en-GB"/>
              </w:rPr>
              <w:t xml:space="preserve">must </w:t>
            </w:r>
            <w:r w:rsidRPr="008F3655">
              <w:rPr>
                <w:rFonts w:cs="Arial"/>
                <w:lang w:eastAsia="en-GB"/>
              </w:rPr>
              <w:t>track destination outcomes.</w:t>
            </w:r>
          </w:p>
          <w:p w14:paraId="4749F9B3" w14:textId="77777777" w:rsidR="002C0338" w:rsidRDefault="002C0338" w:rsidP="00EB4A03">
            <w:pPr>
              <w:rPr>
                <w:rFonts w:cs="Arial"/>
                <w:lang w:eastAsia="en-GB"/>
              </w:rPr>
            </w:pPr>
          </w:p>
          <w:p w14:paraId="4749F9B4" w14:textId="77777777" w:rsidR="002C0338" w:rsidRDefault="002C0338" w:rsidP="002C0338">
            <w:pPr>
              <w:rPr>
                <w:rFonts w:cs="Arial"/>
              </w:rPr>
            </w:pPr>
            <w:r>
              <w:rPr>
                <w:rFonts w:cs="Arial"/>
              </w:rPr>
              <w:t>The Candidate</w:t>
            </w:r>
            <w:r w:rsidRPr="008F3655">
              <w:rPr>
                <w:rFonts w:cs="Arial"/>
              </w:rPr>
              <w:t xml:space="preserve"> will work with the Humber LEP to develop a robust delivery plan, agreed in advance of activity. The plan will include agreement on how key actions will be delivered including timescales and methodology.</w:t>
            </w:r>
            <w:r>
              <w:rPr>
                <w:rFonts w:cs="Arial"/>
              </w:rPr>
              <w:t xml:space="preserve">   </w:t>
            </w:r>
          </w:p>
          <w:p w14:paraId="4749F9B5" w14:textId="77777777" w:rsidR="002C0338" w:rsidRDefault="002C0338" w:rsidP="002C0338">
            <w:pPr>
              <w:rPr>
                <w:rFonts w:cs="Arial"/>
              </w:rPr>
            </w:pPr>
          </w:p>
          <w:p w14:paraId="4749F9B6" w14:textId="77777777" w:rsidR="002C0338" w:rsidRPr="008F3655" w:rsidRDefault="002C0338" w:rsidP="002C0338">
            <w:pPr>
              <w:rPr>
                <w:rFonts w:cs="Arial"/>
                <w:color w:val="000000" w:themeColor="text1"/>
              </w:rPr>
            </w:pPr>
            <w:r w:rsidRPr="00801B70">
              <w:rPr>
                <w:rFonts w:cs="Arial"/>
                <w:bCs/>
                <w:lang w:eastAsia="en-GB"/>
              </w:rPr>
              <w:t>The pro</w:t>
            </w:r>
            <w:r>
              <w:rPr>
                <w:rFonts w:cs="Arial"/>
                <w:bCs/>
                <w:lang w:eastAsia="en-GB"/>
              </w:rPr>
              <w:t>gramme</w:t>
            </w:r>
            <w:r w:rsidRPr="00801B70">
              <w:rPr>
                <w:rFonts w:cs="Arial"/>
                <w:bCs/>
                <w:lang w:eastAsia="en-GB"/>
              </w:rPr>
              <w:t xml:space="preserve"> will have a robust accountability arrangement with the Humber LEP</w:t>
            </w:r>
            <w:r>
              <w:rPr>
                <w:rFonts w:cs="Arial"/>
                <w:bCs/>
                <w:lang w:eastAsia="en-GB"/>
              </w:rPr>
              <w:t>.  A</w:t>
            </w:r>
            <w:r w:rsidRPr="00801B70">
              <w:rPr>
                <w:rFonts w:cs="Arial"/>
                <w:bCs/>
                <w:lang w:eastAsia="en-GB"/>
              </w:rPr>
              <w:t xml:space="preserve"> project </w:t>
            </w:r>
            <w:r>
              <w:rPr>
                <w:rFonts w:cs="Arial"/>
                <w:bCs/>
                <w:lang w:eastAsia="en-GB"/>
              </w:rPr>
              <w:t>management group will be set up,</w:t>
            </w:r>
            <w:r w:rsidRPr="00801B70">
              <w:rPr>
                <w:rFonts w:cs="Arial"/>
                <w:bCs/>
                <w:lang w:eastAsia="en-GB"/>
              </w:rPr>
              <w:t xml:space="preserve"> chaired by a member of the Humber LEP Employment and Skills Board. The project will be required to report to the LEP on a monthly basis</w:t>
            </w:r>
            <w:r>
              <w:rPr>
                <w:rFonts w:cs="Arial"/>
                <w:bCs/>
                <w:lang w:eastAsia="en-GB"/>
              </w:rPr>
              <w:t xml:space="preserve"> with a</w:t>
            </w:r>
            <w:r w:rsidRPr="00801B70">
              <w:rPr>
                <w:rFonts w:cs="Arial"/>
                <w:bCs/>
                <w:lang w:eastAsia="en-GB"/>
              </w:rPr>
              <w:t xml:space="preserve">d hoc </w:t>
            </w:r>
            <w:r>
              <w:rPr>
                <w:rFonts w:cs="Arial"/>
                <w:bCs/>
                <w:lang w:eastAsia="en-GB"/>
              </w:rPr>
              <w:t xml:space="preserve">updates as and when </w:t>
            </w:r>
            <w:r w:rsidRPr="00801B70">
              <w:rPr>
                <w:rFonts w:cs="Arial"/>
                <w:bCs/>
                <w:lang w:eastAsia="en-GB"/>
              </w:rPr>
              <w:t>requ</w:t>
            </w:r>
            <w:r>
              <w:rPr>
                <w:rFonts w:cs="Arial"/>
                <w:bCs/>
                <w:lang w:eastAsia="en-GB"/>
              </w:rPr>
              <w:t>est</w:t>
            </w:r>
            <w:r w:rsidRPr="00801B70">
              <w:rPr>
                <w:rFonts w:cs="Arial"/>
                <w:bCs/>
                <w:lang w:eastAsia="en-GB"/>
              </w:rPr>
              <w:t>ed.</w:t>
            </w:r>
            <w:r>
              <w:rPr>
                <w:rFonts w:cs="Arial"/>
              </w:rPr>
              <w:t xml:space="preserve"> </w:t>
            </w:r>
            <w:r w:rsidRPr="008F3655">
              <w:rPr>
                <w:rFonts w:cs="Arial"/>
                <w:color w:val="000000" w:themeColor="text1"/>
              </w:rPr>
              <w:t>Key milestones include:</w:t>
            </w:r>
          </w:p>
          <w:p w14:paraId="4749F9B7" w14:textId="77777777" w:rsidR="002C0338" w:rsidRPr="008F3655" w:rsidRDefault="002C0338" w:rsidP="002C0338">
            <w:pPr>
              <w:pStyle w:val="ListParagraph"/>
              <w:keepNext/>
              <w:numPr>
                <w:ilvl w:val="0"/>
                <w:numId w:val="9"/>
              </w:numPr>
              <w:spacing w:before="120" w:after="80"/>
              <w:outlineLvl w:val="1"/>
              <w:rPr>
                <w:rFonts w:cs="Arial"/>
              </w:rPr>
            </w:pPr>
            <w:r w:rsidRPr="00432EA4">
              <w:rPr>
                <w:rFonts w:cs="Arial"/>
              </w:rPr>
              <w:t>A clearly defined reporting structure agreed with the LEP</w:t>
            </w:r>
            <w:r>
              <w:rPr>
                <w:rFonts w:cs="Arial"/>
              </w:rPr>
              <w:t xml:space="preserve">. </w:t>
            </w:r>
            <w:r w:rsidRPr="00432EA4">
              <w:rPr>
                <w:rFonts w:cs="Arial"/>
              </w:rPr>
              <w:t xml:space="preserve"> </w:t>
            </w:r>
          </w:p>
          <w:p w14:paraId="4749F9B8" w14:textId="77777777" w:rsidR="002C0338" w:rsidRPr="008F3655" w:rsidRDefault="002C0338" w:rsidP="002C0338">
            <w:pPr>
              <w:pStyle w:val="ListParagraph"/>
              <w:keepNext/>
              <w:numPr>
                <w:ilvl w:val="0"/>
                <w:numId w:val="9"/>
              </w:numPr>
              <w:spacing w:before="120" w:after="80"/>
              <w:outlineLvl w:val="1"/>
              <w:rPr>
                <w:rFonts w:cs="Arial"/>
              </w:rPr>
            </w:pPr>
            <w:r w:rsidRPr="00432EA4">
              <w:rPr>
                <w:rFonts w:cs="Arial"/>
              </w:rPr>
              <w:t>A clear delivery plan to build on and improve on current CEIAG activity</w:t>
            </w:r>
          </w:p>
          <w:p w14:paraId="4749F9B9" w14:textId="77777777" w:rsidR="002C0338" w:rsidRPr="008F3655" w:rsidRDefault="002C0338" w:rsidP="002C0338">
            <w:pPr>
              <w:pStyle w:val="ListParagraph"/>
              <w:numPr>
                <w:ilvl w:val="0"/>
                <w:numId w:val="9"/>
              </w:numPr>
              <w:rPr>
                <w:rFonts w:cs="Arial"/>
              </w:rPr>
            </w:pPr>
            <w:r w:rsidRPr="00432EA4">
              <w:rPr>
                <w:rFonts w:cs="Arial"/>
              </w:rPr>
              <w:t xml:space="preserve">Marketing and communications strategy agreed with the LEP </w:t>
            </w:r>
          </w:p>
          <w:p w14:paraId="4749F9BA" w14:textId="77777777" w:rsidR="002C0338" w:rsidRPr="008F3655" w:rsidRDefault="002C0338" w:rsidP="002C0338">
            <w:pPr>
              <w:pStyle w:val="ListParagraph"/>
              <w:numPr>
                <w:ilvl w:val="0"/>
                <w:numId w:val="9"/>
              </w:numPr>
              <w:rPr>
                <w:rFonts w:cs="Arial"/>
              </w:rPr>
            </w:pPr>
            <w:r w:rsidRPr="00432EA4">
              <w:rPr>
                <w:rFonts w:cs="Arial"/>
              </w:rPr>
              <w:lastRenderedPageBreak/>
              <w:t xml:space="preserve">Formation of an appropriately experienced steering group to report to the Humber LEP </w:t>
            </w:r>
          </w:p>
          <w:p w14:paraId="4749F9BB" w14:textId="77777777" w:rsidR="002C0338" w:rsidRPr="00294C0E" w:rsidRDefault="002C0338" w:rsidP="002C0338">
            <w:pPr>
              <w:pStyle w:val="ListParagraph"/>
              <w:numPr>
                <w:ilvl w:val="0"/>
                <w:numId w:val="9"/>
              </w:numPr>
              <w:rPr>
                <w:rFonts w:cs="Arial"/>
              </w:rPr>
            </w:pPr>
            <w:r w:rsidRPr="00432EA4">
              <w:rPr>
                <w:rFonts w:cs="Arial"/>
              </w:rPr>
              <w:t>Formal annual review</w:t>
            </w:r>
          </w:p>
          <w:p w14:paraId="4749F9BC" w14:textId="77777777" w:rsidR="00344FA1" w:rsidRPr="00AC7DD2" w:rsidRDefault="00344FA1" w:rsidP="00EB4A03">
            <w:pPr>
              <w:rPr>
                <w:rFonts w:cs="Arial"/>
              </w:rPr>
            </w:pPr>
          </w:p>
        </w:tc>
      </w:tr>
      <w:tr w:rsidR="00967429" w:rsidRPr="008F3655" w14:paraId="4749F9BF" w14:textId="77777777" w:rsidTr="003A63C6">
        <w:trPr>
          <w:trHeight w:val="567"/>
        </w:trPr>
        <w:tc>
          <w:tcPr>
            <w:tcW w:w="9088" w:type="dxa"/>
            <w:shd w:val="clear" w:color="auto" w:fill="D9D9D9" w:themeFill="background1" w:themeFillShade="D9"/>
            <w:vAlign w:val="center"/>
          </w:tcPr>
          <w:p w14:paraId="4749F9BE" w14:textId="77777777" w:rsidR="00967429" w:rsidRPr="008F3655" w:rsidRDefault="003A52A2" w:rsidP="00FD3B0A">
            <w:pPr>
              <w:pStyle w:val="SpecificationHeading"/>
            </w:pPr>
            <w:r w:rsidRPr="008F3655">
              <w:lastRenderedPageBreak/>
              <w:t>Eligibility</w:t>
            </w:r>
          </w:p>
        </w:tc>
      </w:tr>
      <w:tr w:rsidR="00967429" w:rsidRPr="008F3655" w14:paraId="4749FA3B" w14:textId="77777777" w:rsidTr="009F5E11">
        <w:tc>
          <w:tcPr>
            <w:tcW w:w="9088" w:type="dxa"/>
          </w:tcPr>
          <w:p w14:paraId="4749F9C0" w14:textId="77777777" w:rsidR="001E23AA" w:rsidRPr="008F3655" w:rsidRDefault="001E23AA" w:rsidP="002F70E9">
            <w:pPr>
              <w:rPr>
                <w:rFonts w:cs="Arial"/>
                <w:b/>
                <w:u w:val="single"/>
              </w:rPr>
            </w:pPr>
          </w:p>
          <w:p w14:paraId="4749F9C1" w14:textId="77777777" w:rsidR="00A005EF" w:rsidRPr="008F3655" w:rsidRDefault="00A005EF" w:rsidP="00A005EF">
            <w:pPr>
              <w:rPr>
                <w:rFonts w:cs="Arial"/>
              </w:rPr>
            </w:pPr>
            <w:r w:rsidRPr="008F3655">
              <w:rPr>
                <w:rFonts w:cs="Arial"/>
                <w:b/>
              </w:rPr>
              <w:t>General</w:t>
            </w:r>
          </w:p>
          <w:p w14:paraId="4749F9C2" w14:textId="77777777" w:rsidR="00294C0E" w:rsidRDefault="00294C0E" w:rsidP="00A005EF">
            <w:pPr>
              <w:rPr>
                <w:rFonts w:cs="Arial"/>
              </w:rPr>
            </w:pPr>
          </w:p>
          <w:p w14:paraId="4749F9C3" w14:textId="77777777" w:rsidR="00A005EF" w:rsidRPr="008F3655" w:rsidRDefault="00A005EF" w:rsidP="00A005EF">
            <w:pPr>
              <w:rPr>
                <w:rFonts w:cs="Arial"/>
              </w:rPr>
            </w:pPr>
            <w:r w:rsidRPr="008F3655">
              <w:rPr>
                <w:rFonts w:cs="Arial"/>
              </w:rPr>
              <w:t xml:space="preserve">General eligibility requirements are set out in : </w:t>
            </w:r>
            <w:r w:rsidR="00025EF8" w:rsidRPr="008F3655">
              <w:rPr>
                <w:rFonts w:cs="Arial"/>
              </w:rPr>
              <w:t xml:space="preserve">the </w:t>
            </w:r>
            <w:r w:rsidRPr="008F3655">
              <w:rPr>
                <w:rFonts w:cs="Arial"/>
              </w:rPr>
              <w:t>European Social Fund Programme for England 2014-2020</w:t>
            </w:r>
            <w:r w:rsidR="00384AE2" w:rsidRPr="008F3655">
              <w:rPr>
                <w:rFonts w:cs="Arial"/>
              </w:rPr>
              <w:t xml:space="preserve"> National Eligibility Rules</w:t>
            </w:r>
            <w:r w:rsidR="00025EF8" w:rsidRPr="008F3655">
              <w:rPr>
                <w:rFonts w:cs="Arial"/>
              </w:rPr>
              <w:t xml:space="preserve"> which can be found here: </w:t>
            </w:r>
            <w:hyperlink r:id="rId16" w:history="1">
              <w:r w:rsidR="00475879" w:rsidRPr="008F3655">
                <w:rPr>
                  <w:rStyle w:val="Hyperlink"/>
                  <w:rFonts w:cs="Arial"/>
                  <w:sz w:val="24"/>
                  <w:szCs w:val="24"/>
                </w:rPr>
                <w:t>https://www.gov.uk/government/publications/european-structural-and-investment-funds-programme-guidance</w:t>
              </w:r>
            </w:hyperlink>
            <w:r w:rsidR="00475879" w:rsidRPr="008F3655">
              <w:rPr>
                <w:rFonts w:cs="Arial"/>
              </w:rPr>
              <w:t xml:space="preserve"> </w:t>
            </w:r>
          </w:p>
          <w:p w14:paraId="4749F9C4" w14:textId="77777777" w:rsidR="00A005EF" w:rsidRPr="008F3655" w:rsidRDefault="00A005EF" w:rsidP="00C107CE">
            <w:pPr>
              <w:rPr>
                <w:rFonts w:cs="Arial"/>
              </w:rPr>
            </w:pPr>
          </w:p>
          <w:p w14:paraId="4749F9C5" w14:textId="77777777" w:rsidR="008C2C55" w:rsidRDefault="00394F36" w:rsidP="00394F36">
            <w:pPr>
              <w:rPr>
                <w:rFonts w:cs="Arial"/>
              </w:rPr>
            </w:pPr>
            <w:r w:rsidRPr="008F3655">
              <w:rPr>
                <w:rFonts w:cs="Arial"/>
              </w:rPr>
              <w:t>Please note LEP Specific requirements are subject to the National Eligibility Rules detailed abo</w:t>
            </w:r>
            <w:r w:rsidR="008C2C55">
              <w:rPr>
                <w:rFonts w:cs="Arial"/>
              </w:rPr>
              <w:t>ve:</w:t>
            </w:r>
          </w:p>
          <w:p w14:paraId="4749F9C6" w14:textId="77777777" w:rsidR="008C2C55" w:rsidRPr="008C2C55" w:rsidRDefault="008C2C55" w:rsidP="00394F36">
            <w:pPr>
              <w:rPr>
                <w:rFonts w:cs="Arial"/>
                <w:b/>
              </w:rPr>
            </w:pPr>
          </w:p>
          <w:p w14:paraId="4749FA01" w14:textId="77777777" w:rsidR="008C2C55" w:rsidRDefault="008C2C55" w:rsidP="008C2C55">
            <w:pPr>
              <w:rPr>
                <w:rFonts w:cs="Arial"/>
              </w:rPr>
            </w:pPr>
            <w:r>
              <w:rPr>
                <w:rFonts w:cs="Arial"/>
                <w:b/>
              </w:rPr>
              <w:t xml:space="preserve">Employment Status: </w:t>
            </w:r>
            <w:r w:rsidRPr="008F3655">
              <w:t>Unemployed, any length of unemployment</w:t>
            </w:r>
            <w:r>
              <w:t xml:space="preserve"> or </w:t>
            </w:r>
            <w:r w:rsidRPr="008C2C55">
              <w:rPr>
                <w:rFonts w:cs="Arial"/>
              </w:rPr>
              <w:t>Inactive</w:t>
            </w:r>
          </w:p>
          <w:p w14:paraId="4749FA02" w14:textId="77777777" w:rsidR="008C2C55" w:rsidRPr="008C2C55" w:rsidRDefault="008C2C55" w:rsidP="008C2C55">
            <w:pPr>
              <w:rPr>
                <w:rFonts w:cs="Arial"/>
              </w:rPr>
            </w:pPr>
            <w:r w:rsidRPr="00DE7EF2">
              <w:rPr>
                <w:rFonts w:cs="Arial"/>
                <w:b/>
              </w:rPr>
              <w:t>Age:</w:t>
            </w:r>
            <w:r>
              <w:rPr>
                <w:rFonts w:cs="Arial"/>
              </w:rPr>
              <w:t xml:space="preserve"> 19+</w:t>
            </w:r>
          </w:p>
          <w:p w14:paraId="4749FA03" w14:textId="77777777" w:rsidR="008C2C55" w:rsidRPr="008F3655" w:rsidRDefault="008C2C55" w:rsidP="008C2C55">
            <w:pPr>
              <w:rPr>
                <w:rFonts w:cs="Arial"/>
                <w:iCs/>
                <w:highlight w:val="green"/>
              </w:rPr>
            </w:pPr>
          </w:p>
          <w:p w14:paraId="4749FA04" w14:textId="77777777" w:rsidR="008C2C55" w:rsidRDefault="008C2C55" w:rsidP="008C2C55">
            <w:pPr>
              <w:rPr>
                <w:rFonts w:cs="Arial"/>
              </w:rPr>
            </w:pPr>
            <w:r w:rsidRPr="008F3655">
              <w:rPr>
                <w:rFonts w:cs="Arial"/>
              </w:rPr>
              <w:t>Recognising the national targets below, the Humber LEP requires outputs as per the table below:</w:t>
            </w:r>
          </w:p>
          <w:p w14:paraId="4749FA05" w14:textId="77777777" w:rsidR="003A63C6" w:rsidRPr="008F3655" w:rsidRDefault="003A63C6" w:rsidP="008C2C55">
            <w:pPr>
              <w:rPr>
                <w:rFonts w:cs="Arial"/>
              </w:rPr>
            </w:pPr>
          </w:p>
          <w:tbl>
            <w:tblPr>
              <w:tblStyle w:val="TableGrid"/>
              <w:tblW w:w="0" w:type="auto"/>
              <w:tblLook w:val="04A0" w:firstRow="1" w:lastRow="0" w:firstColumn="1" w:lastColumn="0" w:noHBand="0" w:noVBand="1"/>
            </w:tblPr>
            <w:tblGrid>
              <w:gridCol w:w="6799"/>
              <w:gridCol w:w="2292"/>
            </w:tblGrid>
            <w:tr w:rsidR="008C2C55" w:rsidRPr="008F3655" w14:paraId="4749FA08" w14:textId="77777777" w:rsidTr="009F5E11">
              <w:tc>
                <w:tcPr>
                  <w:tcW w:w="6799" w:type="dxa"/>
                </w:tcPr>
                <w:p w14:paraId="4749FA06" w14:textId="77777777" w:rsidR="008C2C55" w:rsidRPr="00DE7EF2" w:rsidRDefault="008C2C55" w:rsidP="008C2C55">
                  <w:pPr>
                    <w:rPr>
                      <w:rFonts w:cs="Arial"/>
                      <w:b/>
                    </w:rPr>
                  </w:pPr>
                  <w:r w:rsidRPr="00DE7EF2">
                    <w:rPr>
                      <w:rFonts w:cs="Arial"/>
                      <w:b/>
                    </w:rPr>
                    <w:t>Outputs</w:t>
                  </w:r>
                </w:p>
              </w:tc>
              <w:tc>
                <w:tcPr>
                  <w:tcW w:w="2292" w:type="dxa"/>
                </w:tcPr>
                <w:p w14:paraId="4749FA07" w14:textId="77777777" w:rsidR="008C2C55" w:rsidRPr="00DE7EF2" w:rsidRDefault="008C2C55" w:rsidP="008C2C55">
                  <w:pPr>
                    <w:rPr>
                      <w:rFonts w:cs="Arial"/>
                    </w:rPr>
                  </w:pPr>
                </w:p>
              </w:tc>
            </w:tr>
            <w:tr w:rsidR="008C2C55" w:rsidRPr="008F3655" w14:paraId="4749FA0B" w14:textId="77777777" w:rsidTr="009F5E11">
              <w:tc>
                <w:tcPr>
                  <w:tcW w:w="6799" w:type="dxa"/>
                </w:tcPr>
                <w:p w14:paraId="4749FA09" w14:textId="77777777" w:rsidR="008C2C55" w:rsidRPr="00DE7EF2" w:rsidRDefault="008C2C55" w:rsidP="008C2C55">
                  <w:pPr>
                    <w:rPr>
                      <w:rFonts w:cs="Arial"/>
                    </w:rPr>
                  </w:pPr>
                  <w:r w:rsidRPr="00DE7EF2">
                    <w:rPr>
                      <w:rFonts w:cs="Arial"/>
                    </w:rPr>
                    <w:t>Participants male</w:t>
                  </w:r>
                </w:p>
              </w:tc>
              <w:tc>
                <w:tcPr>
                  <w:tcW w:w="2292" w:type="dxa"/>
                </w:tcPr>
                <w:p w14:paraId="4749FA0A" w14:textId="77777777" w:rsidR="008C2C55" w:rsidRPr="00DE7EF2" w:rsidRDefault="008C2C55" w:rsidP="008C2C55">
                  <w:pPr>
                    <w:rPr>
                      <w:rFonts w:cs="Arial"/>
                    </w:rPr>
                  </w:pPr>
                  <w:r w:rsidRPr="00DE7EF2">
                    <w:rPr>
                      <w:rFonts w:cs="Arial"/>
                    </w:rPr>
                    <w:t>60%</w:t>
                  </w:r>
                </w:p>
              </w:tc>
            </w:tr>
            <w:tr w:rsidR="008C2C55" w:rsidRPr="008F3655" w14:paraId="4749FA0E" w14:textId="77777777" w:rsidTr="009F5E11">
              <w:tc>
                <w:tcPr>
                  <w:tcW w:w="6799" w:type="dxa"/>
                </w:tcPr>
                <w:p w14:paraId="4749FA0C" w14:textId="77777777" w:rsidR="008C2C55" w:rsidRPr="00DE7EF2" w:rsidRDefault="008C2C55" w:rsidP="008C2C55">
                  <w:pPr>
                    <w:rPr>
                      <w:rFonts w:cs="Arial"/>
                    </w:rPr>
                  </w:pPr>
                  <w:r w:rsidRPr="00DE7EF2">
                    <w:rPr>
                      <w:rFonts w:cs="Arial"/>
                    </w:rPr>
                    <w:t>Participants female</w:t>
                  </w:r>
                </w:p>
              </w:tc>
              <w:tc>
                <w:tcPr>
                  <w:tcW w:w="2292" w:type="dxa"/>
                </w:tcPr>
                <w:p w14:paraId="4749FA0D" w14:textId="77777777" w:rsidR="008C2C55" w:rsidRPr="00DE7EF2" w:rsidRDefault="008C2C55" w:rsidP="008C2C55">
                  <w:pPr>
                    <w:rPr>
                      <w:rFonts w:cs="Arial"/>
                    </w:rPr>
                  </w:pPr>
                  <w:r w:rsidRPr="00DE7EF2">
                    <w:rPr>
                      <w:rFonts w:cs="Arial"/>
                    </w:rPr>
                    <w:t>40%</w:t>
                  </w:r>
                </w:p>
              </w:tc>
            </w:tr>
            <w:tr w:rsidR="008C2C55" w:rsidRPr="008F3655" w14:paraId="4749FA11" w14:textId="77777777" w:rsidTr="009F5E11">
              <w:tc>
                <w:tcPr>
                  <w:tcW w:w="6799" w:type="dxa"/>
                </w:tcPr>
                <w:p w14:paraId="4749FA0F" w14:textId="77777777" w:rsidR="008C2C55" w:rsidRPr="00DE7EF2" w:rsidRDefault="008C2C55" w:rsidP="008C2C55">
                  <w:pPr>
                    <w:rPr>
                      <w:rFonts w:cs="Arial"/>
                    </w:rPr>
                  </w:pPr>
                  <w:r w:rsidRPr="00DE7EF2">
                    <w:rPr>
                      <w:rFonts w:cs="Arial"/>
                    </w:rPr>
                    <w:t>Participants from ethnic minorities</w:t>
                  </w:r>
                </w:p>
              </w:tc>
              <w:tc>
                <w:tcPr>
                  <w:tcW w:w="2292" w:type="dxa"/>
                </w:tcPr>
                <w:p w14:paraId="4749FA10" w14:textId="77777777" w:rsidR="008C2C55" w:rsidRPr="00DE7EF2" w:rsidRDefault="008C2C55" w:rsidP="008C2C55">
                  <w:pPr>
                    <w:rPr>
                      <w:rFonts w:cs="Arial"/>
                    </w:rPr>
                  </w:pPr>
                  <w:r w:rsidRPr="00DE7EF2">
                    <w:rPr>
                      <w:rFonts w:cs="Arial"/>
                    </w:rPr>
                    <w:t>6%</w:t>
                  </w:r>
                </w:p>
              </w:tc>
            </w:tr>
            <w:tr w:rsidR="008C2C55" w:rsidRPr="008F3655" w14:paraId="4749FA14" w14:textId="77777777" w:rsidTr="009F5E11">
              <w:tc>
                <w:tcPr>
                  <w:tcW w:w="6799" w:type="dxa"/>
                </w:tcPr>
                <w:p w14:paraId="4749FA12" w14:textId="77777777" w:rsidR="008C2C55" w:rsidRPr="00DE7EF2" w:rsidRDefault="008C2C55" w:rsidP="008C2C55">
                  <w:pPr>
                    <w:rPr>
                      <w:rFonts w:cs="Arial"/>
                    </w:rPr>
                  </w:pPr>
                  <w:r w:rsidRPr="00DE7EF2">
                    <w:rPr>
                      <w:rFonts w:cs="Arial"/>
                    </w:rPr>
                    <w:t>Participants with disabilities</w:t>
                  </w:r>
                </w:p>
              </w:tc>
              <w:tc>
                <w:tcPr>
                  <w:tcW w:w="2292" w:type="dxa"/>
                </w:tcPr>
                <w:p w14:paraId="4749FA13" w14:textId="77777777" w:rsidR="008C2C55" w:rsidRPr="00DE7EF2" w:rsidRDefault="008C2C55" w:rsidP="008C2C55">
                  <w:pPr>
                    <w:rPr>
                      <w:rFonts w:cs="Arial"/>
                    </w:rPr>
                  </w:pPr>
                  <w:r w:rsidRPr="00DE7EF2">
                    <w:rPr>
                      <w:rFonts w:cs="Arial"/>
                    </w:rPr>
                    <w:t>4%</w:t>
                  </w:r>
                </w:p>
              </w:tc>
            </w:tr>
            <w:tr w:rsidR="008C2C55" w:rsidRPr="008F3655" w14:paraId="4749FA17" w14:textId="77777777" w:rsidTr="009F5E11">
              <w:tc>
                <w:tcPr>
                  <w:tcW w:w="6799" w:type="dxa"/>
                </w:tcPr>
                <w:p w14:paraId="4749FA15" w14:textId="77777777" w:rsidR="008C2C55" w:rsidRPr="00DE7EF2" w:rsidRDefault="008C2C55" w:rsidP="008C2C55">
                  <w:pPr>
                    <w:rPr>
                      <w:rFonts w:cs="Arial"/>
                    </w:rPr>
                  </w:pPr>
                  <w:r w:rsidRPr="00DE7EF2">
                    <w:rPr>
                      <w:rFonts w:cs="Arial"/>
                    </w:rPr>
                    <w:t xml:space="preserve">Participants without basic skills </w:t>
                  </w:r>
                </w:p>
              </w:tc>
              <w:tc>
                <w:tcPr>
                  <w:tcW w:w="2292" w:type="dxa"/>
                </w:tcPr>
                <w:p w14:paraId="4749FA16" w14:textId="77777777" w:rsidR="008C2C55" w:rsidRPr="00DE7EF2" w:rsidRDefault="008C2C55" w:rsidP="008C2C55">
                  <w:pPr>
                    <w:rPr>
                      <w:rFonts w:cs="Arial"/>
                    </w:rPr>
                  </w:pPr>
                  <w:r w:rsidRPr="00DE7EF2">
                    <w:rPr>
                      <w:rFonts w:cs="Arial"/>
                    </w:rPr>
                    <w:t>18%</w:t>
                  </w:r>
                </w:p>
              </w:tc>
            </w:tr>
            <w:tr w:rsidR="008C2C55" w:rsidRPr="008F3655" w14:paraId="4749FA1A" w14:textId="77777777" w:rsidTr="009F5E11">
              <w:tc>
                <w:tcPr>
                  <w:tcW w:w="6799" w:type="dxa"/>
                </w:tcPr>
                <w:p w14:paraId="4749FA18" w14:textId="77777777" w:rsidR="008C2C55" w:rsidRPr="00DE7EF2" w:rsidRDefault="008C2C55" w:rsidP="008C2C55">
                  <w:pPr>
                    <w:rPr>
                      <w:rFonts w:cs="Arial"/>
                    </w:rPr>
                  </w:pPr>
                  <w:r w:rsidRPr="00DE7EF2">
                    <w:rPr>
                      <w:rFonts w:cs="Arial"/>
                    </w:rPr>
                    <w:t>Participants who live in a single adult household with dependent children (lone parents)</w:t>
                  </w:r>
                </w:p>
              </w:tc>
              <w:tc>
                <w:tcPr>
                  <w:tcW w:w="2292" w:type="dxa"/>
                </w:tcPr>
                <w:p w14:paraId="4749FA19" w14:textId="77777777" w:rsidR="008C2C55" w:rsidRPr="00DE7EF2" w:rsidRDefault="008C2C55" w:rsidP="008C2C55">
                  <w:pPr>
                    <w:rPr>
                      <w:rFonts w:cs="Arial"/>
                    </w:rPr>
                  </w:pPr>
                  <w:r w:rsidRPr="00DE7EF2">
                    <w:rPr>
                      <w:rFonts w:cs="Arial"/>
                    </w:rPr>
                    <w:t xml:space="preserve">4% </w:t>
                  </w:r>
                </w:p>
              </w:tc>
            </w:tr>
            <w:tr w:rsidR="008C2C55" w:rsidRPr="008F3655" w14:paraId="4749FA1D" w14:textId="77777777" w:rsidTr="009F5E11">
              <w:tc>
                <w:tcPr>
                  <w:tcW w:w="6799" w:type="dxa"/>
                </w:tcPr>
                <w:p w14:paraId="4749FA1B" w14:textId="77777777" w:rsidR="008C2C55" w:rsidRPr="00DE7EF2" w:rsidRDefault="008C2C55" w:rsidP="008C2C55">
                  <w:pPr>
                    <w:rPr>
                      <w:rFonts w:cs="Arial"/>
                    </w:rPr>
                  </w:pPr>
                  <w:r w:rsidRPr="00DE7EF2">
                    <w:rPr>
                      <w:rFonts w:cs="Arial"/>
                    </w:rPr>
                    <w:t>Unemployed, including long term unemployed</w:t>
                  </w:r>
                </w:p>
              </w:tc>
              <w:tc>
                <w:tcPr>
                  <w:tcW w:w="2292" w:type="dxa"/>
                </w:tcPr>
                <w:p w14:paraId="4749FA1C" w14:textId="77777777" w:rsidR="008C2C55" w:rsidRPr="00DE7EF2" w:rsidRDefault="008C2C55" w:rsidP="008C2C55">
                  <w:pPr>
                    <w:rPr>
                      <w:rFonts w:cs="Arial"/>
                    </w:rPr>
                  </w:pPr>
                  <w:r w:rsidRPr="00DE7EF2">
                    <w:rPr>
                      <w:rFonts w:cs="Arial"/>
                    </w:rPr>
                    <w:t>70%</w:t>
                  </w:r>
                </w:p>
              </w:tc>
            </w:tr>
            <w:tr w:rsidR="008C2C55" w:rsidRPr="008F3655" w14:paraId="4749FA20" w14:textId="77777777" w:rsidTr="009F5E11">
              <w:tc>
                <w:tcPr>
                  <w:tcW w:w="6799" w:type="dxa"/>
                </w:tcPr>
                <w:p w14:paraId="4749FA1E" w14:textId="77777777" w:rsidR="008C2C55" w:rsidRPr="00DE7EF2" w:rsidRDefault="008C2C55" w:rsidP="008C2C55">
                  <w:pPr>
                    <w:rPr>
                      <w:rFonts w:cs="Arial"/>
                    </w:rPr>
                  </w:pPr>
                  <w:r w:rsidRPr="00DE7EF2">
                    <w:rPr>
                      <w:rFonts w:cs="Arial"/>
                    </w:rPr>
                    <w:t>Inactive</w:t>
                  </w:r>
                </w:p>
              </w:tc>
              <w:tc>
                <w:tcPr>
                  <w:tcW w:w="2292" w:type="dxa"/>
                </w:tcPr>
                <w:p w14:paraId="4749FA1F" w14:textId="77777777" w:rsidR="008C2C55" w:rsidRPr="00DE7EF2" w:rsidRDefault="005A46EB" w:rsidP="008C2C55">
                  <w:pPr>
                    <w:rPr>
                      <w:rFonts w:cs="Arial"/>
                    </w:rPr>
                  </w:pPr>
                  <w:r>
                    <w:rPr>
                      <w:rFonts w:cs="Arial"/>
                    </w:rPr>
                    <w:t>30</w:t>
                  </w:r>
                  <w:r w:rsidR="008C2C55" w:rsidRPr="00DE7EF2">
                    <w:rPr>
                      <w:rFonts w:cs="Arial"/>
                    </w:rPr>
                    <w:t>%</w:t>
                  </w:r>
                </w:p>
              </w:tc>
            </w:tr>
            <w:tr w:rsidR="008C2C55" w:rsidRPr="008F3655" w14:paraId="4749FA23" w14:textId="77777777" w:rsidTr="009F5E11">
              <w:tc>
                <w:tcPr>
                  <w:tcW w:w="6799" w:type="dxa"/>
                </w:tcPr>
                <w:p w14:paraId="4749FA21" w14:textId="77777777" w:rsidR="008C2C55" w:rsidRPr="00DE7EF2" w:rsidRDefault="008C2C55" w:rsidP="008C2C55">
                  <w:pPr>
                    <w:rPr>
                      <w:rFonts w:cs="Arial"/>
                    </w:rPr>
                  </w:pPr>
                  <w:r w:rsidRPr="00DE7EF2">
                    <w:rPr>
                      <w:rFonts w:cs="Arial"/>
                    </w:rPr>
                    <w:t>Participants aged 50 or over</w:t>
                  </w:r>
                </w:p>
              </w:tc>
              <w:tc>
                <w:tcPr>
                  <w:tcW w:w="2292" w:type="dxa"/>
                </w:tcPr>
                <w:p w14:paraId="4749FA22" w14:textId="77777777" w:rsidR="008C2C55" w:rsidRPr="00DE7EF2" w:rsidRDefault="008C2C55" w:rsidP="008C2C55">
                  <w:pPr>
                    <w:rPr>
                      <w:rFonts w:cs="Arial"/>
                    </w:rPr>
                  </w:pPr>
                  <w:r w:rsidRPr="00DE7EF2">
                    <w:rPr>
                      <w:rFonts w:cs="Arial"/>
                    </w:rPr>
                    <w:t>5%</w:t>
                  </w:r>
                </w:p>
              </w:tc>
            </w:tr>
            <w:tr w:rsidR="008C2C55" w:rsidRPr="008F3655" w14:paraId="4749FA26" w14:textId="77777777" w:rsidTr="009F5E11">
              <w:tc>
                <w:tcPr>
                  <w:tcW w:w="6799" w:type="dxa"/>
                </w:tcPr>
                <w:p w14:paraId="4749FA24" w14:textId="77777777" w:rsidR="008C2C55" w:rsidRPr="00DE7EF2" w:rsidRDefault="008C2C55" w:rsidP="008C2C55">
                  <w:pPr>
                    <w:rPr>
                      <w:rFonts w:cs="Arial"/>
                      <w:b/>
                    </w:rPr>
                  </w:pPr>
                  <w:r w:rsidRPr="00DE7EF2">
                    <w:rPr>
                      <w:rFonts w:cs="Arial"/>
                      <w:b/>
                    </w:rPr>
                    <w:t xml:space="preserve">Results – </w:t>
                  </w:r>
                </w:p>
              </w:tc>
              <w:tc>
                <w:tcPr>
                  <w:tcW w:w="2292" w:type="dxa"/>
                </w:tcPr>
                <w:p w14:paraId="4749FA25" w14:textId="77777777" w:rsidR="008C2C55" w:rsidRPr="00DE7EF2" w:rsidRDefault="008C2C55" w:rsidP="008C2C55">
                  <w:pPr>
                    <w:rPr>
                      <w:rFonts w:cs="Arial"/>
                    </w:rPr>
                  </w:pPr>
                </w:p>
              </w:tc>
            </w:tr>
            <w:tr w:rsidR="008C2C55" w:rsidRPr="008F3655" w14:paraId="4749FA29" w14:textId="77777777" w:rsidTr="009F5E11">
              <w:tc>
                <w:tcPr>
                  <w:tcW w:w="6799" w:type="dxa"/>
                </w:tcPr>
                <w:p w14:paraId="4749FA27" w14:textId="77777777" w:rsidR="008C2C55" w:rsidRPr="00DE7EF2" w:rsidRDefault="008C2C55" w:rsidP="008C2C55">
                  <w:pPr>
                    <w:rPr>
                      <w:rFonts w:cs="Arial"/>
                    </w:rPr>
                  </w:pPr>
                  <w:r w:rsidRPr="00DE7EF2">
                    <w:rPr>
                      <w:rFonts w:cs="Arial"/>
                    </w:rPr>
                    <w:t>Participants gaining basic skills</w:t>
                  </w:r>
                </w:p>
              </w:tc>
              <w:tc>
                <w:tcPr>
                  <w:tcW w:w="2292" w:type="dxa"/>
                </w:tcPr>
                <w:p w14:paraId="4749FA28" w14:textId="77777777" w:rsidR="008C2C55" w:rsidRPr="00DE7EF2" w:rsidRDefault="008C2C55" w:rsidP="008C2C55">
                  <w:pPr>
                    <w:rPr>
                      <w:rFonts w:cs="Arial"/>
                    </w:rPr>
                  </w:pPr>
                  <w:r w:rsidRPr="00DE7EF2">
                    <w:rPr>
                      <w:rFonts w:cs="Arial"/>
                    </w:rPr>
                    <w:t>4%</w:t>
                  </w:r>
                </w:p>
              </w:tc>
            </w:tr>
            <w:tr w:rsidR="008C2C55" w:rsidRPr="008F3655" w14:paraId="4749FA2C" w14:textId="77777777" w:rsidTr="009F5E11">
              <w:tc>
                <w:tcPr>
                  <w:tcW w:w="6799" w:type="dxa"/>
                </w:tcPr>
                <w:p w14:paraId="4749FA2A" w14:textId="77777777" w:rsidR="008C2C55" w:rsidRPr="00DE7EF2" w:rsidRDefault="008C2C55" w:rsidP="008C2C55">
                  <w:pPr>
                    <w:rPr>
                      <w:rFonts w:cs="Arial"/>
                    </w:rPr>
                  </w:pPr>
                  <w:r w:rsidRPr="00DE7EF2">
                    <w:rPr>
                      <w:rFonts w:cs="Arial"/>
                    </w:rPr>
                    <w:t>Unemployed participants into employment (including self-employment) on leaving</w:t>
                  </w:r>
                </w:p>
              </w:tc>
              <w:tc>
                <w:tcPr>
                  <w:tcW w:w="2292" w:type="dxa"/>
                </w:tcPr>
                <w:p w14:paraId="4749FA2B" w14:textId="77777777" w:rsidR="008C2C55" w:rsidRPr="00DE7EF2" w:rsidRDefault="008C2C55" w:rsidP="008C2C55">
                  <w:pPr>
                    <w:rPr>
                      <w:rFonts w:cs="Arial"/>
                    </w:rPr>
                  </w:pPr>
                  <w:r w:rsidRPr="00DE7EF2">
                    <w:rPr>
                      <w:rFonts w:cs="Arial"/>
                    </w:rPr>
                    <w:t>22%</w:t>
                  </w:r>
                </w:p>
              </w:tc>
            </w:tr>
            <w:tr w:rsidR="008C2C55" w:rsidRPr="008F3655" w14:paraId="4749FA2F" w14:textId="77777777" w:rsidTr="009F5E11">
              <w:tc>
                <w:tcPr>
                  <w:tcW w:w="6799" w:type="dxa"/>
                </w:tcPr>
                <w:p w14:paraId="4749FA2D" w14:textId="77777777" w:rsidR="008C2C55" w:rsidRPr="00DE7EF2" w:rsidRDefault="008C2C55" w:rsidP="008C2C55">
                  <w:pPr>
                    <w:rPr>
                      <w:rFonts w:cs="Arial"/>
                    </w:rPr>
                  </w:pPr>
                  <w:r w:rsidRPr="00DE7EF2">
                    <w:rPr>
                      <w:rFonts w:cs="Arial"/>
                    </w:rPr>
                    <w:t>Inactive participants into employment, or job search on leaving</w:t>
                  </w:r>
                </w:p>
              </w:tc>
              <w:tc>
                <w:tcPr>
                  <w:tcW w:w="2292" w:type="dxa"/>
                </w:tcPr>
                <w:p w14:paraId="4749FA2E" w14:textId="77777777" w:rsidR="008C2C55" w:rsidRPr="00DE7EF2" w:rsidRDefault="008C2C55" w:rsidP="008C2C55">
                  <w:pPr>
                    <w:rPr>
                      <w:rFonts w:cs="Arial"/>
                    </w:rPr>
                  </w:pPr>
                  <w:r w:rsidRPr="00DE7EF2">
                    <w:rPr>
                      <w:rFonts w:cs="Arial"/>
                    </w:rPr>
                    <w:t>33%</w:t>
                  </w:r>
                </w:p>
              </w:tc>
            </w:tr>
            <w:tr w:rsidR="008C2C55" w:rsidRPr="008F3655" w14:paraId="4749FA32" w14:textId="77777777" w:rsidTr="009F5E11">
              <w:tc>
                <w:tcPr>
                  <w:tcW w:w="6799" w:type="dxa"/>
                </w:tcPr>
                <w:p w14:paraId="4749FA30" w14:textId="77777777" w:rsidR="008C2C55" w:rsidRPr="00DE7EF2" w:rsidRDefault="008C2C55" w:rsidP="008C2C55">
                  <w:pPr>
                    <w:rPr>
                      <w:rFonts w:cs="Arial"/>
                    </w:rPr>
                  </w:pPr>
                  <w:r w:rsidRPr="00DE7EF2">
                    <w:rPr>
                      <w:rFonts w:cs="Arial"/>
                    </w:rPr>
                    <w:t>Employed females gaining improved labour market status</w:t>
                  </w:r>
                </w:p>
              </w:tc>
              <w:tc>
                <w:tcPr>
                  <w:tcW w:w="2292" w:type="dxa"/>
                </w:tcPr>
                <w:p w14:paraId="4749FA31" w14:textId="77777777" w:rsidR="008C2C55" w:rsidRPr="00DE7EF2" w:rsidRDefault="008C2C55" w:rsidP="008C2C55">
                  <w:pPr>
                    <w:rPr>
                      <w:rFonts w:cs="Arial"/>
                    </w:rPr>
                  </w:pPr>
                  <w:r w:rsidRPr="00DE7EF2">
                    <w:rPr>
                      <w:rFonts w:cs="Arial"/>
                    </w:rPr>
                    <w:t>35%</w:t>
                  </w:r>
                </w:p>
              </w:tc>
            </w:tr>
            <w:tr w:rsidR="008C2C55" w:rsidRPr="008F3655" w14:paraId="4749FA35" w14:textId="77777777" w:rsidTr="009F5E11">
              <w:tc>
                <w:tcPr>
                  <w:tcW w:w="6799" w:type="dxa"/>
                </w:tcPr>
                <w:p w14:paraId="4749FA33" w14:textId="77777777" w:rsidR="008C2C55" w:rsidRPr="00DE7EF2" w:rsidRDefault="008C2C55" w:rsidP="008C2C55">
                  <w:pPr>
                    <w:rPr>
                      <w:rFonts w:cs="Arial"/>
                    </w:rPr>
                  </w:pPr>
                  <w:r w:rsidRPr="00DE7EF2">
                    <w:rPr>
                      <w:rFonts w:cs="Arial"/>
                    </w:rPr>
                    <w:t>Participants with childcare needs receiving childcare support</w:t>
                  </w:r>
                </w:p>
              </w:tc>
              <w:tc>
                <w:tcPr>
                  <w:tcW w:w="2292" w:type="dxa"/>
                </w:tcPr>
                <w:p w14:paraId="4749FA34" w14:textId="77777777" w:rsidR="008C2C55" w:rsidRPr="00DE7EF2" w:rsidRDefault="008C2C55" w:rsidP="008C2C55">
                  <w:pPr>
                    <w:rPr>
                      <w:rFonts w:cs="Arial"/>
                    </w:rPr>
                  </w:pPr>
                  <w:r w:rsidRPr="00DE7EF2">
                    <w:rPr>
                      <w:rFonts w:cs="Arial"/>
                    </w:rPr>
                    <w:t>36%</w:t>
                  </w:r>
                </w:p>
              </w:tc>
            </w:tr>
            <w:tr w:rsidR="008C2C55" w:rsidRPr="008F3655" w14:paraId="4749FA38" w14:textId="77777777" w:rsidTr="009F5E11">
              <w:tc>
                <w:tcPr>
                  <w:tcW w:w="6799" w:type="dxa"/>
                </w:tcPr>
                <w:p w14:paraId="4749FA36" w14:textId="77777777" w:rsidR="008C2C55" w:rsidRPr="00DE7EF2" w:rsidRDefault="008C2C55" w:rsidP="008C2C55">
                  <w:pPr>
                    <w:rPr>
                      <w:rFonts w:cs="Arial"/>
                    </w:rPr>
                  </w:pPr>
                  <w:r w:rsidRPr="00DE7EF2">
                    <w:rPr>
                      <w:rFonts w:cs="Arial"/>
                    </w:rPr>
                    <w:t>Participants in employment, including self-employment, 6 months after leaving</w:t>
                  </w:r>
                </w:p>
              </w:tc>
              <w:tc>
                <w:tcPr>
                  <w:tcW w:w="2292" w:type="dxa"/>
                </w:tcPr>
                <w:p w14:paraId="4749FA37" w14:textId="77777777" w:rsidR="008C2C55" w:rsidRPr="00DE7EF2" w:rsidRDefault="008C2C55" w:rsidP="008C2C55">
                  <w:pPr>
                    <w:rPr>
                      <w:rFonts w:cs="Arial"/>
                    </w:rPr>
                  </w:pPr>
                  <w:r w:rsidRPr="00DE7EF2">
                    <w:rPr>
                      <w:rFonts w:cs="Arial"/>
                    </w:rPr>
                    <w:t>34%</w:t>
                  </w:r>
                </w:p>
              </w:tc>
            </w:tr>
          </w:tbl>
          <w:p w14:paraId="4749FA39" w14:textId="77777777" w:rsidR="00FD3B0A" w:rsidRDefault="00FD3B0A" w:rsidP="00162B5B">
            <w:pPr>
              <w:rPr>
                <w:rFonts w:cs="Arial"/>
                <w:color w:val="000000"/>
              </w:rPr>
            </w:pPr>
          </w:p>
          <w:p w14:paraId="4749FA3A" w14:textId="77777777" w:rsidR="003A63C6" w:rsidRPr="008F3655" w:rsidRDefault="003A63C6" w:rsidP="00162B5B">
            <w:pPr>
              <w:rPr>
                <w:rFonts w:cs="Arial"/>
                <w:color w:val="000000"/>
              </w:rPr>
            </w:pPr>
          </w:p>
        </w:tc>
      </w:tr>
      <w:tr w:rsidR="00967429" w:rsidRPr="008F3655" w14:paraId="4749FA3D" w14:textId="77777777" w:rsidTr="003A63C6">
        <w:trPr>
          <w:trHeight w:val="567"/>
        </w:trPr>
        <w:tc>
          <w:tcPr>
            <w:tcW w:w="9088" w:type="dxa"/>
            <w:shd w:val="clear" w:color="auto" w:fill="D9D9D9" w:themeFill="background1" w:themeFillShade="D9"/>
            <w:vAlign w:val="center"/>
          </w:tcPr>
          <w:p w14:paraId="4749FA3C" w14:textId="77777777" w:rsidR="00967429" w:rsidRPr="008F3655" w:rsidRDefault="00A005EF" w:rsidP="005E37D8">
            <w:pPr>
              <w:spacing w:before="120" w:after="120"/>
              <w:rPr>
                <w:rFonts w:cs="Arial"/>
                <w:b/>
                <w:bCs/>
              </w:rPr>
            </w:pPr>
            <w:r w:rsidRPr="008F3655">
              <w:rPr>
                <w:rFonts w:cs="Arial"/>
                <w:b/>
              </w:rPr>
              <w:t>GEOGRAPHY / AREA OF DELIVERY</w:t>
            </w:r>
          </w:p>
        </w:tc>
      </w:tr>
      <w:tr w:rsidR="00967429" w:rsidRPr="008F3655" w14:paraId="4749FA45" w14:textId="77777777" w:rsidTr="009F5E11">
        <w:trPr>
          <w:trHeight w:val="983"/>
        </w:trPr>
        <w:tc>
          <w:tcPr>
            <w:tcW w:w="9088" w:type="dxa"/>
          </w:tcPr>
          <w:p w14:paraId="4749FA3E" w14:textId="77777777" w:rsidR="00A005EF" w:rsidRPr="008F3655" w:rsidRDefault="00A005EF" w:rsidP="00A005EF">
            <w:pPr>
              <w:rPr>
                <w:rFonts w:cs="Arial"/>
              </w:rPr>
            </w:pPr>
          </w:p>
          <w:p w14:paraId="4749FA3F" w14:textId="77777777" w:rsidR="007E7731" w:rsidRPr="008F3655" w:rsidRDefault="007E7731" w:rsidP="00A005EF">
            <w:pPr>
              <w:rPr>
                <w:rFonts w:cs="Arial"/>
                <w:b/>
              </w:rPr>
            </w:pPr>
            <w:r w:rsidRPr="008F3655">
              <w:rPr>
                <w:rFonts w:cs="Arial"/>
                <w:b/>
              </w:rPr>
              <w:t>LEP Specific</w:t>
            </w:r>
          </w:p>
          <w:p w14:paraId="4749FA40" w14:textId="77777777" w:rsidR="007E7731" w:rsidRPr="008F3655" w:rsidRDefault="007E7731" w:rsidP="00A005EF">
            <w:pPr>
              <w:rPr>
                <w:rFonts w:cs="Arial"/>
                <w:b/>
              </w:rPr>
            </w:pPr>
          </w:p>
          <w:p w14:paraId="4749FA41" w14:textId="77777777" w:rsidR="00787807" w:rsidRDefault="00A005EF" w:rsidP="00A005EF">
            <w:pPr>
              <w:autoSpaceDE w:val="0"/>
              <w:autoSpaceDN w:val="0"/>
              <w:adjustRightInd w:val="0"/>
              <w:rPr>
                <w:rFonts w:cs="Arial"/>
              </w:rPr>
            </w:pPr>
            <w:r w:rsidRPr="008F3655">
              <w:rPr>
                <w:rFonts w:cs="Arial"/>
              </w:rPr>
              <w:t>The Service</w:t>
            </w:r>
            <w:r w:rsidR="00123C60" w:rsidRPr="008F3655">
              <w:rPr>
                <w:rFonts w:cs="Arial"/>
              </w:rPr>
              <w:t>s</w:t>
            </w:r>
            <w:r w:rsidRPr="008F3655">
              <w:rPr>
                <w:rFonts w:cs="Arial"/>
              </w:rPr>
              <w:t xml:space="preserve"> will be delivered </w:t>
            </w:r>
            <w:r w:rsidR="00105A7C" w:rsidRPr="008F3655">
              <w:rPr>
                <w:rFonts w:cs="Arial"/>
              </w:rPr>
              <w:t>within the</w:t>
            </w:r>
            <w:r w:rsidRPr="008F3655">
              <w:rPr>
                <w:rFonts w:cs="Arial"/>
              </w:rPr>
              <w:t xml:space="preserve"> </w:t>
            </w:r>
            <w:r w:rsidR="00EF67A6" w:rsidRPr="008F3655">
              <w:rPr>
                <w:rFonts w:cs="Arial"/>
              </w:rPr>
              <w:t>Humber</w:t>
            </w:r>
            <w:r w:rsidR="000304B2" w:rsidRPr="008F3655">
              <w:rPr>
                <w:rFonts w:cs="Arial"/>
              </w:rPr>
              <w:t xml:space="preserve"> </w:t>
            </w:r>
            <w:r w:rsidR="00105A7C" w:rsidRPr="008F3655">
              <w:rPr>
                <w:rFonts w:cs="Arial"/>
              </w:rPr>
              <w:t>Local Enterprise Partnership area</w:t>
            </w:r>
            <w:r w:rsidR="007C2B80" w:rsidRPr="008F3655">
              <w:rPr>
                <w:rFonts w:cs="Arial"/>
              </w:rPr>
              <w:t>.</w:t>
            </w:r>
          </w:p>
          <w:p w14:paraId="4749FA42" w14:textId="77777777" w:rsidR="00F84A77" w:rsidRPr="008F3655" w:rsidRDefault="00F84A77" w:rsidP="00A005EF">
            <w:pPr>
              <w:autoSpaceDE w:val="0"/>
              <w:autoSpaceDN w:val="0"/>
              <w:adjustRightInd w:val="0"/>
              <w:rPr>
                <w:rFonts w:cs="Arial"/>
              </w:rPr>
            </w:pPr>
          </w:p>
          <w:p w14:paraId="21FB85E8" w14:textId="77777777" w:rsidR="007C2B80" w:rsidRDefault="004825CA" w:rsidP="00840949">
            <w:pPr>
              <w:autoSpaceDE w:val="0"/>
              <w:autoSpaceDN w:val="0"/>
              <w:adjustRightInd w:val="0"/>
              <w:rPr>
                <w:rFonts w:cs="Arial"/>
              </w:rPr>
            </w:pPr>
            <w:r w:rsidRPr="008F3655">
              <w:rPr>
                <w:rFonts w:cs="Arial"/>
              </w:rPr>
              <w:t xml:space="preserve">This area </w:t>
            </w:r>
            <w:r w:rsidR="00EF67A6" w:rsidRPr="008F3655">
              <w:rPr>
                <w:rFonts w:cs="Arial"/>
                <w:b/>
                <w:i/>
              </w:rPr>
              <w:t>does</w:t>
            </w:r>
            <w:r w:rsidR="00FD2A5D">
              <w:rPr>
                <w:rFonts w:cs="Arial"/>
                <w:b/>
                <w:i/>
              </w:rPr>
              <w:t xml:space="preserve"> </w:t>
            </w:r>
            <w:r w:rsidRPr="00EC6B0C">
              <w:rPr>
                <w:rFonts w:cs="Arial"/>
              </w:rPr>
              <w:t>include</w:t>
            </w:r>
            <w:r w:rsidRPr="008F3655">
              <w:rPr>
                <w:rFonts w:cs="Arial"/>
              </w:rPr>
              <w:t xml:space="preserve"> a transitional area (see </w:t>
            </w:r>
            <w:r w:rsidR="00394F36" w:rsidRPr="008F3655">
              <w:rPr>
                <w:rFonts w:cs="Arial"/>
              </w:rPr>
              <w:t xml:space="preserve">funding rules </w:t>
            </w:r>
            <w:r w:rsidRPr="008F3655">
              <w:rPr>
                <w:rFonts w:cs="Arial"/>
              </w:rPr>
              <w:t>re delivery locations)</w:t>
            </w:r>
            <w:r w:rsidR="00394F36" w:rsidRPr="008F3655">
              <w:rPr>
                <w:rFonts w:cs="Arial"/>
              </w:rPr>
              <w:t xml:space="preserve"> </w:t>
            </w:r>
          </w:p>
          <w:p w14:paraId="4749FA44" w14:textId="113B10AD" w:rsidR="00840949" w:rsidRPr="008F3655" w:rsidRDefault="00840949" w:rsidP="00840949">
            <w:pPr>
              <w:autoSpaceDE w:val="0"/>
              <w:autoSpaceDN w:val="0"/>
              <w:adjustRightInd w:val="0"/>
              <w:rPr>
                <w:rFonts w:cs="Arial"/>
              </w:rPr>
            </w:pPr>
          </w:p>
        </w:tc>
      </w:tr>
      <w:tr w:rsidR="00967429" w:rsidRPr="008F3655" w14:paraId="4749FA47" w14:textId="77777777" w:rsidTr="009F5E11">
        <w:trPr>
          <w:trHeight w:val="510"/>
        </w:trPr>
        <w:tc>
          <w:tcPr>
            <w:tcW w:w="9088" w:type="dxa"/>
            <w:shd w:val="clear" w:color="auto" w:fill="D9D9D9" w:themeFill="background1" w:themeFillShade="D9"/>
          </w:tcPr>
          <w:p w14:paraId="4749FA46" w14:textId="77777777" w:rsidR="00967429" w:rsidRPr="008F3655" w:rsidRDefault="00A005EF" w:rsidP="00DA3E5E">
            <w:pPr>
              <w:spacing w:before="120" w:after="120"/>
              <w:rPr>
                <w:rFonts w:cs="Arial"/>
                <w:b/>
                <w:bCs/>
              </w:rPr>
            </w:pPr>
            <w:r w:rsidRPr="008F3655">
              <w:rPr>
                <w:rFonts w:cs="Arial"/>
                <w:b/>
              </w:rPr>
              <w:t>FUNDING AND DELIVERABLES</w:t>
            </w:r>
          </w:p>
        </w:tc>
      </w:tr>
      <w:tr w:rsidR="00967429" w:rsidRPr="008F3655" w14:paraId="4749FB1B" w14:textId="77777777" w:rsidTr="009F5E11">
        <w:trPr>
          <w:trHeight w:val="1408"/>
        </w:trPr>
        <w:tc>
          <w:tcPr>
            <w:tcW w:w="9088" w:type="dxa"/>
          </w:tcPr>
          <w:p w14:paraId="4749FA48" w14:textId="77777777" w:rsidR="007E7731" w:rsidRPr="008F3655" w:rsidRDefault="007E7731" w:rsidP="00A005EF">
            <w:pPr>
              <w:rPr>
                <w:rFonts w:cs="Arial"/>
              </w:rPr>
            </w:pPr>
          </w:p>
          <w:p w14:paraId="4749FA49" w14:textId="77777777" w:rsidR="007E7731" w:rsidRPr="008F3655" w:rsidRDefault="007E7731" w:rsidP="00A005EF">
            <w:pPr>
              <w:rPr>
                <w:rFonts w:cs="Arial"/>
                <w:b/>
              </w:rPr>
            </w:pPr>
            <w:r w:rsidRPr="008F3655">
              <w:rPr>
                <w:rFonts w:cs="Arial"/>
                <w:b/>
              </w:rPr>
              <w:t>LEP Specific</w:t>
            </w:r>
          </w:p>
          <w:p w14:paraId="4749FA4A" w14:textId="77777777" w:rsidR="007E7731" w:rsidRPr="008F3655" w:rsidRDefault="007E7731" w:rsidP="00A005EF">
            <w:pPr>
              <w:rPr>
                <w:rFonts w:cs="Arial"/>
              </w:rPr>
            </w:pPr>
          </w:p>
          <w:p w14:paraId="4749FA50" w14:textId="0D9BE546" w:rsidR="00F16AF4" w:rsidRDefault="00F84A77">
            <w:pPr>
              <w:autoSpaceDE w:val="0"/>
              <w:autoSpaceDN w:val="0"/>
              <w:adjustRightInd w:val="0"/>
              <w:rPr>
                <w:rFonts w:cs="Arial"/>
              </w:rPr>
            </w:pPr>
            <w:r>
              <w:rPr>
                <w:rFonts w:cs="Arial"/>
              </w:rPr>
              <w:t xml:space="preserve">A total of </w:t>
            </w:r>
            <w:r w:rsidR="00EF67A6" w:rsidRPr="008F3655">
              <w:rPr>
                <w:rFonts w:cs="Arial"/>
              </w:rPr>
              <w:t>£</w:t>
            </w:r>
            <w:r w:rsidR="00840949">
              <w:rPr>
                <w:rFonts w:cs="Arial"/>
              </w:rPr>
              <w:t>1</w:t>
            </w:r>
            <w:r w:rsidR="00EF67A6" w:rsidRPr="008F3655">
              <w:rPr>
                <w:rFonts w:cs="Arial"/>
              </w:rPr>
              <w:t>,000,000</w:t>
            </w:r>
            <w:r w:rsidR="00A005EF" w:rsidRPr="008F3655">
              <w:rPr>
                <w:rFonts w:cs="Arial"/>
              </w:rPr>
              <w:t xml:space="preserve"> </w:t>
            </w:r>
            <w:r>
              <w:rPr>
                <w:rFonts w:cs="Arial"/>
              </w:rPr>
              <w:t xml:space="preserve">is available </w:t>
            </w:r>
            <w:r w:rsidR="00C107CE" w:rsidRPr="008F3655">
              <w:rPr>
                <w:rFonts w:cs="Arial"/>
              </w:rPr>
              <w:t xml:space="preserve">for the period from </w:t>
            </w:r>
            <w:r w:rsidR="00840949">
              <w:rPr>
                <w:rFonts w:cs="Arial"/>
              </w:rPr>
              <w:t xml:space="preserve">September </w:t>
            </w:r>
            <w:r w:rsidR="006A28A1" w:rsidRPr="008F3655">
              <w:rPr>
                <w:rFonts w:cs="Arial"/>
              </w:rPr>
              <w:t>2016</w:t>
            </w:r>
            <w:r w:rsidR="00C107CE" w:rsidRPr="008F3655">
              <w:rPr>
                <w:rFonts w:cs="Arial"/>
              </w:rPr>
              <w:t xml:space="preserve"> to </w:t>
            </w:r>
            <w:r w:rsidR="006A28A1" w:rsidRPr="008F3655">
              <w:rPr>
                <w:rFonts w:cs="Arial"/>
              </w:rPr>
              <w:t>March 2018</w:t>
            </w:r>
            <w:r w:rsidR="009F5E11">
              <w:rPr>
                <w:rFonts w:cs="Arial"/>
              </w:rPr>
              <w:t>.  This</w:t>
            </w:r>
            <w:r w:rsidR="00C107CE" w:rsidRPr="008F3655">
              <w:rPr>
                <w:rFonts w:cs="Arial"/>
              </w:rPr>
              <w:t xml:space="preserve"> </w:t>
            </w:r>
            <w:r w:rsidR="009552C2" w:rsidRPr="008F3655">
              <w:rPr>
                <w:rFonts w:cs="Arial"/>
              </w:rPr>
              <w:t xml:space="preserve">may be increased if </w:t>
            </w:r>
            <w:r w:rsidR="00475879" w:rsidRPr="008F3655">
              <w:rPr>
                <w:rFonts w:cs="Arial"/>
              </w:rPr>
              <w:t>additional funding</w:t>
            </w:r>
            <w:r w:rsidR="009552C2" w:rsidRPr="008F3655">
              <w:rPr>
                <w:rFonts w:cs="Arial"/>
              </w:rPr>
              <w:t xml:space="preserve"> becomes available</w:t>
            </w:r>
            <w:r w:rsidR="00C107CE" w:rsidRPr="008F3655">
              <w:rPr>
                <w:rFonts w:cs="Arial"/>
              </w:rPr>
              <w:t>.</w:t>
            </w:r>
          </w:p>
          <w:p w14:paraId="4749FA51" w14:textId="77777777" w:rsidR="00A005EF" w:rsidRPr="008F3655" w:rsidRDefault="00A005EF" w:rsidP="00A005EF">
            <w:pPr>
              <w:rPr>
                <w:rFonts w:cs="Arial"/>
                <w:b/>
              </w:rPr>
            </w:pPr>
          </w:p>
          <w:p w14:paraId="4749FA52" w14:textId="77777777" w:rsidR="00B6304D" w:rsidRDefault="00394F36" w:rsidP="00394F36">
            <w:pPr>
              <w:rPr>
                <w:rFonts w:cs="Arial"/>
              </w:rPr>
            </w:pPr>
            <w:r w:rsidRPr="008F3655">
              <w:rPr>
                <w:rFonts w:cs="Arial"/>
              </w:rPr>
              <w:t>The table below shows the initial planned outcomes, but performance management may change the volumes and mix during the life of the contract. </w:t>
            </w:r>
          </w:p>
          <w:p w14:paraId="4749FA53" w14:textId="77777777" w:rsidR="00B6304D" w:rsidRDefault="00B6304D" w:rsidP="00394F36">
            <w:pPr>
              <w:rPr>
                <w:rFonts w:cs="Arial"/>
              </w:rPr>
            </w:pPr>
          </w:p>
          <w:p w14:paraId="4749FA54" w14:textId="77777777" w:rsidR="00B6304D" w:rsidRDefault="00B6304D" w:rsidP="00B6304D">
            <w:pPr>
              <w:autoSpaceDE w:val="0"/>
              <w:autoSpaceDN w:val="0"/>
              <w:adjustRightInd w:val="0"/>
              <w:rPr>
                <w:rFonts w:cs="Arial"/>
              </w:rPr>
            </w:pPr>
            <w:r w:rsidRPr="00BC7F87">
              <w:rPr>
                <w:rFonts w:cs="Arial"/>
              </w:rPr>
              <w:t>The minimum service deliverables, values and volumes for which evidence must be provided are:</w:t>
            </w:r>
          </w:p>
          <w:p w14:paraId="4749FA55" w14:textId="77777777" w:rsidR="00B6304D" w:rsidRDefault="00B6304D" w:rsidP="00B6304D">
            <w:pPr>
              <w:autoSpaceDE w:val="0"/>
              <w:autoSpaceDN w:val="0"/>
              <w:adjustRightInd w:val="0"/>
              <w:rPr>
                <w:rFonts w:cs="Arial"/>
              </w:rPr>
            </w:pPr>
          </w:p>
          <w:p w14:paraId="4749FAC0" w14:textId="77777777" w:rsidR="009F5E11" w:rsidRDefault="009F5E11" w:rsidP="00B6304D">
            <w:pPr>
              <w:autoSpaceDE w:val="0"/>
              <w:autoSpaceDN w:val="0"/>
              <w:adjustRightInd w:val="0"/>
              <w:rPr>
                <w:rFonts w:cs="Arial"/>
                <w:b/>
              </w:rPr>
            </w:pPr>
          </w:p>
          <w:tbl>
            <w:tblPr>
              <w:tblW w:w="9460" w:type="dxa"/>
              <w:tblLook w:val="04A0" w:firstRow="1" w:lastRow="0" w:firstColumn="1" w:lastColumn="0" w:noHBand="0" w:noVBand="1"/>
            </w:tblPr>
            <w:tblGrid>
              <w:gridCol w:w="5901"/>
              <w:gridCol w:w="1098"/>
              <w:gridCol w:w="1361"/>
              <w:gridCol w:w="1100"/>
            </w:tblGrid>
            <w:tr w:rsidR="009F5E11" w:rsidRPr="009F5E11" w14:paraId="4749FAC5" w14:textId="77777777" w:rsidTr="009F5E11">
              <w:trPr>
                <w:trHeight w:val="1404"/>
              </w:trPr>
              <w:tc>
                <w:tcPr>
                  <w:tcW w:w="6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49FAC1" w14:textId="77777777" w:rsidR="009F5E11" w:rsidRPr="009F5E11" w:rsidRDefault="009F5E11" w:rsidP="009F5E11">
                  <w:pPr>
                    <w:rPr>
                      <w:rFonts w:cs="Arial"/>
                      <w:b/>
                      <w:bCs/>
                      <w:color w:val="000000"/>
                      <w:sz w:val="20"/>
                      <w:szCs w:val="20"/>
                      <w:lang w:eastAsia="en-GB"/>
                    </w:rPr>
                  </w:pPr>
                  <w:r w:rsidRPr="009F5E11">
                    <w:rPr>
                      <w:rFonts w:cs="Arial"/>
                      <w:b/>
                      <w:bCs/>
                      <w:color w:val="000000"/>
                      <w:sz w:val="20"/>
                      <w:szCs w:val="20"/>
                      <w:lang w:eastAsia="en-GB"/>
                    </w:rPr>
                    <w:t>Description</w:t>
                  </w:r>
                  <w:r w:rsidRPr="009F5E11">
                    <w:rPr>
                      <w:rFonts w:cs="Arial"/>
                      <w:b/>
                      <w:bCs/>
                      <w:color w:val="000000"/>
                      <w:sz w:val="20"/>
                      <w:szCs w:val="20"/>
                      <w:lang w:eastAsia="en-GB"/>
                    </w:rPr>
                    <w:br/>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49FAC2" w14:textId="77777777" w:rsidR="009F5E11" w:rsidRPr="009F5E11" w:rsidRDefault="009F5E11" w:rsidP="009F5E11">
                  <w:pPr>
                    <w:jc w:val="center"/>
                    <w:rPr>
                      <w:rFonts w:cs="Arial"/>
                      <w:b/>
                      <w:bCs/>
                      <w:color w:val="000000"/>
                      <w:sz w:val="20"/>
                      <w:szCs w:val="20"/>
                      <w:lang w:eastAsia="en-GB"/>
                    </w:rPr>
                  </w:pPr>
                  <w:r w:rsidRPr="009F5E11">
                    <w:rPr>
                      <w:rFonts w:cs="Arial"/>
                      <w:b/>
                      <w:bCs/>
                      <w:color w:val="000000"/>
                      <w:sz w:val="20"/>
                      <w:szCs w:val="20"/>
                      <w:lang w:eastAsia="en-GB"/>
                    </w:rPr>
                    <w:t>Volumes</w:t>
                  </w:r>
                </w:p>
              </w:tc>
              <w:tc>
                <w:tcPr>
                  <w:tcW w:w="11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49FAC3" w14:textId="77777777" w:rsidR="009F5E11" w:rsidRPr="009F5E11" w:rsidRDefault="009F5E11" w:rsidP="009F5E11">
                  <w:pPr>
                    <w:jc w:val="center"/>
                    <w:rPr>
                      <w:rFonts w:cs="Arial"/>
                      <w:b/>
                      <w:bCs/>
                      <w:color w:val="000000"/>
                      <w:sz w:val="20"/>
                      <w:szCs w:val="20"/>
                      <w:lang w:eastAsia="en-GB"/>
                    </w:rPr>
                  </w:pPr>
                  <w:r w:rsidRPr="009F5E11">
                    <w:rPr>
                      <w:rFonts w:cs="Arial"/>
                      <w:b/>
                      <w:bCs/>
                      <w:color w:val="000000"/>
                      <w:sz w:val="20"/>
                      <w:szCs w:val="20"/>
                      <w:lang w:eastAsia="en-GB"/>
                    </w:rPr>
                    <w:t>Unit Cost Total Value Average per Intervention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49FAC4" w14:textId="77777777" w:rsidR="009F5E11" w:rsidRPr="009F5E11" w:rsidRDefault="009F5E11" w:rsidP="009F5E11">
                  <w:pPr>
                    <w:jc w:val="center"/>
                    <w:rPr>
                      <w:rFonts w:cs="Arial"/>
                      <w:b/>
                      <w:bCs/>
                      <w:color w:val="000000"/>
                      <w:sz w:val="20"/>
                      <w:szCs w:val="20"/>
                      <w:lang w:eastAsia="en-GB"/>
                    </w:rPr>
                  </w:pPr>
                  <w:r w:rsidRPr="009F5E11">
                    <w:rPr>
                      <w:rFonts w:cs="Arial"/>
                      <w:b/>
                      <w:bCs/>
                      <w:color w:val="000000"/>
                      <w:sz w:val="20"/>
                      <w:szCs w:val="20"/>
                      <w:lang w:eastAsia="en-GB"/>
                    </w:rPr>
                    <w:t>£</w:t>
                  </w:r>
                </w:p>
              </w:tc>
            </w:tr>
            <w:tr w:rsidR="009F5E11" w:rsidRPr="009F5E11" w14:paraId="4749FACA" w14:textId="77777777" w:rsidTr="009F5E11">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749FAC6"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ST01 Learner Assessment and Plan</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749FAC7" w14:textId="77777777" w:rsidR="009F5E11" w:rsidRPr="009F5E11" w:rsidRDefault="009F5E11" w:rsidP="009F5E11">
                  <w:pPr>
                    <w:jc w:val="center"/>
                    <w:rPr>
                      <w:rFonts w:cs="Arial"/>
                      <w:color w:val="000000"/>
                      <w:sz w:val="20"/>
                      <w:szCs w:val="20"/>
                      <w:lang w:eastAsia="en-GB"/>
                    </w:rPr>
                  </w:pPr>
                  <w:r>
                    <w:rPr>
                      <w:rFonts w:cs="Arial"/>
                      <w:color w:val="000000"/>
                      <w:sz w:val="20"/>
                      <w:szCs w:val="20"/>
                      <w:lang w:eastAsia="en-GB"/>
                    </w:rPr>
                    <w:t>1,111</w:t>
                  </w:r>
                </w:p>
              </w:tc>
              <w:tc>
                <w:tcPr>
                  <w:tcW w:w="11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749FAC8"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£50</w:t>
                  </w:r>
                </w:p>
              </w:tc>
              <w:tc>
                <w:tcPr>
                  <w:tcW w:w="11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749FAC9"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£55,550</w:t>
                  </w:r>
                </w:p>
              </w:tc>
            </w:tr>
            <w:tr w:rsidR="009F5E11" w:rsidRPr="009F5E11" w14:paraId="4749FACF" w14:textId="77777777" w:rsidTr="009F5E11">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749FACB"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RQ01 Regulated Learning</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749FACC" w14:textId="77777777" w:rsidR="009F5E11" w:rsidRPr="009F5E11" w:rsidRDefault="009F5E11" w:rsidP="009F5E11">
                  <w:pPr>
                    <w:jc w:val="center"/>
                    <w:rPr>
                      <w:rFonts w:cs="Arial"/>
                      <w:color w:val="000000"/>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ACD" w14:textId="77777777" w:rsidR="009F5E11" w:rsidRPr="009F5E11" w:rsidRDefault="009F5E11" w:rsidP="009F5E11">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ACE"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£0</w:t>
                  </w:r>
                </w:p>
              </w:tc>
            </w:tr>
            <w:tr w:rsidR="009F5E11" w:rsidRPr="009F5E11" w14:paraId="4749FAD4" w14:textId="77777777" w:rsidTr="009F5E11">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749FAD0"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NR01 Non Regulated Activity</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749FAD1" w14:textId="77777777" w:rsidR="009F5E11" w:rsidRPr="009F5E11" w:rsidRDefault="009F5E11" w:rsidP="009F5E11">
                  <w:pPr>
                    <w:jc w:val="center"/>
                    <w:rPr>
                      <w:rFonts w:cs="Arial"/>
                      <w:color w:val="000000"/>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49FAD2" w14:textId="77777777" w:rsidR="009F5E11" w:rsidRPr="009F5E11" w:rsidRDefault="009F5E11" w:rsidP="009F5E11">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49FAD3"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£0</w:t>
                  </w:r>
                </w:p>
              </w:tc>
            </w:tr>
            <w:tr w:rsidR="009F5E11" w:rsidRPr="009F5E11" w14:paraId="4749FAD9" w14:textId="77777777" w:rsidTr="009F5E11">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749FAD5"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PG04 Progression Apprenticeship (EDU)</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749FAD6" w14:textId="77777777" w:rsidR="009F5E11" w:rsidRPr="009F5E11" w:rsidRDefault="009F5E11" w:rsidP="009F5E11">
                  <w:pPr>
                    <w:jc w:val="center"/>
                    <w:rPr>
                      <w:rFonts w:cs="Arial"/>
                      <w:color w:val="000000"/>
                      <w:sz w:val="20"/>
                      <w:szCs w:val="20"/>
                      <w:lang w:eastAsia="en-GB"/>
                    </w:rPr>
                  </w:pPr>
                  <w:r>
                    <w:rPr>
                      <w:rFonts w:cs="Arial"/>
                      <w:color w:val="000000"/>
                      <w:sz w:val="20"/>
                      <w:szCs w:val="20"/>
                      <w:lang w:eastAsia="en-GB"/>
                    </w:rPr>
                    <w:t>917</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AD7"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AD8"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£366,800</w:t>
                  </w:r>
                </w:p>
              </w:tc>
            </w:tr>
            <w:tr w:rsidR="009F5E11" w:rsidRPr="009F5E11" w14:paraId="4749FADE" w14:textId="77777777" w:rsidTr="009F5E11">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749FADA"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SU04 Sustained Apprenticeship 3 Months</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749FADB" w14:textId="77777777" w:rsidR="009F5E11" w:rsidRPr="009F5E11" w:rsidRDefault="009F5E11" w:rsidP="009F5E11">
                  <w:pPr>
                    <w:jc w:val="center"/>
                    <w:rPr>
                      <w:rFonts w:cs="Arial"/>
                      <w:color w:val="000000"/>
                      <w:sz w:val="20"/>
                      <w:szCs w:val="20"/>
                      <w:lang w:eastAsia="en-GB"/>
                    </w:rPr>
                  </w:pPr>
                  <w:r>
                    <w:rPr>
                      <w:rFonts w:cs="Arial"/>
                      <w:color w:val="000000"/>
                      <w:sz w:val="20"/>
                      <w:szCs w:val="20"/>
                      <w:lang w:eastAsia="en-GB"/>
                    </w:rPr>
                    <w:t>829</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49FADC"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£150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49FADD"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£124,350</w:t>
                  </w:r>
                </w:p>
              </w:tc>
            </w:tr>
            <w:tr w:rsidR="009F5E11" w:rsidRPr="009F5E11" w14:paraId="4749FAE3" w14:textId="77777777" w:rsidTr="009F5E11">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749FADF"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PG03 Progression Education</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749FAE0" w14:textId="77777777" w:rsidR="009F5E11" w:rsidRPr="009F5E11" w:rsidRDefault="009F5E11" w:rsidP="009F5E11">
                  <w:pPr>
                    <w:jc w:val="center"/>
                    <w:rPr>
                      <w:rFonts w:cs="Arial"/>
                      <w:color w:val="000000"/>
                      <w:sz w:val="20"/>
                      <w:szCs w:val="20"/>
                      <w:lang w:eastAsia="en-GB"/>
                    </w:rPr>
                  </w:pPr>
                  <w:r>
                    <w:rPr>
                      <w:rFonts w:cs="Arial"/>
                      <w:color w:val="000000"/>
                      <w:sz w:val="20"/>
                      <w:szCs w:val="20"/>
                      <w:lang w:eastAsia="en-GB"/>
                    </w:rPr>
                    <w:t>60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AE1"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AE2"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£24,000</w:t>
                  </w:r>
                </w:p>
              </w:tc>
            </w:tr>
            <w:tr w:rsidR="009F5E11" w:rsidRPr="009F5E11" w14:paraId="4749FAE8" w14:textId="77777777" w:rsidTr="009F5E11">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749FAE4"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PG05 Progression Traineeship</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749FAE5" w14:textId="77777777" w:rsidR="009F5E11" w:rsidRPr="009F5E11" w:rsidRDefault="009F5E11" w:rsidP="009F5E11">
                  <w:pPr>
                    <w:jc w:val="center"/>
                    <w:rPr>
                      <w:rFonts w:cs="Arial"/>
                      <w:color w:val="000000"/>
                      <w:sz w:val="20"/>
                      <w:szCs w:val="20"/>
                      <w:lang w:eastAsia="en-GB"/>
                    </w:rPr>
                  </w:pPr>
                  <w:r>
                    <w:rPr>
                      <w:rFonts w:cs="Arial"/>
                      <w:color w:val="000000"/>
                      <w:sz w:val="20"/>
                      <w:szCs w:val="20"/>
                      <w:lang w:eastAsia="en-GB"/>
                    </w:rPr>
                    <w:t>45</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49FAE6"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49FAE7"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£18,000</w:t>
                  </w:r>
                </w:p>
              </w:tc>
            </w:tr>
            <w:tr w:rsidR="009F5E11" w:rsidRPr="009F5E11" w14:paraId="4749FAED" w14:textId="77777777" w:rsidTr="009F5E11">
              <w:trPr>
                <w:trHeight w:val="60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749FAE9"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SD01 Business Engagement and Brokerage Service provided per employer</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749FAEA" w14:textId="77777777" w:rsidR="009F5E11" w:rsidRPr="009F5E11" w:rsidRDefault="009F5E11" w:rsidP="009F5E11">
                  <w:pPr>
                    <w:jc w:val="center"/>
                    <w:rPr>
                      <w:rFonts w:cs="Arial"/>
                      <w:color w:val="000000"/>
                      <w:sz w:val="20"/>
                      <w:szCs w:val="20"/>
                      <w:lang w:eastAsia="en-GB"/>
                    </w:rPr>
                  </w:pPr>
                  <w:r>
                    <w:rPr>
                      <w:rFonts w:cs="Arial"/>
                      <w:color w:val="000000"/>
                      <w:sz w:val="20"/>
                      <w:szCs w:val="20"/>
                      <w:lang w:eastAsia="en-GB"/>
                    </w:rPr>
                    <w:t>2,764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AEB"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£100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AEC"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£276,400</w:t>
                  </w:r>
                </w:p>
              </w:tc>
            </w:tr>
            <w:tr w:rsidR="009F5E11" w:rsidRPr="009F5E11" w14:paraId="4749FAF2" w14:textId="77777777" w:rsidTr="009F5E11">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749FAEE"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SD02 Progression into Higher Education</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749FAEF" w14:textId="77777777" w:rsidR="009F5E11" w:rsidRPr="009F5E11" w:rsidRDefault="009F5E11" w:rsidP="009F5E11">
                  <w:pPr>
                    <w:jc w:val="center"/>
                    <w:rPr>
                      <w:rFonts w:cs="Arial"/>
                      <w:color w:val="000000"/>
                      <w:sz w:val="20"/>
                      <w:szCs w:val="20"/>
                      <w:lang w:eastAsia="en-GB"/>
                    </w:rPr>
                  </w:pPr>
                  <w:r>
                    <w:rPr>
                      <w:rFonts w:cs="Arial"/>
                      <w:color w:val="000000"/>
                      <w:sz w:val="20"/>
                      <w:szCs w:val="20"/>
                      <w:lang w:eastAsia="en-GB"/>
                    </w:rPr>
                    <w:t>34</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49FAF0"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£200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49FAF1"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£6,800</w:t>
                  </w:r>
                </w:p>
              </w:tc>
            </w:tr>
            <w:tr w:rsidR="009F5E11" w:rsidRPr="009F5E11" w14:paraId="4749FAF7" w14:textId="77777777" w:rsidTr="009F5E11">
              <w:trPr>
                <w:trHeight w:val="60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749FAF3"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SD03 Progression into Higher Apprenticeship or Degree Apprenticeship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9FAF4" w14:textId="77777777" w:rsidR="009F5E11" w:rsidRPr="009F5E11" w:rsidRDefault="009F5E11" w:rsidP="009F5E11">
                  <w:pPr>
                    <w:jc w:val="center"/>
                    <w:rPr>
                      <w:rFonts w:cs="Arial"/>
                      <w:sz w:val="20"/>
                      <w:szCs w:val="20"/>
                      <w:lang w:eastAsia="en-GB"/>
                    </w:rPr>
                  </w:pPr>
                  <w:r w:rsidRPr="009F5E11">
                    <w:rPr>
                      <w:rFonts w:cs="Arial"/>
                      <w:sz w:val="20"/>
                      <w:szCs w:val="20"/>
                      <w:lang w:eastAsia="en-GB"/>
                    </w:rPr>
                    <w:t>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AF5"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£200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AF6"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£5,000</w:t>
                  </w:r>
                </w:p>
              </w:tc>
            </w:tr>
            <w:tr w:rsidR="009F5E11" w:rsidRPr="009F5E11" w14:paraId="4749FAFC" w14:textId="77777777" w:rsidTr="009F5E11">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749FAF8"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SU05 Sustained Traineeship 3 Months</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749FAF9" w14:textId="77777777" w:rsidR="009F5E11" w:rsidRPr="009F5E11" w:rsidRDefault="009F5E11" w:rsidP="009F5E11">
                  <w:pPr>
                    <w:jc w:val="center"/>
                    <w:rPr>
                      <w:rFonts w:cs="Arial"/>
                      <w:sz w:val="20"/>
                      <w:szCs w:val="20"/>
                      <w:lang w:eastAsia="en-GB"/>
                    </w:rPr>
                  </w:pPr>
                  <w:r w:rsidRPr="009F5E11">
                    <w:rPr>
                      <w:rFonts w:cs="Arial"/>
                      <w:sz w:val="20"/>
                      <w:szCs w:val="20"/>
                      <w:lang w:eastAsia="en-GB"/>
                    </w:rPr>
                    <w:t>44</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49FAFA"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£150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49FAFB"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£6,600</w:t>
                  </w:r>
                </w:p>
              </w:tc>
            </w:tr>
            <w:tr w:rsidR="009F5E11" w:rsidRPr="009F5E11" w14:paraId="4749FB01" w14:textId="77777777" w:rsidTr="009F5E11">
              <w:trPr>
                <w:trHeight w:val="54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749FAFD"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SD04 Deliver school / provider events</w:t>
                  </w:r>
                </w:p>
              </w:tc>
              <w:tc>
                <w:tcPr>
                  <w:tcW w:w="11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749FAFE" w14:textId="77777777" w:rsidR="009F5E11" w:rsidRPr="009F5E11" w:rsidRDefault="009F5E11" w:rsidP="009F5E11">
                  <w:pPr>
                    <w:jc w:val="center"/>
                    <w:rPr>
                      <w:rFonts w:cs="Arial"/>
                      <w:sz w:val="20"/>
                      <w:szCs w:val="20"/>
                      <w:lang w:eastAsia="en-GB"/>
                    </w:rPr>
                  </w:pPr>
                  <w:r w:rsidRPr="009F5E11">
                    <w:rPr>
                      <w:rFonts w:cs="Arial"/>
                      <w:sz w:val="20"/>
                      <w:szCs w:val="20"/>
                      <w:lang w:eastAsia="en-GB"/>
                    </w:rPr>
                    <w:t>12</w:t>
                  </w:r>
                </w:p>
              </w:tc>
              <w:tc>
                <w:tcPr>
                  <w:tcW w:w="11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49FAFF"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£1,500</w:t>
                  </w:r>
                </w:p>
              </w:tc>
              <w:tc>
                <w:tcPr>
                  <w:tcW w:w="11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49FB00"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£18,000</w:t>
                  </w:r>
                </w:p>
              </w:tc>
            </w:tr>
            <w:tr w:rsidR="009F5E11" w:rsidRPr="009F5E11" w14:paraId="4749FB06" w14:textId="77777777" w:rsidTr="009F5E11">
              <w:trPr>
                <w:trHeight w:val="57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749FB02"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lastRenderedPageBreak/>
                    <w:t>SD05 Develop Apprenticeship Resource packs</w:t>
                  </w:r>
                </w:p>
              </w:tc>
              <w:tc>
                <w:tcPr>
                  <w:tcW w:w="110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749FB03" w14:textId="77777777" w:rsidR="009F5E11" w:rsidRPr="009F5E11" w:rsidRDefault="009F5E11" w:rsidP="009F5E11">
                  <w:pPr>
                    <w:jc w:val="center"/>
                    <w:rPr>
                      <w:rFonts w:cs="Arial"/>
                      <w:sz w:val="20"/>
                      <w:szCs w:val="20"/>
                      <w:lang w:eastAsia="en-GB"/>
                    </w:rPr>
                  </w:pPr>
                  <w:r w:rsidRPr="009F5E11">
                    <w:rPr>
                      <w:rFonts w:cs="Arial"/>
                      <w:sz w:val="20"/>
                      <w:szCs w:val="20"/>
                      <w:lang w:eastAsia="en-GB"/>
                    </w:rPr>
                    <w:t>3</w:t>
                  </w:r>
                </w:p>
              </w:tc>
              <w:tc>
                <w:tcPr>
                  <w:tcW w:w="11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749FB04"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£10,000</w:t>
                  </w:r>
                </w:p>
              </w:tc>
              <w:tc>
                <w:tcPr>
                  <w:tcW w:w="110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749FB05"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£30,000</w:t>
                  </w:r>
                </w:p>
              </w:tc>
            </w:tr>
            <w:tr w:rsidR="009F5E11" w:rsidRPr="009F5E11" w14:paraId="4749FB0B" w14:textId="77777777" w:rsidTr="009F5E11">
              <w:trPr>
                <w:trHeight w:val="60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749FB07"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SD06 Humber Apprenticeship Pilot Tracking System and reporting</w:t>
                  </w:r>
                </w:p>
              </w:tc>
              <w:tc>
                <w:tcPr>
                  <w:tcW w:w="11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749FB08" w14:textId="77777777" w:rsidR="009F5E11" w:rsidRPr="009F5E11" w:rsidRDefault="009F5E11" w:rsidP="009F5E11">
                  <w:pPr>
                    <w:jc w:val="center"/>
                    <w:rPr>
                      <w:rFonts w:cs="Arial"/>
                      <w:sz w:val="20"/>
                      <w:szCs w:val="20"/>
                      <w:lang w:eastAsia="en-GB"/>
                    </w:rPr>
                  </w:pPr>
                  <w:r w:rsidRPr="009F5E11">
                    <w:rPr>
                      <w:rFonts w:cs="Arial"/>
                      <w:sz w:val="20"/>
                      <w:szCs w:val="20"/>
                      <w:lang w:eastAsia="en-GB"/>
                    </w:rPr>
                    <w:t>1</w:t>
                  </w:r>
                </w:p>
              </w:tc>
              <w:tc>
                <w:tcPr>
                  <w:tcW w:w="11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49FB09"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£3,000</w:t>
                  </w:r>
                </w:p>
              </w:tc>
              <w:tc>
                <w:tcPr>
                  <w:tcW w:w="11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49FB0A"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£3,000</w:t>
                  </w:r>
                </w:p>
              </w:tc>
            </w:tr>
            <w:tr w:rsidR="009F5E11" w:rsidRPr="009F5E11" w14:paraId="4749FB10" w14:textId="77777777" w:rsidTr="009F5E11">
              <w:trPr>
                <w:trHeight w:val="600"/>
              </w:trPr>
              <w:tc>
                <w:tcPr>
                  <w:tcW w:w="6100" w:type="dxa"/>
                  <w:tcBorders>
                    <w:top w:val="single" w:sz="4" w:space="0" w:color="auto"/>
                    <w:left w:val="single" w:sz="4" w:space="0" w:color="000000"/>
                    <w:bottom w:val="single" w:sz="4" w:space="0" w:color="000000"/>
                    <w:right w:val="single" w:sz="4" w:space="0" w:color="000000"/>
                  </w:tcBorders>
                  <w:shd w:val="clear" w:color="D9D9D9" w:fill="D9D9D9"/>
                  <w:vAlign w:val="center"/>
                  <w:hideMark/>
                </w:tcPr>
                <w:p w14:paraId="4749FB0C"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SU11 Sustained Employment 6 months</w:t>
                  </w:r>
                </w:p>
              </w:tc>
              <w:tc>
                <w:tcPr>
                  <w:tcW w:w="110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749FB0D" w14:textId="77777777" w:rsidR="009F5E11" w:rsidRPr="009F5E11" w:rsidRDefault="009F5E11" w:rsidP="009F5E11">
                  <w:pPr>
                    <w:jc w:val="center"/>
                    <w:rPr>
                      <w:rFonts w:cs="Arial"/>
                      <w:sz w:val="20"/>
                      <w:szCs w:val="20"/>
                      <w:lang w:eastAsia="en-GB"/>
                    </w:rPr>
                  </w:pPr>
                  <w:r w:rsidRPr="009F5E11">
                    <w:rPr>
                      <w:rFonts w:cs="Arial"/>
                      <w:sz w:val="20"/>
                      <w:szCs w:val="20"/>
                      <w:lang w:eastAsia="en-GB"/>
                    </w:rPr>
                    <w:t>410</w:t>
                  </w:r>
                </w:p>
              </w:tc>
              <w:tc>
                <w:tcPr>
                  <w:tcW w:w="11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749FB0E"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£150</w:t>
                  </w:r>
                </w:p>
              </w:tc>
              <w:tc>
                <w:tcPr>
                  <w:tcW w:w="110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749FB0F"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£61,500</w:t>
                  </w:r>
                </w:p>
              </w:tc>
            </w:tr>
            <w:tr w:rsidR="009F5E11" w:rsidRPr="009F5E11" w14:paraId="4749FB15" w14:textId="77777777" w:rsidTr="009F5E11">
              <w:trPr>
                <w:trHeight w:val="60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749FB11" w14:textId="77777777" w:rsidR="009F5E11" w:rsidRPr="009F5E11" w:rsidRDefault="009F5E11" w:rsidP="009F5E11">
                  <w:pPr>
                    <w:rPr>
                      <w:rFonts w:cs="Arial"/>
                      <w:color w:val="000000"/>
                      <w:sz w:val="20"/>
                      <w:szCs w:val="20"/>
                      <w:lang w:eastAsia="en-GB"/>
                    </w:rPr>
                  </w:pPr>
                  <w:r w:rsidRPr="009F5E11">
                    <w:rPr>
                      <w:rFonts w:cs="Arial"/>
                      <w:color w:val="000000"/>
                      <w:sz w:val="20"/>
                      <w:szCs w:val="20"/>
                      <w:lang w:eastAsia="en-GB"/>
                    </w:rPr>
                    <w:t>SD07 Refresh Apprenticeship Micro Site</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9FB12" w14:textId="77777777" w:rsidR="009F5E11" w:rsidRPr="009F5E11" w:rsidRDefault="009F5E11" w:rsidP="009F5E11">
                  <w:pPr>
                    <w:jc w:val="center"/>
                    <w:rPr>
                      <w:rFonts w:cs="Arial"/>
                      <w:sz w:val="20"/>
                      <w:szCs w:val="20"/>
                      <w:lang w:eastAsia="en-GB"/>
                    </w:rPr>
                  </w:pPr>
                  <w:r w:rsidRPr="009F5E11">
                    <w:rPr>
                      <w:rFonts w:cs="Arial"/>
                      <w:sz w:val="20"/>
                      <w:szCs w:val="20"/>
                      <w:lang w:eastAsia="en-GB"/>
                    </w:rPr>
                    <w:t>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B13"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£4,000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FB14" w14:textId="77777777" w:rsidR="009F5E11" w:rsidRPr="009F5E11" w:rsidRDefault="009F5E11" w:rsidP="009F5E11">
                  <w:pPr>
                    <w:jc w:val="center"/>
                    <w:rPr>
                      <w:rFonts w:cs="Arial"/>
                      <w:color w:val="000000"/>
                      <w:sz w:val="20"/>
                      <w:szCs w:val="20"/>
                      <w:lang w:eastAsia="en-GB"/>
                    </w:rPr>
                  </w:pPr>
                  <w:r w:rsidRPr="009F5E11">
                    <w:rPr>
                      <w:rFonts w:cs="Arial"/>
                      <w:color w:val="000000"/>
                      <w:sz w:val="20"/>
                      <w:szCs w:val="20"/>
                      <w:lang w:eastAsia="en-GB"/>
                    </w:rPr>
                    <w:t>£4,000</w:t>
                  </w:r>
                </w:p>
              </w:tc>
            </w:tr>
          </w:tbl>
          <w:p w14:paraId="4749FB16" w14:textId="77777777" w:rsidR="009F5E11" w:rsidRDefault="009F5E11" w:rsidP="00B6304D">
            <w:pPr>
              <w:autoSpaceDE w:val="0"/>
              <w:autoSpaceDN w:val="0"/>
              <w:adjustRightInd w:val="0"/>
              <w:rPr>
                <w:rFonts w:cs="Arial"/>
                <w:b/>
              </w:rPr>
            </w:pPr>
          </w:p>
          <w:p w14:paraId="4749FB17" w14:textId="77777777" w:rsidR="009F5E11" w:rsidRDefault="009F5E11" w:rsidP="00B6304D">
            <w:pPr>
              <w:autoSpaceDE w:val="0"/>
              <w:autoSpaceDN w:val="0"/>
              <w:adjustRightInd w:val="0"/>
              <w:rPr>
                <w:rFonts w:cs="Arial"/>
                <w:b/>
              </w:rPr>
            </w:pPr>
          </w:p>
          <w:p w14:paraId="4749FB18" w14:textId="77777777" w:rsidR="009F5E11" w:rsidRDefault="009F5E11" w:rsidP="00B6304D">
            <w:pPr>
              <w:autoSpaceDE w:val="0"/>
              <w:autoSpaceDN w:val="0"/>
              <w:adjustRightInd w:val="0"/>
              <w:rPr>
                <w:rFonts w:cs="Arial"/>
                <w:b/>
              </w:rPr>
            </w:pPr>
          </w:p>
          <w:p w14:paraId="4749FB19" w14:textId="77777777" w:rsidR="009F5E11" w:rsidRPr="009F5E11" w:rsidRDefault="009F5E11" w:rsidP="00B6304D">
            <w:pPr>
              <w:autoSpaceDE w:val="0"/>
              <w:autoSpaceDN w:val="0"/>
              <w:adjustRightInd w:val="0"/>
              <w:rPr>
                <w:rFonts w:cs="Arial"/>
                <w:b/>
              </w:rPr>
            </w:pPr>
          </w:p>
          <w:p w14:paraId="4749FB1A" w14:textId="77777777" w:rsidR="00627E01" w:rsidRPr="008F3655" w:rsidRDefault="00627E01" w:rsidP="00627E01">
            <w:pPr>
              <w:rPr>
                <w:rFonts w:cs="Arial"/>
                <w:b/>
              </w:rPr>
            </w:pPr>
          </w:p>
        </w:tc>
      </w:tr>
    </w:tbl>
    <w:p w14:paraId="4749FB1C" w14:textId="77777777" w:rsidR="00A005EF" w:rsidRDefault="00A005EF">
      <w:pPr>
        <w:rPr>
          <w:rFonts w:cs="Arial"/>
        </w:rPr>
      </w:pPr>
    </w:p>
    <w:p w14:paraId="4A97E287" w14:textId="77777777" w:rsidR="00681ED5" w:rsidRDefault="00681ED5">
      <w:pPr>
        <w:rPr>
          <w:rFonts w:cs="Arial"/>
        </w:rPr>
      </w:pPr>
    </w:p>
    <w:p w14:paraId="3FDA3015" w14:textId="77777777" w:rsidR="00681ED5" w:rsidRDefault="00681ED5">
      <w:pPr>
        <w:rPr>
          <w:rFonts w:cs="Arial"/>
        </w:rPr>
      </w:pPr>
    </w:p>
    <w:p w14:paraId="307363B5" w14:textId="77777777" w:rsidR="00681ED5" w:rsidRDefault="00681ED5">
      <w:pPr>
        <w:rPr>
          <w:rFonts w:cs="Arial"/>
        </w:rPr>
      </w:pPr>
    </w:p>
    <w:p w14:paraId="55C4D492" w14:textId="77777777" w:rsidR="00681ED5" w:rsidRDefault="00681ED5">
      <w:pPr>
        <w:rPr>
          <w:rFonts w:cs="Arial"/>
        </w:rPr>
      </w:pPr>
    </w:p>
    <w:p w14:paraId="7B1BB941" w14:textId="77777777" w:rsidR="00681ED5" w:rsidRDefault="00681ED5">
      <w:pPr>
        <w:rPr>
          <w:rFonts w:cs="Arial"/>
        </w:rPr>
      </w:pPr>
    </w:p>
    <w:p w14:paraId="719EF91B" w14:textId="77777777" w:rsidR="00681ED5" w:rsidRDefault="00681ED5">
      <w:pPr>
        <w:rPr>
          <w:rFonts w:cs="Arial"/>
        </w:rPr>
      </w:pPr>
    </w:p>
    <w:p w14:paraId="7AC782CE" w14:textId="77777777" w:rsidR="00681ED5" w:rsidRDefault="00681ED5">
      <w:pPr>
        <w:rPr>
          <w:rFonts w:cs="Arial"/>
        </w:rPr>
      </w:pPr>
    </w:p>
    <w:p w14:paraId="52F21EBB" w14:textId="77777777" w:rsidR="00681ED5" w:rsidRDefault="00681ED5">
      <w:pPr>
        <w:rPr>
          <w:rFonts w:cs="Arial"/>
        </w:rPr>
      </w:pPr>
    </w:p>
    <w:p w14:paraId="2D91DC8D" w14:textId="77777777" w:rsidR="00681ED5" w:rsidRDefault="00681ED5">
      <w:pPr>
        <w:rPr>
          <w:rFonts w:cs="Arial"/>
        </w:rPr>
      </w:pPr>
    </w:p>
    <w:p w14:paraId="4FC6E749" w14:textId="77777777" w:rsidR="00681ED5" w:rsidRDefault="00681ED5">
      <w:pPr>
        <w:rPr>
          <w:rFonts w:cs="Arial"/>
        </w:rPr>
      </w:pPr>
    </w:p>
    <w:p w14:paraId="1CA3C219" w14:textId="77777777" w:rsidR="00681ED5" w:rsidRDefault="00681ED5">
      <w:pPr>
        <w:rPr>
          <w:rFonts w:cs="Arial"/>
        </w:rPr>
      </w:pPr>
    </w:p>
    <w:p w14:paraId="515A061C" w14:textId="77777777" w:rsidR="00681ED5" w:rsidRDefault="00681ED5">
      <w:pPr>
        <w:rPr>
          <w:rFonts w:cs="Arial"/>
        </w:rPr>
      </w:pPr>
    </w:p>
    <w:p w14:paraId="05A92F86" w14:textId="77777777" w:rsidR="00681ED5" w:rsidRDefault="00681ED5">
      <w:pPr>
        <w:rPr>
          <w:rFonts w:cs="Arial"/>
        </w:rPr>
      </w:pPr>
    </w:p>
    <w:p w14:paraId="4690E8DE" w14:textId="77777777" w:rsidR="00681ED5" w:rsidRDefault="00681ED5">
      <w:pPr>
        <w:rPr>
          <w:rFonts w:cs="Arial"/>
        </w:rPr>
      </w:pPr>
    </w:p>
    <w:p w14:paraId="40426789" w14:textId="77777777" w:rsidR="00681ED5" w:rsidRDefault="00681ED5">
      <w:pPr>
        <w:rPr>
          <w:rFonts w:cs="Arial"/>
        </w:rPr>
      </w:pPr>
    </w:p>
    <w:p w14:paraId="4E8AD945" w14:textId="77777777" w:rsidR="00681ED5" w:rsidRDefault="00681ED5">
      <w:pPr>
        <w:rPr>
          <w:rFonts w:cs="Arial"/>
        </w:rPr>
      </w:pPr>
    </w:p>
    <w:p w14:paraId="3FBE187D" w14:textId="77777777" w:rsidR="00681ED5" w:rsidRDefault="00681ED5">
      <w:pPr>
        <w:rPr>
          <w:rFonts w:cs="Arial"/>
        </w:rPr>
      </w:pPr>
    </w:p>
    <w:p w14:paraId="7ABE46E1" w14:textId="77777777" w:rsidR="00681ED5" w:rsidRDefault="00681ED5">
      <w:pPr>
        <w:rPr>
          <w:rFonts w:cs="Arial"/>
        </w:rPr>
      </w:pPr>
    </w:p>
    <w:p w14:paraId="70B20CE9" w14:textId="77777777" w:rsidR="00681ED5" w:rsidRDefault="00681ED5">
      <w:pPr>
        <w:rPr>
          <w:rFonts w:cs="Arial"/>
        </w:rPr>
      </w:pPr>
    </w:p>
    <w:p w14:paraId="79A64B7D" w14:textId="77777777" w:rsidR="00681ED5" w:rsidRDefault="00681ED5">
      <w:pPr>
        <w:rPr>
          <w:rFonts w:cs="Arial"/>
        </w:rPr>
      </w:pPr>
    </w:p>
    <w:p w14:paraId="7BAAFC8F" w14:textId="77777777" w:rsidR="00681ED5" w:rsidRDefault="00681ED5">
      <w:pPr>
        <w:rPr>
          <w:rFonts w:cs="Arial"/>
        </w:rPr>
      </w:pPr>
    </w:p>
    <w:p w14:paraId="69A7E76B" w14:textId="77777777" w:rsidR="00681ED5" w:rsidRDefault="00681ED5">
      <w:pPr>
        <w:rPr>
          <w:rFonts w:cs="Arial"/>
        </w:rPr>
      </w:pPr>
    </w:p>
    <w:p w14:paraId="6965DC3E" w14:textId="77777777" w:rsidR="00681ED5" w:rsidRDefault="00681ED5">
      <w:pPr>
        <w:rPr>
          <w:rFonts w:cs="Arial"/>
        </w:rPr>
      </w:pPr>
    </w:p>
    <w:p w14:paraId="03BF37B4" w14:textId="77777777" w:rsidR="00681ED5" w:rsidRDefault="00681ED5">
      <w:pPr>
        <w:rPr>
          <w:rFonts w:cs="Arial"/>
        </w:rPr>
      </w:pPr>
    </w:p>
    <w:p w14:paraId="59C8AD8F" w14:textId="77777777" w:rsidR="00681ED5" w:rsidRDefault="00681ED5">
      <w:pPr>
        <w:rPr>
          <w:rFonts w:cs="Arial"/>
        </w:rPr>
      </w:pPr>
    </w:p>
    <w:p w14:paraId="02B7377F" w14:textId="77777777" w:rsidR="00681ED5" w:rsidRDefault="00681ED5">
      <w:pPr>
        <w:rPr>
          <w:rFonts w:cs="Arial"/>
        </w:rPr>
      </w:pPr>
    </w:p>
    <w:p w14:paraId="49D8AFDE" w14:textId="77777777" w:rsidR="00681ED5" w:rsidRDefault="00681ED5">
      <w:pPr>
        <w:rPr>
          <w:rFonts w:cs="Arial"/>
        </w:rPr>
      </w:pPr>
    </w:p>
    <w:p w14:paraId="18DFC25A" w14:textId="77777777" w:rsidR="00681ED5" w:rsidRDefault="00681ED5">
      <w:pPr>
        <w:rPr>
          <w:rFonts w:cs="Arial"/>
        </w:rPr>
      </w:pPr>
    </w:p>
    <w:p w14:paraId="5B2FB3FC" w14:textId="77777777" w:rsidR="00681ED5" w:rsidRDefault="00681ED5">
      <w:pPr>
        <w:rPr>
          <w:rFonts w:cs="Arial"/>
        </w:rPr>
      </w:pPr>
    </w:p>
    <w:p w14:paraId="5018BAB7" w14:textId="77777777" w:rsidR="00681ED5" w:rsidRDefault="00681ED5">
      <w:pPr>
        <w:rPr>
          <w:rFonts w:cs="Arial"/>
        </w:rPr>
      </w:pPr>
    </w:p>
    <w:p w14:paraId="5FBFD519" w14:textId="77777777" w:rsidR="00681ED5" w:rsidRDefault="00681ED5">
      <w:pPr>
        <w:rPr>
          <w:rFonts w:cs="Arial"/>
        </w:rPr>
      </w:pPr>
    </w:p>
    <w:p w14:paraId="5D5EF905" w14:textId="77777777" w:rsidR="00681ED5" w:rsidRDefault="00681ED5">
      <w:pPr>
        <w:rPr>
          <w:rFonts w:cs="Arial"/>
        </w:rPr>
      </w:pPr>
    </w:p>
    <w:p w14:paraId="1F8425F6" w14:textId="77777777" w:rsidR="00681ED5" w:rsidRDefault="00681ED5">
      <w:pPr>
        <w:rPr>
          <w:rFonts w:cs="Arial"/>
        </w:rPr>
      </w:pPr>
    </w:p>
    <w:p w14:paraId="2BB10C7C" w14:textId="77777777" w:rsidR="00681ED5" w:rsidRDefault="00681ED5">
      <w:pPr>
        <w:rPr>
          <w:rFonts w:cs="Arial"/>
        </w:rPr>
      </w:pPr>
    </w:p>
    <w:sectPr w:rsidR="00681ED5"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DF357" w14:textId="77777777" w:rsidR="001E0184" w:rsidRDefault="001E0184">
      <w:r>
        <w:separator/>
      </w:r>
    </w:p>
  </w:endnote>
  <w:endnote w:type="continuationSeparator" w:id="0">
    <w:p w14:paraId="2ECE6B6A" w14:textId="77777777" w:rsidR="001E0184" w:rsidRDefault="001E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749FB2A" w14:textId="77777777" w:rsidR="002A66DD" w:rsidRDefault="002A66DD">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2A66DD" w14:paraId="4749FB2D" w14:textId="77777777" w:rsidTr="009808AC">
          <w:tc>
            <w:tcPr>
              <w:tcW w:w="4908" w:type="dxa"/>
            </w:tcPr>
            <w:p w14:paraId="4749FB2B" w14:textId="77777777" w:rsidR="002A66DD" w:rsidRDefault="002A66DD" w:rsidP="009808AC">
              <w:pPr>
                <w:pStyle w:val="Footer"/>
              </w:pPr>
            </w:p>
          </w:tc>
          <w:tc>
            <w:tcPr>
              <w:tcW w:w="3869" w:type="dxa"/>
            </w:tcPr>
            <w:p w14:paraId="4749FB2C" w14:textId="77777777" w:rsidR="002A66DD" w:rsidRDefault="002A66DD"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852020">
                <w:rPr>
                  <w:b/>
                  <w:bCs/>
                  <w:noProof/>
                </w:rPr>
                <w:t>1</w:t>
              </w:r>
              <w:r>
                <w:rPr>
                  <w:b/>
                  <w:bCs/>
                </w:rPr>
                <w:fldChar w:fldCharType="end"/>
              </w:r>
              <w:r>
                <w:t xml:space="preserve"> of </w:t>
              </w:r>
              <w:fldSimple w:instr=" NUMPAGES  \* Arabic  \* MERGEFORMAT ">
                <w:r w:rsidR="00852020" w:rsidRPr="00852020">
                  <w:rPr>
                    <w:b/>
                    <w:bCs/>
                    <w:noProof/>
                  </w:rPr>
                  <w:t>11</w:t>
                </w:r>
              </w:fldSimple>
            </w:p>
          </w:tc>
        </w:tr>
      </w:tbl>
      <w:p w14:paraId="4749FB2E" w14:textId="77777777" w:rsidR="002A66DD" w:rsidRDefault="001E0184">
        <w:pPr>
          <w:pStyle w:val="Footer"/>
          <w:jc w:val="right"/>
        </w:pPr>
      </w:p>
    </w:sdtContent>
  </w:sdt>
  <w:p w14:paraId="4749FB2F" w14:textId="77777777" w:rsidR="002A66DD" w:rsidRDefault="002A6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FFD8B" w14:textId="77777777" w:rsidR="001E0184" w:rsidRDefault="001E0184">
      <w:r>
        <w:separator/>
      </w:r>
    </w:p>
  </w:footnote>
  <w:footnote w:type="continuationSeparator" w:id="0">
    <w:p w14:paraId="6A63D685" w14:textId="77777777" w:rsidR="001E0184" w:rsidRDefault="001E0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749FB29" w14:textId="77777777" w:rsidR="002A66DD" w:rsidRDefault="001E0184">
        <w:pPr>
          <w:pStyle w:val="Header"/>
        </w:pPr>
        <w:r>
          <w:rPr>
            <w:noProof/>
            <w:lang w:val="en-US"/>
          </w:rPr>
          <w:pict w14:anchorId="4749F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C181F"/>
    <w:multiLevelType w:val="hybridMultilevel"/>
    <w:tmpl w:val="40F4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27BEF"/>
    <w:multiLevelType w:val="hybridMultilevel"/>
    <w:tmpl w:val="C33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C81F5D"/>
    <w:multiLevelType w:val="hybridMultilevel"/>
    <w:tmpl w:val="CB647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840446"/>
    <w:multiLevelType w:val="hybridMultilevel"/>
    <w:tmpl w:val="164CC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36F16"/>
    <w:multiLevelType w:val="hybridMultilevel"/>
    <w:tmpl w:val="BEC64D6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0"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15:restartNumberingAfterBreak="0">
    <w:nsid w:val="5779774E"/>
    <w:multiLevelType w:val="hybridMultilevel"/>
    <w:tmpl w:val="61509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B469E0"/>
    <w:multiLevelType w:val="hybridMultilevel"/>
    <w:tmpl w:val="E8C0B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7" w15:restartNumberingAfterBreak="0">
    <w:nsid w:val="66A04214"/>
    <w:multiLevelType w:val="hybridMultilevel"/>
    <w:tmpl w:val="6036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26"/>
  </w:num>
  <w:num w:numId="4">
    <w:abstractNumId w:val="26"/>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22"/>
  </w:num>
  <w:num w:numId="11">
    <w:abstractNumId w:val="20"/>
  </w:num>
  <w:num w:numId="12">
    <w:abstractNumId w:val="30"/>
  </w:num>
  <w:num w:numId="13">
    <w:abstractNumId w:val="25"/>
  </w:num>
  <w:num w:numId="14">
    <w:abstractNumId w:val="16"/>
  </w:num>
  <w:num w:numId="15">
    <w:abstractNumId w:val="11"/>
  </w:num>
  <w:num w:numId="16">
    <w:abstractNumId w:val="8"/>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8"/>
  </w:num>
  <w:num w:numId="27">
    <w:abstractNumId w:val="10"/>
  </w:num>
  <w:num w:numId="28">
    <w:abstractNumId w:val="15"/>
  </w:num>
  <w:num w:numId="29">
    <w:abstractNumId w:val="5"/>
  </w:num>
  <w:num w:numId="30">
    <w:abstractNumId w:val="19"/>
  </w:num>
  <w:num w:numId="31">
    <w:abstractNumId w:val="12"/>
  </w:num>
  <w:num w:numId="32">
    <w:abstractNumId w:val="6"/>
  </w:num>
  <w:num w:numId="33">
    <w:abstractNumId w:val="17"/>
  </w:num>
  <w:num w:numId="34">
    <w:abstractNumId w:val="9"/>
  </w:num>
  <w:num w:numId="35">
    <w:abstractNumId w:val="23"/>
  </w:num>
  <w:num w:numId="36">
    <w:abstractNumId w:val="27"/>
  </w:num>
  <w:num w:numId="37">
    <w:abstractNumId w:val="24"/>
  </w:num>
  <w:num w:numId="38">
    <w:abstractNumId w:val="1"/>
  </w:num>
  <w:num w:numId="39">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2ED9"/>
    <w:rsid w:val="000B3D53"/>
    <w:rsid w:val="000B41E7"/>
    <w:rsid w:val="000B44ED"/>
    <w:rsid w:val="000B4E0D"/>
    <w:rsid w:val="000C0B90"/>
    <w:rsid w:val="000C1CF5"/>
    <w:rsid w:val="000C4E1D"/>
    <w:rsid w:val="000C7A51"/>
    <w:rsid w:val="000C7D13"/>
    <w:rsid w:val="000D0395"/>
    <w:rsid w:val="000D3936"/>
    <w:rsid w:val="000D4283"/>
    <w:rsid w:val="000D51DE"/>
    <w:rsid w:val="000E4725"/>
    <w:rsid w:val="000E66D3"/>
    <w:rsid w:val="000F0F49"/>
    <w:rsid w:val="000F1295"/>
    <w:rsid w:val="000F1BF3"/>
    <w:rsid w:val="000F626B"/>
    <w:rsid w:val="00101C79"/>
    <w:rsid w:val="001034C0"/>
    <w:rsid w:val="00105A7C"/>
    <w:rsid w:val="00110113"/>
    <w:rsid w:val="00111F99"/>
    <w:rsid w:val="0012138E"/>
    <w:rsid w:val="001217DC"/>
    <w:rsid w:val="00123C60"/>
    <w:rsid w:val="00125382"/>
    <w:rsid w:val="00131443"/>
    <w:rsid w:val="0013204A"/>
    <w:rsid w:val="00133A11"/>
    <w:rsid w:val="00136327"/>
    <w:rsid w:val="00137737"/>
    <w:rsid w:val="00143A7D"/>
    <w:rsid w:val="0014799D"/>
    <w:rsid w:val="0015011A"/>
    <w:rsid w:val="001535BC"/>
    <w:rsid w:val="001545B4"/>
    <w:rsid w:val="00155553"/>
    <w:rsid w:val="00162B5B"/>
    <w:rsid w:val="0017038F"/>
    <w:rsid w:val="00171CCB"/>
    <w:rsid w:val="0017418C"/>
    <w:rsid w:val="00174AD4"/>
    <w:rsid w:val="00174E73"/>
    <w:rsid w:val="00184C5C"/>
    <w:rsid w:val="00186C06"/>
    <w:rsid w:val="00190B4B"/>
    <w:rsid w:val="00191EFE"/>
    <w:rsid w:val="0019279D"/>
    <w:rsid w:val="001931FA"/>
    <w:rsid w:val="00194CEF"/>
    <w:rsid w:val="00195C99"/>
    <w:rsid w:val="001A0525"/>
    <w:rsid w:val="001A1174"/>
    <w:rsid w:val="001A34A6"/>
    <w:rsid w:val="001A4B05"/>
    <w:rsid w:val="001A4B42"/>
    <w:rsid w:val="001A4EF8"/>
    <w:rsid w:val="001A5133"/>
    <w:rsid w:val="001B0B95"/>
    <w:rsid w:val="001B180A"/>
    <w:rsid w:val="001B287B"/>
    <w:rsid w:val="001C0F4B"/>
    <w:rsid w:val="001C5ABA"/>
    <w:rsid w:val="001C6BE0"/>
    <w:rsid w:val="001D0F03"/>
    <w:rsid w:val="001D1AC8"/>
    <w:rsid w:val="001E0184"/>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373D"/>
    <w:rsid w:val="00234B05"/>
    <w:rsid w:val="002369B8"/>
    <w:rsid w:val="00236EB2"/>
    <w:rsid w:val="002425BB"/>
    <w:rsid w:val="00244732"/>
    <w:rsid w:val="00246ACC"/>
    <w:rsid w:val="0024756B"/>
    <w:rsid w:val="0025417A"/>
    <w:rsid w:val="00254DC6"/>
    <w:rsid w:val="002600A9"/>
    <w:rsid w:val="00261A57"/>
    <w:rsid w:val="00261BD3"/>
    <w:rsid w:val="00267691"/>
    <w:rsid w:val="00267C1E"/>
    <w:rsid w:val="00272D93"/>
    <w:rsid w:val="00273291"/>
    <w:rsid w:val="00274F72"/>
    <w:rsid w:val="00275DAE"/>
    <w:rsid w:val="00275DF2"/>
    <w:rsid w:val="00281694"/>
    <w:rsid w:val="0028229D"/>
    <w:rsid w:val="002833D9"/>
    <w:rsid w:val="00292CB3"/>
    <w:rsid w:val="00294130"/>
    <w:rsid w:val="00294C0E"/>
    <w:rsid w:val="00294FCA"/>
    <w:rsid w:val="00296C8D"/>
    <w:rsid w:val="002A10EA"/>
    <w:rsid w:val="002A4103"/>
    <w:rsid w:val="002A5006"/>
    <w:rsid w:val="002A5E6B"/>
    <w:rsid w:val="002A66DD"/>
    <w:rsid w:val="002B095D"/>
    <w:rsid w:val="002B219A"/>
    <w:rsid w:val="002B2730"/>
    <w:rsid w:val="002B2B9C"/>
    <w:rsid w:val="002B7118"/>
    <w:rsid w:val="002B7967"/>
    <w:rsid w:val="002C0338"/>
    <w:rsid w:val="002C3DD0"/>
    <w:rsid w:val="002C4CB3"/>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06F"/>
    <w:rsid w:val="00307FC5"/>
    <w:rsid w:val="0031325C"/>
    <w:rsid w:val="003146D9"/>
    <w:rsid w:val="00320393"/>
    <w:rsid w:val="003242A9"/>
    <w:rsid w:val="00325BC2"/>
    <w:rsid w:val="00325EB2"/>
    <w:rsid w:val="00326B1D"/>
    <w:rsid w:val="00331FD0"/>
    <w:rsid w:val="00332E13"/>
    <w:rsid w:val="003341FC"/>
    <w:rsid w:val="003372BE"/>
    <w:rsid w:val="0034251F"/>
    <w:rsid w:val="003436BF"/>
    <w:rsid w:val="003437A8"/>
    <w:rsid w:val="003441FF"/>
    <w:rsid w:val="00344FA1"/>
    <w:rsid w:val="003460CB"/>
    <w:rsid w:val="003531F2"/>
    <w:rsid w:val="0035514D"/>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97F3D"/>
    <w:rsid w:val="003A017D"/>
    <w:rsid w:val="003A3761"/>
    <w:rsid w:val="003A457D"/>
    <w:rsid w:val="003A4747"/>
    <w:rsid w:val="003A4850"/>
    <w:rsid w:val="003A52A2"/>
    <w:rsid w:val="003A63C6"/>
    <w:rsid w:val="003A703E"/>
    <w:rsid w:val="003A723F"/>
    <w:rsid w:val="003B0CB7"/>
    <w:rsid w:val="003B3E03"/>
    <w:rsid w:val="003B5BA1"/>
    <w:rsid w:val="003B6ACC"/>
    <w:rsid w:val="003B6D47"/>
    <w:rsid w:val="003C070A"/>
    <w:rsid w:val="003C218D"/>
    <w:rsid w:val="003C3FC1"/>
    <w:rsid w:val="003D0098"/>
    <w:rsid w:val="003D58B2"/>
    <w:rsid w:val="003D5D97"/>
    <w:rsid w:val="003E0C7F"/>
    <w:rsid w:val="003E3DEA"/>
    <w:rsid w:val="003E657D"/>
    <w:rsid w:val="003F2CE1"/>
    <w:rsid w:val="003F57F0"/>
    <w:rsid w:val="003F7DA3"/>
    <w:rsid w:val="00404490"/>
    <w:rsid w:val="004050CC"/>
    <w:rsid w:val="00407ED0"/>
    <w:rsid w:val="00412EFF"/>
    <w:rsid w:val="0041542B"/>
    <w:rsid w:val="00415AB1"/>
    <w:rsid w:val="00416BE3"/>
    <w:rsid w:val="00423500"/>
    <w:rsid w:val="004241A1"/>
    <w:rsid w:val="00431500"/>
    <w:rsid w:val="00432EA4"/>
    <w:rsid w:val="00436551"/>
    <w:rsid w:val="00437D4A"/>
    <w:rsid w:val="004404D5"/>
    <w:rsid w:val="0044066C"/>
    <w:rsid w:val="00442284"/>
    <w:rsid w:val="0044287C"/>
    <w:rsid w:val="00442DA3"/>
    <w:rsid w:val="00444DB8"/>
    <w:rsid w:val="00447E3D"/>
    <w:rsid w:val="00454193"/>
    <w:rsid w:val="00454504"/>
    <w:rsid w:val="00457BC3"/>
    <w:rsid w:val="004610D6"/>
    <w:rsid w:val="00464432"/>
    <w:rsid w:val="00464787"/>
    <w:rsid w:val="00466FA7"/>
    <w:rsid w:val="00471029"/>
    <w:rsid w:val="00475879"/>
    <w:rsid w:val="004764DA"/>
    <w:rsid w:val="00476E85"/>
    <w:rsid w:val="004815E5"/>
    <w:rsid w:val="004825CA"/>
    <w:rsid w:val="00485609"/>
    <w:rsid w:val="004A2467"/>
    <w:rsid w:val="004A5EE0"/>
    <w:rsid w:val="004B6441"/>
    <w:rsid w:val="004B698A"/>
    <w:rsid w:val="004B701F"/>
    <w:rsid w:val="004B7AFB"/>
    <w:rsid w:val="004B7B72"/>
    <w:rsid w:val="004C31FB"/>
    <w:rsid w:val="004C5399"/>
    <w:rsid w:val="004C6E5B"/>
    <w:rsid w:val="004C726D"/>
    <w:rsid w:val="004C7C23"/>
    <w:rsid w:val="004D1EA6"/>
    <w:rsid w:val="004D45FA"/>
    <w:rsid w:val="004D5A63"/>
    <w:rsid w:val="004D7820"/>
    <w:rsid w:val="004E5C17"/>
    <w:rsid w:val="004F1A8B"/>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183B"/>
    <w:rsid w:val="00546D27"/>
    <w:rsid w:val="005478F0"/>
    <w:rsid w:val="00550DF2"/>
    <w:rsid w:val="00552885"/>
    <w:rsid w:val="005530E1"/>
    <w:rsid w:val="005532B7"/>
    <w:rsid w:val="0055442A"/>
    <w:rsid w:val="00555D03"/>
    <w:rsid w:val="005574E2"/>
    <w:rsid w:val="005606DB"/>
    <w:rsid w:val="00566B17"/>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A46EB"/>
    <w:rsid w:val="005A7E25"/>
    <w:rsid w:val="005B0619"/>
    <w:rsid w:val="005B25BE"/>
    <w:rsid w:val="005B3498"/>
    <w:rsid w:val="005B3F9D"/>
    <w:rsid w:val="005B4B9E"/>
    <w:rsid w:val="005C04A2"/>
    <w:rsid w:val="005C350D"/>
    <w:rsid w:val="005C44C5"/>
    <w:rsid w:val="005C5996"/>
    <w:rsid w:val="005C5B32"/>
    <w:rsid w:val="005C74C2"/>
    <w:rsid w:val="005D1952"/>
    <w:rsid w:val="005D2D1A"/>
    <w:rsid w:val="005D2FF1"/>
    <w:rsid w:val="005D3214"/>
    <w:rsid w:val="005D3E38"/>
    <w:rsid w:val="005D6A4B"/>
    <w:rsid w:val="005D77FE"/>
    <w:rsid w:val="005E0E16"/>
    <w:rsid w:val="005E1FA1"/>
    <w:rsid w:val="005E317E"/>
    <w:rsid w:val="005E37D8"/>
    <w:rsid w:val="005E3A1D"/>
    <w:rsid w:val="005F0054"/>
    <w:rsid w:val="005F081E"/>
    <w:rsid w:val="005F1102"/>
    <w:rsid w:val="006002A9"/>
    <w:rsid w:val="00601F38"/>
    <w:rsid w:val="00603F09"/>
    <w:rsid w:val="006045A2"/>
    <w:rsid w:val="00607A17"/>
    <w:rsid w:val="006106F1"/>
    <w:rsid w:val="00615772"/>
    <w:rsid w:val="00622E87"/>
    <w:rsid w:val="006254BD"/>
    <w:rsid w:val="00627E01"/>
    <w:rsid w:val="006321E9"/>
    <w:rsid w:val="00647634"/>
    <w:rsid w:val="00651A1C"/>
    <w:rsid w:val="00655180"/>
    <w:rsid w:val="00655E68"/>
    <w:rsid w:val="006603E2"/>
    <w:rsid w:val="0066098C"/>
    <w:rsid w:val="00663C28"/>
    <w:rsid w:val="006640FB"/>
    <w:rsid w:val="006701D5"/>
    <w:rsid w:val="00670BF4"/>
    <w:rsid w:val="0067125E"/>
    <w:rsid w:val="00673325"/>
    <w:rsid w:val="006763EA"/>
    <w:rsid w:val="006769F9"/>
    <w:rsid w:val="00680408"/>
    <w:rsid w:val="00681ED5"/>
    <w:rsid w:val="00683123"/>
    <w:rsid w:val="00683FE3"/>
    <w:rsid w:val="0068445E"/>
    <w:rsid w:val="00685FB5"/>
    <w:rsid w:val="00692CED"/>
    <w:rsid w:val="00697265"/>
    <w:rsid w:val="006972C0"/>
    <w:rsid w:val="006A28A1"/>
    <w:rsid w:val="006A40CC"/>
    <w:rsid w:val="006A4FD3"/>
    <w:rsid w:val="006B0A4D"/>
    <w:rsid w:val="006B2902"/>
    <w:rsid w:val="006B58FF"/>
    <w:rsid w:val="006B627F"/>
    <w:rsid w:val="006B6B87"/>
    <w:rsid w:val="006B7267"/>
    <w:rsid w:val="006C00C2"/>
    <w:rsid w:val="006C5495"/>
    <w:rsid w:val="006C64F5"/>
    <w:rsid w:val="006C75C3"/>
    <w:rsid w:val="006D08D6"/>
    <w:rsid w:val="006D484F"/>
    <w:rsid w:val="006D5858"/>
    <w:rsid w:val="006E31CF"/>
    <w:rsid w:val="006E4BB8"/>
    <w:rsid w:val="006E609B"/>
    <w:rsid w:val="006E6DED"/>
    <w:rsid w:val="006E7CEE"/>
    <w:rsid w:val="006F3059"/>
    <w:rsid w:val="006F33C3"/>
    <w:rsid w:val="006F520C"/>
    <w:rsid w:val="006F59E0"/>
    <w:rsid w:val="007002C7"/>
    <w:rsid w:val="0070487E"/>
    <w:rsid w:val="0070702A"/>
    <w:rsid w:val="007118CF"/>
    <w:rsid w:val="007121E9"/>
    <w:rsid w:val="007167C9"/>
    <w:rsid w:val="0072012D"/>
    <w:rsid w:val="00721D14"/>
    <w:rsid w:val="007221B7"/>
    <w:rsid w:val="00733C44"/>
    <w:rsid w:val="00734B1E"/>
    <w:rsid w:val="007362B9"/>
    <w:rsid w:val="00736E23"/>
    <w:rsid w:val="00740BBC"/>
    <w:rsid w:val="00741E70"/>
    <w:rsid w:val="00742085"/>
    <w:rsid w:val="007502CD"/>
    <w:rsid w:val="00752190"/>
    <w:rsid w:val="007544F0"/>
    <w:rsid w:val="00755E41"/>
    <w:rsid w:val="00757723"/>
    <w:rsid w:val="00757D21"/>
    <w:rsid w:val="0076010B"/>
    <w:rsid w:val="007654E6"/>
    <w:rsid w:val="00765616"/>
    <w:rsid w:val="00766D5A"/>
    <w:rsid w:val="00772BBA"/>
    <w:rsid w:val="00773DA2"/>
    <w:rsid w:val="007779B8"/>
    <w:rsid w:val="007779E8"/>
    <w:rsid w:val="00780C7F"/>
    <w:rsid w:val="00783088"/>
    <w:rsid w:val="00784172"/>
    <w:rsid w:val="00785103"/>
    <w:rsid w:val="00787807"/>
    <w:rsid w:val="00794997"/>
    <w:rsid w:val="00795FB8"/>
    <w:rsid w:val="007977E5"/>
    <w:rsid w:val="00797BD3"/>
    <w:rsid w:val="007A1505"/>
    <w:rsid w:val="007A1663"/>
    <w:rsid w:val="007A38DA"/>
    <w:rsid w:val="007A3B66"/>
    <w:rsid w:val="007A4CDA"/>
    <w:rsid w:val="007A63F7"/>
    <w:rsid w:val="007A74C7"/>
    <w:rsid w:val="007B305F"/>
    <w:rsid w:val="007B33D4"/>
    <w:rsid w:val="007C1168"/>
    <w:rsid w:val="007C1C00"/>
    <w:rsid w:val="007C294F"/>
    <w:rsid w:val="007C2B80"/>
    <w:rsid w:val="007D184B"/>
    <w:rsid w:val="007D25C3"/>
    <w:rsid w:val="007D6D71"/>
    <w:rsid w:val="007E2C13"/>
    <w:rsid w:val="007E2F31"/>
    <w:rsid w:val="007E51DD"/>
    <w:rsid w:val="007E5629"/>
    <w:rsid w:val="007E7731"/>
    <w:rsid w:val="007F51F2"/>
    <w:rsid w:val="007F575A"/>
    <w:rsid w:val="007F61A6"/>
    <w:rsid w:val="008040A8"/>
    <w:rsid w:val="008049FB"/>
    <w:rsid w:val="00806C56"/>
    <w:rsid w:val="00812EC6"/>
    <w:rsid w:val="008139C0"/>
    <w:rsid w:val="00815AD3"/>
    <w:rsid w:val="0081783D"/>
    <w:rsid w:val="0083689D"/>
    <w:rsid w:val="00840949"/>
    <w:rsid w:val="008441FE"/>
    <w:rsid w:val="00845EC7"/>
    <w:rsid w:val="00852020"/>
    <w:rsid w:val="0086257F"/>
    <w:rsid w:val="00865DD0"/>
    <w:rsid w:val="00866F8D"/>
    <w:rsid w:val="00871CDC"/>
    <w:rsid w:val="008751AB"/>
    <w:rsid w:val="008755C5"/>
    <w:rsid w:val="00876AAA"/>
    <w:rsid w:val="00884042"/>
    <w:rsid w:val="00885437"/>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1493"/>
    <w:rsid w:val="008C2C55"/>
    <w:rsid w:val="008C6517"/>
    <w:rsid w:val="008C74BF"/>
    <w:rsid w:val="008D41F4"/>
    <w:rsid w:val="008D685F"/>
    <w:rsid w:val="008E0CA3"/>
    <w:rsid w:val="008E1A0A"/>
    <w:rsid w:val="008E2A7B"/>
    <w:rsid w:val="008E2EBC"/>
    <w:rsid w:val="008E45F1"/>
    <w:rsid w:val="008E4A5E"/>
    <w:rsid w:val="008E6320"/>
    <w:rsid w:val="008E7521"/>
    <w:rsid w:val="008F34BD"/>
    <w:rsid w:val="008F3655"/>
    <w:rsid w:val="00900D0A"/>
    <w:rsid w:val="009029D4"/>
    <w:rsid w:val="00902FEA"/>
    <w:rsid w:val="0090511E"/>
    <w:rsid w:val="00906ED1"/>
    <w:rsid w:val="0090737A"/>
    <w:rsid w:val="009100F8"/>
    <w:rsid w:val="00911515"/>
    <w:rsid w:val="009116BD"/>
    <w:rsid w:val="00911A56"/>
    <w:rsid w:val="00912377"/>
    <w:rsid w:val="00914713"/>
    <w:rsid w:val="00914BB9"/>
    <w:rsid w:val="00914DF9"/>
    <w:rsid w:val="00920D7A"/>
    <w:rsid w:val="00936137"/>
    <w:rsid w:val="00943CFA"/>
    <w:rsid w:val="00945E4C"/>
    <w:rsid w:val="00946A67"/>
    <w:rsid w:val="00953F26"/>
    <w:rsid w:val="009549AE"/>
    <w:rsid w:val="009552C2"/>
    <w:rsid w:val="009612F7"/>
    <w:rsid w:val="0096491B"/>
    <w:rsid w:val="00965A85"/>
    <w:rsid w:val="00966299"/>
    <w:rsid w:val="00966887"/>
    <w:rsid w:val="00967429"/>
    <w:rsid w:val="00975D7E"/>
    <w:rsid w:val="009808AC"/>
    <w:rsid w:val="009840A5"/>
    <w:rsid w:val="009907A3"/>
    <w:rsid w:val="009924E0"/>
    <w:rsid w:val="009945CA"/>
    <w:rsid w:val="009A48CE"/>
    <w:rsid w:val="009A79E6"/>
    <w:rsid w:val="009B020D"/>
    <w:rsid w:val="009B1204"/>
    <w:rsid w:val="009B1CF3"/>
    <w:rsid w:val="009B36AE"/>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51A8"/>
    <w:rsid w:val="009F5E11"/>
    <w:rsid w:val="009F5FD6"/>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1157"/>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3CB"/>
    <w:rsid w:val="00A87E0F"/>
    <w:rsid w:val="00A91617"/>
    <w:rsid w:val="00A926B4"/>
    <w:rsid w:val="00A933DA"/>
    <w:rsid w:val="00A93F46"/>
    <w:rsid w:val="00A940C1"/>
    <w:rsid w:val="00A94AE3"/>
    <w:rsid w:val="00AA0653"/>
    <w:rsid w:val="00AA0B4C"/>
    <w:rsid w:val="00AA35C7"/>
    <w:rsid w:val="00AA3E5C"/>
    <w:rsid w:val="00AA5676"/>
    <w:rsid w:val="00AA5B48"/>
    <w:rsid w:val="00AB276E"/>
    <w:rsid w:val="00AB3623"/>
    <w:rsid w:val="00AB37C6"/>
    <w:rsid w:val="00AB4EEA"/>
    <w:rsid w:val="00AB5F90"/>
    <w:rsid w:val="00AC1A53"/>
    <w:rsid w:val="00AC384B"/>
    <w:rsid w:val="00AC3AC1"/>
    <w:rsid w:val="00AC7DD2"/>
    <w:rsid w:val="00AD0B65"/>
    <w:rsid w:val="00AD69CB"/>
    <w:rsid w:val="00AD6D2B"/>
    <w:rsid w:val="00AE01E8"/>
    <w:rsid w:val="00AE2E02"/>
    <w:rsid w:val="00AF0CF1"/>
    <w:rsid w:val="00AF3545"/>
    <w:rsid w:val="00AF3D29"/>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1D47"/>
    <w:rsid w:val="00B6304D"/>
    <w:rsid w:val="00B64855"/>
    <w:rsid w:val="00B650A9"/>
    <w:rsid w:val="00B6696F"/>
    <w:rsid w:val="00B66CC6"/>
    <w:rsid w:val="00B70FB2"/>
    <w:rsid w:val="00B85F61"/>
    <w:rsid w:val="00B87752"/>
    <w:rsid w:val="00B93DDE"/>
    <w:rsid w:val="00BA120C"/>
    <w:rsid w:val="00BA1865"/>
    <w:rsid w:val="00BA2334"/>
    <w:rsid w:val="00BA3978"/>
    <w:rsid w:val="00BA5E69"/>
    <w:rsid w:val="00BB06DA"/>
    <w:rsid w:val="00BC07D7"/>
    <w:rsid w:val="00BC357A"/>
    <w:rsid w:val="00BC3D6D"/>
    <w:rsid w:val="00BC4384"/>
    <w:rsid w:val="00BC5517"/>
    <w:rsid w:val="00BC7F87"/>
    <w:rsid w:val="00BD0822"/>
    <w:rsid w:val="00BD16C9"/>
    <w:rsid w:val="00BD40A0"/>
    <w:rsid w:val="00BD660A"/>
    <w:rsid w:val="00BD7FA4"/>
    <w:rsid w:val="00BE4001"/>
    <w:rsid w:val="00BE49F7"/>
    <w:rsid w:val="00BF0EC3"/>
    <w:rsid w:val="00BF1E26"/>
    <w:rsid w:val="00BF5593"/>
    <w:rsid w:val="00BF669C"/>
    <w:rsid w:val="00C00A3A"/>
    <w:rsid w:val="00C0243B"/>
    <w:rsid w:val="00C042F2"/>
    <w:rsid w:val="00C05FC8"/>
    <w:rsid w:val="00C1049A"/>
    <w:rsid w:val="00C107CE"/>
    <w:rsid w:val="00C1183A"/>
    <w:rsid w:val="00C13DE3"/>
    <w:rsid w:val="00C14DC6"/>
    <w:rsid w:val="00C20DCE"/>
    <w:rsid w:val="00C279B8"/>
    <w:rsid w:val="00C3030B"/>
    <w:rsid w:val="00C336D2"/>
    <w:rsid w:val="00C34EC6"/>
    <w:rsid w:val="00C351C7"/>
    <w:rsid w:val="00C3711A"/>
    <w:rsid w:val="00C4536B"/>
    <w:rsid w:val="00C47F4E"/>
    <w:rsid w:val="00C510A4"/>
    <w:rsid w:val="00C5289B"/>
    <w:rsid w:val="00C6044B"/>
    <w:rsid w:val="00C60796"/>
    <w:rsid w:val="00C6219F"/>
    <w:rsid w:val="00C641E9"/>
    <w:rsid w:val="00C644F5"/>
    <w:rsid w:val="00C67261"/>
    <w:rsid w:val="00C67A54"/>
    <w:rsid w:val="00C7641A"/>
    <w:rsid w:val="00C80FAC"/>
    <w:rsid w:val="00C8302D"/>
    <w:rsid w:val="00C84DE2"/>
    <w:rsid w:val="00C86B99"/>
    <w:rsid w:val="00C87D58"/>
    <w:rsid w:val="00C87D6D"/>
    <w:rsid w:val="00C90744"/>
    <w:rsid w:val="00C92574"/>
    <w:rsid w:val="00C9718A"/>
    <w:rsid w:val="00CA0B64"/>
    <w:rsid w:val="00CA0E8C"/>
    <w:rsid w:val="00CA13F9"/>
    <w:rsid w:val="00CA6149"/>
    <w:rsid w:val="00CA6357"/>
    <w:rsid w:val="00CA6D69"/>
    <w:rsid w:val="00CB241F"/>
    <w:rsid w:val="00CB61CE"/>
    <w:rsid w:val="00CB6BB7"/>
    <w:rsid w:val="00CC112A"/>
    <w:rsid w:val="00CC1802"/>
    <w:rsid w:val="00CC6445"/>
    <w:rsid w:val="00CD7E69"/>
    <w:rsid w:val="00CE146F"/>
    <w:rsid w:val="00CE298D"/>
    <w:rsid w:val="00CE5568"/>
    <w:rsid w:val="00CE6114"/>
    <w:rsid w:val="00CF0BD1"/>
    <w:rsid w:val="00CF2F2D"/>
    <w:rsid w:val="00CF3F7A"/>
    <w:rsid w:val="00CF62DE"/>
    <w:rsid w:val="00D0127A"/>
    <w:rsid w:val="00D01A21"/>
    <w:rsid w:val="00D01B68"/>
    <w:rsid w:val="00D17942"/>
    <w:rsid w:val="00D30ED0"/>
    <w:rsid w:val="00D359D8"/>
    <w:rsid w:val="00D40CC3"/>
    <w:rsid w:val="00D4509F"/>
    <w:rsid w:val="00D47BED"/>
    <w:rsid w:val="00D501D9"/>
    <w:rsid w:val="00D52ABC"/>
    <w:rsid w:val="00D535E6"/>
    <w:rsid w:val="00D54076"/>
    <w:rsid w:val="00D567C8"/>
    <w:rsid w:val="00D60867"/>
    <w:rsid w:val="00D6167E"/>
    <w:rsid w:val="00D66285"/>
    <w:rsid w:val="00D67580"/>
    <w:rsid w:val="00D70054"/>
    <w:rsid w:val="00D73447"/>
    <w:rsid w:val="00D75418"/>
    <w:rsid w:val="00D76FA8"/>
    <w:rsid w:val="00D77036"/>
    <w:rsid w:val="00D90744"/>
    <w:rsid w:val="00D92E9F"/>
    <w:rsid w:val="00D934F2"/>
    <w:rsid w:val="00DA37E3"/>
    <w:rsid w:val="00DA39DA"/>
    <w:rsid w:val="00DA3E5E"/>
    <w:rsid w:val="00DA4EEE"/>
    <w:rsid w:val="00DA7651"/>
    <w:rsid w:val="00DB2FA1"/>
    <w:rsid w:val="00DB3C97"/>
    <w:rsid w:val="00DB4716"/>
    <w:rsid w:val="00DB59BF"/>
    <w:rsid w:val="00DB5C0F"/>
    <w:rsid w:val="00DC4D27"/>
    <w:rsid w:val="00DC5127"/>
    <w:rsid w:val="00DC7B87"/>
    <w:rsid w:val="00DD44CA"/>
    <w:rsid w:val="00DD47E2"/>
    <w:rsid w:val="00DD6338"/>
    <w:rsid w:val="00DE0CAB"/>
    <w:rsid w:val="00DE18A3"/>
    <w:rsid w:val="00DE1B57"/>
    <w:rsid w:val="00DE1C4D"/>
    <w:rsid w:val="00DE4672"/>
    <w:rsid w:val="00DE6D7E"/>
    <w:rsid w:val="00DF4569"/>
    <w:rsid w:val="00DF61FC"/>
    <w:rsid w:val="00DF682F"/>
    <w:rsid w:val="00DF6AC3"/>
    <w:rsid w:val="00E0329A"/>
    <w:rsid w:val="00E0597D"/>
    <w:rsid w:val="00E0685C"/>
    <w:rsid w:val="00E076C0"/>
    <w:rsid w:val="00E102EF"/>
    <w:rsid w:val="00E11599"/>
    <w:rsid w:val="00E21F98"/>
    <w:rsid w:val="00E24CC5"/>
    <w:rsid w:val="00E275C2"/>
    <w:rsid w:val="00E276FE"/>
    <w:rsid w:val="00E37B6C"/>
    <w:rsid w:val="00E4019E"/>
    <w:rsid w:val="00E413C6"/>
    <w:rsid w:val="00E41BB7"/>
    <w:rsid w:val="00E43DDB"/>
    <w:rsid w:val="00E44261"/>
    <w:rsid w:val="00E45544"/>
    <w:rsid w:val="00E55D00"/>
    <w:rsid w:val="00E56D8F"/>
    <w:rsid w:val="00E57D32"/>
    <w:rsid w:val="00E627AE"/>
    <w:rsid w:val="00E74099"/>
    <w:rsid w:val="00E751A1"/>
    <w:rsid w:val="00E756D3"/>
    <w:rsid w:val="00E82E42"/>
    <w:rsid w:val="00E838E3"/>
    <w:rsid w:val="00E84720"/>
    <w:rsid w:val="00E93E97"/>
    <w:rsid w:val="00EA180F"/>
    <w:rsid w:val="00EA22BB"/>
    <w:rsid w:val="00EA599B"/>
    <w:rsid w:val="00EA61ED"/>
    <w:rsid w:val="00EB0715"/>
    <w:rsid w:val="00EB1337"/>
    <w:rsid w:val="00EB4A03"/>
    <w:rsid w:val="00EB6E31"/>
    <w:rsid w:val="00EB7D69"/>
    <w:rsid w:val="00EC0AD0"/>
    <w:rsid w:val="00EC1414"/>
    <w:rsid w:val="00EC2618"/>
    <w:rsid w:val="00EC2AFC"/>
    <w:rsid w:val="00EC2CBB"/>
    <w:rsid w:val="00EC5F1C"/>
    <w:rsid w:val="00EC6B0C"/>
    <w:rsid w:val="00ED0DDC"/>
    <w:rsid w:val="00ED0DEE"/>
    <w:rsid w:val="00ED156A"/>
    <w:rsid w:val="00ED4CBA"/>
    <w:rsid w:val="00ED4D0D"/>
    <w:rsid w:val="00ED5F5C"/>
    <w:rsid w:val="00ED67E0"/>
    <w:rsid w:val="00EE3F01"/>
    <w:rsid w:val="00EE6303"/>
    <w:rsid w:val="00EF2392"/>
    <w:rsid w:val="00EF67A6"/>
    <w:rsid w:val="00F0539E"/>
    <w:rsid w:val="00F06729"/>
    <w:rsid w:val="00F06766"/>
    <w:rsid w:val="00F06A90"/>
    <w:rsid w:val="00F10244"/>
    <w:rsid w:val="00F118A0"/>
    <w:rsid w:val="00F11CC0"/>
    <w:rsid w:val="00F16AF4"/>
    <w:rsid w:val="00F17CE2"/>
    <w:rsid w:val="00F20CFE"/>
    <w:rsid w:val="00F20E79"/>
    <w:rsid w:val="00F2255D"/>
    <w:rsid w:val="00F22D1A"/>
    <w:rsid w:val="00F24C41"/>
    <w:rsid w:val="00F35014"/>
    <w:rsid w:val="00F351EC"/>
    <w:rsid w:val="00F35776"/>
    <w:rsid w:val="00F3689D"/>
    <w:rsid w:val="00F37CFF"/>
    <w:rsid w:val="00F4151A"/>
    <w:rsid w:val="00F41B74"/>
    <w:rsid w:val="00F43132"/>
    <w:rsid w:val="00F43733"/>
    <w:rsid w:val="00F45857"/>
    <w:rsid w:val="00F523D2"/>
    <w:rsid w:val="00F5468A"/>
    <w:rsid w:val="00F5623E"/>
    <w:rsid w:val="00F5711C"/>
    <w:rsid w:val="00F65D61"/>
    <w:rsid w:val="00F66474"/>
    <w:rsid w:val="00F722BB"/>
    <w:rsid w:val="00F72938"/>
    <w:rsid w:val="00F84A77"/>
    <w:rsid w:val="00F87D3E"/>
    <w:rsid w:val="00F9192C"/>
    <w:rsid w:val="00F925C5"/>
    <w:rsid w:val="00FA346F"/>
    <w:rsid w:val="00FA5F66"/>
    <w:rsid w:val="00FC0576"/>
    <w:rsid w:val="00FC3A08"/>
    <w:rsid w:val="00FC7AB5"/>
    <w:rsid w:val="00FD0099"/>
    <w:rsid w:val="00FD05D4"/>
    <w:rsid w:val="00FD2534"/>
    <w:rsid w:val="00FD2A5D"/>
    <w:rsid w:val="00FD3B0A"/>
    <w:rsid w:val="00FD4ABD"/>
    <w:rsid w:val="00FD6B67"/>
    <w:rsid w:val="00FE0024"/>
    <w:rsid w:val="00FE569F"/>
    <w:rsid w:val="00FE7FDA"/>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49F895"/>
  <w15:docId w15:val="{94F52B28-22E8-4852-BF22-DF3AC46C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681ED5"/>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apple-converted-space">
    <w:name w:val="apple-converted-space"/>
    <w:basedOn w:val="DefaultParagraphFont"/>
    <w:rsid w:val="00BD0822"/>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681ED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2063981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84272713">
      <w:bodyDiv w:val="1"/>
      <w:marLeft w:val="0"/>
      <w:marRight w:val="0"/>
      <w:marTop w:val="0"/>
      <w:marBottom w:val="0"/>
      <w:divBdr>
        <w:top w:val="none" w:sz="0" w:space="0" w:color="auto"/>
        <w:left w:val="none" w:sz="0" w:space="0" w:color="auto"/>
        <w:bottom w:val="none" w:sz="0" w:space="0" w:color="auto"/>
        <w:right w:val="none" w:sz="0" w:space="0" w:color="auto"/>
      </w:divBdr>
    </w:div>
    <w:div w:id="1114863270">
      <w:bodyDiv w:val="1"/>
      <w:marLeft w:val="0"/>
      <w:marRight w:val="0"/>
      <w:marTop w:val="0"/>
      <w:marBottom w:val="0"/>
      <w:divBdr>
        <w:top w:val="none" w:sz="0" w:space="0" w:color="auto"/>
        <w:left w:val="none" w:sz="0" w:space="0" w:color="auto"/>
        <w:bottom w:val="none" w:sz="0" w:space="0" w:color="auto"/>
        <w:right w:val="none" w:sz="0" w:space="0" w:color="auto"/>
      </w:divBdr>
    </w:div>
    <w:div w:id="1165634354">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395204913">
      <w:bodyDiv w:val="1"/>
      <w:marLeft w:val="0"/>
      <w:marRight w:val="0"/>
      <w:marTop w:val="0"/>
      <w:marBottom w:val="0"/>
      <w:divBdr>
        <w:top w:val="none" w:sz="0" w:space="0" w:color="auto"/>
        <w:left w:val="none" w:sz="0" w:space="0" w:color="auto"/>
        <w:bottom w:val="none" w:sz="0" w:space="0" w:color="auto"/>
        <w:right w:val="none" w:sz="0" w:space="0" w:color="auto"/>
      </w:divBdr>
    </w:div>
    <w:div w:id="1653871500">
      <w:bodyDiv w:val="1"/>
      <w:marLeft w:val="0"/>
      <w:marRight w:val="0"/>
      <w:marTop w:val="0"/>
      <w:marBottom w:val="0"/>
      <w:divBdr>
        <w:top w:val="none" w:sz="0" w:space="0" w:color="auto"/>
        <w:left w:val="none" w:sz="0" w:space="0" w:color="auto"/>
        <w:bottom w:val="none" w:sz="0" w:space="0" w:color="auto"/>
        <w:right w:val="none" w:sz="0" w:space="0" w:color="auto"/>
      </w:divBdr>
    </w:div>
    <w:div w:id="1758356287">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 w:id="2091196925">
      <w:bodyDiv w:val="1"/>
      <w:marLeft w:val="0"/>
      <w:marRight w:val="0"/>
      <w:marTop w:val="0"/>
      <w:marBottom w:val="0"/>
      <w:divBdr>
        <w:top w:val="none" w:sz="0" w:space="0" w:color="auto"/>
        <w:left w:val="none" w:sz="0" w:space="0" w:color="auto"/>
        <w:bottom w:val="none" w:sz="0" w:space="0" w:color="auto"/>
        <w:right w:val="none" w:sz="0" w:space="0" w:color="auto"/>
      </w:divBdr>
    </w:div>
    <w:div w:id="21371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umberlep.org/strategy/european-structural-and-investment-fund-strate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CA2BA3A5-832D-4BE5-AD20-7D7426B3A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67069BEF-1E16-4011-9469-7496EE34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3179</Words>
  <Characters>18125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21262</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 Williams</cp:lastModifiedBy>
  <cp:revision>5</cp:revision>
  <cp:lastPrinted>2016-03-18T08:53:00Z</cp:lastPrinted>
  <dcterms:created xsi:type="dcterms:W3CDTF">2016-06-23T10:55:00Z</dcterms:created>
  <dcterms:modified xsi:type="dcterms:W3CDTF">2016-06-23T13:55:00Z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