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29F" w:rsidRDefault="00372C36">
      <w:pPr>
        <w:widowControl w:val="0"/>
        <w:pBdr>
          <w:top w:val="nil"/>
          <w:left w:val="nil"/>
          <w:bottom w:val="nil"/>
          <w:right w:val="nil"/>
          <w:between w:val="nil"/>
        </w:pBdr>
        <w:spacing w:after="0"/>
      </w:pPr>
      <w:r>
        <w:pict w14:anchorId="7F9C7E7B">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6" type="#_x0000_t94" style="position:absolute;margin-left:0;margin-top:0;width:50pt;height:50pt;z-index:251658240;visibility:hidden">
            <o:lock v:ext="edit" selection="t"/>
          </v:shape>
        </w:pict>
      </w:r>
    </w:p>
    <w:p w:rsidR="00A3729F" w:rsidRDefault="007122A8">
      <w:pPr>
        <w:pStyle w:val="Title"/>
        <w:keepNext w:val="0"/>
        <w:keepLines w:val="0"/>
        <w:spacing w:before="240" w:after="280" w:line="240" w:lineRule="auto"/>
        <w:ind w:left="1440"/>
        <w:jc w:val="right"/>
        <w:rPr>
          <w:sz w:val="32"/>
          <w:szCs w:val="32"/>
        </w:rPr>
      </w:pPr>
      <w:bookmarkStart w:id="0" w:name="_heading=h.i4wk5xintw6j" w:colFirst="0" w:colLast="0"/>
      <w:bookmarkEnd w:id="0"/>
      <w:r>
        <w:rPr>
          <w:b w:val="0"/>
          <w:noProof/>
          <w:color w:val="5F497A"/>
          <w:sz w:val="40"/>
          <w:szCs w:val="40"/>
          <w:lang w:eastAsia="en-GB"/>
        </w:rPr>
        <w:drawing>
          <wp:inline distT="0" distB="0" distL="114300" distR="114300">
            <wp:extent cx="2783205" cy="657860"/>
            <wp:effectExtent l="0" t="0" r="0" b="0"/>
            <wp:docPr id="2"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7216"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3"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A3729F" w:rsidRDefault="00A3729F">
      <w:pPr>
        <w:pStyle w:val="Title"/>
        <w:keepNext w:val="0"/>
        <w:keepLines w:val="0"/>
        <w:spacing w:before="240" w:after="280" w:line="240" w:lineRule="auto"/>
        <w:ind w:left="1440"/>
        <w:jc w:val="center"/>
        <w:rPr>
          <w:sz w:val="32"/>
          <w:szCs w:val="32"/>
        </w:rPr>
      </w:pPr>
    </w:p>
    <w:p w:rsidR="00A3729F" w:rsidRDefault="007122A8">
      <w:pPr>
        <w:spacing w:after="0" w:line="240" w:lineRule="auto"/>
        <w:ind w:left="1440"/>
        <w:jc w:val="center"/>
        <w:rPr>
          <w:b/>
          <w:sz w:val="26"/>
          <w:szCs w:val="26"/>
        </w:rPr>
      </w:pPr>
      <w:r>
        <w:rPr>
          <w:b/>
          <w:sz w:val="26"/>
          <w:szCs w:val="26"/>
        </w:rPr>
        <w:t>SBRI: Quantifying Insider Risk based on Public Information</w:t>
      </w:r>
    </w:p>
    <w:p w:rsidR="00A3729F" w:rsidRDefault="00A3729F">
      <w:pPr>
        <w:spacing w:after="0" w:line="240" w:lineRule="auto"/>
        <w:ind w:left="1440"/>
        <w:jc w:val="center"/>
        <w:rPr>
          <w:b/>
          <w:sz w:val="26"/>
          <w:szCs w:val="26"/>
        </w:rPr>
      </w:pPr>
    </w:p>
    <w:p w:rsidR="00A3729F" w:rsidRDefault="007122A8">
      <w:pPr>
        <w:shd w:val="clear" w:color="auto" w:fill="009999"/>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p>
    <w:p w:rsidR="00A3729F" w:rsidRDefault="00A3729F">
      <w:pPr>
        <w:pBdr>
          <w:top w:val="nil"/>
          <w:left w:val="nil"/>
          <w:bottom w:val="nil"/>
          <w:right w:val="nil"/>
          <w:between w:val="nil"/>
        </w:pBdr>
        <w:spacing w:after="0" w:line="240" w:lineRule="auto"/>
        <w:rPr>
          <w:color w:val="000000"/>
          <w:vertAlign w:val="superscript"/>
        </w:rPr>
      </w:pPr>
    </w:p>
    <w:p w:rsidR="00A3729F" w:rsidRDefault="007122A8">
      <w:pPr>
        <w:rPr>
          <w:b/>
          <w:sz w:val="28"/>
          <w:szCs w:val="28"/>
        </w:rPr>
      </w:pPr>
      <w:r>
        <w:rPr>
          <w:b/>
          <w:sz w:val="28"/>
          <w:szCs w:val="28"/>
        </w:rPr>
        <w:t>BRIEF</w:t>
      </w:r>
    </w:p>
    <w:p w:rsidR="00A3729F" w:rsidRDefault="007122A8">
      <w:pPr>
        <w:rPr>
          <w:b/>
          <w:sz w:val="28"/>
          <w:szCs w:val="28"/>
        </w:rPr>
      </w:pPr>
      <w:r>
        <w:rPr>
          <w:b/>
          <w:sz w:val="28"/>
          <w:szCs w:val="28"/>
        </w:rPr>
        <w:t>AN INTRODUCTION TO SBRI</w:t>
      </w:r>
    </w:p>
    <w:p w:rsidR="00A3729F" w:rsidRDefault="007122A8">
      <w:pPr>
        <w:spacing w:after="0"/>
      </w:pPr>
      <w:r>
        <w:t xml:space="preserve">SBRI is a mechanism which enables public sector bodies to connect with innovative ideas and technology businesses to provide innovative solutions to specific Public Sector challenges and needs.  </w:t>
      </w:r>
    </w:p>
    <w:p w:rsidR="00A3729F" w:rsidRDefault="007122A8">
      <w:pPr>
        <w:spacing w:after="0"/>
      </w:pPr>
      <w:r>
        <w:t xml:space="preserve"> </w:t>
      </w:r>
    </w:p>
    <w:p w:rsidR="00A3729F" w:rsidRDefault="007122A8">
      <w:pPr>
        <w:spacing w:after="0"/>
      </w:pPr>
      <w:r>
        <w:t xml:space="preserve">The Public sector is able to find innovative solutions by reaching out to organisations from different sectors including small and emerging businesses. New technical solutions are created through accelerated technology development, whilst risk is reduced through a phased development programme. SBRI also provides applicants with a transparent competitive and a reliable source of early-stage funding. </w:t>
      </w:r>
    </w:p>
    <w:p w:rsidR="00A3729F" w:rsidRDefault="00A3729F">
      <w:pPr>
        <w:spacing w:after="0"/>
      </w:pPr>
    </w:p>
    <w:p w:rsidR="00A3729F" w:rsidRDefault="007122A8">
      <w:pPr>
        <w:spacing w:after="0"/>
      </w:pPr>
      <w:r>
        <w:t>SBRI competitions are open to all organisations that can demonstrate a route to market for their solution.  The SBRI scheme is particularly suited to small and medium-sized business, as the contracts are of relatively small value and operate on short timescales.  Developments are 100% funded and focus on specific identified needs, increasing the chance of exploitation. Suppliers for each project will be selected by an open competition process and retain the intellectual property generated from the project, with certain rights of use retained by the contracting Authority. This is an excellent opportunity to establish an early customer for a new technology and to fund its development.</w:t>
      </w:r>
    </w:p>
    <w:p w:rsidR="00A3729F" w:rsidRDefault="00A3729F">
      <w:pPr>
        <w:spacing w:after="0"/>
      </w:pPr>
    </w:p>
    <w:p w:rsidR="00A3729F" w:rsidRDefault="007122A8">
      <w:pPr>
        <w:rPr>
          <w:b/>
          <w:sz w:val="28"/>
          <w:szCs w:val="28"/>
        </w:rPr>
      </w:pPr>
      <w:r>
        <w:br w:type="page"/>
      </w:r>
    </w:p>
    <w:p w:rsidR="00A3729F" w:rsidRDefault="007122A8">
      <w:pPr>
        <w:rPr>
          <w:b/>
          <w:sz w:val="28"/>
          <w:szCs w:val="28"/>
        </w:rPr>
      </w:pPr>
      <w:r>
        <w:rPr>
          <w:b/>
          <w:sz w:val="28"/>
          <w:szCs w:val="28"/>
        </w:rPr>
        <w:lastRenderedPageBreak/>
        <w:t xml:space="preserve">SUMMARY </w:t>
      </w:r>
    </w:p>
    <w:p w:rsidR="00A3729F" w:rsidRDefault="007122A8">
      <w:pPr>
        <w:pStyle w:val="Heading2"/>
      </w:pPr>
      <w:bookmarkStart w:id="1" w:name="_heading=h.7pcff0tytqyg" w:colFirst="0" w:colLast="0"/>
      <w:bookmarkEnd w:id="1"/>
      <w:r>
        <w:t>Funding Body</w:t>
      </w:r>
    </w:p>
    <w:p w:rsidR="00A3729F" w:rsidRDefault="007122A8">
      <w:r>
        <w:t>UK Cabinet Office</w:t>
      </w:r>
    </w:p>
    <w:p w:rsidR="00A3729F" w:rsidRDefault="007122A8">
      <w:pPr>
        <w:pStyle w:val="Heading2"/>
      </w:pPr>
      <w:bookmarkStart w:id="2" w:name="_heading=h.oz5lyw304kkn" w:colFirst="0" w:colLast="0"/>
      <w:bookmarkEnd w:id="2"/>
      <w:r>
        <w:t>Background and Challenge</w:t>
      </w:r>
    </w:p>
    <w:p w:rsidR="00A3729F" w:rsidRDefault="007122A8">
      <w:pPr>
        <w:pStyle w:val="Heading3"/>
      </w:pPr>
      <w:bookmarkStart w:id="3" w:name="_heading=h.zgqe1pr82i7z" w:colFirst="0" w:colLast="0"/>
      <w:bookmarkEnd w:id="3"/>
      <w:r>
        <w:t>Policy Background</w:t>
      </w:r>
    </w:p>
    <w:p w:rsidR="003C704C" w:rsidRPr="003C704C" w:rsidRDefault="003C704C" w:rsidP="003C704C">
      <w:pPr>
        <w:numPr>
          <w:ilvl w:val="0"/>
          <w:numId w:val="1"/>
        </w:numPr>
        <w:spacing w:after="0" w:line="240" w:lineRule="auto"/>
        <w:textAlignment w:val="baseline"/>
        <w:rPr>
          <w:rFonts w:ascii="Arial" w:eastAsia="Times New Roman" w:hAnsi="Arial" w:cs="Arial"/>
          <w:color w:val="000000"/>
          <w:lang w:eastAsia="en-GB"/>
        </w:rPr>
      </w:pPr>
      <w:bookmarkStart w:id="4" w:name="_heading=h.85c179pgt8fn" w:colFirst="0" w:colLast="0"/>
      <w:bookmarkEnd w:id="4"/>
      <w:r w:rsidRPr="003C704C">
        <w:rPr>
          <w:rFonts w:ascii="Arial" w:eastAsia="Times New Roman" w:hAnsi="Arial" w:cs="Arial"/>
          <w:color w:val="000000"/>
          <w:lang w:eastAsia="en-GB"/>
        </w:rPr>
        <w:t>Security is seen as complicated or confusing by many people, or even as a blocker or impediment to working. Security is rarely promoted as an enabler or core business outside the security practitioner community.</w:t>
      </w:r>
    </w:p>
    <w:p w:rsidR="003C704C" w:rsidRPr="003C704C" w:rsidRDefault="003C704C" w:rsidP="003C704C">
      <w:pPr>
        <w:numPr>
          <w:ilvl w:val="0"/>
          <w:numId w:val="1"/>
        </w:numPr>
        <w:spacing w:after="160" w:line="240" w:lineRule="auto"/>
        <w:textAlignment w:val="baseline"/>
        <w:rPr>
          <w:rFonts w:ascii="Arial" w:eastAsia="Times New Roman" w:hAnsi="Arial" w:cs="Arial"/>
          <w:color w:val="000000"/>
          <w:lang w:eastAsia="en-GB"/>
        </w:rPr>
      </w:pPr>
      <w:r w:rsidRPr="003C704C">
        <w:rPr>
          <w:rFonts w:ascii="Arial" w:eastAsia="Times New Roman" w:hAnsi="Arial" w:cs="Arial"/>
          <w:color w:val="000000"/>
          <w:lang w:eastAsia="en-GB"/>
        </w:rPr>
        <w:t xml:space="preserve">Government needs to </w:t>
      </w:r>
      <w:r w:rsidRPr="003C704C">
        <w:rPr>
          <w:rFonts w:ascii="Arial" w:eastAsia="Times New Roman" w:hAnsi="Arial" w:cs="Arial"/>
          <w:b/>
          <w:bCs/>
          <w:color w:val="000000"/>
          <w:lang w:eastAsia="en-GB"/>
        </w:rPr>
        <w:t xml:space="preserve">better enable our people to reduce and manage risk, </w:t>
      </w:r>
      <w:r w:rsidRPr="003C704C">
        <w:rPr>
          <w:rFonts w:ascii="Arial" w:eastAsia="Times New Roman" w:hAnsi="Arial" w:cs="Arial"/>
          <w:color w:val="000000"/>
          <w:lang w:eastAsia="en-GB"/>
        </w:rPr>
        <w:t xml:space="preserve">where ‘our people’ are defined as </w:t>
      </w:r>
      <w:r w:rsidRPr="003C704C">
        <w:rPr>
          <w:rFonts w:ascii="Arial" w:eastAsia="Times New Roman" w:hAnsi="Arial" w:cs="Arial"/>
          <w:b/>
          <w:bCs/>
          <w:color w:val="000000"/>
          <w:lang w:eastAsia="en-GB"/>
        </w:rPr>
        <w:t xml:space="preserve">users </w:t>
      </w:r>
      <w:r w:rsidRPr="003C704C">
        <w:rPr>
          <w:rFonts w:ascii="Arial" w:eastAsia="Times New Roman" w:hAnsi="Arial" w:cs="Arial"/>
          <w:color w:val="000000"/>
          <w:lang w:eastAsia="en-GB"/>
        </w:rPr>
        <w:t xml:space="preserve">(anyone who uses government official IT) and </w:t>
      </w:r>
      <w:r w:rsidRPr="003C704C">
        <w:rPr>
          <w:rFonts w:ascii="Arial" w:eastAsia="Times New Roman" w:hAnsi="Arial" w:cs="Arial"/>
          <w:b/>
          <w:bCs/>
          <w:color w:val="000000"/>
          <w:lang w:eastAsia="en-GB"/>
        </w:rPr>
        <w:t>practitioners</w:t>
      </w:r>
      <w:r w:rsidRPr="003C704C">
        <w:rPr>
          <w:rFonts w:ascii="Arial" w:eastAsia="Times New Roman" w:hAnsi="Arial" w:cs="Arial"/>
          <w:color w:val="000000"/>
          <w:lang w:eastAsia="en-GB"/>
        </w:rPr>
        <w:t xml:space="preserve"> (</w:t>
      </w:r>
      <w:r w:rsidRPr="003C704C">
        <w:rPr>
          <w:rFonts w:ascii="Arial" w:eastAsia="Times New Roman" w:hAnsi="Arial" w:cs="Arial"/>
          <w:color w:val="000000"/>
          <w:shd w:val="clear" w:color="auto" w:fill="FFFFFF"/>
          <w:lang w:eastAsia="en-GB"/>
        </w:rPr>
        <w:t>those responsible for managing and delivering security in an organisation), and ‘</w:t>
      </w:r>
      <w:r w:rsidRPr="003C704C">
        <w:rPr>
          <w:rFonts w:ascii="Arial" w:eastAsia="Times New Roman" w:hAnsi="Arial" w:cs="Arial"/>
          <w:b/>
          <w:bCs/>
          <w:color w:val="000000"/>
          <w:shd w:val="clear" w:color="auto" w:fill="FFFFFF"/>
          <w:lang w:eastAsia="en-GB"/>
        </w:rPr>
        <w:t>risk</w:t>
      </w:r>
      <w:r w:rsidRPr="003C704C">
        <w:rPr>
          <w:rFonts w:ascii="Arial" w:eastAsia="Times New Roman" w:hAnsi="Arial" w:cs="Arial"/>
          <w:color w:val="000000"/>
          <w:shd w:val="clear" w:color="auto" w:fill="FFFFFF"/>
          <w:lang w:eastAsia="en-GB"/>
        </w:rPr>
        <w:t xml:space="preserve">’ is defined as </w:t>
      </w:r>
      <w:r w:rsidRPr="003C704C">
        <w:rPr>
          <w:rFonts w:ascii="Arial" w:eastAsia="Times New Roman" w:hAnsi="Arial" w:cs="Arial"/>
          <w:color w:val="202124"/>
          <w:shd w:val="clear" w:color="auto" w:fill="FFFFFF"/>
          <w:lang w:eastAsia="en-GB"/>
        </w:rPr>
        <w:t>"the harm arising from potential loss, damage or compromise of government assets."</w:t>
      </w:r>
    </w:p>
    <w:p w:rsidR="00A3729F" w:rsidRDefault="007122A8">
      <w:pPr>
        <w:pStyle w:val="Heading3"/>
      </w:pPr>
      <w:r>
        <w:t>Goal of the project</w:t>
      </w:r>
    </w:p>
    <w:p w:rsidR="003C704C" w:rsidRPr="003C704C" w:rsidRDefault="003C704C" w:rsidP="003C704C">
      <w:pPr>
        <w:numPr>
          <w:ilvl w:val="0"/>
          <w:numId w:val="2"/>
        </w:numPr>
        <w:spacing w:after="160" w:line="240" w:lineRule="auto"/>
        <w:textAlignment w:val="baseline"/>
        <w:rPr>
          <w:rFonts w:ascii="Arial" w:eastAsia="Times New Roman" w:hAnsi="Arial" w:cs="Arial"/>
          <w:color w:val="202124"/>
          <w:lang w:eastAsia="en-GB"/>
        </w:rPr>
      </w:pPr>
      <w:bookmarkStart w:id="5" w:name="_heading=h.ddygnmfx8sfw" w:colFirst="0" w:colLast="0"/>
      <w:bookmarkEnd w:id="5"/>
      <w:r w:rsidRPr="003C704C">
        <w:rPr>
          <w:rFonts w:ascii="Arial" w:eastAsia="Times New Roman" w:hAnsi="Arial" w:cs="Arial"/>
          <w:color w:val="000000"/>
          <w:shd w:val="clear" w:color="auto" w:fill="FFFFFF"/>
          <w:lang w:eastAsia="en-GB"/>
        </w:rPr>
        <w:t xml:space="preserve">We know that organisational </w:t>
      </w:r>
      <w:r w:rsidRPr="003C704C">
        <w:rPr>
          <w:rFonts w:ascii="Arial" w:eastAsia="Times New Roman" w:hAnsi="Arial" w:cs="Arial"/>
          <w:color w:val="000000"/>
          <w:lang w:eastAsia="en-GB"/>
        </w:rPr>
        <w:t xml:space="preserve">cultures can be a powerful influence on how people act in the workplace, where ‘culture’ is defined as “shared </w:t>
      </w:r>
      <w:r w:rsidRPr="003C704C">
        <w:rPr>
          <w:rFonts w:ascii="Arial" w:eastAsia="Times New Roman" w:hAnsi="Arial" w:cs="Arial"/>
          <w:b/>
          <w:bCs/>
          <w:color w:val="000000"/>
          <w:lang w:eastAsia="en-GB"/>
        </w:rPr>
        <w:t xml:space="preserve">values (what is important) </w:t>
      </w:r>
      <w:r w:rsidRPr="003C704C">
        <w:rPr>
          <w:rFonts w:ascii="Arial" w:eastAsia="Times New Roman" w:hAnsi="Arial" w:cs="Arial"/>
          <w:color w:val="000000"/>
          <w:lang w:eastAsia="en-GB"/>
        </w:rPr>
        <w:t xml:space="preserve">and </w:t>
      </w:r>
      <w:r w:rsidRPr="003C704C">
        <w:rPr>
          <w:rFonts w:ascii="Arial" w:eastAsia="Times New Roman" w:hAnsi="Arial" w:cs="Arial"/>
          <w:b/>
          <w:bCs/>
          <w:color w:val="000000"/>
          <w:lang w:eastAsia="en-GB"/>
        </w:rPr>
        <w:t>beliefs</w:t>
      </w:r>
      <w:r w:rsidRPr="003C704C">
        <w:rPr>
          <w:rFonts w:ascii="Arial" w:eastAsia="Times New Roman" w:hAnsi="Arial" w:cs="Arial"/>
          <w:color w:val="000000"/>
          <w:lang w:eastAsia="en-GB"/>
        </w:rPr>
        <w:t xml:space="preserve"> </w:t>
      </w:r>
      <w:r w:rsidRPr="003C704C">
        <w:rPr>
          <w:rFonts w:ascii="Arial" w:eastAsia="Times New Roman" w:hAnsi="Arial" w:cs="Arial"/>
          <w:b/>
          <w:bCs/>
          <w:color w:val="000000"/>
          <w:lang w:eastAsia="en-GB"/>
        </w:rPr>
        <w:t xml:space="preserve">(how things work) </w:t>
      </w:r>
      <w:r w:rsidRPr="003C704C">
        <w:rPr>
          <w:rFonts w:ascii="Arial" w:eastAsia="Times New Roman" w:hAnsi="Arial" w:cs="Arial"/>
          <w:color w:val="000000"/>
          <w:lang w:eastAsia="en-GB"/>
        </w:rPr>
        <w:t xml:space="preserve">that interact with an organisation’s structures and control systems to produce </w:t>
      </w:r>
      <w:r w:rsidRPr="003C704C">
        <w:rPr>
          <w:rFonts w:ascii="Arial" w:eastAsia="Times New Roman" w:hAnsi="Arial" w:cs="Arial"/>
          <w:b/>
          <w:bCs/>
          <w:color w:val="000000"/>
          <w:lang w:eastAsia="en-GB"/>
        </w:rPr>
        <w:t>behavioural norms</w:t>
      </w:r>
      <w:r w:rsidRPr="003C704C">
        <w:rPr>
          <w:rFonts w:ascii="Arial" w:eastAsia="Times New Roman" w:hAnsi="Arial" w:cs="Arial"/>
          <w:color w:val="000000"/>
          <w:lang w:eastAsia="en-GB"/>
        </w:rPr>
        <w:t xml:space="preserve"> </w:t>
      </w:r>
      <w:r w:rsidRPr="003C704C">
        <w:rPr>
          <w:rFonts w:ascii="Arial" w:eastAsia="Times New Roman" w:hAnsi="Arial" w:cs="Arial"/>
          <w:b/>
          <w:bCs/>
          <w:color w:val="000000"/>
          <w:lang w:eastAsia="en-GB"/>
        </w:rPr>
        <w:t>(the way we do things around here).</w:t>
      </w:r>
      <w:r w:rsidRPr="003C704C">
        <w:rPr>
          <w:rFonts w:ascii="Arial" w:eastAsia="Times New Roman" w:hAnsi="Arial" w:cs="Arial"/>
          <w:color w:val="000000"/>
          <w:lang w:eastAsia="en-GB"/>
        </w:rPr>
        <w:t>”</w:t>
      </w:r>
    </w:p>
    <w:p w:rsidR="003C704C" w:rsidRPr="003C704C" w:rsidRDefault="003C704C" w:rsidP="003C704C">
      <w:pPr>
        <w:numPr>
          <w:ilvl w:val="0"/>
          <w:numId w:val="2"/>
        </w:numPr>
        <w:spacing w:after="160" w:line="240" w:lineRule="auto"/>
        <w:textAlignment w:val="baseline"/>
        <w:rPr>
          <w:rFonts w:ascii="Arial" w:eastAsia="Times New Roman" w:hAnsi="Arial" w:cs="Arial"/>
          <w:color w:val="000000"/>
          <w:lang w:eastAsia="en-GB"/>
        </w:rPr>
      </w:pPr>
      <w:r w:rsidRPr="003C704C">
        <w:rPr>
          <w:rFonts w:ascii="Arial" w:eastAsia="Times New Roman" w:hAnsi="Arial" w:cs="Arial"/>
          <w:color w:val="000000"/>
          <w:shd w:val="clear" w:color="auto" w:fill="FFFFFF"/>
          <w:lang w:eastAsia="en-GB"/>
        </w:rPr>
        <w:t>We want to validate or disprove the following hypotheses:</w:t>
      </w:r>
    </w:p>
    <w:p w:rsidR="003C704C" w:rsidRPr="003C704C" w:rsidRDefault="003C704C" w:rsidP="003C704C">
      <w:pPr>
        <w:numPr>
          <w:ilvl w:val="1"/>
          <w:numId w:val="3"/>
        </w:numPr>
        <w:spacing w:after="160" w:line="240" w:lineRule="auto"/>
        <w:ind w:left="1440" w:hanging="360"/>
        <w:textAlignment w:val="baseline"/>
        <w:rPr>
          <w:rFonts w:ascii="Courier New" w:eastAsia="Times New Roman" w:hAnsi="Courier New" w:cs="Courier New"/>
          <w:color w:val="000000"/>
          <w:lang w:eastAsia="en-GB"/>
        </w:rPr>
      </w:pPr>
      <w:r w:rsidRPr="003C704C">
        <w:rPr>
          <w:rFonts w:ascii="Arial" w:eastAsia="Times New Roman" w:hAnsi="Arial" w:cs="Arial"/>
          <w:color w:val="000000"/>
          <w:lang w:eastAsia="en-GB"/>
        </w:rPr>
        <w:t>Promoting</w:t>
      </w:r>
      <w:r w:rsidRPr="003C704C">
        <w:rPr>
          <w:rFonts w:ascii="Arial" w:eastAsia="Times New Roman" w:hAnsi="Arial" w:cs="Arial"/>
          <w:b/>
          <w:bCs/>
          <w:color w:val="000000"/>
          <w:lang w:eastAsia="en-GB"/>
        </w:rPr>
        <w:t xml:space="preserve"> </w:t>
      </w:r>
      <w:r w:rsidRPr="003C704C">
        <w:rPr>
          <w:rFonts w:ascii="Arial" w:eastAsia="Times New Roman" w:hAnsi="Arial" w:cs="Arial"/>
          <w:color w:val="000000"/>
          <w:lang w:eastAsia="en-GB"/>
        </w:rPr>
        <w:t xml:space="preserve">appropriate culture(s) </w:t>
      </w:r>
      <w:r w:rsidRPr="003C704C">
        <w:rPr>
          <w:rFonts w:ascii="Arial" w:eastAsia="Times New Roman" w:hAnsi="Arial" w:cs="Arial"/>
          <w:b/>
          <w:bCs/>
          <w:color w:val="000000"/>
          <w:lang w:eastAsia="en-GB"/>
        </w:rPr>
        <w:t>is an effective lever in reducing risk; </w:t>
      </w:r>
    </w:p>
    <w:p w:rsidR="003C704C" w:rsidRPr="003C704C" w:rsidRDefault="003C704C" w:rsidP="003C704C">
      <w:pPr>
        <w:numPr>
          <w:ilvl w:val="1"/>
          <w:numId w:val="3"/>
        </w:numPr>
        <w:spacing w:before="240" w:after="240" w:line="240" w:lineRule="auto"/>
        <w:ind w:left="1440" w:hanging="360"/>
        <w:textAlignment w:val="baseline"/>
        <w:rPr>
          <w:rFonts w:ascii="Arial" w:eastAsia="Times New Roman" w:hAnsi="Arial" w:cs="Arial"/>
          <w:b/>
          <w:bCs/>
          <w:color w:val="000000"/>
          <w:lang w:eastAsia="en-GB"/>
        </w:rPr>
      </w:pPr>
      <w:r w:rsidRPr="003C704C">
        <w:rPr>
          <w:rFonts w:ascii="Arial" w:eastAsia="Times New Roman" w:hAnsi="Arial" w:cs="Arial"/>
          <w:color w:val="000000"/>
          <w:shd w:val="clear" w:color="auto" w:fill="FFFFFF"/>
          <w:lang w:eastAsia="en-GB"/>
        </w:rPr>
        <w:t xml:space="preserve">Human Factors —including organizational climate and culture— play a critical role in our </w:t>
      </w:r>
      <w:proofErr w:type="gramStart"/>
      <w:r w:rsidRPr="003C704C">
        <w:rPr>
          <w:rFonts w:ascii="Arial" w:eastAsia="Times New Roman" w:hAnsi="Arial" w:cs="Arial"/>
          <w:color w:val="000000"/>
          <w:shd w:val="clear" w:color="auto" w:fill="FFFFFF"/>
          <w:lang w:eastAsia="en-GB"/>
        </w:rPr>
        <w:t>cross government</w:t>
      </w:r>
      <w:proofErr w:type="gramEnd"/>
      <w:r w:rsidRPr="003C704C">
        <w:rPr>
          <w:rFonts w:ascii="Arial" w:eastAsia="Times New Roman" w:hAnsi="Arial" w:cs="Arial"/>
          <w:color w:val="000000"/>
          <w:shd w:val="clear" w:color="auto" w:fill="FFFFFF"/>
          <w:lang w:eastAsia="en-GB"/>
        </w:rPr>
        <w:t xml:space="preserve"> </w:t>
      </w:r>
      <w:r w:rsidRPr="003C704C">
        <w:rPr>
          <w:rFonts w:ascii="Arial" w:eastAsia="Times New Roman" w:hAnsi="Arial" w:cs="Arial"/>
          <w:b/>
          <w:bCs/>
          <w:color w:val="000000"/>
          <w:shd w:val="clear" w:color="auto" w:fill="FFFFFF"/>
          <w:lang w:eastAsia="en-GB"/>
        </w:rPr>
        <w:t xml:space="preserve">risk posture </w:t>
      </w:r>
      <w:r w:rsidRPr="003C704C">
        <w:rPr>
          <w:rFonts w:ascii="Arial" w:eastAsia="Times New Roman" w:hAnsi="Arial" w:cs="Arial"/>
          <w:color w:val="000000"/>
          <w:shd w:val="clear" w:color="auto" w:fill="FFFFFF"/>
          <w:lang w:eastAsia="en-GB"/>
        </w:rPr>
        <w:t>today; </w:t>
      </w:r>
    </w:p>
    <w:p w:rsidR="003C704C" w:rsidRPr="003C704C" w:rsidRDefault="003C704C" w:rsidP="003C704C">
      <w:pPr>
        <w:numPr>
          <w:ilvl w:val="1"/>
          <w:numId w:val="3"/>
        </w:numPr>
        <w:spacing w:after="160" w:line="240" w:lineRule="auto"/>
        <w:ind w:left="1440" w:hanging="360"/>
        <w:textAlignment w:val="baseline"/>
        <w:rPr>
          <w:rFonts w:ascii="Arial" w:eastAsia="Times New Roman" w:hAnsi="Arial" w:cs="Arial"/>
          <w:color w:val="000000"/>
          <w:lang w:eastAsia="en-GB"/>
        </w:rPr>
      </w:pPr>
      <w:r w:rsidRPr="003C704C">
        <w:rPr>
          <w:rFonts w:ascii="Arial" w:eastAsia="Times New Roman" w:hAnsi="Arial" w:cs="Arial"/>
          <w:color w:val="000000"/>
          <w:shd w:val="clear" w:color="auto" w:fill="FFFFFF"/>
          <w:lang w:eastAsia="en-GB"/>
        </w:rPr>
        <w:t xml:space="preserve">It is feasible to develop a holistic methodology or capability that can assess and monitor the health of the Human Factors landscape - including organizational climate and culture - </w:t>
      </w:r>
      <w:r w:rsidRPr="003C704C">
        <w:rPr>
          <w:rFonts w:ascii="Arial" w:eastAsia="Times New Roman" w:hAnsi="Arial" w:cs="Arial"/>
          <w:b/>
          <w:bCs/>
          <w:color w:val="000000"/>
          <w:shd w:val="clear" w:color="auto" w:fill="FFFFFF"/>
          <w:lang w:eastAsia="en-GB"/>
        </w:rPr>
        <w:t>across a public sector organisation</w:t>
      </w:r>
      <w:r w:rsidRPr="003C704C">
        <w:rPr>
          <w:rFonts w:ascii="Arial" w:eastAsia="Times New Roman" w:hAnsi="Arial" w:cs="Arial"/>
          <w:color w:val="000000"/>
          <w:shd w:val="clear" w:color="auto" w:fill="FFFFFF"/>
          <w:lang w:eastAsia="en-GB"/>
        </w:rPr>
        <w:t xml:space="preserve"> in near real time; </w:t>
      </w:r>
    </w:p>
    <w:p w:rsidR="003C704C" w:rsidRPr="003C704C" w:rsidRDefault="003C704C" w:rsidP="003C704C">
      <w:pPr>
        <w:numPr>
          <w:ilvl w:val="1"/>
          <w:numId w:val="3"/>
        </w:numPr>
        <w:spacing w:after="160" w:line="240" w:lineRule="auto"/>
        <w:ind w:left="1440" w:hanging="360"/>
        <w:textAlignment w:val="baseline"/>
        <w:rPr>
          <w:rFonts w:ascii="Arial" w:eastAsia="Times New Roman" w:hAnsi="Arial" w:cs="Arial"/>
          <w:color w:val="000000"/>
          <w:lang w:eastAsia="en-GB"/>
        </w:rPr>
      </w:pPr>
      <w:r w:rsidRPr="003C704C">
        <w:rPr>
          <w:rFonts w:ascii="Arial" w:eastAsia="Times New Roman" w:hAnsi="Arial" w:cs="Arial"/>
          <w:color w:val="000000"/>
          <w:shd w:val="clear" w:color="auto" w:fill="FFFFFF"/>
          <w:lang w:eastAsia="en-GB"/>
        </w:rPr>
        <w:t xml:space="preserve">It is feasible to develop a single methodology or capability to assess and monitor the health of the Human Factors landscape - including organizational climate and culture - </w:t>
      </w:r>
      <w:r w:rsidRPr="003C704C">
        <w:rPr>
          <w:rFonts w:ascii="Arial" w:eastAsia="Times New Roman" w:hAnsi="Arial" w:cs="Arial"/>
          <w:b/>
          <w:bCs/>
          <w:color w:val="000000"/>
          <w:shd w:val="clear" w:color="auto" w:fill="FFFFFF"/>
          <w:lang w:eastAsia="en-GB"/>
        </w:rPr>
        <w:t>across government</w:t>
      </w:r>
      <w:r w:rsidRPr="003C704C">
        <w:rPr>
          <w:rFonts w:ascii="Arial" w:eastAsia="Times New Roman" w:hAnsi="Arial" w:cs="Arial"/>
          <w:color w:val="000000"/>
          <w:shd w:val="clear" w:color="auto" w:fill="FFFFFF"/>
          <w:lang w:eastAsia="en-GB"/>
        </w:rPr>
        <w:t xml:space="preserve"> in near real time; </w:t>
      </w:r>
    </w:p>
    <w:p w:rsidR="003C704C" w:rsidRPr="003C704C" w:rsidRDefault="003C704C" w:rsidP="003C704C">
      <w:pPr>
        <w:numPr>
          <w:ilvl w:val="1"/>
          <w:numId w:val="3"/>
        </w:numPr>
        <w:spacing w:after="160" w:line="240" w:lineRule="auto"/>
        <w:ind w:left="1440" w:hanging="360"/>
        <w:textAlignment w:val="baseline"/>
        <w:rPr>
          <w:rFonts w:ascii="Courier New" w:eastAsia="Times New Roman" w:hAnsi="Courier New" w:cs="Courier New"/>
          <w:color w:val="000000"/>
          <w:lang w:eastAsia="en-GB"/>
        </w:rPr>
      </w:pPr>
      <w:r w:rsidRPr="003C704C">
        <w:rPr>
          <w:rFonts w:ascii="Arial" w:eastAsia="Times New Roman" w:hAnsi="Arial" w:cs="Arial"/>
          <w:color w:val="000000"/>
          <w:shd w:val="clear" w:color="auto" w:fill="FFFFFF"/>
          <w:lang w:eastAsia="en-GB"/>
        </w:rPr>
        <w:t>Although several aspects of culture are interrelated, it adds value to target ‘</w:t>
      </w:r>
      <w:r w:rsidRPr="003C704C">
        <w:rPr>
          <w:rFonts w:ascii="Arial" w:eastAsia="Times New Roman" w:hAnsi="Arial" w:cs="Arial"/>
          <w:b/>
          <w:bCs/>
          <w:color w:val="000000"/>
          <w:shd w:val="clear" w:color="auto" w:fill="FFFFFF"/>
          <w:lang w:eastAsia="en-GB"/>
        </w:rPr>
        <w:t>cyber culture</w:t>
      </w:r>
      <w:r w:rsidRPr="003C704C">
        <w:rPr>
          <w:rFonts w:ascii="Arial" w:eastAsia="Times New Roman" w:hAnsi="Arial" w:cs="Arial"/>
          <w:color w:val="000000"/>
          <w:shd w:val="clear" w:color="auto" w:fill="FFFFFF"/>
          <w:lang w:eastAsia="en-GB"/>
        </w:rPr>
        <w:t xml:space="preserve">’ separately from </w:t>
      </w:r>
      <w:r w:rsidRPr="003C704C">
        <w:rPr>
          <w:rFonts w:ascii="Arial" w:eastAsia="Times New Roman" w:hAnsi="Arial" w:cs="Arial"/>
          <w:b/>
          <w:bCs/>
          <w:color w:val="000000"/>
          <w:shd w:val="clear" w:color="auto" w:fill="FFFFFF"/>
          <w:lang w:eastAsia="en-GB"/>
        </w:rPr>
        <w:t>‘organisational culture’ or</w:t>
      </w:r>
      <w:r w:rsidRPr="003C704C">
        <w:rPr>
          <w:rFonts w:ascii="Arial" w:eastAsia="Times New Roman" w:hAnsi="Arial" w:cs="Arial"/>
          <w:color w:val="000000"/>
          <w:shd w:val="clear" w:color="auto" w:fill="FFFFFF"/>
          <w:lang w:eastAsia="en-GB"/>
        </w:rPr>
        <w:t xml:space="preserve"> ‘</w:t>
      </w:r>
      <w:r w:rsidRPr="003C704C">
        <w:rPr>
          <w:rFonts w:ascii="Arial" w:eastAsia="Times New Roman" w:hAnsi="Arial" w:cs="Arial"/>
          <w:b/>
          <w:bCs/>
          <w:color w:val="000000"/>
          <w:shd w:val="clear" w:color="auto" w:fill="FFFFFF"/>
          <w:lang w:eastAsia="en-GB"/>
        </w:rPr>
        <w:t xml:space="preserve">security culture’ </w:t>
      </w:r>
      <w:r w:rsidRPr="003C704C">
        <w:rPr>
          <w:rFonts w:ascii="Arial" w:eastAsia="Times New Roman" w:hAnsi="Arial" w:cs="Arial"/>
          <w:color w:val="000000"/>
          <w:shd w:val="clear" w:color="auto" w:fill="FFFFFF"/>
          <w:lang w:eastAsia="en-GB"/>
        </w:rPr>
        <w:t>(where “security culture” is defined as including physical, personnel, technical and cyber culture)</w:t>
      </w:r>
      <w:r w:rsidRPr="003C704C">
        <w:rPr>
          <w:rFonts w:ascii="Arial" w:eastAsia="Times New Roman" w:hAnsi="Arial" w:cs="Arial"/>
          <w:b/>
          <w:bCs/>
          <w:color w:val="000000"/>
          <w:shd w:val="clear" w:color="auto" w:fill="FFFFFF"/>
          <w:lang w:eastAsia="en-GB"/>
        </w:rPr>
        <w:t>; </w:t>
      </w:r>
    </w:p>
    <w:p w:rsidR="003C704C" w:rsidRPr="003C704C" w:rsidRDefault="003C704C" w:rsidP="003C704C">
      <w:pPr>
        <w:numPr>
          <w:ilvl w:val="1"/>
          <w:numId w:val="3"/>
        </w:numPr>
        <w:spacing w:after="160" w:line="240" w:lineRule="auto"/>
        <w:ind w:left="1440" w:hanging="360"/>
        <w:textAlignment w:val="baseline"/>
        <w:rPr>
          <w:rFonts w:ascii="Arial" w:eastAsia="Times New Roman" w:hAnsi="Arial" w:cs="Arial"/>
          <w:b/>
          <w:bCs/>
          <w:color w:val="000000"/>
          <w:lang w:eastAsia="en-GB"/>
        </w:rPr>
      </w:pPr>
      <w:r w:rsidRPr="003C704C">
        <w:rPr>
          <w:rFonts w:ascii="Arial" w:eastAsia="Times New Roman" w:hAnsi="Arial" w:cs="Arial"/>
          <w:color w:val="000000"/>
          <w:shd w:val="clear" w:color="auto" w:fill="FFFFFF"/>
          <w:lang w:eastAsia="en-GB"/>
        </w:rPr>
        <w:t xml:space="preserve">Leadership (senior leaders as well as local line managers) attitudes and behaviours are the </w:t>
      </w:r>
      <w:r w:rsidRPr="003C704C">
        <w:rPr>
          <w:rFonts w:ascii="Arial" w:eastAsia="Times New Roman" w:hAnsi="Arial" w:cs="Arial"/>
          <w:b/>
          <w:bCs/>
          <w:color w:val="000000"/>
          <w:shd w:val="clear" w:color="auto" w:fill="FFFFFF"/>
          <w:lang w:eastAsia="en-GB"/>
        </w:rPr>
        <w:t xml:space="preserve">single greatest factor </w:t>
      </w:r>
      <w:r w:rsidRPr="003C704C">
        <w:rPr>
          <w:rFonts w:ascii="Arial" w:eastAsia="Times New Roman" w:hAnsi="Arial" w:cs="Arial"/>
          <w:color w:val="000000"/>
          <w:shd w:val="clear" w:color="auto" w:fill="FFFFFF"/>
          <w:lang w:eastAsia="en-GB"/>
        </w:rPr>
        <w:t xml:space="preserve">which drive an </w:t>
      </w:r>
      <w:r w:rsidRPr="003C704C">
        <w:rPr>
          <w:rFonts w:ascii="Arial" w:eastAsia="Times New Roman" w:hAnsi="Arial" w:cs="Arial"/>
          <w:b/>
          <w:bCs/>
          <w:color w:val="000000"/>
          <w:shd w:val="clear" w:color="auto" w:fill="FFFFFF"/>
          <w:lang w:eastAsia="en-GB"/>
        </w:rPr>
        <w:t>organisation’s risk posture</w:t>
      </w:r>
      <w:r w:rsidRPr="003C704C">
        <w:rPr>
          <w:rFonts w:ascii="Arial" w:eastAsia="Times New Roman" w:hAnsi="Arial" w:cs="Arial"/>
          <w:color w:val="000000"/>
          <w:shd w:val="clear" w:color="auto" w:fill="FFFFFF"/>
          <w:lang w:eastAsia="en-GB"/>
        </w:rPr>
        <w:t>, and therefore represents the greatest value for risk interventions; </w:t>
      </w:r>
    </w:p>
    <w:p w:rsidR="003C704C" w:rsidRPr="003C704C" w:rsidRDefault="003C704C" w:rsidP="003C704C">
      <w:pPr>
        <w:numPr>
          <w:ilvl w:val="1"/>
          <w:numId w:val="3"/>
        </w:numPr>
        <w:spacing w:after="160" w:line="240" w:lineRule="auto"/>
        <w:ind w:left="1440" w:hanging="360"/>
        <w:textAlignment w:val="baseline"/>
        <w:rPr>
          <w:rFonts w:ascii="Arial" w:eastAsia="Times New Roman" w:hAnsi="Arial" w:cs="Arial"/>
          <w:b/>
          <w:bCs/>
          <w:color w:val="000000"/>
          <w:lang w:eastAsia="en-GB"/>
        </w:rPr>
      </w:pPr>
      <w:r w:rsidRPr="003C704C">
        <w:rPr>
          <w:rFonts w:ascii="Arial" w:eastAsia="Times New Roman" w:hAnsi="Arial" w:cs="Arial"/>
          <w:color w:val="000000"/>
          <w:shd w:val="clear" w:color="auto" w:fill="FFFFFF"/>
          <w:lang w:eastAsia="en-GB"/>
        </w:rPr>
        <w:lastRenderedPageBreak/>
        <w:t xml:space="preserve">Risk interventions applicable to government departments are also applicable to other </w:t>
      </w:r>
      <w:r w:rsidRPr="003C704C">
        <w:rPr>
          <w:rFonts w:ascii="Arial" w:eastAsia="Times New Roman" w:hAnsi="Arial" w:cs="Arial"/>
          <w:b/>
          <w:bCs/>
          <w:color w:val="000000"/>
          <w:shd w:val="clear" w:color="auto" w:fill="FFFFFF"/>
          <w:lang w:eastAsia="en-GB"/>
        </w:rPr>
        <w:t>public sector organisations such as local authorities, education and healthcare arm lengths bodies</w:t>
      </w:r>
      <w:r w:rsidRPr="003C704C">
        <w:rPr>
          <w:rFonts w:ascii="Arial" w:eastAsia="Times New Roman" w:hAnsi="Arial" w:cs="Arial"/>
          <w:color w:val="000000"/>
          <w:shd w:val="clear" w:color="auto" w:fill="FFFFFF"/>
          <w:lang w:eastAsia="en-GB"/>
        </w:rPr>
        <w:t>; </w:t>
      </w:r>
    </w:p>
    <w:p w:rsidR="003C704C" w:rsidRPr="003C704C" w:rsidRDefault="003C704C" w:rsidP="003C704C">
      <w:pPr>
        <w:numPr>
          <w:ilvl w:val="1"/>
          <w:numId w:val="3"/>
        </w:numPr>
        <w:spacing w:after="160" w:line="240" w:lineRule="auto"/>
        <w:ind w:left="1440" w:hanging="360"/>
        <w:textAlignment w:val="baseline"/>
        <w:rPr>
          <w:rFonts w:ascii="Courier New" w:eastAsia="Times New Roman" w:hAnsi="Courier New" w:cs="Courier New"/>
          <w:color w:val="000000"/>
          <w:lang w:eastAsia="en-GB"/>
        </w:rPr>
      </w:pPr>
      <w:r w:rsidRPr="003C704C">
        <w:rPr>
          <w:rFonts w:ascii="Arial" w:eastAsia="Times New Roman" w:hAnsi="Arial" w:cs="Arial"/>
          <w:color w:val="000000"/>
          <w:shd w:val="clear" w:color="auto" w:fill="FFFFFF"/>
          <w:lang w:eastAsia="en-GB"/>
        </w:rPr>
        <w:t xml:space="preserve">Appropriate security cultures require the organisation to improve people's </w:t>
      </w:r>
      <w:r w:rsidRPr="003C704C">
        <w:rPr>
          <w:rFonts w:ascii="Arial" w:eastAsia="Times New Roman" w:hAnsi="Arial" w:cs="Arial"/>
          <w:b/>
          <w:bCs/>
          <w:color w:val="000000"/>
          <w:shd w:val="clear" w:color="auto" w:fill="FFFFFF"/>
          <w:lang w:eastAsia="en-GB"/>
        </w:rPr>
        <w:t xml:space="preserve">capability and opportunity </w:t>
      </w:r>
      <w:r w:rsidRPr="003C704C">
        <w:rPr>
          <w:rFonts w:ascii="Arial" w:eastAsia="Times New Roman" w:hAnsi="Arial" w:cs="Arial"/>
          <w:color w:val="000000"/>
          <w:shd w:val="clear" w:color="auto" w:fill="FFFFFF"/>
          <w:lang w:eastAsia="en-GB"/>
        </w:rPr>
        <w:t xml:space="preserve">to work securely, as well as their </w:t>
      </w:r>
      <w:r w:rsidRPr="003C704C">
        <w:rPr>
          <w:rFonts w:ascii="Arial" w:eastAsia="Times New Roman" w:hAnsi="Arial" w:cs="Arial"/>
          <w:b/>
          <w:bCs/>
          <w:color w:val="000000"/>
          <w:shd w:val="clear" w:color="auto" w:fill="FFFFFF"/>
          <w:lang w:eastAsia="en-GB"/>
        </w:rPr>
        <w:t>attitudes and motivation. </w:t>
      </w:r>
    </w:p>
    <w:p w:rsidR="003C704C" w:rsidRPr="003C704C" w:rsidRDefault="003C704C" w:rsidP="003C704C">
      <w:pPr>
        <w:numPr>
          <w:ilvl w:val="1"/>
          <w:numId w:val="3"/>
        </w:numPr>
        <w:spacing w:after="160" w:line="240" w:lineRule="auto"/>
        <w:ind w:left="1440" w:hanging="360"/>
        <w:textAlignment w:val="baseline"/>
        <w:rPr>
          <w:rFonts w:ascii="Arial" w:eastAsia="Times New Roman" w:hAnsi="Arial" w:cs="Arial"/>
          <w:b/>
          <w:bCs/>
          <w:color w:val="000000"/>
          <w:lang w:eastAsia="en-GB"/>
        </w:rPr>
      </w:pPr>
      <w:r w:rsidRPr="003C704C">
        <w:rPr>
          <w:rFonts w:ascii="Arial" w:eastAsia="Times New Roman" w:hAnsi="Arial" w:cs="Arial"/>
          <w:b/>
          <w:bCs/>
          <w:color w:val="000000"/>
          <w:shd w:val="clear" w:color="auto" w:fill="FFFFFF"/>
          <w:lang w:eastAsia="en-GB"/>
        </w:rPr>
        <w:t xml:space="preserve">Interventions which </w:t>
      </w:r>
      <w:r w:rsidRPr="003C704C">
        <w:rPr>
          <w:rFonts w:ascii="Arial" w:eastAsia="Times New Roman" w:hAnsi="Arial" w:cs="Arial"/>
          <w:color w:val="000000"/>
          <w:shd w:val="clear" w:color="auto" w:fill="FFFFFF"/>
          <w:lang w:eastAsia="en-GB"/>
        </w:rPr>
        <w:t xml:space="preserve">reduce high risk behaviours (e.g. reduced IT security violations) can </w:t>
      </w:r>
      <w:r w:rsidRPr="003C704C">
        <w:rPr>
          <w:rFonts w:ascii="Arial" w:eastAsia="Times New Roman" w:hAnsi="Arial" w:cs="Arial"/>
          <w:b/>
          <w:bCs/>
          <w:color w:val="000000"/>
          <w:shd w:val="clear" w:color="auto" w:fill="FFFFFF"/>
          <w:lang w:eastAsia="en-GB"/>
        </w:rPr>
        <w:t>be measured in near real-time, quantitatively and qualitatively.</w:t>
      </w:r>
    </w:p>
    <w:p w:rsidR="003C704C" w:rsidRPr="003C704C" w:rsidRDefault="003C704C" w:rsidP="003C704C">
      <w:pPr>
        <w:numPr>
          <w:ilvl w:val="0"/>
          <w:numId w:val="4"/>
        </w:numPr>
        <w:spacing w:after="160" w:line="240" w:lineRule="auto"/>
        <w:textAlignment w:val="baseline"/>
        <w:rPr>
          <w:rFonts w:eastAsia="Times New Roman"/>
          <w:color w:val="000000"/>
          <w:lang w:eastAsia="en-GB"/>
        </w:rPr>
      </w:pPr>
      <w:r w:rsidRPr="003C704C">
        <w:rPr>
          <w:rFonts w:ascii="Arial" w:eastAsia="Times New Roman" w:hAnsi="Arial" w:cs="Arial"/>
          <w:color w:val="000000"/>
          <w:shd w:val="clear" w:color="auto" w:fill="FFFFFF"/>
          <w:lang w:eastAsia="en-GB"/>
        </w:rPr>
        <w:t>We hypothesise that third party suppliers might validate or disprove our hypotheses through</w:t>
      </w:r>
      <w:r w:rsidRPr="003C704C">
        <w:rPr>
          <w:rFonts w:ascii="Arial" w:eastAsia="Times New Roman" w:hAnsi="Arial" w:cs="Arial"/>
          <w:b/>
          <w:bCs/>
          <w:color w:val="000000"/>
          <w:shd w:val="clear" w:color="auto" w:fill="FFFFFF"/>
          <w:lang w:eastAsia="en-GB"/>
        </w:rPr>
        <w:t xml:space="preserve"> Human Factor interventions, bespoke technology application or nudge learning</w:t>
      </w:r>
      <w:r w:rsidRPr="003C704C">
        <w:rPr>
          <w:rFonts w:ascii="Arial" w:eastAsia="Times New Roman" w:hAnsi="Arial" w:cs="Arial"/>
          <w:color w:val="000000"/>
          <w:shd w:val="clear" w:color="auto" w:fill="FFFFFF"/>
          <w:lang w:eastAsia="en-GB"/>
        </w:rPr>
        <w:t>, but welcome innovative alternative approaches.</w:t>
      </w:r>
    </w:p>
    <w:p w:rsidR="003C704C" w:rsidRPr="003C704C" w:rsidRDefault="003C704C" w:rsidP="003C704C">
      <w:pPr>
        <w:numPr>
          <w:ilvl w:val="0"/>
          <w:numId w:val="5"/>
        </w:numPr>
        <w:spacing w:after="160" w:line="240" w:lineRule="auto"/>
        <w:textAlignment w:val="baseline"/>
        <w:rPr>
          <w:rFonts w:ascii="Arial" w:eastAsia="Times New Roman" w:hAnsi="Arial" w:cs="Arial"/>
          <w:color w:val="000000"/>
          <w:lang w:eastAsia="en-GB"/>
        </w:rPr>
      </w:pPr>
      <w:r w:rsidRPr="003C704C">
        <w:rPr>
          <w:rFonts w:ascii="Arial" w:eastAsia="Times New Roman" w:hAnsi="Arial" w:cs="Arial"/>
          <w:color w:val="000000"/>
          <w:shd w:val="clear" w:color="auto" w:fill="FFFFFF"/>
          <w:lang w:eastAsia="en-GB"/>
        </w:rPr>
        <w:t>Over 12 weeks, Phase One invites potentially multiple suppliers to:</w:t>
      </w:r>
    </w:p>
    <w:p w:rsidR="003C704C" w:rsidRPr="003C704C" w:rsidRDefault="003C704C" w:rsidP="003C704C">
      <w:pPr>
        <w:numPr>
          <w:ilvl w:val="1"/>
          <w:numId w:val="6"/>
        </w:numPr>
        <w:spacing w:after="160" w:line="240" w:lineRule="auto"/>
        <w:ind w:left="1440" w:hanging="360"/>
        <w:textAlignment w:val="baseline"/>
        <w:rPr>
          <w:rFonts w:ascii="Arial" w:eastAsia="Times New Roman" w:hAnsi="Arial" w:cs="Arial"/>
          <w:color w:val="000000"/>
          <w:lang w:eastAsia="en-GB"/>
        </w:rPr>
      </w:pPr>
      <w:r w:rsidRPr="003C704C">
        <w:rPr>
          <w:rFonts w:ascii="Arial" w:eastAsia="Times New Roman" w:hAnsi="Arial" w:cs="Arial"/>
          <w:color w:val="000000"/>
          <w:shd w:val="clear" w:color="auto" w:fill="FFFFFF"/>
          <w:lang w:eastAsia="en-GB"/>
        </w:rPr>
        <w:t xml:space="preserve">validate or disprove </w:t>
      </w:r>
      <w:r w:rsidRPr="003C704C">
        <w:rPr>
          <w:rFonts w:ascii="Arial" w:eastAsia="Times New Roman" w:hAnsi="Arial" w:cs="Arial"/>
          <w:b/>
          <w:bCs/>
          <w:color w:val="000000"/>
          <w:shd w:val="clear" w:color="auto" w:fill="FFFFFF"/>
          <w:lang w:eastAsia="en-GB"/>
        </w:rPr>
        <w:t xml:space="preserve">as many of our hypotheses as possible </w:t>
      </w:r>
      <w:r w:rsidRPr="003C704C">
        <w:rPr>
          <w:rFonts w:ascii="Arial" w:eastAsia="Times New Roman" w:hAnsi="Arial" w:cs="Arial"/>
          <w:color w:val="000000"/>
          <w:shd w:val="clear" w:color="auto" w:fill="FFFFFF"/>
          <w:lang w:eastAsia="en-GB"/>
        </w:rPr>
        <w:t>and;</w:t>
      </w:r>
    </w:p>
    <w:p w:rsidR="003C704C" w:rsidRPr="003C704C" w:rsidRDefault="003C704C" w:rsidP="003C704C">
      <w:pPr>
        <w:numPr>
          <w:ilvl w:val="1"/>
          <w:numId w:val="6"/>
        </w:numPr>
        <w:spacing w:before="240" w:after="240" w:line="240" w:lineRule="auto"/>
        <w:ind w:left="1440" w:hanging="360"/>
        <w:textAlignment w:val="baseline"/>
        <w:rPr>
          <w:rFonts w:ascii="Arial" w:eastAsia="Times New Roman" w:hAnsi="Arial" w:cs="Arial"/>
          <w:color w:val="000000"/>
          <w:lang w:eastAsia="en-GB"/>
        </w:rPr>
      </w:pPr>
      <w:r w:rsidRPr="003C704C">
        <w:rPr>
          <w:rFonts w:ascii="Arial" w:eastAsia="Times New Roman" w:hAnsi="Arial" w:cs="Arial"/>
          <w:color w:val="000000"/>
          <w:shd w:val="clear" w:color="auto" w:fill="FFFFFF"/>
          <w:lang w:eastAsia="en-GB"/>
        </w:rPr>
        <w:t xml:space="preserve">develop, prototype and test systematic interventions or groups of </w:t>
      </w:r>
      <w:r w:rsidRPr="003C704C">
        <w:rPr>
          <w:rFonts w:ascii="Arial" w:eastAsia="Times New Roman" w:hAnsi="Arial" w:cs="Arial"/>
          <w:b/>
          <w:bCs/>
          <w:color w:val="000000"/>
          <w:shd w:val="clear" w:color="auto" w:fill="FFFFFF"/>
          <w:lang w:eastAsia="en-GB"/>
        </w:rPr>
        <w:t>interventions to reduce risk</w:t>
      </w:r>
      <w:r w:rsidRPr="003C704C">
        <w:rPr>
          <w:rFonts w:ascii="Arial" w:eastAsia="Times New Roman" w:hAnsi="Arial" w:cs="Arial"/>
          <w:color w:val="000000"/>
          <w:shd w:val="clear" w:color="auto" w:fill="FFFFFF"/>
          <w:lang w:eastAsia="en-GB"/>
        </w:rPr>
        <w:t>, and;</w:t>
      </w:r>
    </w:p>
    <w:p w:rsidR="003C704C" w:rsidRPr="003C704C" w:rsidRDefault="003C704C" w:rsidP="003C704C">
      <w:pPr>
        <w:numPr>
          <w:ilvl w:val="1"/>
          <w:numId w:val="6"/>
        </w:numPr>
        <w:spacing w:before="240" w:after="240" w:line="240" w:lineRule="auto"/>
        <w:ind w:left="1440" w:hanging="360"/>
        <w:textAlignment w:val="baseline"/>
        <w:rPr>
          <w:rFonts w:ascii="Arial" w:eastAsia="Times New Roman" w:hAnsi="Arial" w:cs="Arial"/>
          <w:color w:val="000000"/>
          <w:lang w:eastAsia="en-GB"/>
        </w:rPr>
      </w:pPr>
      <w:r w:rsidRPr="003C704C">
        <w:rPr>
          <w:rFonts w:ascii="Arial" w:eastAsia="Times New Roman" w:hAnsi="Arial" w:cs="Arial"/>
          <w:color w:val="000000"/>
          <w:shd w:val="clear" w:color="auto" w:fill="FFFFFF"/>
          <w:lang w:eastAsia="en-GB"/>
        </w:rPr>
        <w:t xml:space="preserve">propose implementation measures and </w:t>
      </w:r>
      <w:r w:rsidRPr="003C704C">
        <w:rPr>
          <w:rFonts w:ascii="Arial" w:eastAsia="Times New Roman" w:hAnsi="Arial" w:cs="Arial"/>
          <w:b/>
          <w:bCs/>
          <w:color w:val="000000"/>
          <w:shd w:val="clear" w:color="auto" w:fill="FFFFFF"/>
          <w:lang w:eastAsia="en-GB"/>
        </w:rPr>
        <w:t>outcome measures of the effectiveness</w:t>
      </w:r>
      <w:r w:rsidRPr="003C704C">
        <w:rPr>
          <w:rFonts w:ascii="Arial" w:eastAsia="Times New Roman" w:hAnsi="Arial" w:cs="Arial"/>
          <w:color w:val="000000"/>
          <w:shd w:val="clear" w:color="auto" w:fill="FFFFFF"/>
          <w:lang w:eastAsia="en-GB"/>
        </w:rPr>
        <w:t xml:space="preserve"> for these intervention(s).</w:t>
      </w:r>
    </w:p>
    <w:p w:rsidR="00A3729F" w:rsidRDefault="007122A8">
      <w:pPr>
        <w:pStyle w:val="Heading3"/>
      </w:pPr>
      <w:r>
        <w:t>Key policy priorities</w:t>
      </w:r>
    </w:p>
    <w:p w:rsidR="003C704C" w:rsidRDefault="003C704C" w:rsidP="003C704C">
      <w:pPr>
        <w:pStyle w:val="NormalWeb"/>
        <w:spacing w:before="240" w:beforeAutospacing="0" w:after="240" w:afterAutospacing="0"/>
      </w:pPr>
      <w:bookmarkStart w:id="6" w:name="_heading=h.96ldcdgf7hoy" w:colFirst="0" w:colLast="0"/>
      <w:bookmarkEnd w:id="6"/>
      <w:r>
        <w:rPr>
          <w:rFonts w:ascii="Arial" w:hAnsi="Arial" w:cs="Arial"/>
          <w:b/>
          <w:bCs/>
          <w:color w:val="000000"/>
          <w:sz w:val="22"/>
          <w:szCs w:val="22"/>
        </w:rPr>
        <w:t>We would like your Phase One f</w:t>
      </w:r>
      <w:bookmarkStart w:id="7" w:name="_GoBack"/>
      <w:bookmarkEnd w:id="7"/>
      <w:r>
        <w:rPr>
          <w:rFonts w:ascii="Arial" w:hAnsi="Arial" w:cs="Arial"/>
          <w:b/>
          <w:bCs/>
          <w:color w:val="000000"/>
          <w:sz w:val="22"/>
          <w:szCs w:val="22"/>
        </w:rPr>
        <w:t>easibility assessment to demonstrate consideration of some or all of the following:</w:t>
      </w:r>
    </w:p>
    <w:p w:rsidR="003C704C" w:rsidRDefault="003C704C" w:rsidP="003C704C">
      <w:pPr>
        <w:pStyle w:val="NormalWeb"/>
        <w:numPr>
          <w:ilvl w:val="0"/>
          <w:numId w:val="7"/>
        </w:numPr>
        <w:spacing w:before="0" w:beforeAutospacing="0" w:after="160" w:afterAutospacing="0"/>
        <w:textAlignment w:val="baseline"/>
        <w:rPr>
          <w:rFonts w:ascii="Calibri" w:hAnsi="Calibri"/>
          <w:color w:val="000000"/>
          <w:sz w:val="22"/>
          <w:szCs w:val="22"/>
        </w:rPr>
      </w:pPr>
      <w:r>
        <w:rPr>
          <w:rFonts w:ascii="Arial" w:hAnsi="Arial" w:cs="Arial"/>
          <w:color w:val="202124"/>
          <w:sz w:val="22"/>
          <w:szCs w:val="22"/>
        </w:rPr>
        <w:t xml:space="preserve">How to support different professional </w:t>
      </w:r>
      <w:r>
        <w:rPr>
          <w:rFonts w:ascii="Arial" w:hAnsi="Arial" w:cs="Arial"/>
          <w:b/>
          <w:bCs/>
          <w:color w:val="202124"/>
          <w:sz w:val="22"/>
          <w:szCs w:val="22"/>
        </w:rPr>
        <w:t>roles and disciplines</w:t>
      </w:r>
      <w:r>
        <w:rPr>
          <w:rFonts w:ascii="Arial" w:hAnsi="Arial" w:cs="Arial"/>
          <w:color w:val="202124"/>
          <w:sz w:val="22"/>
          <w:szCs w:val="22"/>
        </w:rPr>
        <w:t xml:space="preserve"> across government to reduce risk, including but not limited to </w:t>
      </w:r>
      <w:hyperlink r:id="rId11" w:history="1">
        <w:r>
          <w:rPr>
            <w:rStyle w:val="Hyperlink"/>
            <w:rFonts w:ascii="Arial" w:hAnsi="Arial" w:cs="Arial"/>
            <w:color w:val="1155CC"/>
            <w:sz w:val="22"/>
            <w:szCs w:val="22"/>
          </w:rPr>
          <w:t>Analysis</w:t>
        </w:r>
      </w:hyperlink>
      <w:r>
        <w:rPr>
          <w:rFonts w:ascii="Arial" w:hAnsi="Arial" w:cs="Arial"/>
          <w:color w:val="000000"/>
          <w:sz w:val="22"/>
          <w:szCs w:val="22"/>
        </w:rPr>
        <w:t xml:space="preserve">, </w:t>
      </w:r>
      <w:hyperlink r:id="rId12" w:history="1">
        <w:r>
          <w:rPr>
            <w:rStyle w:val="Hyperlink"/>
            <w:rFonts w:ascii="Arial" w:hAnsi="Arial" w:cs="Arial"/>
            <w:color w:val="1155CC"/>
            <w:sz w:val="22"/>
            <w:szCs w:val="22"/>
          </w:rPr>
          <w:t>Government Commercial</w:t>
        </w:r>
      </w:hyperlink>
      <w:r>
        <w:rPr>
          <w:rFonts w:ascii="Arial" w:hAnsi="Arial" w:cs="Arial"/>
          <w:color w:val="202124"/>
          <w:sz w:val="22"/>
          <w:szCs w:val="22"/>
        </w:rPr>
        <w:t xml:space="preserve"> &amp; Procurement, </w:t>
      </w:r>
      <w:hyperlink r:id="rId13" w:history="1">
        <w:r>
          <w:rPr>
            <w:rStyle w:val="Hyperlink"/>
            <w:rFonts w:ascii="Arial" w:hAnsi="Arial" w:cs="Arial"/>
            <w:color w:val="1155CC"/>
            <w:sz w:val="22"/>
            <w:szCs w:val="22"/>
          </w:rPr>
          <w:t>Government Communications</w:t>
        </w:r>
      </w:hyperlink>
      <w:r>
        <w:rPr>
          <w:rFonts w:ascii="Arial" w:hAnsi="Arial" w:cs="Arial"/>
          <w:color w:val="000000"/>
          <w:sz w:val="22"/>
          <w:szCs w:val="22"/>
        </w:rPr>
        <w:t xml:space="preserve">, </w:t>
      </w:r>
      <w:hyperlink r:id="rId14" w:history="1">
        <w:r>
          <w:rPr>
            <w:rStyle w:val="Hyperlink"/>
            <w:rFonts w:ascii="Arial" w:hAnsi="Arial" w:cs="Arial"/>
            <w:color w:val="1155CC"/>
            <w:sz w:val="22"/>
            <w:szCs w:val="22"/>
          </w:rPr>
          <w:t>Digital, Data &amp; Technology</w:t>
        </w:r>
      </w:hyperlink>
      <w:r>
        <w:rPr>
          <w:rFonts w:ascii="Arial" w:hAnsi="Arial" w:cs="Arial"/>
          <w:color w:val="000000"/>
          <w:sz w:val="22"/>
          <w:szCs w:val="22"/>
        </w:rPr>
        <w:t xml:space="preserve">, </w:t>
      </w:r>
      <w:hyperlink r:id="rId15" w:history="1">
        <w:r>
          <w:rPr>
            <w:rStyle w:val="Hyperlink"/>
            <w:rFonts w:ascii="Arial" w:hAnsi="Arial" w:cs="Arial"/>
            <w:color w:val="1155CC"/>
            <w:sz w:val="22"/>
            <w:szCs w:val="22"/>
          </w:rPr>
          <w:t xml:space="preserve">Human Resources, </w:t>
        </w:r>
      </w:hyperlink>
      <w:hyperlink r:id="rId16" w:history="1">
        <w:r>
          <w:rPr>
            <w:rStyle w:val="Hyperlink"/>
            <w:rFonts w:ascii="Arial" w:hAnsi="Arial" w:cs="Arial"/>
            <w:color w:val="1155CC"/>
            <w:sz w:val="22"/>
            <w:szCs w:val="22"/>
          </w:rPr>
          <w:t>Knowledge &amp; Information Management</w:t>
        </w:r>
      </w:hyperlink>
      <w:r>
        <w:rPr>
          <w:rFonts w:ascii="Arial" w:hAnsi="Arial" w:cs="Arial"/>
          <w:color w:val="000000"/>
          <w:sz w:val="22"/>
          <w:szCs w:val="22"/>
        </w:rPr>
        <w:t xml:space="preserve">, </w:t>
      </w:r>
      <w:hyperlink r:id="rId17" w:history="1">
        <w:r>
          <w:rPr>
            <w:rStyle w:val="Hyperlink"/>
            <w:rFonts w:ascii="Arial" w:hAnsi="Arial" w:cs="Arial"/>
            <w:color w:val="1155CC"/>
            <w:sz w:val="22"/>
            <w:szCs w:val="22"/>
          </w:rPr>
          <w:t>Operational Delivery</w:t>
        </w:r>
      </w:hyperlink>
      <w:r>
        <w:rPr>
          <w:rFonts w:ascii="Arial" w:hAnsi="Arial" w:cs="Arial"/>
          <w:color w:val="000000"/>
          <w:sz w:val="22"/>
          <w:szCs w:val="22"/>
        </w:rPr>
        <w:t xml:space="preserve">, </w:t>
      </w:r>
      <w:hyperlink r:id="rId18" w:history="1">
        <w:r>
          <w:rPr>
            <w:rStyle w:val="Hyperlink"/>
            <w:rFonts w:ascii="Arial" w:hAnsi="Arial" w:cs="Arial"/>
            <w:color w:val="1155CC"/>
            <w:sz w:val="22"/>
            <w:szCs w:val="22"/>
          </w:rPr>
          <w:t>Project Management &amp; Delivery</w:t>
        </w:r>
      </w:hyperlink>
      <w:r>
        <w:rPr>
          <w:rFonts w:ascii="Arial" w:hAnsi="Arial" w:cs="Arial"/>
          <w:color w:val="202124"/>
          <w:sz w:val="22"/>
          <w:szCs w:val="22"/>
        </w:rPr>
        <w:t xml:space="preserve">, </w:t>
      </w:r>
      <w:hyperlink r:id="rId19" w:history="1">
        <w:r>
          <w:rPr>
            <w:rStyle w:val="Hyperlink"/>
            <w:rFonts w:ascii="Arial" w:hAnsi="Arial" w:cs="Arial"/>
            <w:color w:val="1155CC"/>
            <w:sz w:val="22"/>
            <w:szCs w:val="22"/>
          </w:rPr>
          <w:t>Property</w:t>
        </w:r>
      </w:hyperlink>
      <w:r>
        <w:rPr>
          <w:rFonts w:ascii="Arial" w:hAnsi="Arial" w:cs="Arial"/>
          <w:color w:val="202124"/>
          <w:sz w:val="22"/>
          <w:szCs w:val="22"/>
        </w:rPr>
        <w:t xml:space="preserve">, </w:t>
      </w:r>
      <w:hyperlink r:id="rId20" w:history="1">
        <w:r>
          <w:rPr>
            <w:rStyle w:val="Hyperlink"/>
            <w:rFonts w:ascii="Arial" w:hAnsi="Arial" w:cs="Arial"/>
            <w:color w:val="1155CC"/>
            <w:sz w:val="22"/>
            <w:szCs w:val="22"/>
          </w:rPr>
          <w:t>Government Security</w:t>
        </w:r>
      </w:hyperlink>
      <w:r>
        <w:rPr>
          <w:rFonts w:ascii="Arial" w:hAnsi="Arial" w:cs="Arial"/>
          <w:color w:val="202124"/>
          <w:sz w:val="22"/>
          <w:szCs w:val="22"/>
        </w:rPr>
        <w:t>,</w:t>
      </w:r>
      <w:r>
        <w:rPr>
          <w:rFonts w:ascii="Arial" w:hAnsi="Arial" w:cs="Arial"/>
          <w:color w:val="000000"/>
          <w:sz w:val="22"/>
          <w:szCs w:val="22"/>
        </w:rPr>
        <w:t xml:space="preserve"> </w:t>
      </w:r>
      <w:hyperlink r:id="rId21" w:history="1">
        <w:r>
          <w:rPr>
            <w:rStyle w:val="Hyperlink"/>
            <w:rFonts w:ascii="Arial" w:hAnsi="Arial" w:cs="Arial"/>
            <w:color w:val="1155CC"/>
            <w:sz w:val="22"/>
            <w:szCs w:val="22"/>
          </w:rPr>
          <w:t>Counter Fraud</w:t>
        </w:r>
      </w:hyperlink>
      <w:r>
        <w:rPr>
          <w:rFonts w:ascii="Arial" w:hAnsi="Arial" w:cs="Arial"/>
          <w:color w:val="000000"/>
          <w:sz w:val="22"/>
          <w:szCs w:val="22"/>
        </w:rPr>
        <w:t xml:space="preserve">, </w:t>
      </w:r>
      <w:hyperlink r:id="rId22" w:history="1">
        <w:r>
          <w:rPr>
            <w:rStyle w:val="Hyperlink"/>
            <w:rFonts w:ascii="Arial" w:hAnsi="Arial" w:cs="Arial"/>
            <w:color w:val="1155CC"/>
            <w:sz w:val="22"/>
            <w:szCs w:val="22"/>
          </w:rPr>
          <w:t>Finance</w:t>
        </w:r>
      </w:hyperlink>
      <w:r>
        <w:rPr>
          <w:rFonts w:ascii="Arial" w:hAnsi="Arial" w:cs="Arial"/>
          <w:color w:val="000000"/>
          <w:sz w:val="22"/>
          <w:szCs w:val="22"/>
        </w:rPr>
        <w:t>,</w:t>
      </w:r>
      <w:hyperlink r:id="rId23" w:history="1">
        <w:r>
          <w:rPr>
            <w:rStyle w:val="Hyperlink"/>
            <w:rFonts w:ascii="Arial" w:hAnsi="Arial" w:cs="Arial"/>
            <w:color w:val="1155CC"/>
            <w:sz w:val="22"/>
            <w:szCs w:val="22"/>
          </w:rPr>
          <w:t xml:space="preserve"> International Trade &amp; Negotiation</w:t>
        </w:r>
      </w:hyperlink>
      <w:r>
        <w:rPr>
          <w:rFonts w:ascii="Arial" w:hAnsi="Arial" w:cs="Arial"/>
          <w:color w:val="000000"/>
          <w:sz w:val="22"/>
          <w:szCs w:val="22"/>
        </w:rPr>
        <w:t xml:space="preserve">, </w:t>
      </w:r>
      <w:hyperlink r:id="rId24" w:history="1">
        <w:r>
          <w:rPr>
            <w:rStyle w:val="Hyperlink"/>
            <w:rFonts w:ascii="Arial" w:hAnsi="Arial" w:cs="Arial"/>
            <w:color w:val="1155CC"/>
            <w:sz w:val="22"/>
            <w:szCs w:val="22"/>
          </w:rPr>
          <w:t>Legal</w:t>
        </w:r>
      </w:hyperlink>
      <w:r>
        <w:rPr>
          <w:rFonts w:ascii="Arial" w:hAnsi="Arial" w:cs="Arial"/>
          <w:color w:val="000000"/>
          <w:sz w:val="22"/>
          <w:szCs w:val="22"/>
        </w:rPr>
        <w:t xml:space="preserve"> &amp; </w:t>
      </w:r>
      <w:hyperlink r:id="rId25" w:history="1">
        <w:r>
          <w:rPr>
            <w:rStyle w:val="Hyperlink"/>
            <w:rFonts w:ascii="Arial" w:hAnsi="Arial" w:cs="Arial"/>
            <w:color w:val="1155CC"/>
            <w:sz w:val="22"/>
            <w:szCs w:val="22"/>
          </w:rPr>
          <w:t>Policy</w:t>
        </w:r>
      </w:hyperlink>
      <w:r>
        <w:rPr>
          <w:rFonts w:ascii="Arial" w:hAnsi="Arial" w:cs="Arial"/>
          <w:color w:val="000000"/>
          <w:sz w:val="22"/>
          <w:szCs w:val="22"/>
        </w:rPr>
        <w:t>. </w:t>
      </w:r>
    </w:p>
    <w:p w:rsidR="003C704C" w:rsidRDefault="003C704C" w:rsidP="003C704C">
      <w:pPr>
        <w:pStyle w:val="NormalWeb"/>
        <w:numPr>
          <w:ilvl w:val="0"/>
          <w:numId w:val="7"/>
        </w:numPr>
        <w:spacing w:before="0" w:beforeAutospacing="0" w:after="160" w:afterAutospacing="0"/>
        <w:textAlignment w:val="baseline"/>
        <w:rPr>
          <w:rFonts w:ascii="Calibri" w:hAnsi="Calibri"/>
          <w:color w:val="000000"/>
          <w:sz w:val="22"/>
          <w:szCs w:val="22"/>
        </w:rPr>
      </w:pPr>
      <w:r>
        <w:rPr>
          <w:rFonts w:ascii="Arial" w:hAnsi="Arial" w:cs="Arial"/>
          <w:color w:val="202124"/>
          <w:sz w:val="22"/>
          <w:szCs w:val="22"/>
        </w:rPr>
        <w:t>How to support government organisations to identify what interventions should be</w:t>
      </w:r>
      <w:r>
        <w:rPr>
          <w:rFonts w:ascii="Arial" w:hAnsi="Arial" w:cs="Arial"/>
          <w:b/>
          <w:bCs/>
          <w:color w:val="202124"/>
          <w:sz w:val="22"/>
          <w:szCs w:val="22"/>
        </w:rPr>
        <w:t xml:space="preserve"> prioritised </w:t>
      </w:r>
      <w:r>
        <w:rPr>
          <w:rFonts w:ascii="Arial" w:hAnsi="Arial" w:cs="Arial"/>
          <w:color w:val="202124"/>
          <w:sz w:val="22"/>
          <w:szCs w:val="22"/>
        </w:rPr>
        <w:t>to reduce risk; </w:t>
      </w:r>
    </w:p>
    <w:p w:rsidR="003C704C" w:rsidRDefault="003C704C" w:rsidP="003C704C">
      <w:pPr>
        <w:pStyle w:val="NormalWeb"/>
        <w:numPr>
          <w:ilvl w:val="0"/>
          <w:numId w:val="7"/>
        </w:numPr>
        <w:spacing w:before="0" w:beforeAutospacing="0" w:after="160" w:afterAutospacing="0"/>
        <w:textAlignment w:val="baseline"/>
        <w:rPr>
          <w:rFonts w:ascii="Arial" w:hAnsi="Arial" w:cs="Arial"/>
          <w:color w:val="202124"/>
          <w:sz w:val="22"/>
          <w:szCs w:val="22"/>
        </w:rPr>
      </w:pPr>
      <w:r>
        <w:rPr>
          <w:rFonts w:ascii="Arial" w:hAnsi="Arial" w:cs="Arial"/>
          <w:color w:val="202124"/>
          <w:sz w:val="22"/>
          <w:szCs w:val="22"/>
        </w:rPr>
        <w:t>How to support both the</w:t>
      </w:r>
      <w:r>
        <w:rPr>
          <w:rFonts w:ascii="Arial" w:hAnsi="Arial" w:cs="Arial"/>
          <w:b/>
          <w:bCs/>
          <w:color w:val="202124"/>
          <w:sz w:val="22"/>
          <w:szCs w:val="22"/>
        </w:rPr>
        <w:t xml:space="preserve"> user </w:t>
      </w:r>
      <w:r>
        <w:rPr>
          <w:rFonts w:ascii="Arial" w:hAnsi="Arial" w:cs="Arial"/>
          <w:color w:val="202124"/>
          <w:sz w:val="22"/>
          <w:szCs w:val="22"/>
        </w:rPr>
        <w:t xml:space="preserve">(anyone who uses government official IT) and the </w:t>
      </w:r>
      <w:r>
        <w:rPr>
          <w:rFonts w:ascii="Arial" w:hAnsi="Arial" w:cs="Arial"/>
          <w:b/>
          <w:bCs/>
          <w:color w:val="202124"/>
          <w:sz w:val="22"/>
          <w:szCs w:val="22"/>
        </w:rPr>
        <w:t xml:space="preserve">practitioner </w:t>
      </w:r>
      <w:r>
        <w:rPr>
          <w:rFonts w:ascii="Arial" w:hAnsi="Arial" w:cs="Arial"/>
          <w:color w:val="202124"/>
          <w:sz w:val="22"/>
          <w:szCs w:val="22"/>
        </w:rPr>
        <w:t>(</w:t>
      </w:r>
      <w:r>
        <w:rPr>
          <w:rFonts w:ascii="Arial" w:hAnsi="Arial" w:cs="Arial"/>
          <w:color w:val="222222"/>
          <w:sz w:val="22"/>
          <w:szCs w:val="22"/>
          <w:shd w:val="clear" w:color="auto" w:fill="FFFFFF"/>
        </w:rPr>
        <w:t xml:space="preserve">those responsible for managing and delivering security in a government organisation) to reduce risk; whilst suppliers are welcome to target a specific user group for the intervention(s) e.g. system administrators, senior executives, suppliers should target the user groups which have the </w:t>
      </w:r>
      <w:r>
        <w:rPr>
          <w:rFonts w:ascii="Arial" w:hAnsi="Arial" w:cs="Arial"/>
          <w:b/>
          <w:bCs/>
          <w:color w:val="222222"/>
          <w:sz w:val="22"/>
          <w:szCs w:val="22"/>
          <w:shd w:val="clear" w:color="auto" w:fill="FFFFFF"/>
        </w:rPr>
        <w:t>greatest influence over the organisation’s risk posture</w:t>
      </w:r>
      <w:r>
        <w:rPr>
          <w:rFonts w:ascii="Arial" w:hAnsi="Arial" w:cs="Arial"/>
          <w:color w:val="222222"/>
          <w:sz w:val="22"/>
          <w:szCs w:val="22"/>
          <w:shd w:val="clear" w:color="auto" w:fill="FFFFFF"/>
        </w:rPr>
        <w:t>;</w:t>
      </w:r>
    </w:p>
    <w:p w:rsidR="003C704C" w:rsidRDefault="003C704C" w:rsidP="003C704C">
      <w:pPr>
        <w:pStyle w:val="NormalWeb"/>
        <w:numPr>
          <w:ilvl w:val="0"/>
          <w:numId w:val="7"/>
        </w:numPr>
        <w:spacing w:before="240" w:beforeAutospacing="0" w:after="240" w:afterAutospacing="0"/>
        <w:textAlignment w:val="baseline"/>
        <w:rPr>
          <w:rFonts w:ascii="Arial" w:hAnsi="Arial" w:cs="Arial"/>
          <w:color w:val="000000"/>
          <w:sz w:val="22"/>
          <w:szCs w:val="22"/>
        </w:rPr>
      </w:pPr>
      <w:r>
        <w:rPr>
          <w:rFonts w:ascii="Arial" w:hAnsi="Arial" w:cs="Arial"/>
          <w:color w:val="202124"/>
          <w:sz w:val="22"/>
          <w:szCs w:val="22"/>
        </w:rPr>
        <w:t xml:space="preserve">How to evolve interventions to reflect the </w:t>
      </w:r>
      <w:r>
        <w:rPr>
          <w:rFonts w:ascii="Arial" w:hAnsi="Arial" w:cs="Arial"/>
          <w:b/>
          <w:bCs/>
          <w:color w:val="202124"/>
          <w:sz w:val="22"/>
          <w:szCs w:val="22"/>
        </w:rPr>
        <w:t>changing risk landscape</w:t>
      </w:r>
      <w:r>
        <w:rPr>
          <w:rFonts w:ascii="Arial" w:hAnsi="Arial" w:cs="Arial"/>
          <w:color w:val="202124"/>
          <w:sz w:val="22"/>
          <w:szCs w:val="22"/>
        </w:rPr>
        <w:t xml:space="preserve"> over the long term;</w:t>
      </w:r>
    </w:p>
    <w:p w:rsidR="003C704C" w:rsidRDefault="003C704C" w:rsidP="003C704C">
      <w:pPr>
        <w:pStyle w:val="NormalWeb"/>
        <w:numPr>
          <w:ilvl w:val="0"/>
          <w:numId w:val="7"/>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How your intervention prototype could </w:t>
      </w:r>
      <w:r>
        <w:rPr>
          <w:rFonts w:ascii="Arial" w:hAnsi="Arial" w:cs="Arial"/>
          <w:b/>
          <w:bCs/>
          <w:color w:val="000000"/>
          <w:sz w:val="22"/>
          <w:szCs w:val="22"/>
        </w:rPr>
        <w:t xml:space="preserve">scale </w:t>
      </w:r>
      <w:r>
        <w:rPr>
          <w:rFonts w:ascii="Arial" w:hAnsi="Arial" w:cs="Arial"/>
          <w:color w:val="000000"/>
          <w:sz w:val="22"/>
          <w:szCs w:val="22"/>
        </w:rPr>
        <w:t xml:space="preserve">across multiple public sector organisations, whilst maintaining </w:t>
      </w:r>
      <w:r>
        <w:rPr>
          <w:rFonts w:ascii="Arial" w:hAnsi="Arial" w:cs="Arial"/>
          <w:color w:val="000000"/>
          <w:sz w:val="22"/>
          <w:szCs w:val="22"/>
          <w:shd w:val="clear" w:color="auto" w:fill="FFFFFF"/>
        </w:rPr>
        <w:t>a holistic methodology or capability that can assess and monitor the health of the Human Factors landscape;</w:t>
      </w:r>
    </w:p>
    <w:p w:rsidR="003C704C" w:rsidRDefault="003C704C" w:rsidP="003C704C">
      <w:pPr>
        <w:pStyle w:val="NormalWeb"/>
        <w:numPr>
          <w:ilvl w:val="0"/>
          <w:numId w:val="7"/>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lastRenderedPageBreak/>
        <w:t>The extent to which your tests and proposed interventions draw on relevant published scientific research and/or independently validated “best practice” solutions used in similar organizations.</w:t>
      </w:r>
    </w:p>
    <w:p w:rsidR="00A3729F" w:rsidRDefault="007122A8">
      <w:pPr>
        <w:pStyle w:val="Heading3"/>
      </w:pPr>
      <w:r>
        <w:t>Key User Needs</w:t>
      </w:r>
    </w:p>
    <w:p w:rsidR="003C704C" w:rsidRPr="003C704C" w:rsidRDefault="003C704C" w:rsidP="003C704C">
      <w:pPr>
        <w:numPr>
          <w:ilvl w:val="0"/>
          <w:numId w:val="8"/>
        </w:numPr>
        <w:spacing w:after="160" w:line="240" w:lineRule="auto"/>
        <w:textAlignment w:val="baseline"/>
        <w:rPr>
          <w:rFonts w:ascii="Arial" w:eastAsia="Times New Roman" w:hAnsi="Arial" w:cs="Arial"/>
          <w:color w:val="000000"/>
          <w:lang w:eastAsia="en-GB"/>
        </w:rPr>
      </w:pPr>
      <w:bookmarkStart w:id="8" w:name="_heading=h.25gvbiza23vu" w:colFirst="0" w:colLast="0"/>
      <w:bookmarkEnd w:id="8"/>
      <w:r w:rsidRPr="003C704C">
        <w:rPr>
          <w:rFonts w:ascii="Arial" w:eastAsia="Times New Roman" w:hAnsi="Arial" w:cs="Arial"/>
          <w:color w:val="000000"/>
          <w:lang w:eastAsia="en-GB"/>
        </w:rPr>
        <w:t>Our users need to be able to:</w:t>
      </w:r>
    </w:p>
    <w:p w:rsidR="003C704C" w:rsidRPr="003C704C" w:rsidRDefault="003C704C" w:rsidP="003C704C">
      <w:pPr>
        <w:numPr>
          <w:ilvl w:val="1"/>
          <w:numId w:val="9"/>
        </w:numPr>
        <w:spacing w:after="160" w:line="240" w:lineRule="auto"/>
        <w:textAlignment w:val="baseline"/>
        <w:rPr>
          <w:rFonts w:eastAsia="Times New Roman"/>
          <w:color w:val="000000"/>
          <w:lang w:eastAsia="en-GB"/>
        </w:rPr>
      </w:pPr>
      <w:r w:rsidRPr="003C704C">
        <w:rPr>
          <w:rFonts w:ascii="Arial" w:eastAsia="Times New Roman" w:hAnsi="Arial" w:cs="Arial"/>
          <w:color w:val="000000"/>
          <w:lang w:eastAsia="en-GB"/>
        </w:rPr>
        <w:t>implement your intervention(s)</w:t>
      </w:r>
      <w:r w:rsidRPr="003C704C">
        <w:rPr>
          <w:rFonts w:ascii="Arial" w:eastAsia="Times New Roman" w:hAnsi="Arial" w:cs="Arial"/>
          <w:b/>
          <w:bCs/>
          <w:color w:val="000000"/>
          <w:lang w:eastAsia="en-GB"/>
        </w:rPr>
        <w:t xml:space="preserve"> quickly, cheaply and easily;</w:t>
      </w:r>
    </w:p>
    <w:p w:rsidR="003C704C" w:rsidRPr="003C704C" w:rsidRDefault="003C704C" w:rsidP="003C704C">
      <w:pPr>
        <w:numPr>
          <w:ilvl w:val="1"/>
          <w:numId w:val="9"/>
        </w:numPr>
        <w:spacing w:after="160" w:line="240" w:lineRule="auto"/>
        <w:textAlignment w:val="baseline"/>
        <w:rPr>
          <w:rFonts w:eastAsia="Times New Roman"/>
          <w:color w:val="000000"/>
          <w:lang w:eastAsia="en-GB"/>
        </w:rPr>
      </w:pPr>
      <w:r w:rsidRPr="003C704C">
        <w:rPr>
          <w:rFonts w:ascii="Arial" w:eastAsia="Times New Roman" w:hAnsi="Arial" w:cs="Arial"/>
          <w:color w:val="000000"/>
          <w:lang w:eastAsia="en-GB"/>
        </w:rPr>
        <w:t xml:space="preserve">measure the effectiveness of your intervention(s) on reducing risk in </w:t>
      </w:r>
      <w:r w:rsidRPr="003C704C">
        <w:rPr>
          <w:rFonts w:ascii="Arial" w:eastAsia="Times New Roman" w:hAnsi="Arial" w:cs="Arial"/>
          <w:b/>
          <w:bCs/>
          <w:color w:val="000000"/>
          <w:lang w:eastAsia="en-GB"/>
        </w:rPr>
        <w:t>near real time</w:t>
      </w:r>
      <w:r w:rsidRPr="003C704C">
        <w:rPr>
          <w:rFonts w:ascii="Arial" w:eastAsia="Times New Roman" w:hAnsi="Arial" w:cs="Arial"/>
          <w:color w:val="000000"/>
          <w:lang w:eastAsia="en-GB"/>
        </w:rPr>
        <w:t>;</w:t>
      </w:r>
    </w:p>
    <w:p w:rsidR="003C704C" w:rsidRPr="003C704C" w:rsidRDefault="003C704C" w:rsidP="003C704C">
      <w:pPr>
        <w:numPr>
          <w:ilvl w:val="1"/>
          <w:numId w:val="9"/>
        </w:numPr>
        <w:spacing w:after="160" w:line="240" w:lineRule="auto"/>
        <w:textAlignment w:val="baseline"/>
        <w:rPr>
          <w:rFonts w:ascii="Courier New" w:eastAsia="Times New Roman" w:hAnsi="Courier New" w:cs="Courier New"/>
          <w:color w:val="000000"/>
          <w:lang w:eastAsia="en-GB"/>
        </w:rPr>
      </w:pPr>
      <w:r w:rsidRPr="003C704C">
        <w:rPr>
          <w:rFonts w:ascii="Arial" w:eastAsia="Times New Roman" w:hAnsi="Arial" w:cs="Arial"/>
          <w:b/>
          <w:bCs/>
          <w:color w:val="000000"/>
          <w:lang w:eastAsia="en-GB"/>
        </w:rPr>
        <w:t xml:space="preserve">integrate </w:t>
      </w:r>
      <w:r w:rsidRPr="003C704C">
        <w:rPr>
          <w:rFonts w:ascii="Arial" w:eastAsia="Times New Roman" w:hAnsi="Arial" w:cs="Arial"/>
          <w:color w:val="000000"/>
          <w:lang w:eastAsia="en-GB"/>
        </w:rPr>
        <w:t>your intervention(s) seamlessly with existing business processes and initiatives;</w:t>
      </w:r>
    </w:p>
    <w:p w:rsidR="00A3729F" w:rsidRPr="003C704C" w:rsidRDefault="003C704C" w:rsidP="003C704C">
      <w:pPr>
        <w:numPr>
          <w:ilvl w:val="1"/>
          <w:numId w:val="9"/>
        </w:numPr>
        <w:spacing w:after="160" w:line="240" w:lineRule="auto"/>
        <w:textAlignment w:val="baseline"/>
        <w:rPr>
          <w:rFonts w:ascii="Courier New" w:eastAsia="Times New Roman" w:hAnsi="Courier New" w:cs="Courier New"/>
          <w:color w:val="000000"/>
          <w:lang w:eastAsia="en-GB"/>
        </w:rPr>
      </w:pPr>
      <w:r w:rsidRPr="003C704C">
        <w:rPr>
          <w:rFonts w:ascii="Arial" w:eastAsia="Times New Roman" w:hAnsi="Arial" w:cs="Arial"/>
          <w:b/>
          <w:bCs/>
          <w:color w:val="000000"/>
          <w:lang w:eastAsia="en-GB"/>
        </w:rPr>
        <w:t xml:space="preserve">monitor </w:t>
      </w:r>
      <w:r w:rsidRPr="003C704C">
        <w:rPr>
          <w:rFonts w:ascii="Arial" w:eastAsia="Times New Roman" w:hAnsi="Arial" w:cs="Arial"/>
          <w:color w:val="000000"/>
          <w:lang w:eastAsia="en-GB"/>
        </w:rPr>
        <w:t>the impact of your intervention(s) on risk across diverse public sector organisations.</w:t>
      </w:r>
    </w:p>
    <w:p w:rsidR="00A3729F" w:rsidRDefault="007122A8">
      <w:pPr>
        <w:pStyle w:val="Heading2"/>
      </w:pPr>
      <w:bookmarkStart w:id="9" w:name="_heading=h.u4a86tdxmkuo" w:colFirst="0" w:colLast="0"/>
      <w:bookmarkEnd w:id="9"/>
      <w:r>
        <w:t>Outcomes</w:t>
      </w:r>
    </w:p>
    <w:p w:rsidR="00A3729F" w:rsidRDefault="007122A8">
      <w:r>
        <w:t xml:space="preserve">The overall programme will be delivered over two phases. This is phase 1 of a potential 2-phase </w:t>
      </w:r>
      <w:proofErr w:type="gramStart"/>
      <w:r>
        <w:t>competition</w:t>
      </w:r>
      <w:proofErr w:type="gramEnd"/>
      <w:r>
        <w:t>. A decision to proceed with phase 2 will depend on the outcomes from phase 1. Only successful applicants from phase 1 will be able to take part in phase 2.</w:t>
      </w:r>
    </w:p>
    <w:p w:rsidR="00A3729F" w:rsidRDefault="007122A8">
      <w:r>
        <w:t xml:space="preserve">The Contracting Authority reserve the right to adjust the provisional funding allocations between the phases. The total funding available for the competition may be subject to change. </w:t>
      </w:r>
    </w:p>
    <w:p w:rsidR="00CC2D8A" w:rsidRPr="00CC2D8A" w:rsidRDefault="00CC2D8A" w:rsidP="00CC2D8A">
      <w:pPr>
        <w:numPr>
          <w:ilvl w:val="0"/>
          <w:numId w:val="10"/>
        </w:numPr>
        <w:shd w:val="clear" w:color="auto" w:fill="FFFFFF"/>
        <w:spacing w:after="0" w:line="240" w:lineRule="auto"/>
        <w:textAlignment w:val="baseline"/>
        <w:rPr>
          <w:rFonts w:ascii="Arial" w:eastAsia="Times New Roman" w:hAnsi="Arial" w:cs="Arial"/>
          <w:color w:val="0B0C0C"/>
          <w:lang w:eastAsia="en-GB"/>
        </w:rPr>
      </w:pPr>
      <w:bookmarkStart w:id="10" w:name="_heading=h.gqobdg7ifyui" w:colFirst="0" w:colLast="0"/>
      <w:bookmarkEnd w:id="10"/>
      <w:r w:rsidRPr="00CC2D8A">
        <w:rPr>
          <w:rFonts w:ascii="Arial" w:eastAsia="Times New Roman" w:hAnsi="Arial" w:cs="Arial"/>
          <w:color w:val="0B0C0C"/>
          <w:shd w:val="clear" w:color="auto" w:fill="FFFFFF"/>
          <w:lang w:eastAsia="en-GB"/>
        </w:rPr>
        <w:t>The overall programme will be delivered over two phases; this contract is for the first phase (Phase One). </w:t>
      </w:r>
    </w:p>
    <w:p w:rsidR="00CC2D8A" w:rsidRPr="00CC2D8A" w:rsidRDefault="00CC2D8A" w:rsidP="00CC2D8A">
      <w:pPr>
        <w:numPr>
          <w:ilvl w:val="0"/>
          <w:numId w:val="10"/>
        </w:numPr>
        <w:shd w:val="clear" w:color="auto" w:fill="FFFFFF"/>
        <w:spacing w:after="0" w:line="240" w:lineRule="auto"/>
        <w:textAlignment w:val="baseline"/>
        <w:rPr>
          <w:rFonts w:eastAsia="Times New Roman"/>
          <w:color w:val="0B0C0C"/>
          <w:lang w:eastAsia="en-GB"/>
        </w:rPr>
      </w:pPr>
      <w:r w:rsidRPr="00CC2D8A">
        <w:rPr>
          <w:rFonts w:ascii="Arial" w:eastAsia="Times New Roman" w:hAnsi="Arial" w:cs="Arial"/>
          <w:color w:val="0B0C0C"/>
          <w:shd w:val="clear" w:color="auto" w:fill="FFFFFF"/>
          <w:lang w:eastAsia="en-GB"/>
        </w:rPr>
        <w:t xml:space="preserve">Up to £400,000 (including VAT) is allocated to Phase One of the competition, with potentially a number of simultaneous technical feasibility study contracts awarded of </w:t>
      </w:r>
      <w:r w:rsidRPr="00CC2D8A">
        <w:rPr>
          <w:rFonts w:ascii="Arial" w:eastAsia="Times New Roman" w:hAnsi="Arial" w:cs="Arial"/>
          <w:b/>
          <w:bCs/>
          <w:color w:val="0B0C0C"/>
          <w:shd w:val="clear" w:color="auto" w:fill="FFFFFF"/>
          <w:lang w:eastAsia="en-GB"/>
        </w:rPr>
        <w:t>up to £60,000k</w:t>
      </w:r>
      <w:r w:rsidRPr="00CC2D8A">
        <w:rPr>
          <w:rFonts w:ascii="Arial" w:eastAsia="Times New Roman" w:hAnsi="Arial" w:cs="Arial"/>
          <w:color w:val="0B0C0C"/>
          <w:shd w:val="clear" w:color="auto" w:fill="FFFFFF"/>
          <w:lang w:eastAsia="en-GB"/>
        </w:rPr>
        <w:t xml:space="preserve"> (including VAT) per project </w:t>
      </w:r>
      <w:r w:rsidRPr="00CC2D8A">
        <w:rPr>
          <w:rFonts w:ascii="Arial" w:eastAsia="Times New Roman" w:hAnsi="Arial" w:cs="Arial"/>
          <w:b/>
          <w:bCs/>
          <w:color w:val="0B0C0C"/>
          <w:shd w:val="clear" w:color="auto" w:fill="FFFFFF"/>
          <w:lang w:eastAsia="en-GB"/>
        </w:rPr>
        <w:t>for up to 12 weeks</w:t>
      </w:r>
      <w:r w:rsidRPr="00CC2D8A">
        <w:rPr>
          <w:rFonts w:ascii="Arial" w:eastAsia="Times New Roman" w:hAnsi="Arial" w:cs="Arial"/>
          <w:color w:val="0B0C0C"/>
          <w:shd w:val="clear" w:color="auto" w:fill="FFFFFF"/>
          <w:lang w:eastAsia="en-GB"/>
        </w:rPr>
        <w:t>.</w:t>
      </w:r>
    </w:p>
    <w:p w:rsidR="00CC2D8A" w:rsidRPr="00CC2D8A" w:rsidRDefault="00CC2D8A" w:rsidP="00CC2D8A">
      <w:pPr>
        <w:numPr>
          <w:ilvl w:val="0"/>
          <w:numId w:val="10"/>
        </w:numPr>
        <w:shd w:val="clear" w:color="auto" w:fill="FFFFFF"/>
        <w:spacing w:after="0" w:line="240" w:lineRule="auto"/>
        <w:textAlignment w:val="baseline"/>
        <w:rPr>
          <w:rFonts w:ascii="Arial" w:eastAsia="Times New Roman" w:hAnsi="Arial" w:cs="Arial"/>
          <w:color w:val="0B0C0C"/>
          <w:lang w:eastAsia="en-GB"/>
        </w:rPr>
      </w:pPr>
      <w:r w:rsidRPr="00CC2D8A">
        <w:rPr>
          <w:rFonts w:ascii="Arial" w:eastAsia="Times New Roman" w:hAnsi="Arial" w:cs="Arial"/>
          <w:color w:val="0B0C0C"/>
          <w:shd w:val="clear" w:color="auto" w:fill="FFFFFF"/>
          <w:lang w:eastAsia="en-GB"/>
        </w:rPr>
        <w:t xml:space="preserve">Phase Two will award research and development contracts to Phase One project </w:t>
      </w:r>
      <w:proofErr w:type="gramStart"/>
      <w:r w:rsidRPr="00CC2D8A">
        <w:rPr>
          <w:rFonts w:ascii="Arial" w:eastAsia="Times New Roman" w:hAnsi="Arial" w:cs="Arial"/>
          <w:color w:val="0B0C0C"/>
          <w:shd w:val="clear" w:color="auto" w:fill="FFFFFF"/>
          <w:lang w:eastAsia="en-GB"/>
        </w:rPr>
        <w:t>partners</w:t>
      </w:r>
      <w:proofErr w:type="gramEnd"/>
      <w:r w:rsidRPr="00CC2D8A">
        <w:rPr>
          <w:rFonts w:ascii="Arial" w:eastAsia="Times New Roman" w:hAnsi="Arial" w:cs="Arial"/>
          <w:color w:val="0B0C0C"/>
          <w:shd w:val="clear" w:color="auto" w:fill="FFFFFF"/>
          <w:lang w:eastAsia="en-GB"/>
        </w:rPr>
        <w:t xml:space="preserve"> to deliver a “private beta” or field testing of the prototype developed in phase one with a small group of controlled users.  </w:t>
      </w:r>
    </w:p>
    <w:p w:rsidR="00CC2D8A" w:rsidRPr="00CC2D8A" w:rsidRDefault="00CC2D8A" w:rsidP="00CC2D8A">
      <w:pPr>
        <w:numPr>
          <w:ilvl w:val="0"/>
          <w:numId w:val="10"/>
        </w:numPr>
        <w:shd w:val="clear" w:color="auto" w:fill="FFFFFF"/>
        <w:spacing w:after="0" w:line="240" w:lineRule="auto"/>
        <w:textAlignment w:val="baseline"/>
        <w:rPr>
          <w:rFonts w:ascii="Arial" w:eastAsia="Times New Roman" w:hAnsi="Arial" w:cs="Arial"/>
          <w:color w:val="0B0C0C"/>
          <w:lang w:eastAsia="en-GB"/>
        </w:rPr>
      </w:pPr>
      <w:r w:rsidRPr="00CC2D8A">
        <w:rPr>
          <w:rFonts w:ascii="Arial" w:eastAsia="Times New Roman" w:hAnsi="Arial" w:cs="Arial"/>
          <w:color w:val="0B0C0C"/>
          <w:shd w:val="clear" w:color="auto" w:fill="FFFFFF"/>
          <w:lang w:eastAsia="en-GB"/>
        </w:rPr>
        <w:t>The intended outcome of Phase Two is that we have field tested what will turn into a centrally delivered service that improves delivery in departments/ public sector organisations.</w:t>
      </w:r>
    </w:p>
    <w:p w:rsidR="00CC2D8A" w:rsidRPr="00CC2D8A" w:rsidRDefault="00CC2D8A" w:rsidP="00CC2D8A">
      <w:pPr>
        <w:numPr>
          <w:ilvl w:val="0"/>
          <w:numId w:val="10"/>
        </w:numPr>
        <w:shd w:val="clear" w:color="auto" w:fill="FFFFFF"/>
        <w:spacing w:after="0" w:line="240" w:lineRule="auto"/>
        <w:textAlignment w:val="baseline"/>
        <w:rPr>
          <w:rFonts w:eastAsia="Times New Roman"/>
          <w:color w:val="0B0C0C"/>
          <w:lang w:eastAsia="en-GB"/>
        </w:rPr>
      </w:pPr>
      <w:r w:rsidRPr="00CC2D8A">
        <w:rPr>
          <w:rFonts w:ascii="Arial" w:eastAsia="Times New Roman" w:hAnsi="Arial" w:cs="Arial"/>
          <w:color w:val="0B0C0C"/>
          <w:shd w:val="clear" w:color="auto" w:fill="FFFFFF"/>
          <w:lang w:eastAsia="en-GB"/>
        </w:rPr>
        <w:t xml:space="preserve">We target awarding </w:t>
      </w:r>
      <w:r w:rsidRPr="00CC2D8A">
        <w:rPr>
          <w:rFonts w:ascii="Arial" w:eastAsia="Times New Roman" w:hAnsi="Arial" w:cs="Arial"/>
          <w:b/>
          <w:bCs/>
          <w:color w:val="0B0C0C"/>
          <w:shd w:val="clear" w:color="auto" w:fill="FFFFFF"/>
          <w:lang w:eastAsia="en-GB"/>
        </w:rPr>
        <w:t xml:space="preserve">up to three Phase Two contracts of up to £200,000 each </w:t>
      </w:r>
      <w:r w:rsidRPr="00CC2D8A">
        <w:rPr>
          <w:rFonts w:ascii="Arial" w:eastAsia="Times New Roman" w:hAnsi="Arial" w:cs="Arial"/>
          <w:color w:val="0B0C0C"/>
          <w:shd w:val="clear" w:color="auto" w:fill="FFFFFF"/>
          <w:lang w:eastAsia="en-GB"/>
        </w:rPr>
        <w:t xml:space="preserve">(including VAT) for </w:t>
      </w:r>
      <w:r w:rsidRPr="00CC2D8A">
        <w:rPr>
          <w:rFonts w:ascii="Arial" w:eastAsia="Times New Roman" w:hAnsi="Arial" w:cs="Arial"/>
          <w:b/>
          <w:bCs/>
          <w:color w:val="0B0C0C"/>
          <w:shd w:val="clear" w:color="auto" w:fill="FFFFFF"/>
          <w:lang w:eastAsia="en-GB"/>
        </w:rPr>
        <w:t>up to 6 months of research, development and prototyping</w:t>
      </w:r>
      <w:r w:rsidRPr="00CC2D8A">
        <w:rPr>
          <w:rFonts w:ascii="Arial" w:eastAsia="Times New Roman" w:hAnsi="Arial" w:cs="Arial"/>
          <w:color w:val="0B0C0C"/>
          <w:shd w:val="clear" w:color="auto" w:fill="FFFFFF"/>
          <w:lang w:eastAsia="en-GB"/>
        </w:rPr>
        <w:t>.</w:t>
      </w:r>
    </w:p>
    <w:p w:rsidR="00CC2D8A" w:rsidRPr="00CC2D8A" w:rsidRDefault="00CC2D8A" w:rsidP="00CC2D8A">
      <w:pPr>
        <w:numPr>
          <w:ilvl w:val="0"/>
          <w:numId w:val="10"/>
        </w:numPr>
        <w:shd w:val="clear" w:color="auto" w:fill="FFFFFF"/>
        <w:spacing w:after="0" w:line="240" w:lineRule="auto"/>
        <w:textAlignment w:val="baseline"/>
        <w:rPr>
          <w:rFonts w:ascii="Arial" w:eastAsia="Times New Roman" w:hAnsi="Arial" w:cs="Arial"/>
          <w:color w:val="0B0C0C"/>
          <w:lang w:eastAsia="en-GB"/>
        </w:rPr>
      </w:pPr>
      <w:r w:rsidRPr="00CC2D8A">
        <w:rPr>
          <w:rFonts w:ascii="Arial" w:eastAsia="Times New Roman" w:hAnsi="Arial" w:cs="Arial"/>
          <w:color w:val="0B0C0C"/>
          <w:shd w:val="clear" w:color="auto" w:fill="FFFFFF"/>
          <w:lang w:eastAsia="en-GB"/>
        </w:rPr>
        <w:t>The contract will terminate at the end of Phase Two, and the chosen business will be expected to pursue commercialisation of their solution. </w:t>
      </w:r>
    </w:p>
    <w:p w:rsidR="00CC2D8A" w:rsidRPr="00CC2D8A" w:rsidRDefault="00CC2D8A" w:rsidP="00CC2D8A">
      <w:pPr>
        <w:numPr>
          <w:ilvl w:val="0"/>
          <w:numId w:val="10"/>
        </w:numPr>
        <w:shd w:val="clear" w:color="auto" w:fill="FFFFFF"/>
        <w:spacing w:after="0" w:line="240" w:lineRule="auto"/>
        <w:textAlignment w:val="baseline"/>
        <w:rPr>
          <w:rFonts w:ascii="Arial" w:eastAsia="Times New Roman" w:hAnsi="Arial" w:cs="Arial"/>
          <w:color w:val="0B0C0C"/>
          <w:lang w:eastAsia="en-GB"/>
        </w:rPr>
      </w:pPr>
      <w:r w:rsidRPr="00CC2D8A">
        <w:rPr>
          <w:rFonts w:ascii="Arial" w:eastAsia="Times New Roman" w:hAnsi="Arial" w:cs="Arial"/>
          <w:color w:val="0B0C0C"/>
          <w:shd w:val="clear" w:color="auto" w:fill="FFFFFF"/>
          <w:lang w:eastAsia="en-GB"/>
        </w:rPr>
        <w:t>Suppliers will retain intellectual property developed during the contract, but foreground and necessary background IP to exploit the solution must be available to license on equitable, non-royalty terms by the government.</w:t>
      </w:r>
    </w:p>
    <w:p w:rsidR="00A3729F" w:rsidRDefault="00A3729F"/>
    <w:p w:rsidR="00A3729F" w:rsidRDefault="007122A8">
      <w:pPr>
        <w:rPr>
          <w:b/>
          <w:sz w:val="28"/>
          <w:szCs w:val="28"/>
        </w:rPr>
      </w:pPr>
      <w:r>
        <w:rPr>
          <w:b/>
          <w:sz w:val="28"/>
          <w:szCs w:val="28"/>
        </w:rPr>
        <w:t>APPLICATION PROCESS</w:t>
      </w:r>
    </w:p>
    <w:p w:rsidR="00A3729F" w:rsidRDefault="007122A8">
      <w:r>
        <w:t>Directions on how to enter this competition can be found in the Invitation to Tender.</w:t>
      </w:r>
    </w:p>
    <w:p w:rsidR="00A3729F" w:rsidRDefault="007122A8">
      <w:pPr>
        <w:rPr>
          <w:color w:val="363636"/>
        </w:rPr>
      </w:pPr>
      <w:r>
        <w:t>More information on this and other competitions may be obtained at</w:t>
      </w:r>
      <w:r>
        <w:rPr>
          <w:color w:val="363636"/>
        </w:rPr>
        <w:t xml:space="preserve"> </w:t>
      </w:r>
      <w:hyperlink r:id="rId26">
        <w:r>
          <w:rPr>
            <w:color w:val="0000FF"/>
            <w:u w:val="single"/>
          </w:rPr>
          <w:t>www.innovateuk.gov.uk</w:t>
        </w:r>
      </w:hyperlink>
      <w:r>
        <w:rPr>
          <w:color w:val="363636"/>
        </w:rPr>
        <w:t xml:space="preserve"> </w:t>
      </w:r>
    </w:p>
    <w:sectPr w:rsidR="00A3729F">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C36" w:rsidRDefault="00372C36">
      <w:pPr>
        <w:spacing w:after="0" w:line="240" w:lineRule="auto"/>
      </w:pPr>
      <w:r>
        <w:separator/>
      </w:r>
    </w:p>
  </w:endnote>
  <w:endnote w:type="continuationSeparator" w:id="0">
    <w:p w:rsidR="00372C36" w:rsidRDefault="0037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9F" w:rsidRDefault="00A3729F">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9F" w:rsidRDefault="007122A8">
    <w:pPr>
      <w:pBdr>
        <w:top w:val="nil"/>
        <w:left w:val="nil"/>
        <w:bottom w:val="nil"/>
        <w:right w:val="nil"/>
        <w:between w:val="nil"/>
      </w:pBdr>
      <w:tabs>
        <w:tab w:val="center" w:pos="4513"/>
        <w:tab w:val="right" w:pos="9026"/>
      </w:tabs>
      <w:rPr>
        <w:color w:val="000000"/>
      </w:rPr>
    </w:pPr>
    <w:r>
      <w:rPr>
        <w:color w:val="000000"/>
      </w:rPr>
      <w:t xml:space="preserve">SBRI Brief Template </w:t>
    </w:r>
    <w:r>
      <w:rPr>
        <w:color w:val="000000"/>
      </w:rPr>
      <w:tab/>
    </w:r>
    <w:r>
      <w:rPr>
        <w:color w:val="000000"/>
      </w:rPr>
      <w:fldChar w:fldCharType="begin"/>
    </w:r>
    <w:r>
      <w:rPr>
        <w:color w:val="000000"/>
      </w:rPr>
      <w:instrText>PAGE</w:instrText>
    </w:r>
    <w:r>
      <w:rPr>
        <w:color w:val="000000"/>
      </w:rPr>
      <w:fldChar w:fldCharType="separate"/>
    </w:r>
    <w:r w:rsidR="00541E52">
      <w:rPr>
        <w:noProof/>
        <w:color w:val="000000"/>
      </w:rPr>
      <w:t>1</w:t>
    </w:r>
    <w:r>
      <w:rPr>
        <w:color w:val="000000"/>
      </w:rPr>
      <w:fldChar w:fldCharType="end"/>
    </w:r>
    <w:r>
      <w:rPr>
        <w:color w:val="000000"/>
      </w:rPr>
      <w:tab/>
      <w:t>Document Version 3.0</w:t>
    </w:r>
  </w:p>
  <w:p w:rsidR="00A3729F" w:rsidRDefault="00A3729F">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9F" w:rsidRDefault="00A3729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C36" w:rsidRDefault="00372C36">
      <w:pPr>
        <w:spacing w:after="0" w:line="240" w:lineRule="auto"/>
      </w:pPr>
      <w:r>
        <w:separator/>
      </w:r>
    </w:p>
  </w:footnote>
  <w:footnote w:type="continuationSeparator" w:id="0">
    <w:p w:rsidR="00372C36" w:rsidRDefault="00372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9F" w:rsidRDefault="00A3729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9F" w:rsidRDefault="00A3729F">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9F" w:rsidRDefault="00A3729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1D19"/>
    <w:multiLevelType w:val="multilevel"/>
    <w:tmpl w:val="FC0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A74B5"/>
    <w:multiLevelType w:val="multilevel"/>
    <w:tmpl w:val="1A800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928F3"/>
    <w:multiLevelType w:val="multilevel"/>
    <w:tmpl w:val="7F0A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F1E5E"/>
    <w:multiLevelType w:val="multilevel"/>
    <w:tmpl w:val="768A0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53F67"/>
    <w:multiLevelType w:val="multilevel"/>
    <w:tmpl w:val="45B8F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0461F"/>
    <w:multiLevelType w:val="multilevel"/>
    <w:tmpl w:val="BB0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D6CFA"/>
    <w:multiLevelType w:val="multilevel"/>
    <w:tmpl w:val="22B0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4"/>
    <w:lvlOverride w:ilvl="1">
      <w:lvl w:ilvl="1">
        <w:numFmt w:val="lowerLetter"/>
        <w:lvlText w:val="%2."/>
        <w:lvlJc w:val="left"/>
      </w:lvl>
    </w:lvlOverride>
  </w:num>
  <w:num w:numId="4">
    <w:abstractNumId w:val="6"/>
  </w:num>
  <w:num w:numId="5">
    <w:abstractNumId w:val="1"/>
  </w:num>
  <w:num w:numId="6">
    <w:abstractNumId w:val="1"/>
    <w:lvlOverride w:ilvl="1">
      <w:lvl w:ilvl="1">
        <w:numFmt w:val="lowerLetter"/>
        <w:lvlText w:val="%2."/>
        <w:lvlJc w:val="left"/>
      </w:lvl>
    </w:lvlOverride>
  </w:num>
  <w:num w:numId="7">
    <w:abstractNumId w:val="5"/>
  </w:num>
  <w:num w:numId="8">
    <w:abstractNumId w:val="3"/>
  </w:num>
  <w:num w:numId="9">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9F"/>
    <w:rsid w:val="00372C36"/>
    <w:rsid w:val="003C704C"/>
    <w:rsid w:val="00541E52"/>
    <w:rsid w:val="007122A8"/>
    <w:rsid w:val="00A3729F"/>
    <w:rsid w:val="00CC2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7BAA86"/>
  <w15:docId w15:val="{AAFB555A-7BCF-4042-BE29-4D0A8DD0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pPr>
      <w:ind w:left="720"/>
      <w:contextualSpacing/>
    </w:pPr>
  </w:style>
  <w:style w:type="paragraph" w:styleId="NoSpacing">
    <w:name w:val="No Spacing"/>
    <w:qFormat/>
    <w:rPr>
      <w:lang w:eastAsia="en-US"/>
    </w:rPr>
  </w:style>
  <w:style w:type="character" w:styleId="Hyperlink">
    <w:name w:val="Hyperlink"/>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link w:val="BalloonTextChar"/>
    <w:uiPriority w:val="99"/>
    <w:semiHidden/>
    <w:unhideWhenUsed/>
    <w:rsid w:val="007A26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6A0"/>
    <w:rPr>
      <w:rFonts w:ascii="Tahoma" w:hAnsi="Tahoma" w:cs="Tahoma"/>
      <w:sz w:val="16"/>
      <w:szCs w:val="16"/>
      <w:lang w:eastAsia="en-US"/>
    </w:rPr>
  </w:style>
  <w:style w:type="table" w:styleId="TableGrid">
    <w:name w:val="Table Grid"/>
    <w:basedOn w:val="TableNormal"/>
    <w:rsid w:val="00662E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48C"/>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D364AF"/>
    <w:pPr>
      <w:tabs>
        <w:tab w:val="center" w:pos="4513"/>
        <w:tab w:val="right" w:pos="9026"/>
      </w:tabs>
    </w:pPr>
  </w:style>
  <w:style w:type="character" w:customStyle="1" w:styleId="HeaderChar">
    <w:name w:val="Header Char"/>
    <w:link w:val="Header"/>
    <w:uiPriority w:val="99"/>
    <w:rsid w:val="00D364AF"/>
    <w:rPr>
      <w:sz w:val="22"/>
      <w:szCs w:val="22"/>
      <w:lang w:eastAsia="en-US"/>
    </w:rPr>
  </w:style>
  <w:style w:type="paragraph" w:styleId="Footer">
    <w:name w:val="footer"/>
    <w:basedOn w:val="Normal"/>
    <w:link w:val="FooterChar"/>
    <w:uiPriority w:val="99"/>
    <w:unhideWhenUsed/>
    <w:rsid w:val="00D364AF"/>
    <w:pPr>
      <w:tabs>
        <w:tab w:val="center" w:pos="4513"/>
        <w:tab w:val="right" w:pos="9026"/>
      </w:tabs>
    </w:pPr>
  </w:style>
  <w:style w:type="character" w:customStyle="1" w:styleId="FooterChar">
    <w:name w:val="Footer Char"/>
    <w:link w:val="Footer"/>
    <w:uiPriority w:val="99"/>
    <w:rsid w:val="00D364AF"/>
    <w:rPr>
      <w:sz w:val="22"/>
      <w:szCs w:val="22"/>
      <w:lang w:eastAsia="en-US"/>
    </w:rPr>
  </w:style>
  <w:style w:type="paragraph" w:customStyle="1" w:styleId="Default">
    <w:name w:val="Default"/>
    <w:rsid w:val="002A4D65"/>
    <w:pPr>
      <w:pBdr>
        <w:top w:val="nil"/>
        <w:left w:val="nil"/>
        <w:bottom w:val="nil"/>
        <w:right w:val="nil"/>
        <w:between w:val="nil"/>
        <w:bar w:val="nil"/>
      </w:pBdr>
    </w:pPr>
    <w:rPr>
      <w:rFonts w:ascii="Helvetica" w:eastAsia="Arial Unicode MS" w:hAnsi="Arial Unicode MS" w:cs="Arial Unicode MS"/>
      <w:color w:val="000000"/>
      <w:bdr w:val="nil"/>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5394">
      <w:bodyDiv w:val="1"/>
      <w:marLeft w:val="0"/>
      <w:marRight w:val="0"/>
      <w:marTop w:val="0"/>
      <w:marBottom w:val="0"/>
      <w:divBdr>
        <w:top w:val="none" w:sz="0" w:space="0" w:color="auto"/>
        <w:left w:val="none" w:sz="0" w:space="0" w:color="auto"/>
        <w:bottom w:val="none" w:sz="0" w:space="0" w:color="auto"/>
        <w:right w:val="none" w:sz="0" w:space="0" w:color="auto"/>
      </w:divBdr>
    </w:div>
    <w:div w:id="597252527">
      <w:bodyDiv w:val="1"/>
      <w:marLeft w:val="0"/>
      <w:marRight w:val="0"/>
      <w:marTop w:val="0"/>
      <w:marBottom w:val="0"/>
      <w:divBdr>
        <w:top w:val="none" w:sz="0" w:space="0" w:color="auto"/>
        <w:left w:val="none" w:sz="0" w:space="0" w:color="auto"/>
        <w:bottom w:val="none" w:sz="0" w:space="0" w:color="auto"/>
        <w:right w:val="none" w:sz="0" w:space="0" w:color="auto"/>
      </w:divBdr>
    </w:div>
    <w:div w:id="726150029">
      <w:bodyDiv w:val="1"/>
      <w:marLeft w:val="0"/>
      <w:marRight w:val="0"/>
      <w:marTop w:val="0"/>
      <w:marBottom w:val="0"/>
      <w:divBdr>
        <w:top w:val="none" w:sz="0" w:space="0" w:color="auto"/>
        <w:left w:val="none" w:sz="0" w:space="0" w:color="auto"/>
        <w:bottom w:val="none" w:sz="0" w:space="0" w:color="auto"/>
        <w:right w:val="none" w:sz="0" w:space="0" w:color="auto"/>
      </w:divBdr>
    </w:div>
    <w:div w:id="773591523">
      <w:bodyDiv w:val="1"/>
      <w:marLeft w:val="0"/>
      <w:marRight w:val="0"/>
      <w:marTop w:val="0"/>
      <w:marBottom w:val="0"/>
      <w:divBdr>
        <w:top w:val="none" w:sz="0" w:space="0" w:color="auto"/>
        <w:left w:val="none" w:sz="0" w:space="0" w:color="auto"/>
        <w:bottom w:val="none" w:sz="0" w:space="0" w:color="auto"/>
        <w:right w:val="none" w:sz="0" w:space="0" w:color="auto"/>
      </w:divBdr>
    </w:div>
    <w:div w:id="862792486">
      <w:bodyDiv w:val="1"/>
      <w:marLeft w:val="0"/>
      <w:marRight w:val="0"/>
      <w:marTop w:val="0"/>
      <w:marBottom w:val="0"/>
      <w:divBdr>
        <w:top w:val="none" w:sz="0" w:space="0" w:color="auto"/>
        <w:left w:val="none" w:sz="0" w:space="0" w:color="auto"/>
        <w:bottom w:val="none" w:sz="0" w:space="0" w:color="auto"/>
        <w:right w:val="none" w:sz="0" w:space="0" w:color="auto"/>
      </w:divBdr>
    </w:div>
    <w:div w:id="166489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3x7ip91ron4ju9ehf2unqrm1-wpengine.netdna-ssl.com/wp-content/uploads/2020/03/Government-Communication-Service-Career-Framework.pdf" TargetMode="External"/><Relationship Id="rId18" Type="http://schemas.openxmlformats.org/officeDocument/2006/relationships/hyperlink" Target="https://assets.publishing.service.gov.uk/government/uploads/system/uploads/attachment_data/file/755783/PDCF.pdf" TargetMode="External"/><Relationship Id="rId26" Type="http://schemas.openxmlformats.org/officeDocument/2006/relationships/hyperlink" Target="http://www.innovateuk.gov.uk"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730050/Annex_B_-_GCFP_Brochure.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697452/Commercial_Career_Framework_V2.0__2_.pdf" TargetMode="External"/><Relationship Id="rId17" Type="http://schemas.openxmlformats.org/officeDocument/2006/relationships/hyperlink" Target="https://odp-proto.herokuapp.com/career_framework?utm_source=govuk" TargetMode="External"/><Relationship Id="rId25" Type="http://schemas.openxmlformats.org/officeDocument/2006/relationships/hyperlink" Target="https://www.gov.uk/government/organisations/civil-service-policy-profession/about?_ga=2.164890616.692969177.1633704697-1568500685.163370469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31963/Onion-diagram.jpg" TargetMode="External"/><Relationship Id="rId20" Type="http://schemas.openxmlformats.org/officeDocument/2006/relationships/hyperlink" Target="https://assets.publishing.service.gov.uk/government/uploads/system/uploads/attachment_data/file/864752/Government_Security_Profession_career_framework.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41369/Analysis-Function-Career-Framework.pdf" TargetMode="External"/><Relationship Id="rId24" Type="http://schemas.openxmlformats.org/officeDocument/2006/relationships/hyperlink" Target="https://www.civil-service-careers.gov.uk/professions/working-in-lega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58120/HR_Career_Frameworks-A4_v0l.pdf" TargetMode="External"/><Relationship Id="rId23" Type="http://schemas.openxmlformats.org/officeDocument/2006/relationships/hyperlink" Target="https://www.civil-service-careers.gov.uk/professions/working-in-international-trade-and-negotiation/" TargetMode="External"/><Relationship Id="rId28" Type="http://schemas.openxmlformats.org/officeDocument/2006/relationships/header" Target="header2.xml"/><Relationship Id="rId10" Type="http://schemas.openxmlformats.org/officeDocument/2006/relationships/image" Target="media/image20.png"/><Relationship Id="rId19" Type="http://schemas.openxmlformats.org/officeDocument/2006/relationships/hyperlink" Target="https://assets.publishing.service.gov.uk/government/uploads/system/uploads/attachment_data/file/862583/Government_Property_Career_Framework.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collections/digital-data-and-technology-profession-capability-framework?_ga=2.174318693.692969177.1633704697-1568500685.1633704697" TargetMode="External"/><Relationship Id="rId22" Type="http://schemas.openxmlformats.org/officeDocument/2006/relationships/hyperlink" Target="https://www.gov.uk/guidance/government-finance-academy?_ga=2.195365739.692969177.1633704697-1568500685.1633704697"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7ylvCsPhJmwIrKvwCTQaatOLvg==">AMUW2mWKp+Jbz6uim1VjTA/Kkasz0qw4RBtqujNSeNlEUr7PWLW2f0JBPI7etWZhupfwbjQAW855l/K0CzWqqZjGHR7TLa9/3wZukwgyNa5nnMSupFqYb4eyMYsb3thfu1umwpDlbPzKzHh2sf5OsiZWPYYzY/s161c3xfL1uAigAJyELW+/LmPN6J/nDGjFm6NIlePXmQenysYISH8luC+0kg2eAabBmEgtEXzP78n0YaTT9OoEhAd7M5swrDqg55doCcFU8nOrQrV9EJAhC94ULJNOHcgTCAQGaGona2SeP5g/QyWQ3MaYjo15zpsBUUGEXFv4TWlSBeXw50RUYoZhhdm12YYS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Millard</dc:creator>
  <cp:lastModifiedBy>Fran Donnelly</cp:lastModifiedBy>
  <cp:revision>2</cp:revision>
  <dcterms:created xsi:type="dcterms:W3CDTF">2021-10-18T13:15:00Z</dcterms:created>
  <dcterms:modified xsi:type="dcterms:W3CDTF">2021-10-18T13:15:00Z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0x01010097705EE168264DDAAEB43A64A244670300B2B4BDF9B4B6374897497A55560D5169</vt:lpwstr>
  </property>
  <property fmtid="{D5CDD505-2E9C-101B-9397-08002B2CF9AE}" pid="3" name="ImageCreateDate">
    <vt:lpwstr/>
  </property>
  <property fmtid="{D5CDD505-2E9C-101B-9397-08002B2CF9AE}" pid="4" name="_NewReviewCycle">
    <vt:lpwstr/>
  </property>
  <property fmtid="{D5CDD505-2E9C-101B-9397-08002B2CF9AE}" pid="5" name="ContentType">
    <vt:lpwstr>TSB Word</vt:lpwstr>
  </property>
  <property fmtid="{D5CDD505-2E9C-101B-9397-08002B2CF9AE}" pid="6" name="display_urn:schemas-microsoft-com:office:office#Editor">
    <vt:lpwstr>Lindsey Weston (TSB)</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Lindsey Weston (TSB)</vt:lpwstr>
  </property>
  <property fmtid="{D5CDD505-2E9C-101B-9397-08002B2CF9AE}" pid="10" name="Order">
    <vt:lpwstr>320900.000000000</vt:lpwstr>
  </property>
</Properties>
</file>