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63CA3" w:rsidRDefault="00863CA3">
      <w:pPr>
        <w:pStyle w:val="Heading1"/>
        <w:numPr>
          <w:ilvl w:val="1"/>
          <w:numId w:val="5"/>
        </w:numPr>
        <w:tabs>
          <w:tab w:val="left" w:pos="0"/>
        </w:tabs>
        <w:spacing w:before="0" w:after="80"/>
        <w:rPr>
          <w:b/>
          <w:sz w:val="36"/>
          <w:szCs w:val="36"/>
        </w:rPr>
      </w:pPr>
      <w:bookmarkStart w:id="0" w:name="_gjdgxs" w:colFirst="0" w:colLast="0"/>
      <w:bookmarkEnd w:id="0"/>
    </w:p>
    <w:p w14:paraId="00000002" w14:textId="77777777" w:rsidR="00863CA3" w:rsidRDefault="005D5A14">
      <w:pPr>
        <w:pStyle w:val="Heading1"/>
        <w:numPr>
          <w:ilvl w:val="1"/>
          <w:numId w:val="5"/>
        </w:numPr>
        <w:tabs>
          <w:tab w:val="left" w:pos="0"/>
        </w:tabs>
        <w:spacing w:before="0" w:after="80"/>
      </w:pPr>
      <w:bookmarkStart w:id="1" w:name="_30j0zll" w:colFirst="0" w:colLast="0"/>
      <w:bookmarkEnd w:id="1"/>
      <w:r>
        <w:rPr>
          <w:b/>
          <w:sz w:val="36"/>
          <w:szCs w:val="36"/>
        </w:rPr>
        <w:t>RM6187 Framework Schedule 6 (Order Form and Call-Off Schedules)</w:t>
      </w:r>
    </w:p>
    <w:p w14:paraId="00000003" w14:textId="77777777" w:rsidR="00863CA3" w:rsidRDefault="00863CA3">
      <w:pPr>
        <w:spacing w:line="240" w:lineRule="auto"/>
        <w:rPr>
          <w:b/>
          <w:sz w:val="36"/>
          <w:szCs w:val="36"/>
        </w:rPr>
      </w:pPr>
    </w:p>
    <w:p w14:paraId="00000004" w14:textId="77777777" w:rsidR="00863CA3" w:rsidRDefault="005D5A14">
      <w:pPr>
        <w:pStyle w:val="Heading2"/>
        <w:numPr>
          <w:ilvl w:val="1"/>
          <w:numId w:val="5"/>
        </w:numPr>
      </w:pPr>
      <w:bookmarkStart w:id="2" w:name="_1fob9te" w:colFirst="0" w:colLast="0"/>
      <w:bookmarkEnd w:id="2"/>
      <w:r>
        <w:t>Order Form</w:t>
      </w:r>
    </w:p>
    <w:p w14:paraId="00000005" w14:textId="77777777" w:rsidR="00863CA3" w:rsidRDefault="00863CA3">
      <w:pPr>
        <w:spacing w:line="240" w:lineRule="auto"/>
        <w:rPr>
          <w:b/>
          <w:sz w:val="24"/>
          <w:szCs w:val="24"/>
        </w:rPr>
      </w:pPr>
    </w:p>
    <w:p w14:paraId="00000006" w14:textId="77777777" w:rsidR="00863CA3" w:rsidRDefault="00863CA3">
      <w:pPr>
        <w:spacing w:line="249" w:lineRule="auto"/>
        <w:rPr>
          <w:sz w:val="24"/>
          <w:szCs w:val="24"/>
        </w:rPr>
      </w:pPr>
    </w:p>
    <w:p w14:paraId="00000007" w14:textId="77777777" w:rsidR="00863CA3" w:rsidRDefault="005D5A14">
      <w:pPr>
        <w:spacing w:line="249" w:lineRule="auto"/>
        <w:rPr>
          <w:sz w:val="24"/>
          <w:szCs w:val="24"/>
        </w:rPr>
      </w:pPr>
      <w:r>
        <w:rPr>
          <w:sz w:val="24"/>
          <w:szCs w:val="24"/>
        </w:rPr>
        <w:t>CALL-OFF REFERENCE:</w:t>
      </w:r>
      <w:r>
        <w:rPr>
          <w:sz w:val="24"/>
          <w:szCs w:val="24"/>
        </w:rPr>
        <w:tab/>
      </w:r>
      <w:r>
        <w:rPr>
          <w:sz w:val="24"/>
          <w:szCs w:val="24"/>
        </w:rPr>
        <w:tab/>
        <w:t xml:space="preserve">CCCC23A08 </w:t>
      </w:r>
    </w:p>
    <w:p w14:paraId="00000008" w14:textId="77777777" w:rsidR="00863CA3" w:rsidRDefault="00863CA3">
      <w:pPr>
        <w:spacing w:line="249" w:lineRule="auto"/>
        <w:rPr>
          <w:sz w:val="24"/>
          <w:szCs w:val="24"/>
        </w:rPr>
      </w:pPr>
    </w:p>
    <w:p w14:paraId="00000009" w14:textId="77777777" w:rsidR="00863CA3" w:rsidRDefault="005D5A14">
      <w:pPr>
        <w:spacing w:line="249" w:lineRule="auto"/>
      </w:pPr>
      <w:r>
        <w:rPr>
          <w:sz w:val="24"/>
          <w:szCs w:val="24"/>
        </w:rPr>
        <w:t>THE BUYER:</w:t>
      </w:r>
      <w:r>
        <w:rPr>
          <w:sz w:val="24"/>
          <w:szCs w:val="24"/>
        </w:rPr>
        <w:tab/>
      </w:r>
      <w:r>
        <w:rPr>
          <w:sz w:val="24"/>
          <w:szCs w:val="24"/>
        </w:rPr>
        <w:tab/>
      </w:r>
      <w:r>
        <w:rPr>
          <w:sz w:val="24"/>
          <w:szCs w:val="24"/>
        </w:rPr>
        <w:tab/>
        <w:t>Air Commercial, HQ Air Command</w:t>
      </w:r>
    </w:p>
    <w:p w14:paraId="0000000A" w14:textId="77777777" w:rsidR="00863CA3" w:rsidRDefault="005D5A14">
      <w:pPr>
        <w:spacing w:line="249" w:lineRule="auto"/>
      </w:pPr>
      <w:r>
        <w:rPr>
          <w:sz w:val="24"/>
          <w:szCs w:val="24"/>
        </w:rPr>
        <w:t xml:space="preserve"> </w:t>
      </w:r>
    </w:p>
    <w:p w14:paraId="0000000B" w14:textId="77777777" w:rsidR="00863CA3" w:rsidRDefault="005D5A14">
      <w:pPr>
        <w:spacing w:line="249" w:lineRule="auto"/>
        <w:rPr>
          <w:sz w:val="24"/>
          <w:szCs w:val="24"/>
        </w:rPr>
      </w:pPr>
      <w:r>
        <w:rPr>
          <w:sz w:val="24"/>
          <w:szCs w:val="24"/>
        </w:rPr>
        <w:t>BUYER ADDRESS:</w:t>
      </w:r>
      <w:r>
        <w:rPr>
          <w:sz w:val="24"/>
          <w:szCs w:val="24"/>
        </w:rPr>
        <w:tab/>
      </w:r>
      <w:r>
        <w:rPr>
          <w:sz w:val="24"/>
          <w:szCs w:val="24"/>
        </w:rPr>
        <w:tab/>
      </w:r>
    </w:p>
    <w:p w14:paraId="00000010" w14:textId="766E7A5F" w:rsidR="00863CA3" w:rsidRDefault="00264CAA">
      <w:pPr>
        <w:spacing w:line="249" w:lineRule="auto"/>
        <w:rPr>
          <w:sz w:val="24"/>
          <w:szCs w:val="24"/>
        </w:rPr>
      </w:pPr>
      <w:r>
        <w:t>REDACTED TEXT under FOIA Section 40, Personal Information</w:t>
      </w:r>
    </w:p>
    <w:p w14:paraId="00000011" w14:textId="77777777" w:rsidR="00863CA3" w:rsidRDefault="00863CA3">
      <w:pPr>
        <w:spacing w:line="249" w:lineRule="auto"/>
        <w:rPr>
          <w:sz w:val="24"/>
          <w:szCs w:val="24"/>
        </w:rPr>
      </w:pPr>
    </w:p>
    <w:p w14:paraId="00000012" w14:textId="11CBA5C3" w:rsidR="00863CA3" w:rsidRDefault="005D5A14">
      <w:pPr>
        <w:spacing w:after="200" w:line="240" w:lineRule="auto"/>
      </w:pPr>
      <w:r>
        <w:rPr>
          <w:sz w:val="24"/>
          <w:szCs w:val="24"/>
        </w:rPr>
        <w:t xml:space="preserve">THE SUPPLIER: </w:t>
      </w:r>
      <w:r>
        <w:rPr>
          <w:sz w:val="24"/>
          <w:szCs w:val="24"/>
        </w:rPr>
        <w:tab/>
      </w:r>
      <w:r>
        <w:rPr>
          <w:sz w:val="24"/>
          <w:szCs w:val="24"/>
        </w:rPr>
        <w:tab/>
      </w:r>
      <w:r>
        <w:rPr>
          <w:sz w:val="24"/>
          <w:szCs w:val="24"/>
        </w:rPr>
        <w:tab/>
      </w:r>
      <w:r w:rsidR="00DC5B0D" w:rsidRPr="00DC5B0D">
        <w:rPr>
          <w:sz w:val="24"/>
          <w:szCs w:val="24"/>
        </w:rPr>
        <w:t>Deloitte</w:t>
      </w:r>
    </w:p>
    <w:p w14:paraId="00000013" w14:textId="63F0A4D9" w:rsidR="00863CA3" w:rsidRDefault="005D5A14">
      <w:pPr>
        <w:spacing w:after="200" w:line="240" w:lineRule="auto"/>
      </w:pPr>
      <w:r>
        <w:rPr>
          <w:sz w:val="24"/>
          <w:szCs w:val="24"/>
        </w:rPr>
        <w:t>SUPPLIER ADDRESS:</w:t>
      </w:r>
      <w:r>
        <w:rPr>
          <w:b/>
          <w:sz w:val="24"/>
          <w:szCs w:val="24"/>
        </w:rPr>
        <w:t xml:space="preserve"> </w:t>
      </w:r>
      <w:r>
        <w:rPr>
          <w:b/>
          <w:sz w:val="24"/>
          <w:szCs w:val="24"/>
        </w:rPr>
        <w:tab/>
      </w:r>
      <w:r>
        <w:rPr>
          <w:b/>
          <w:sz w:val="24"/>
          <w:szCs w:val="24"/>
        </w:rPr>
        <w:tab/>
      </w:r>
      <w:r w:rsidR="00264CAA">
        <w:t>REDACTED TEXT under FOIA Section 40, Personal Information</w:t>
      </w:r>
    </w:p>
    <w:p w14:paraId="00000014" w14:textId="77777777" w:rsidR="00863CA3" w:rsidRDefault="005D5A14">
      <w:pPr>
        <w:spacing w:after="200" w:line="240" w:lineRule="auto"/>
      </w:pPr>
      <w:r>
        <w:rPr>
          <w:sz w:val="24"/>
          <w:szCs w:val="24"/>
        </w:rPr>
        <w:t>REGISTRATION NUMBER:</w:t>
      </w:r>
      <w:r>
        <w:rPr>
          <w:b/>
          <w:sz w:val="24"/>
          <w:szCs w:val="24"/>
        </w:rPr>
        <w:t xml:space="preserve">         </w:t>
      </w:r>
      <w:r>
        <w:rPr>
          <w:sz w:val="24"/>
          <w:szCs w:val="24"/>
        </w:rPr>
        <w:t>TBC</w:t>
      </w:r>
    </w:p>
    <w:p w14:paraId="00000015" w14:textId="7136C60B" w:rsidR="00863CA3" w:rsidRDefault="005D5A14">
      <w:pPr>
        <w:spacing w:after="200" w:line="240" w:lineRule="auto"/>
      </w:pPr>
      <w:r>
        <w:rPr>
          <w:sz w:val="24"/>
          <w:szCs w:val="24"/>
        </w:rPr>
        <w:t xml:space="preserve">DUNS NUMBER:       </w:t>
      </w:r>
      <w:r>
        <w:rPr>
          <w:sz w:val="24"/>
          <w:szCs w:val="24"/>
        </w:rPr>
        <w:tab/>
      </w:r>
      <w:r>
        <w:rPr>
          <w:sz w:val="24"/>
          <w:szCs w:val="24"/>
        </w:rPr>
        <w:tab/>
      </w:r>
      <w:r w:rsidR="00DC5B0D" w:rsidRPr="00DC5B0D">
        <w:rPr>
          <w:sz w:val="24"/>
          <w:szCs w:val="24"/>
        </w:rPr>
        <w:t>364807771</w:t>
      </w:r>
    </w:p>
    <w:p w14:paraId="00000016" w14:textId="77777777" w:rsidR="00863CA3" w:rsidRDefault="005D5A14">
      <w:pPr>
        <w:spacing w:after="200" w:line="240" w:lineRule="auto"/>
      </w:pPr>
      <w:r>
        <w:rPr>
          <w:sz w:val="24"/>
          <w:szCs w:val="24"/>
        </w:rPr>
        <w:t>SID4GOV ID:</w:t>
      </w:r>
      <w:r>
        <w:rPr>
          <w:b/>
          <w:sz w:val="24"/>
          <w:szCs w:val="24"/>
        </w:rPr>
        <w:t xml:space="preserve">                 </w:t>
      </w:r>
      <w:r>
        <w:rPr>
          <w:b/>
          <w:sz w:val="24"/>
          <w:szCs w:val="24"/>
        </w:rPr>
        <w:tab/>
      </w:r>
      <w:r>
        <w:rPr>
          <w:b/>
          <w:sz w:val="24"/>
          <w:szCs w:val="24"/>
        </w:rPr>
        <w:tab/>
      </w:r>
      <w:r>
        <w:rPr>
          <w:b/>
          <w:sz w:val="24"/>
          <w:szCs w:val="24"/>
          <w:highlight w:val="yellow"/>
        </w:rPr>
        <w:t>TBC</w:t>
      </w:r>
    </w:p>
    <w:p w14:paraId="00000017" w14:textId="77777777" w:rsidR="00863CA3" w:rsidRDefault="00863CA3">
      <w:pPr>
        <w:spacing w:line="240" w:lineRule="auto"/>
        <w:rPr>
          <w:sz w:val="24"/>
          <w:szCs w:val="24"/>
          <w:highlight w:val="white"/>
        </w:rPr>
      </w:pPr>
    </w:p>
    <w:p w14:paraId="00000018" w14:textId="77777777" w:rsidR="00863CA3" w:rsidRDefault="00863CA3">
      <w:pPr>
        <w:spacing w:line="240" w:lineRule="auto"/>
        <w:rPr>
          <w:sz w:val="24"/>
          <w:szCs w:val="24"/>
          <w:highlight w:val="white"/>
        </w:rPr>
      </w:pPr>
    </w:p>
    <w:p w14:paraId="00000019" w14:textId="77777777" w:rsidR="00863CA3" w:rsidRDefault="00863CA3">
      <w:pPr>
        <w:spacing w:line="240" w:lineRule="auto"/>
        <w:rPr>
          <w:b/>
          <w:sz w:val="24"/>
          <w:szCs w:val="24"/>
          <w:highlight w:val="white"/>
        </w:rPr>
      </w:pPr>
    </w:p>
    <w:p w14:paraId="0000001A" w14:textId="77777777" w:rsidR="00863CA3" w:rsidRDefault="005D5A14">
      <w:pPr>
        <w:pStyle w:val="Heading3"/>
        <w:numPr>
          <w:ilvl w:val="2"/>
          <w:numId w:val="4"/>
        </w:numPr>
      </w:pPr>
      <w:bookmarkStart w:id="3" w:name="_3znysh7" w:colFirst="0" w:colLast="0"/>
      <w:bookmarkEnd w:id="3"/>
      <w:r>
        <w:t>Applicable framework contract</w:t>
      </w:r>
    </w:p>
    <w:p w14:paraId="0000001B" w14:textId="048E9F6A" w:rsidR="00863CA3" w:rsidRDefault="005D5A14">
      <w:pPr>
        <w:spacing w:line="249" w:lineRule="auto"/>
        <w:jc w:val="both"/>
      </w:pPr>
      <w:r>
        <w:rPr>
          <w:sz w:val="24"/>
          <w:szCs w:val="24"/>
        </w:rPr>
        <w:t xml:space="preserve">This Order Form is for the provision of the Call-Off Deliverables and dated </w:t>
      </w:r>
      <w:r w:rsidR="00DC5B0D" w:rsidRPr="00DC5B0D">
        <w:rPr>
          <w:sz w:val="24"/>
          <w:szCs w:val="24"/>
        </w:rPr>
        <w:t>27/07/2023</w:t>
      </w:r>
    </w:p>
    <w:p w14:paraId="0000001C" w14:textId="77777777" w:rsidR="00863CA3" w:rsidRDefault="005D5A14">
      <w:pPr>
        <w:spacing w:line="249" w:lineRule="auto"/>
        <w:jc w:val="both"/>
      </w:pPr>
      <w:r>
        <w:rPr>
          <w:sz w:val="24"/>
          <w:szCs w:val="24"/>
        </w:rPr>
        <w:t xml:space="preserve">It’s issued under the Framework Contract with the reference number RM6187 for the provision of Air HQ TOM Implementation. </w:t>
      </w:r>
    </w:p>
    <w:p w14:paraId="0000001D" w14:textId="77777777" w:rsidR="00863CA3" w:rsidRDefault="00863CA3">
      <w:pPr>
        <w:tabs>
          <w:tab w:val="left" w:pos="2257"/>
        </w:tabs>
        <w:spacing w:line="249" w:lineRule="auto"/>
        <w:rPr>
          <w:b/>
          <w:sz w:val="24"/>
          <w:szCs w:val="24"/>
        </w:rPr>
      </w:pPr>
    </w:p>
    <w:p w14:paraId="0000001E" w14:textId="77777777" w:rsidR="00863CA3" w:rsidRDefault="005D5A14">
      <w:pPr>
        <w:pStyle w:val="Heading3"/>
        <w:numPr>
          <w:ilvl w:val="2"/>
          <w:numId w:val="4"/>
        </w:numPr>
        <w:tabs>
          <w:tab w:val="left" w:pos="2880"/>
          <w:tab w:val="left" w:pos="5137"/>
        </w:tabs>
        <w:spacing w:line="249" w:lineRule="auto"/>
      </w:pPr>
      <w:bookmarkStart w:id="4" w:name="_2et92p0" w:colFirst="0" w:colLast="0"/>
      <w:bookmarkEnd w:id="4"/>
      <w:r>
        <w:t>CALL-OFF LOT(S):</w:t>
      </w:r>
    </w:p>
    <w:p w14:paraId="0000001F" w14:textId="77777777" w:rsidR="00863CA3" w:rsidRDefault="005D5A14">
      <w:r>
        <w:t>Lot 3</w:t>
      </w:r>
    </w:p>
    <w:p w14:paraId="00000020" w14:textId="77777777" w:rsidR="00863CA3" w:rsidRDefault="00863CA3">
      <w:pPr>
        <w:tabs>
          <w:tab w:val="left" w:pos="5137"/>
        </w:tabs>
        <w:spacing w:line="249" w:lineRule="auto"/>
      </w:pPr>
    </w:p>
    <w:p w14:paraId="00000021" w14:textId="77777777" w:rsidR="00863CA3" w:rsidRDefault="005D5A14">
      <w:pPr>
        <w:pStyle w:val="Heading3"/>
        <w:numPr>
          <w:ilvl w:val="2"/>
          <w:numId w:val="4"/>
        </w:numPr>
      </w:pPr>
      <w:bookmarkStart w:id="5" w:name="_tyjcwt" w:colFirst="0" w:colLast="0"/>
      <w:bookmarkEnd w:id="5"/>
      <w:r>
        <w:t>Call-off incorporated terms</w:t>
      </w:r>
    </w:p>
    <w:p w14:paraId="00000022" w14:textId="77777777" w:rsidR="00863CA3" w:rsidRDefault="005D5A14">
      <w:pPr>
        <w:tabs>
          <w:tab w:val="left" w:pos="0"/>
        </w:tabs>
      </w:pPr>
      <w:r>
        <w:rPr>
          <w:sz w:val="24"/>
          <w:szCs w:val="24"/>
        </w:rPr>
        <w:t>The following documents are incorporated into this Call-Off Contract.</w:t>
      </w:r>
    </w:p>
    <w:p w14:paraId="00000023" w14:textId="77777777" w:rsidR="00863CA3" w:rsidRDefault="005D5A14">
      <w:pPr>
        <w:spacing w:line="240" w:lineRule="auto"/>
      </w:pPr>
      <w:r>
        <w:rPr>
          <w:sz w:val="24"/>
          <w:szCs w:val="24"/>
          <w:highlight w:val="white"/>
        </w:rPr>
        <w:t xml:space="preserve">Where schedules are missing, those schedules are not part of the agreement and </w:t>
      </w:r>
      <w:proofErr w:type="spellStart"/>
      <w:r>
        <w:rPr>
          <w:sz w:val="24"/>
          <w:szCs w:val="24"/>
          <w:highlight w:val="white"/>
        </w:rPr>
        <w:t>can not</w:t>
      </w:r>
      <w:proofErr w:type="spellEnd"/>
      <w:r>
        <w:rPr>
          <w:sz w:val="24"/>
          <w:szCs w:val="24"/>
          <w:highlight w:val="white"/>
        </w:rPr>
        <w:t xml:space="preserve"> be used. If the documents conflict, the following order of precedence applies:</w:t>
      </w:r>
    </w:p>
    <w:p w14:paraId="00000024" w14:textId="77777777" w:rsidR="00863CA3" w:rsidRDefault="00863CA3">
      <w:pPr>
        <w:spacing w:line="240" w:lineRule="auto"/>
        <w:rPr>
          <w:sz w:val="24"/>
          <w:szCs w:val="24"/>
        </w:rPr>
      </w:pPr>
    </w:p>
    <w:p w14:paraId="00000025" w14:textId="77777777" w:rsidR="00863CA3" w:rsidRDefault="005D5A14">
      <w:pPr>
        <w:numPr>
          <w:ilvl w:val="0"/>
          <w:numId w:val="3"/>
        </w:numPr>
      </w:pPr>
      <w:r>
        <w:rPr>
          <w:sz w:val="24"/>
          <w:szCs w:val="24"/>
        </w:rPr>
        <w:t>This Order Form includes the Call-Off Special Terms and Call-Off Special Schedules.</w:t>
      </w:r>
    </w:p>
    <w:p w14:paraId="00000026" w14:textId="77777777" w:rsidR="00863CA3" w:rsidRDefault="005D5A14">
      <w:pPr>
        <w:numPr>
          <w:ilvl w:val="0"/>
          <w:numId w:val="3"/>
        </w:numPr>
        <w:spacing w:line="249" w:lineRule="auto"/>
      </w:pPr>
      <w:r>
        <w:rPr>
          <w:sz w:val="24"/>
          <w:szCs w:val="24"/>
        </w:rPr>
        <w:t>Joint Schedule 1(Definitions and Interpretation) RM6187</w:t>
      </w:r>
    </w:p>
    <w:p w14:paraId="00000027" w14:textId="77777777" w:rsidR="00863CA3" w:rsidRDefault="005D5A14">
      <w:pPr>
        <w:keepNext/>
        <w:numPr>
          <w:ilvl w:val="0"/>
          <w:numId w:val="3"/>
        </w:numPr>
        <w:spacing w:line="249" w:lineRule="auto"/>
      </w:pPr>
      <w:r>
        <w:rPr>
          <w:sz w:val="24"/>
          <w:szCs w:val="24"/>
        </w:rPr>
        <w:lastRenderedPageBreak/>
        <w:t>The following Schedules in equal order of precedence:</w:t>
      </w:r>
    </w:p>
    <w:p w14:paraId="00000028" w14:textId="77777777" w:rsidR="00863CA3" w:rsidRDefault="00863CA3">
      <w:pPr>
        <w:keepNext/>
        <w:spacing w:line="240" w:lineRule="auto"/>
        <w:ind w:left="720"/>
        <w:rPr>
          <w:sz w:val="24"/>
          <w:szCs w:val="24"/>
        </w:rPr>
      </w:pPr>
    </w:p>
    <w:p w14:paraId="00000029" w14:textId="77777777" w:rsidR="00863CA3" w:rsidRDefault="005D5A14">
      <w:pPr>
        <w:pStyle w:val="Heading3"/>
        <w:numPr>
          <w:ilvl w:val="2"/>
          <w:numId w:val="4"/>
        </w:numPr>
      </w:pPr>
      <w:bookmarkStart w:id="6" w:name="_3dy6vkm" w:colFirst="0" w:colLast="0"/>
      <w:bookmarkEnd w:id="6"/>
      <w:r>
        <w:t>Joint Schedules for RM6187 Management Consultancy Framework Three</w:t>
      </w:r>
    </w:p>
    <w:p w14:paraId="0000002A" w14:textId="77777777" w:rsidR="00863CA3" w:rsidRDefault="005D5A14">
      <w:pPr>
        <w:numPr>
          <w:ilvl w:val="1"/>
          <w:numId w:val="2"/>
        </w:numPr>
        <w:spacing w:line="249" w:lineRule="auto"/>
      </w:pPr>
      <w:r>
        <w:rPr>
          <w:sz w:val="24"/>
          <w:szCs w:val="24"/>
        </w:rPr>
        <w:t xml:space="preserve">Joint Schedule 1 (Definitions) </w:t>
      </w:r>
    </w:p>
    <w:p w14:paraId="0000002B" w14:textId="77777777" w:rsidR="00863CA3" w:rsidRDefault="005D5A14">
      <w:pPr>
        <w:numPr>
          <w:ilvl w:val="1"/>
          <w:numId w:val="2"/>
        </w:numPr>
        <w:spacing w:line="249" w:lineRule="auto"/>
      </w:pPr>
      <w:r>
        <w:rPr>
          <w:sz w:val="24"/>
          <w:szCs w:val="24"/>
        </w:rPr>
        <w:t xml:space="preserve">Joint Schedule 2 (Variation Form) </w:t>
      </w:r>
    </w:p>
    <w:p w14:paraId="0000002C" w14:textId="77777777" w:rsidR="00863CA3" w:rsidRDefault="005D5A14">
      <w:pPr>
        <w:numPr>
          <w:ilvl w:val="1"/>
          <w:numId w:val="2"/>
        </w:numPr>
        <w:spacing w:line="249" w:lineRule="auto"/>
      </w:pPr>
      <w:r>
        <w:rPr>
          <w:sz w:val="24"/>
          <w:szCs w:val="24"/>
        </w:rPr>
        <w:t xml:space="preserve">Joint Schedule 3 (Insurance Requirements) </w:t>
      </w:r>
    </w:p>
    <w:p w14:paraId="0000002D" w14:textId="77777777" w:rsidR="00863CA3" w:rsidRDefault="005D5A14">
      <w:pPr>
        <w:numPr>
          <w:ilvl w:val="1"/>
          <w:numId w:val="2"/>
        </w:numPr>
        <w:spacing w:line="249" w:lineRule="auto"/>
      </w:pPr>
      <w:r>
        <w:rPr>
          <w:sz w:val="24"/>
          <w:szCs w:val="24"/>
        </w:rPr>
        <w:t>Joint Schedule 4 (Commercially Sensitive Information)</w:t>
      </w:r>
    </w:p>
    <w:p w14:paraId="0000002E" w14:textId="77777777" w:rsidR="00863CA3" w:rsidRDefault="005D5A14">
      <w:pPr>
        <w:numPr>
          <w:ilvl w:val="1"/>
          <w:numId w:val="2"/>
        </w:numPr>
        <w:spacing w:line="249" w:lineRule="auto"/>
      </w:pPr>
      <w:r>
        <w:rPr>
          <w:sz w:val="24"/>
          <w:szCs w:val="24"/>
        </w:rPr>
        <w:t xml:space="preserve">Joint Schedule 10 (Rectification Plan) </w:t>
      </w:r>
      <w:r>
        <w:rPr>
          <w:sz w:val="24"/>
          <w:szCs w:val="24"/>
        </w:rPr>
        <w:tab/>
      </w:r>
      <w:r>
        <w:rPr>
          <w:sz w:val="24"/>
          <w:szCs w:val="24"/>
        </w:rPr>
        <w:tab/>
      </w:r>
      <w:r>
        <w:rPr>
          <w:sz w:val="24"/>
          <w:szCs w:val="24"/>
        </w:rPr>
        <w:tab/>
      </w:r>
    </w:p>
    <w:p w14:paraId="0000002F" w14:textId="77777777" w:rsidR="00863CA3" w:rsidRDefault="005D5A14">
      <w:pPr>
        <w:numPr>
          <w:ilvl w:val="1"/>
          <w:numId w:val="2"/>
        </w:numPr>
        <w:spacing w:line="249" w:lineRule="auto"/>
      </w:pPr>
      <w:r>
        <w:rPr>
          <w:sz w:val="24"/>
          <w:szCs w:val="24"/>
        </w:rPr>
        <w:t>Joint Schedule 11 (Processing Data)</w:t>
      </w:r>
      <w:r>
        <w:rPr>
          <w:sz w:val="24"/>
          <w:szCs w:val="24"/>
        </w:rPr>
        <w:tab/>
      </w:r>
      <w:r>
        <w:rPr>
          <w:sz w:val="24"/>
          <w:szCs w:val="24"/>
        </w:rPr>
        <w:tab/>
      </w:r>
    </w:p>
    <w:p w14:paraId="00000030" w14:textId="77777777" w:rsidR="00863CA3" w:rsidRDefault="005D5A14">
      <w:pPr>
        <w:pStyle w:val="Heading3"/>
        <w:numPr>
          <w:ilvl w:val="2"/>
          <w:numId w:val="4"/>
        </w:numPr>
      </w:pPr>
      <w:r>
        <w:t>Call-O</w:t>
      </w:r>
      <w:r>
        <w:rPr>
          <w:highlight w:val="white"/>
        </w:rPr>
        <w:t>ff Schedules</w:t>
      </w:r>
      <w:r>
        <w:rPr>
          <w:highlight w:val="white"/>
        </w:rPr>
        <w:tab/>
      </w:r>
      <w:r>
        <w:rPr>
          <w:highlight w:val="white"/>
        </w:rPr>
        <w:tab/>
      </w:r>
    </w:p>
    <w:p w14:paraId="00000031" w14:textId="77777777" w:rsidR="00863CA3" w:rsidRDefault="005D5A14">
      <w:pPr>
        <w:numPr>
          <w:ilvl w:val="1"/>
          <w:numId w:val="2"/>
        </w:numPr>
        <w:spacing w:line="249" w:lineRule="auto"/>
      </w:pPr>
      <w:r>
        <w:rPr>
          <w:sz w:val="24"/>
          <w:szCs w:val="24"/>
          <w:highlight w:val="white"/>
        </w:rPr>
        <w:t xml:space="preserve">Call-Off Schedule 1 (Transparency Reports) </w:t>
      </w:r>
      <w:r>
        <w:rPr>
          <w:sz w:val="24"/>
          <w:szCs w:val="24"/>
          <w:highlight w:val="white"/>
        </w:rPr>
        <w:tab/>
      </w:r>
    </w:p>
    <w:p w14:paraId="00000032" w14:textId="77777777" w:rsidR="00863CA3" w:rsidRDefault="005D5A14">
      <w:pPr>
        <w:numPr>
          <w:ilvl w:val="1"/>
          <w:numId w:val="2"/>
        </w:numPr>
        <w:spacing w:line="249" w:lineRule="auto"/>
      </w:pPr>
      <w:r>
        <w:rPr>
          <w:sz w:val="24"/>
          <w:szCs w:val="24"/>
          <w:highlight w:val="white"/>
        </w:rPr>
        <w:t>Call-Off Schedule 3 (Continuous Improvement)</w:t>
      </w:r>
      <w:r>
        <w:rPr>
          <w:sz w:val="24"/>
          <w:szCs w:val="24"/>
          <w:highlight w:val="white"/>
        </w:rPr>
        <w:tab/>
      </w:r>
      <w:r>
        <w:rPr>
          <w:sz w:val="24"/>
          <w:szCs w:val="24"/>
          <w:highlight w:val="white"/>
        </w:rPr>
        <w:tab/>
      </w:r>
      <w:r>
        <w:rPr>
          <w:sz w:val="24"/>
          <w:szCs w:val="24"/>
          <w:highlight w:val="white"/>
        </w:rPr>
        <w:tab/>
      </w:r>
    </w:p>
    <w:p w14:paraId="00000033" w14:textId="77777777" w:rsidR="00863CA3" w:rsidRDefault="005D5A14">
      <w:pPr>
        <w:numPr>
          <w:ilvl w:val="1"/>
          <w:numId w:val="2"/>
        </w:numPr>
        <w:spacing w:line="249" w:lineRule="auto"/>
      </w:pPr>
      <w:r>
        <w:rPr>
          <w:sz w:val="24"/>
          <w:szCs w:val="24"/>
          <w:highlight w:val="white"/>
        </w:rPr>
        <w:t>Call-Off Schedule 7 (Key Supplier Staff)</w:t>
      </w:r>
      <w:r>
        <w:rPr>
          <w:sz w:val="24"/>
          <w:szCs w:val="24"/>
          <w:highlight w:val="white"/>
        </w:rPr>
        <w:tab/>
      </w:r>
    </w:p>
    <w:p w14:paraId="00000034" w14:textId="77777777" w:rsidR="00863CA3" w:rsidRDefault="005D5A14">
      <w:pPr>
        <w:numPr>
          <w:ilvl w:val="1"/>
          <w:numId w:val="2"/>
        </w:numPr>
        <w:spacing w:line="249" w:lineRule="auto"/>
      </w:pPr>
      <w:r>
        <w:rPr>
          <w:sz w:val="24"/>
          <w:szCs w:val="24"/>
          <w:highlight w:val="white"/>
        </w:rPr>
        <w:t>Call-Off Schedule 9 (Security)</w:t>
      </w:r>
      <w:r>
        <w:rPr>
          <w:sz w:val="24"/>
          <w:szCs w:val="24"/>
          <w:highlight w:val="white"/>
        </w:rPr>
        <w:tab/>
      </w:r>
      <w:r>
        <w:rPr>
          <w:sz w:val="24"/>
          <w:szCs w:val="24"/>
          <w:highlight w:val="white"/>
        </w:rPr>
        <w:tab/>
      </w:r>
      <w:r>
        <w:rPr>
          <w:sz w:val="24"/>
          <w:szCs w:val="24"/>
          <w:highlight w:val="white"/>
        </w:rPr>
        <w:tab/>
        <w:t xml:space="preserve">   </w:t>
      </w:r>
      <w:r>
        <w:rPr>
          <w:sz w:val="24"/>
          <w:szCs w:val="24"/>
          <w:highlight w:val="white"/>
        </w:rPr>
        <w:tab/>
      </w:r>
    </w:p>
    <w:p w14:paraId="00000035" w14:textId="77777777" w:rsidR="00863CA3" w:rsidRDefault="005D5A14">
      <w:pPr>
        <w:numPr>
          <w:ilvl w:val="1"/>
          <w:numId w:val="2"/>
        </w:numPr>
        <w:spacing w:line="249" w:lineRule="auto"/>
      </w:pPr>
      <w:r>
        <w:rPr>
          <w:sz w:val="24"/>
          <w:szCs w:val="24"/>
          <w:highlight w:val="white"/>
        </w:rPr>
        <w:t xml:space="preserve">Call-Off Schedule 10 (Exit Management) </w:t>
      </w:r>
      <w:r>
        <w:rPr>
          <w:sz w:val="24"/>
          <w:szCs w:val="24"/>
          <w:highlight w:val="white"/>
        </w:rPr>
        <w:tab/>
      </w:r>
    </w:p>
    <w:p w14:paraId="00000036" w14:textId="77777777" w:rsidR="00863CA3" w:rsidRDefault="005D5A14">
      <w:pPr>
        <w:numPr>
          <w:ilvl w:val="1"/>
          <w:numId w:val="2"/>
        </w:numPr>
        <w:spacing w:line="249" w:lineRule="auto"/>
      </w:pPr>
      <w:r>
        <w:rPr>
          <w:sz w:val="24"/>
          <w:szCs w:val="24"/>
          <w:highlight w:val="white"/>
        </w:rPr>
        <w:t xml:space="preserve">Call-Off Schedule 13 (Implementation Plan and Testing) </w:t>
      </w:r>
      <w:r>
        <w:rPr>
          <w:sz w:val="24"/>
          <w:szCs w:val="24"/>
          <w:highlight w:val="white"/>
        </w:rPr>
        <w:tab/>
      </w:r>
    </w:p>
    <w:p w14:paraId="00000037" w14:textId="77777777" w:rsidR="00863CA3" w:rsidRDefault="005D5A14">
      <w:pPr>
        <w:numPr>
          <w:ilvl w:val="1"/>
          <w:numId w:val="2"/>
        </w:numPr>
        <w:spacing w:line="249" w:lineRule="auto"/>
      </w:pPr>
      <w:r>
        <w:rPr>
          <w:sz w:val="24"/>
          <w:szCs w:val="24"/>
          <w:highlight w:val="white"/>
        </w:rPr>
        <w:t xml:space="preserve">Call-Off Schedule 15 (Call-Off Contract Management) </w:t>
      </w:r>
    </w:p>
    <w:p w14:paraId="00000038" w14:textId="77777777" w:rsidR="00863CA3" w:rsidRDefault="005D5A14">
      <w:pPr>
        <w:numPr>
          <w:ilvl w:val="1"/>
          <w:numId w:val="2"/>
        </w:numPr>
        <w:spacing w:line="249" w:lineRule="auto"/>
      </w:pPr>
      <w:r>
        <w:rPr>
          <w:sz w:val="24"/>
          <w:szCs w:val="24"/>
          <w:highlight w:val="white"/>
        </w:rPr>
        <w:t xml:space="preserve">Call-Off Schedule 17 (MOD Terms) </w:t>
      </w:r>
      <w:r>
        <w:rPr>
          <w:sz w:val="24"/>
          <w:szCs w:val="24"/>
          <w:highlight w:val="white"/>
        </w:rPr>
        <w:tab/>
        <w:t xml:space="preserve"> </w:t>
      </w:r>
      <w:r>
        <w:rPr>
          <w:sz w:val="24"/>
          <w:szCs w:val="24"/>
          <w:highlight w:val="white"/>
        </w:rPr>
        <w:tab/>
      </w:r>
      <w:r>
        <w:rPr>
          <w:sz w:val="24"/>
          <w:szCs w:val="24"/>
          <w:highlight w:val="white"/>
        </w:rPr>
        <w:tab/>
      </w:r>
    </w:p>
    <w:p w14:paraId="00000039" w14:textId="77777777" w:rsidR="00863CA3" w:rsidRDefault="00863CA3">
      <w:pPr>
        <w:spacing w:line="249" w:lineRule="auto"/>
      </w:pPr>
    </w:p>
    <w:p w14:paraId="0000003A" w14:textId="77777777" w:rsidR="00863CA3" w:rsidRDefault="005D5A14">
      <w:pPr>
        <w:spacing w:line="249" w:lineRule="auto"/>
        <w:ind w:left="1800"/>
      </w:pPr>
      <w:r>
        <w:rPr>
          <w:sz w:val="24"/>
          <w:szCs w:val="24"/>
          <w:highlight w:val="white"/>
        </w:rPr>
        <w:tab/>
      </w:r>
      <w:r>
        <w:rPr>
          <w:sz w:val="24"/>
          <w:szCs w:val="24"/>
          <w:highlight w:val="white"/>
        </w:rPr>
        <w:tab/>
      </w:r>
    </w:p>
    <w:p w14:paraId="0000003B" w14:textId="77777777" w:rsidR="00863CA3" w:rsidRDefault="005D5A14">
      <w:pPr>
        <w:numPr>
          <w:ilvl w:val="0"/>
          <w:numId w:val="3"/>
        </w:numPr>
        <w:spacing w:line="249" w:lineRule="auto"/>
      </w:pPr>
      <w:r>
        <w:rPr>
          <w:sz w:val="24"/>
          <w:szCs w:val="24"/>
          <w:highlight w:val="white"/>
        </w:rPr>
        <w:t>CCS Core Terms</w:t>
      </w:r>
    </w:p>
    <w:p w14:paraId="0000003C" w14:textId="77777777" w:rsidR="00863CA3" w:rsidRDefault="005D5A14">
      <w:pPr>
        <w:numPr>
          <w:ilvl w:val="0"/>
          <w:numId w:val="3"/>
        </w:numPr>
        <w:spacing w:line="249" w:lineRule="auto"/>
      </w:pPr>
      <w:r>
        <w:rPr>
          <w:sz w:val="24"/>
          <w:szCs w:val="24"/>
          <w:highlight w:val="white"/>
        </w:rPr>
        <w:t xml:space="preserve">Joint Schedule 5 (Corporate Social Responsibility) </w:t>
      </w:r>
    </w:p>
    <w:p w14:paraId="0000003D" w14:textId="77777777" w:rsidR="00863CA3" w:rsidRDefault="005D5A14">
      <w:pPr>
        <w:numPr>
          <w:ilvl w:val="0"/>
          <w:numId w:val="3"/>
        </w:numPr>
        <w:spacing w:line="249"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000003E" w14:textId="77777777" w:rsidR="00863CA3" w:rsidRDefault="00863CA3">
      <w:pPr>
        <w:spacing w:line="240" w:lineRule="auto"/>
        <w:ind w:left="720"/>
        <w:rPr>
          <w:sz w:val="24"/>
          <w:szCs w:val="24"/>
          <w:highlight w:val="white"/>
        </w:rPr>
      </w:pPr>
    </w:p>
    <w:p w14:paraId="0000003F" w14:textId="77777777" w:rsidR="00863CA3" w:rsidRDefault="005D5A14">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40" w14:textId="77777777" w:rsidR="00863CA3" w:rsidRDefault="005D5A14">
      <w:pPr>
        <w:pStyle w:val="Heading3"/>
        <w:numPr>
          <w:ilvl w:val="2"/>
          <w:numId w:val="4"/>
        </w:numPr>
        <w:tabs>
          <w:tab w:val="left" w:pos="2257"/>
        </w:tabs>
      </w:pPr>
      <w:bookmarkStart w:id="7" w:name="_1t3h5sf" w:colFirst="0" w:colLast="0"/>
      <w:bookmarkEnd w:id="7"/>
      <w:r>
        <w:t>Call-off special terms</w:t>
      </w:r>
    </w:p>
    <w:p w14:paraId="00000041" w14:textId="77777777" w:rsidR="00863CA3" w:rsidRDefault="00863CA3"/>
    <w:p w14:paraId="00000042" w14:textId="77777777" w:rsidR="00863CA3" w:rsidRDefault="005D5A14">
      <w:pPr>
        <w:tabs>
          <w:tab w:val="left" w:pos="2257"/>
        </w:tabs>
        <w:spacing w:line="240" w:lineRule="auto"/>
      </w:pPr>
      <w:r>
        <w:rPr>
          <w:sz w:val="24"/>
          <w:szCs w:val="24"/>
          <w:highlight w:val="white"/>
        </w:rPr>
        <w:t>The following Special Terms are incorporated into this Call-Off Contract:</w:t>
      </w:r>
    </w:p>
    <w:p w14:paraId="00000043" w14:textId="77777777" w:rsidR="00863CA3" w:rsidRDefault="005D5A14">
      <w:pPr>
        <w:tabs>
          <w:tab w:val="left" w:pos="2257"/>
        </w:tabs>
        <w:spacing w:before="240" w:line="249" w:lineRule="auto"/>
      </w:pPr>
      <w:r>
        <w:rPr>
          <w:i/>
          <w:color w:val="222222"/>
          <w:sz w:val="24"/>
          <w:szCs w:val="24"/>
          <w:highlight w:val="white"/>
        </w:rPr>
        <w:t>Special Term 1 - The Buyer is only liable to reimburse the Supplier for any expense or any disbursement which is</w:t>
      </w:r>
    </w:p>
    <w:p w14:paraId="00000044" w14:textId="77777777" w:rsidR="00863CA3" w:rsidRDefault="005D5A14">
      <w:pPr>
        <w:tabs>
          <w:tab w:val="left" w:pos="2257"/>
        </w:tabs>
        <w:spacing w:before="240" w:line="249" w:lineRule="auto"/>
      </w:pPr>
      <w:r>
        <w:rPr>
          <w:i/>
          <w:color w:val="222222"/>
          <w:sz w:val="24"/>
          <w:szCs w:val="24"/>
          <w:highlight w:val="white"/>
        </w:rPr>
        <w:t xml:space="preserve">                         (</w:t>
      </w:r>
      <w:proofErr w:type="spellStart"/>
      <w:r>
        <w:rPr>
          <w:i/>
          <w:color w:val="222222"/>
          <w:sz w:val="24"/>
          <w:szCs w:val="24"/>
          <w:highlight w:val="white"/>
        </w:rPr>
        <w:t>i</w:t>
      </w:r>
      <w:proofErr w:type="spellEnd"/>
      <w:r>
        <w:rPr>
          <w:i/>
          <w:color w:val="222222"/>
          <w:sz w:val="24"/>
          <w:szCs w:val="24"/>
          <w:highlight w:val="white"/>
        </w:rPr>
        <w:t>) specified in this Contract or</w:t>
      </w:r>
    </w:p>
    <w:p w14:paraId="4C0B0767" w14:textId="77777777" w:rsidR="00DA39F4" w:rsidRDefault="005D5A14">
      <w:pPr>
        <w:tabs>
          <w:tab w:val="left" w:pos="1980"/>
        </w:tabs>
        <w:spacing w:line="240" w:lineRule="auto"/>
        <w:rPr>
          <w:i/>
          <w:color w:val="222222"/>
          <w:sz w:val="24"/>
          <w:szCs w:val="24"/>
          <w:highlight w:val="white"/>
        </w:rPr>
      </w:pPr>
      <w:r>
        <w:rPr>
          <w:i/>
          <w:color w:val="222222"/>
          <w:sz w:val="24"/>
          <w:szCs w:val="24"/>
          <w:highlight w:val="white"/>
        </w:rPr>
        <w:t xml:space="preserve">                         (ii) which the Buyer has Approved prior to the Supplier incurring that         </w:t>
      </w:r>
      <w:r>
        <w:rPr>
          <w:i/>
          <w:color w:val="222222"/>
          <w:sz w:val="24"/>
          <w:szCs w:val="24"/>
          <w:highlight w:val="white"/>
        </w:rPr>
        <w:tab/>
        <w:t xml:space="preserve">expense or that disbursement. The Supplier may not invoice the            </w:t>
      </w:r>
      <w:r>
        <w:rPr>
          <w:i/>
          <w:color w:val="222222"/>
          <w:sz w:val="24"/>
          <w:szCs w:val="24"/>
          <w:highlight w:val="white"/>
        </w:rPr>
        <w:tab/>
        <w:t>Buyer for any other expenses or any other disbursements</w:t>
      </w:r>
    </w:p>
    <w:p w14:paraId="3865C0E4" w14:textId="77777777" w:rsidR="00DA39F4" w:rsidRDefault="00DA39F4">
      <w:pPr>
        <w:tabs>
          <w:tab w:val="left" w:pos="1980"/>
        </w:tabs>
        <w:spacing w:line="240" w:lineRule="auto"/>
        <w:rPr>
          <w:i/>
          <w:color w:val="222222"/>
          <w:sz w:val="24"/>
          <w:szCs w:val="24"/>
          <w:highlight w:val="white"/>
        </w:rPr>
      </w:pPr>
    </w:p>
    <w:tbl>
      <w:tblPr>
        <w:tblW w:w="8733" w:type="dxa"/>
        <w:tblLook w:val="04A0" w:firstRow="1" w:lastRow="0" w:firstColumn="1" w:lastColumn="0" w:noHBand="0" w:noVBand="1"/>
      </w:tblPr>
      <w:tblGrid>
        <w:gridCol w:w="8733"/>
      </w:tblGrid>
      <w:tr w:rsidR="00DA39F4" w:rsidRPr="00DA39F4" w14:paraId="1658FBB8" w14:textId="77777777" w:rsidTr="00DA39F4">
        <w:trPr>
          <w:trHeight w:val="285"/>
        </w:trPr>
        <w:tc>
          <w:tcPr>
            <w:tcW w:w="8733" w:type="dxa"/>
            <w:tcBorders>
              <w:top w:val="nil"/>
              <w:left w:val="nil"/>
              <w:bottom w:val="nil"/>
              <w:right w:val="nil"/>
            </w:tcBorders>
            <w:shd w:val="clear" w:color="auto" w:fill="auto"/>
            <w:vAlign w:val="center"/>
            <w:hideMark/>
          </w:tcPr>
          <w:p w14:paraId="2DA8BC20" w14:textId="77777777" w:rsidR="00DA39F4" w:rsidRDefault="00DA39F4" w:rsidP="00DA39F4">
            <w:pPr>
              <w:widowControl/>
              <w:spacing w:line="240" w:lineRule="auto"/>
              <w:rPr>
                <w:rFonts w:eastAsia="Times New Roman"/>
              </w:rPr>
            </w:pPr>
            <w:r>
              <w:rPr>
                <w:rFonts w:eastAsia="Times New Roman"/>
                <w:i/>
                <w:iCs/>
              </w:rPr>
              <w:t xml:space="preserve">Special Term 2 - </w:t>
            </w:r>
            <w:r w:rsidRPr="00DA39F4">
              <w:rPr>
                <w:rFonts w:eastAsia="Times New Roman"/>
              </w:rPr>
              <w:t xml:space="preserve">We will discuss and agree the ’s specification with you and set out its agreed proposed content, form and functionality in a specification document.  We will send you updates and drafts of the model during its development and populate it with the data you require.  We will draft user instructions including key assumptions that have been agreed with you.  Drafts and user instructions should be destroyed once they are superseded by the final version of the model, in order to avoid any confusion </w:t>
            </w:r>
            <w:r w:rsidRPr="00DA39F4">
              <w:rPr>
                <w:rFonts w:eastAsia="Times New Roman"/>
              </w:rPr>
              <w:lastRenderedPageBreak/>
              <w:t>over version control.</w:t>
            </w:r>
            <w:r>
              <w:rPr>
                <w:rFonts w:eastAsia="Times New Roman"/>
              </w:rPr>
              <w:t xml:space="preserve"> </w:t>
            </w:r>
            <w:r w:rsidRPr="00DA39F4">
              <w:rPr>
                <w:rFonts w:eastAsia="Times New Roman"/>
              </w:rPr>
              <w:t xml:space="preserve">We will subject the model to development testing before the final draft version is sent to you for your own acceptance testing, and we recommend that you carry out your own testing on it, so you can verify that it meets your requirements. Under the model release </w:t>
            </w:r>
            <w:proofErr w:type="gramStart"/>
            <w:r w:rsidRPr="00DA39F4">
              <w:rPr>
                <w:rFonts w:eastAsia="Times New Roman"/>
              </w:rPr>
              <w:t>process</w:t>
            </w:r>
            <w:proofErr w:type="gramEnd"/>
            <w:r w:rsidRPr="00DA39F4">
              <w:rPr>
                <w:rFonts w:eastAsia="Times New Roman"/>
              </w:rPr>
              <w:t xml:space="preserve"> you will acknowledge that you have completed your acceptance testing and accept responsibility for the model, including its assumptions, input data, outputs and associated documentation.  Please note that given the nature of a model, it is not generally possible to test it to verify that it is error-free. </w:t>
            </w:r>
          </w:p>
          <w:p w14:paraId="66639BB2" w14:textId="6660E11B" w:rsidR="00AF76AF" w:rsidRPr="00DA39F4" w:rsidRDefault="00AF76AF" w:rsidP="00DA39F4">
            <w:pPr>
              <w:widowControl/>
              <w:spacing w:line="240" w:lineRule="auto"/>
              <w:rPr>
                <w:rFonts w:eastAsia="Times New Roman"/>
              </w:rPr>
            </w:pPr>
          </w:p>
        </w:tc>
      </w:tr>
      <w:tr w:rsidR="00DA39F4" w:rsidRPr="00DA39F4" w14:paraId="4410F69B" w14:textId="77777777" w:rsidTr="00DA39F4">
        <w:trPr>
          <w:trHeight w:val="285"/>
        </w:trPr>
        <w:tc>
          <w:tcPr>
            <w:tcW w:w="8733" w:type="dxa"/>
            <w:tcBorders>
              <w:top w:val="nil"/>
              <w:left w:val="nil"/>
              <w:bottom w:val="nil"/>
              <w:right w:val="nil"/>
            </w:tcBorders>
            <w:shd w:val="clear" w:color="auto" w:fill="auto"/>
            <w:vAlign w:val="center"/>
            <w:hideMark/>
          </w:tcPr>
          <w:p w14:paraId="653EFEF8" w14:textId="77777777" w:rsidR="00DA39F4" w:rsidRDefault="00AF76AF" w:rsidP="00DA39F4">
            <w:pPr>
              <w:widowControl/>
              <w:spacing w:line="240" w:lineRule="auto"/>
              <w:jc w:val="both"/>
              <w:rPr>
                <w:rFonts w:eastAsia="Times New Roman"/>
              </w:rPr>
            </w:pPr>
            <w:r>
              <w:rPr>
                <w:rFonts w:eastAsia="Times New Roman"/>
                <w:i/>
                <w:iCs/>
              </w:rPr>
              <w:lastRenderedPageBreak/>
              <w:t xml:space="preserve">Special Term 3 - </w:t>
            </w:r>
            <w:r w:rsidR="00DA39F4" w:rsidRPr="00DA39F4">
              <w:rPr>
                <w:rFonts w:eastAsia="Times New Roman"/>
              </w:rPr>
              <w:t xml:space="preserve">Supplier may terminate the Call-Off Contract on written notice to the Buyer if the performance of any part of the Services would conflict with law, professional rules or Supplier’s independence. Supplier will provide as much notice to Buyer as is reasonably possible and will work with Buyer to seek to mitigate any impact on the Services. </w:t>
            </w:r>
          </w:p>
          <w:p w14:paraId="77BA6065" w14:textId="54914CE0" w:rsidR="00AF76AF" w:rsidRPr="00DA39F4" w:rsidRDefault="00AF76AF" w:rsidP="00DA39F4">
            <w:pPr>
              <w:widowControl/>
              <w:spacing w:line="240" w:lineRule="auto"/>
              <w:jc w:val="both"/>
              <w:rPr>
                <w:rFonts w:eastAsia="Times New Roman"/>
              </w:rPr>
            </w:pPr>
          </w:p>
        </w:tc>
      </w:tr>
      <w:tr w:rsidR="00DA39F4" w:rsidRPr="00DA39F4" w14:paraId="64E73AB5" w14:textId="77777777" w:rsidTr="00DA39F4">
        <w:trPr>
          <w:trHeight w:val="285"/>
        </w:trPr>
        <w:tc>
          <w:tcPr>
            <w:tcW w:w="8733" w:type="dxa"/>
            <w:tcBorders>
              <w:top w:val="nil"/>
              <w:left w:val="nil"/>
              <w:bottom w:val="nil"/>
              <w:right w:val="nil"/>
            </w:tcBorders>
            <w:shd w:val="clear" w:color="auto" w:fill="auto"/>
            <w:vAlign w:val="center"/>
            <w:hideMark/>
          </w:tcPr>
          <w:p w14:paraId="5314ED7A" w14:textId="75F3C928" w:rsidR="00DA39F4" w:rsidRPr="00DA39F4" w:rsidRDefault="00AF76AF" w:rsidP="00DA39F4">
            <w:pPr>
              <w:widowControl/>
              <w:spacing w:line="240" w:lineRule="auto"/>
              <w:jc w:val="both"/>
              <w:rPr>
                <w:rFonts w:eastAsia="Times New Roman"/>
              </w:rPr>
            </w:pPr>
            <w:r>
              <w:rPr>
                <w:rFonts w:eastAsia="Times New Roman"/>
                <w:i/>
                <w:iCs/>
              </w:rPr>
              <w:t xml:space="preserve">Special Term 4 - </w:t>
            </w:r>
            <w:r w:rsidR="00DA39F4" w:rsidRPr="00DA39F4">
              <w:rPr>
                <w:rFonts w:eastAsia="Times New Roman"/>
              </w:rPr>
              <w:t>Supplier’s tender is true and accurate to the best of its knowledge and is based on the accuracy of the information supplied by the Buyer and/or on its behalf.</w:t>
            </w:r>
          </w:p>
        </w:tc>
      </w:tr>
      <w:tr w:rsidR="00DA39F4" w:rsidRPr="00DA39F4" w14:paraId="0FEA8A30" w14:textId="77777777" w:rsidTr="00DA39F4">
        <w:trPr>
          <w:trHeight w:val="285"/>
        </w:trPr>
        <w:tc>
          <w:tcPr>
            <w:tcW w:w="8733" w:type="dxa"/>
            <w:tcBorders>
              <w:top w:val="nil"/>
              <w:left w:val="nil"/>
              <w:bottom w:val="nil"/>
              <w:right w:val="nil"/>
            </w:tcBorders>
            <w:shd w:val="clear" w:color="auto" w:fill="auto"/>
            <w:vAlign w:val="center"/>
            <w:hideMark/>
          </w:tcPr>
          <w:p w14:paraId="20FFC9B9" w14:textId="77777777" w:rsidR="00DA39F4" w:rsidRPr="00DA39F4" w:rsidRDefault="00DA39F4" w:rsidP="00DA39F4">
            <w:pPr>
              <w:widowControl/>
              <w:spacing w:line="240" w:lineRule="auto"/>
              <w:jc w:val="both"/>
              <w:rPr>
                <w:rFonts w:eastAsia="Times New Roman"/>
              </w:rPr>
            </w:pPr>
            <w:r w:rsidRPr="00DA39F4">
              <w:rPr>
                <w:rFonts w:eastAsia="Times New Roman"/>
              </w:rPr>
              <w:t xml:space="preserve">If the scope of the Services, assumptions, dependencies, content of the ITT and/or Buyer responsibilities prove to be inaccurate, the Parties will address this as a Variation.  </w:t>
            </w:r>
          </w:p>
        </w:tc>
      </w:tr>
      <w:tr w:rsidR="00DA39F4" w:rsidRPr="00DA39F4" w14:paraId="6C499E52" w14:textId="77777777" w:rsidTr="00DA39F4">
        <w:trPr>
          <w:trHeight w:val="285"/>
        </w:trPr>
        <w:tc>
          <w:tcPr>
            <w:tcW w:w="8733" w:type="dxa"/>
            <w:tcBorders>
              <w:top w:val="nil"/>
              <w:left w:val="nil"/>
              <w:bottom w:val="nil"/>
              <w:right w:val="nil"/>
            </w:tcBorders>
            <w:shd w:val="clear" w:color="auto" w:fill="auto"/>
            <w:vAlign w:val="center"/>
            <w:hideMark/>
          </w:tcPr>
          <w:p w14:paraId="520CAF8F" w14:textId="77777777" w:rsidR="00DA39F4" w:rsidRDefault="00DA39F4" w:rsidP="00DA39F4">
            <w:pPr>
              <w:widowControl/>
              <w:spacing w:line="240" w:lineRule="auto"/>
              <w:jc w:val="both"/>
              <w:rPr>
                <w:rFonts w:eastAsia="Times New Roman"/>
              </w:rPr>
            </w:pPr>
            <w:r w:rsidRPr="00DA39F4">
              <w:rPr>
                <w:rFonts w:eastAsia="Times New Roman"/>
              </w:rPr>
              <w:t>Supplier Existing IPR includes any enhancements and/or modifications developed in the course of providing the Services.</w:t>
            </w:r>
          </w:p>
          <w:p w14:paraId="03584487" w14:textId="247906F5" w:rsidR="00AF76AF" w:rsidRPr="00DA39F4" w:rsidRDefault="00AF76AF" w:rsidP="00DA39F4">
            <w:pPr>
              <w:widowControl/>
              <w:spacing w:line="240" w:lineRule="auto"/>
              <w:jc w:val="both"/>
              <w:rPr>
                <w:rFonts w:eastAsia="Times New Roman"/>
              </w:rPr>
            </w:pPr>
          </w:p>
        </w:tc>
      </w:tr>
      <w:tr w:rsidR="00DA39F4" w:rsidRPr="00DA39F4" w14:paraId="71888495" w14:textId="77777777" w:rsidTr="00DA39F4">
        <w:trPr>
          <w:trHeight w:val="285"/>
        </w:trPr>
        <w:tc>
          <w:tcPr>
            <w:tcW w:w="8733" w:type="dxa"/>
            <w:tcBorders>
              <w:top w:val="nil"/>
              <w:left w:val="nil"/>
              <w:bottom w:val="nil"/>
              <w:right w:val="nil"/>
            </w:tcBorders>
            <w:shd w:val="clear" w:color="auto" w:fill="auto"/>
            <w:vAlign w:val="center"/>
            <w:hideMark/>
          </w:tcPr>
          <w:p w14:paraId="3BD00BFB" w14:textId="77777777" w:rsidR="00DA39F4" w:rsidRDefault="00AF76AF" w:rsidP="00DA39F4">
            <w:pPr>
              <w:widowControl/>
              <w:spacing w:line="240" w:lineRule="auto"/>
              <w:jc w:val="both"/>
              <w:rPr>
                <w:rFonts w:eastAsia="Times New Roman"/>
              </w:rPr>
            </w:pPr>
            <w:r>
              <w:rPr>
                <w:rFonts w:eastAsia="Times New Roman"/>
                <w:i/>
                <w:iCs/>
              </w:rPr>
              <w:t xml:space="preserve">Special Term 6 - </w:t>
            </w:r>
            <w:r w:rsidR="00DA39F4" w:rsidRPr="00DA39F4">
              <w:rPr>
                <w:rFonts w:eastAsia="Times New Roman"/>
              </w:rPr>
              <w:t>The Deliverables are for Buyer’s exclusive use and provided for the purposes described in this Call-Off Contract. No person other than Buyer may rely on the Deliverables and/or information derived from them. This does not affect the Buyer’s right to sub-licence any New IPR or Specially Written Software that may be supplied under the Call-Off Contract.</w:t>
            </w:r>
          </w:p>
          <w:p w14:paraId="73752E92" w14:textId="0CA1F210" w:rsidR="00AF76AF" w:rsidRPr="00DA39F4" w:rsidRDefault="00AF76AF" w:rsidP="00DA39F4">
            <w:pPr>
              <w:widowControl/>
              <w:spacing w:line="240" w:lineRule="auto"/>
              <w:jc w:val="both"/>
              <w:rPr>
                <w:rFonts w:eastAsia="Times New Roman"/>
              </w:rPr>
            </w:pPr>
          </w:p>
        </w:tc>
      </w:tr>
      <w:tr w:rsidR="00DA39F4" w:rsidRPr="00DA39F4" w14:paraId="7B7050F9" w14:textId="77777777" w:rsidTr="00DA39F4">
        <w:trPr>
          <w:trHeight w:val="285"/>
        </w:trPr>
        <w:tc>
          <w:tcPr>
            <w:tcW w:w="8733" w:type="dxa"/>
            <w:tcBorders>
              <w:top w:val="nil"/>
              <w:left w:val="nil"/>
              <w:bottom w:val="nil"/>
              <w:right w:val="nil"/>
            </w:tcBorders>
            <w:shd w:val="clear" w:color="auto" w:fill="auto"/>
            <w:vAlign w:val="bottom"/>
            <w:hideMark/>
          </w:tcPr>
          <w:p w14:paraId="78A88C63" w14:textId="77777777" w:rsidR="00DA39F4" w:rsidRDefault="00AF76AF" w:rsidP="00DA39F4">
            <w:pPr>
              <w:widowControl/>
              <w:spacing w:line="240" w:lineRule="auto"/>
              <w:rPr>
                <w:rFonts w:eastAsia="Times New Roman"/>
              </w:rPr>
            </w:pPr>
            <w:r>
              <w:rPr>
                <w:rFonts w:eastAsia="Times New Roman"/>
                <w:i/>
                <w:iCs/>
              </w:rPr>
              <w:t xml:space="preserve">Special Term 7 - </w:t>
            </w:r>
            <w:r w:rsidR="00DA39F4" w:rsidRPr="00DA39F4">
              <w:rPr>
                <w:rFonts w:eastAsia="Times New Roman"/>
              </w:rPr>
              <w:t>The Supplier may decline any aspect of the proposed scope and methods of a Buyer's security and/or audit requirements on the basis that it:</w:t>
            </w:r>
            <w:r w:rsidR="00DA39F4" w:rsidRPr="00DA39F4">
              <w:rPr>
                <w:rFonts w:eastAsia="Times New Roman"/>
              </w:rPr>
              <w:br/>
              <w:t>• includes any technical vulnerability or penetration testing of the Supplier's system; and/or</w:t>
            </w:r>
            <w:r w:rsidR="00DA39F4" w:rsidRPr="00DA39F4">
              <w:rPr>
                <w:rFonts w:eastAsia="Times New Roman"/>
              </w:rPr>
              <w:br/>
              <w:t>• may potentially breach Supplier's client confidentiality obligations; and/or</w:t>
            </w:r>
            <w:r w:rsidR="00DA39F4" w:rsidRPr="00DA39F4">
              <w:rPr>
                <w:rFonts w:eastAsia="Times New Roman"/>
              </w:rPr>
              <w:br/>
              <w:t xml:space="preserve">• is outside the scope of services provided to the Buyer under the Call-Off Contract. </w:t>
            </w:r>
          </w:p>
          <w:p w14:paraId="1C86D399" w14:textId="53FBA9A9" w:rsidR="00AF76AF" w:rsidRPr="00DA39F4" w:rsidRDefault="00AF76AF" w:rsidP="00DA39F4">
            <w:pPr>
              <w:widowControl/>
              <w:spacing w:line="240" w:lineRule="auto"/>
              <w:rPr>
                <w:rFonts w:eastAsia="Times New Roman"/>
              </w:rPr>
            </w:pPr>
          </w:p>
        </w:tc>
      </w:tr>
      <w:tr w:rsidR="00DA39F4" w:rsidRPr="00DA39F4" w14:paraId="188383E5" w14:textId="77777777" w:rsidTr="00DA39F4">
        <w:trPr>
          <w:trHeight w:val="285"/>
        </w:trPr>
        <w:tc>
          <w:tcPr>
            <w:tcW w:w="8733" w:type="dxa"/>
            <w:tcBorders>
              <w:top w:val="nil"/>
              <w:left w:val="nil"/>
              <w:bottom w:val="nil"/>
              <w:right w:val="nil"/>
            </w:tcBorders>
            <w:shd w:val="clear" w:color="auto" w:fill="auto"/>
            <w:vAlign w:val="center"/>
            <w:hideMark/>
          </w:tcPr>
          <w:p w14:paraId="373FD456" w14:textId="77777777" w:rsidR="00DA39F4" w:rsidRDefault="00AF76AF" w:rsidP="00DA39F4">
            <w:pPr>
              <w:widowControl/>
              <w:spacing w:line="240" w:lineRule="auto"/>
              <w:jc w:val="both"/>
              <w:rPr>
                <w:rFonts w:eastAsia="Times New Roman"/>
              </w:rPr>
            </w:pPr>
            <w:r>
              <w:rPr>
                <w:rFonts w:eastAsia="Times New Roman"/>
                <w:i/>
                <w:iCs/>
              </w:rPr>
              <w:t xml:space="preserve">Special Term 8 - </w:t>
            </w:r>
            <w:r w:rsidR="00DA39F4" w:rsidRPr="00DA39F4">
              <w:rPr>
                <w:rFonts w:eastAsia="Times New Roman"/>
              </w:rPr>
              <w:t>The Short Form Security Requirements apply.</w:t>
            </w:r>
          </w:p>
          <w:p w14:paraId="771C6CB6" w14:textId="5CB56DBD" w:rsidR="00AF76AF" w:rsidRPr="00DA39F4" w:rsidRDefault="00AF76AF" w:rsidP="00DA39F4">
            <w:pPr>
              <w:widowControl/>
              <w:spacing w:line="240" w:lineRule="auto"/>
              <w:jc w:val="both"/>
              <w:rPr>
                <w:rFonts w:eastAsia="Times New Roman"/>
              </w:rPr>
            </w:pPr>
          </w:p>
        </w:tc>
      </w:tr>
      <w:tr w:rsidR="00DA39F4" w:rsidRPr="00DA39F4" w14:paraId="15676B76" w14:textId="77777777" w:rsidTr="00DA39F4">
        <w:trPr>
          <w:trHeight w:val="285"/>
        </w:trPr>
        <w:tc>
          <w:tcPr>
            <w:tcW w:w="8733" w:type="dxa"/>
            <w:tcBorders>
              <w:top w:val="nil"/>
              <w:left w:val="nil"/>
              <w:bottom w:val="nil"/>
              <w:right w:val="nil"/>
            </w:tcBorders>
            <w:shd w:val="clear" w:color="auto" w:fill="auto"/>
            <w:noWrap/>
            <w:vAlign w:val="center"/>
            <w:hideMark/>
          </w:tcPr>
          <w:p w14:paraId="0B9EC443" w14:textId="77777777" w:rsidR="00DA39F4" w:rsidRDefault="00AF76AF" w:rsidP="00DA39F4">
            <w:pPr>
              <w:widowControl/>
              <w:spacing w:line="240" w:lineRule="auto"/>
              <w:jc w:val="both"/>
              <w:rPr>
                <w:rFonts w:eastAsia="Times New Roman"/>
              </w:rPr>
            </w:pPr>
            <w:r>
              <w:rPr>
                <w:rFonts w:eastAsia="Times New Roman"/>
                <w:i/>
                <w:iCs/>
              </w:rPr>
              <w:t xml:space="preserve">Special Term 9 - </w:t>
            </w:r>
            <w:r w:rsidR="00DA39F4" w:rsidRPr="00DA39F4">
              <w:rPr>
                <w:rFonts w:eastAsia="Times New Roman"/>
              </w:rPr>
              <w:t xml:space="preserve">Any information relating to: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 </w:t>
            </w:r>
          </w:p>
          <w:p w14:paraId="0D4118F7" w14:textId="148D4BB9" w:rsidR="00AF76AF" w:rsidRPr="00DA39F4" w:rsidRDefault="00AF76AF" w:rsidP="00DA39F4">
            <w:pPr>
              <w:widowControl/>
              <w:spacing w:line="240" w:lineRule="auto"/>
              <w:jc w:val="both"/>
              <w:rPr>
                <w:rFonts w:eastAsia="Times New Roman"/>
              </w:rPr>
            </w:pPr>
          </w:p>
        </w:tc>
      </w:tr>
      <w:tr w:rsidR="00DA39F4" w:rsidRPr="00DA39F4" w14:paraId="0FDB2580" w14:textId="77777777" w:rsidTr="00DA39F4">
        <w:trPr>
          <w:trHeight w:val="285"/>
        </w:trPr>
        <w:tc>
          <w:tcPr>
            <w:tcW w:w="8733" w:type="dxa"/>
            <w:tcBorders>
              <w:top w:val="nil"/>
              <w:left w:val="nil"/>
              <w:bottom w:val="nil"/>
              <w:right w:val="nil"/>
            </w:tcBorders>
            <w:shd w:val="clear" w:color="auto" w:fill="auto"/>
            <w:vAlign w:val="center"/>
            <w:hideMark/>
          </w:tcPr>
          <w:p w14:paraId="3DCB3C6E" w14:textId="77777777" w:rsidR="00DA39F4" w:rsidRDefault="00AF76AF" w:rsidP="00DA39F4">
            <w:pPr>
              <w:widowControl/>
              <w:spacing w:line="240" w:lineRule="auto"/>
              <w:jc w:val="both"/>
              <w:rPr>
                <w:rFonts w:eastAsia="Times New Roman"/>
              </w:rPr>
            </w:pPr>
            <w:r>
              <w:rPr>
                <w:rFonts w:eastAsia="Times New Roman"/>
                <w:i/>
                <w:iCs/>
              </w:rPr>
              <w:t xml:space="preserve">Special Term 10 - </w:t>
            </w:r>
            <w:r w:rsidR="00DA39F4" w:rsidRPr="00DA39F4">
              <w:rPr>
                <w:rFonts w:eastAsia="Times New Roman"/>
              </w:rPr>
              <w:t>Specially Written Software and New IPR shall not be created in a format which is suitable for publication by the Buyer as Open Source Software and will not be based on Open Standards. The Buyer may not publish the same as Open Source Software.</w:t>
            </w:r>
          </w:p>
          <w:p w14:paraId="78EF4FF3" w14:textId="12540EDF" w:rsidR="00AF76AF" w:rsidRPr="00DA39F4" w:rsidRDefault="00AF76AF" w:rsidP="00DA39F4">
            <w:pPr>
              <w:widowControl/>
              <w:spacing w:line="240" w:lineRule="auto"/>
              <w:jc w:val="both"/>
              <w:rPr>
                <w:rFonts w:eastAsia="Times New Roman"/>
              </w:rPr>
            </w:pPr>
          </w:p>
        </w:tc>
      </w:tr>
      <w:tr w:rsidR="00DA39F4" w:rsidRPr="00DA39F4" w14:paraId="2250407B" w14:textId="77777777" w:rsidTr="00DA39F4">
        <w:trPr>
          <w:trHeight w:val="285"/>
        </w:trPr>
        <w:tc>
          <w:tcPr>
            <w:tcW w:w="8733" w:type="dxa"/>
            <w:tcBorders>
              <w:top w:val="nil"/>
              <w:left w:val="nil"/>
              <w:bottom w:val="nil"/>
              <w:right w:val="nil"/>
            </w:tcBorders>
            <w:shd w:val="clear" w:color="auto" w:fill="auto"/>
            <w:vAlign w:val="center"/>
            <w:hideMark/>
          </w:tcPr>
          <w:p w14:paraId="0ADB837E" w14:textId="31550CD0" w:rsidR="00DA39F4" w:rsidRPr="00DA39F4" w:rsidRDefault="00AF76AF" w:rsidP="00DA39F4">
            <w:pPr>
              <w:widowControl/>
              <w:spacing w:line="240" w:lineRule="auto"/>
              <w:jc w:val="both"/>
              <w:rPr>
                <w:rFonts w:eastAsia="Times New Roman"/>
              </w:rPr>
            </w:pPr>
            <w:r>
              <w:rPr>
                <w:rFonts w:eastAsia="Times New Roman"/>
                <w:i/>
                <w:iCs/>
              </w:rPr>
              <w:t xml:space="preserve">Special Term 11 - </w:t>
            </w:r>
            <w:r w:rsidR="00DA39F4" w:rsidRPr="00DA39F4">
              <w:rPr>
                <w:rFonts w:eastAsia="Times New Roman"/>
              </w:rPr>
              <w:t>Buyer authorises Supplier to use any Subcontractor named in the Call-Off Contract (including Supplier's affiliates and group members) to process Personal Data.</w:t>
            </w:r>
          </w:p>
        </w:tc>
      </w:tr>
      <w:tr w:rsidR="00DA39F4" w:rsidRPr="00DA39F4" w14:paraId="178CAFAD" w14:textId="77777777" w:rsidTr="00DA39F4">
        <w:trPr>
          <w:trHeight w:val="285"/>
        </w:trPr>
        <w:tc>
          <w:tcPr>
            <w:tcW w:w="8733" w:type="dxa"/>
            <w:tcBorders>
              <w:top w:val="nil"/>
              <w:left w:val="nil"/>
              <w:bottom w:val="nil"/>
              <w:right w:val="nil"/>
            </w:tcBorders>
            <w:shd w:val="clear" w:color="auto" w:fill="auto"/>
            <w:noWrap/>
            <w:vAlign w:val="bottom"/>
            <w:hideMark/>
          </w:tcPr>
          <w:p w14:paraId="156A58D9" w14:textId="77777777" w:rsidR="00DA39F4" w:rsidRDefault="00AF76AF" w:rsidP="00DA39F4">
            <w:pPr>
              <w:widowControl/>
              <w:spacing w:line="240" w:lineRule="auto"/>
              <w:rPr>
                <w:rFonts w:eastAsia="Times New Roman"/>
              </w:rPr>
            </w:pPr>
            <w:r>
              <w:rPr>
                <w:rFonts w:eastAsia="Times New Roman"/>
                <w:i/>
                <w:iCs/>
              </w:rPr>
              <w:t xml:space="preserve">Special Term 12 - </w:t>
            </w:r>
            <w:r w:rsidR="00DA39F4" w:rsidRPr="00DA39F4">
              <w:rPr>
                <w:rFonts w:eastAsia="Times New Roman"/>
              </w:rPr>
              <w:t>Supplier shall only be accountable for failures to meet Service Levels and/or milestones where due to its act or omission.</w:t>
            </w:r>
          </w:p>
          <w:p w14:paraId="0976399B" w14:textId="7E6575EF" w:rsidR="00AF76AF" w:rsidRPr="00DA39F4" w:rsidRDefault="00AF76AF" w:rsidP="00DA39F4">
            <w:pPr>
              <w:widowControl/>
              <w:spacing w:line="240" w:lineRule="auto"/>
              <w:rPr>
                <w:rFonts w:eastAsia="Times New Roman"/>
              </w:rPr>
            </w:pPr>
          </w:p>
        </w:tc>
      </w:tr>
      <w:tr w:rsidR="00DA39F4" w:rsidRPr="00DA39F4" w14:paraId="7A0A5466" w14:textId="77777777" w:rsidTr="00DA39F4">
        <w:trPr>
          <w:trHeight w:val="283"/>
        </w:trPr>
        <w:tc>
          <w:tcPr>
            <w:tcW w:w="8733" w:type="dxa"/>
            <w:tcBorders>
              <w:top w:val="nil"/>
              <w:left w:val="nil"/>
              <w:bottom w:val="nil"/>
              <w:right w:val="nil"/>
            </w:tcBorders>
            <w:shd w:val="clear" w:color="auto" w:fill="auto"/>
            <w:vAlign w:val="center"/>
            <w:hideMark/>
          </w:tcPr>
          <w:p w14:paraId="3235094B" w14:textId="77777777" w:rsidR="00AF76AF" w:rsidRDefault="00AF76AF" w:rsidP="00DA39F4">
            <w:pPr>
              <w:widowControl/>
              <w:spacing w:line="240" w:lineRule="auto"/>
              <w:jc w:val="both"/>
              <w:rPr>
                <w:rFonts w:eastAsia="Times New Roman"/>
              </w:rPr>
            </w:pPr>
            <w:r>
              <w:rPr>
                <w:rFonts w:eastAsia="Times New Roman"/>
                <w:i/>
                <w:iCs/>
              </w:rPr>
              <w:t xml:space="preserve">Special Term 13 - </w:t>
            </w:r>
            <w:r w:rsidR="00DA39F4" w:rsidRPr="00DA39F4">
              <w:rPr>
                <w:rFonts w:eastAsia="Times New Roman"/>
              </w:rPr>
              <w:t xml:space="preserve">Buyer will supply Supplier with any internal policies, codes, standards or procedures that Buyer requires Supplier complies with prior to the start of the Services. </w:t>
            </w:r>
          </w:p>
          <w:p w14:paraId="4E2504F4" w14:textId="77777777" w:rsidR="00AF76AF" w:rsidRDefault="00AF76AF" w:rsidP="00DA39F4">
            <w:pPr>
              <w:widowControl/>
              <w:spacing w:line="240" w:lineRule="auto"/>
              <w:jc w:val="both"/>
              <w:rPr>
                <w:rFonts w:eastAsia="Times New Roman"/>
              </w:rPr>
            </w:pPr>
          </w:p>
          <w:p w14:paraId="195D76CA" w14:textId="77777777" w:rsidR="00DA39F4" w:rsidRDefault="00AF76AF" w:rsidP="00DA39F4">
            <w:pPr>
              <w:widowControl/>
              <w:spacing w:line="240" w:lineRule="auto"/>
              <w:jc w:val="both"/>
              <w:rPr>
                <w:rFonts w:eastAsia="Times New Roman"/>
              </w:rPr>
            </w:pPr>
            <w:r>
              <w:rPr>
                <w:rFonts w:eastAsia="Times New Roman"/>
                <w:i/>
                <w:iCs/>
              </w:rPr>
              <w:t xml:space="preserve">Special Term 14 - </w:t>
            </w:r>
            <w:r w:rsidR="00DA39F4" w:rsidRPr="00DA39F4">
              <w:rPr>
                <w:rFonts w:eastAsia="Times New Roman"/>
              </w:rPr>
              <w:t>Supplier must only comply with such policies, codes, standards or procedures if they do not increase the costs of the Supplier; increase the scope of the Services; or conflict with any policy or regulatory obligation of the Supplier.</w:t>
            </w:r>
          </w:p>
          <w:p w14:paraId="1FB4E6E3" w14:textId="1AA3CF89" w:rsidR="00AF76AF" w:rsidRPr="00DA39F4" w:rsidRDefault="00AF76AF" w:rsidP="00DA39F4">
            <w:pPr>
              <w:widowControl/>
              <w:spacing w:line="240" w:lineRule="auto"/>
              <w:jc w:val="both"/>
              <w:rPr>
                <w:rFonts w:eastAsia="Times New Roman"/>
              </w:rPr>
            </w:pPr>
          </w:p>
        </w:tc>
      </w:tr>
      <w:tr w:rsidR="00DA39F4" w:rsidRPr="00DA39F4" w14:paraId="2D333863" w14:textId="77777777" w:rsidTr="00DA39F4">
        <w:trPr>
          <w:trHeight w:val="283"/>
        </w:trPr>
        <w:tc>
          <w:tcPr>
            <w:tcW w:w="8733" w:type="dxa"/>
            <w:tcBorders>
              <w:top w:val="nil"/>
              <w:left w:val="nil"/>
              <w:bottom w:val="nil"/>
              <w:right w:val="nil"/>
            </w:tcBorders>
            <w:shd w:val="clear" w:color="auto" w:fill="auto"/>
            <w:vAlign w:val="center"/>
            <w:hideMark/>
          </w:tcPr>
          <w:p w14:paraId="671AAACE" w14:textId="77777777" w:rsidR="00DA39F4" w:rsidRDefault="00AF76AF" w:rsidP="00DA39F4">
            <w:pPr>
              <w:widowControl/>
              <w:spacing w:line="240" w:lineRule="auto"/>
              <w:jc w:val="both"/>
              <w:rPr>
                <w:rFonts w:eastAsia="Times New Roman"/>
              </w:rPr>
            </w:pPr>
            <w:r>
              <w:rPr>
                <w:rFonts w:eastAsia="Times New Roman"/>
                <w:i/>
                <w:iCs/>
              </w:rPr>
              <w:t xml:space="preserve">Special Term 15 - </w:t>
            </w:r>
            <w:r w:rsidR="00DA39F4" w:rsidRPr="00DA39F4">
              <w:rPr>
                <w:rFonts w:eastAsia="Times New Roman"/>
              </w:rPr>
              <w:t>Supplier shall not update, upgrade, maintain or provide new versions of any Deliverable after the date on which the final Deliverable is delivered or signed.</w:t>
            </w:r>
          </w:p>
          <w:p w14:paraId="446D3912" w14:textId="597E8E01" w:rsidR="00AF76AF" w:rsidRPr="00DA39F4" w:rsidRDefault="00AF76AF" w:rsidP="00DA39F4">
            <w:pPr>
              <w:widowControl/>
              <w:spacing w:line="240" w:lineRule="auto"/>
              <w:jc w:val="both"/>
              <w:rPr>
                <w:rFonts w:eastAsia="Times New Roman"/>
              </w:rPr>
            </w:pPr>
          </w:p>
        </w:tc>
      </w:tr>
      <w:tr w:rsidR="00DA39F4" w:rsidRPr="00DA39F4" w14:paraId="266EB22A" w14:textId="77777777" w:rsidTr="00DA39F4">
        <w:trPr>
          <w:trHeight w:val="283"/>
        </w:trPr>
        <w:tc>
          <w:tcPr>
            <w:tcW w:w="8733" w:type="dxa"/>
            <w:tcBorders>
              <w:top w:val="nil"/>
              <w:left w:val="nil"/>
              <w:bottom w:val="nil"/>
              <w:right w:val="nil"/>
            </w:tcBorders>
            <w:shd w:val="clear" w:color="auto" w:fill="auto"/>
            <w:vAlign w:val="center"/>
            <w:hideMark/>
          </w:tcPr>
          <w:p w14:paraId="169B9DBB" w14:textId="77777777" w:rsidR="00DA39F4" w:rsidRDefault="00AF76AF" w:rsidP="00DA39F4">
            <w:pPr>
              <w:widowControl/>
              <w:spacing w:line="240" w:lineRule="auto"/>
              <w:jc w:val="both"/>
              <w:rPr>
                <w:rFonts w:eastAsia="Times New Roman"/>
              </w:rPr>
            </w:pPr>
            <w:r>
              <w:rPr>
                <w:rFonts w:eastAsia="Times New Roman"/>
                <w:i/>
                <w:iCs/>
              </w:rPr>
              <w:t xml:space="preserve">Special Term 16 - </w:t>
            </w:r>
            <w:r w:rsidR="00DA39F4" w:rsidRPr="00DA39F4">
              <w:rPr>
                <w:rFonts w:eastAsia="Times New Roman"/>
              </w:rPr>
              <w:t xml:space="preserve">Where Supplier is required to use the software, products or services of Buyer's third-party vendor, the Buyer shall ensure that it has the rights to allow the </w:t>
            </w:r>
            <w:r w:rsidR="00DA39F4" w:rsidRPr="00DA39F4">
              <w:rPr>
                <w:rFonts w:eastAsia="Times New Roman"/>
              </w:rPr>
              <w:lastRenderedPageBreak/>
              <w:t>Supplier to use such software, products or services and that they shall meet the Buyer’s requirements.</w:t>
            </w:r>
          </w:p>
          <w:p w14:paraId="25B4DC28" w14:textId="760AC7B0" w:rsidR="00AF76AF" w:rsidRPr="00DA39F4" w:rsidRDefault="00AF76AF" w:rsidP="00DA39F4">
            <w:pPr>
              <w:widowControl/>
              <w:spacing w:line="240" w:lineRule="auto"/>
              <w:jc w:val="both"/>
              <w:rPr>
                <w:rFonts w:eastAsia="Times New Roman"/>
              </w:rPr>
            </w:pPr>
          </w:p>
        </w:tc>
      </w:tr>
      <w:tr w:rsidR="00DA39F4" w:rsidRPr="00DA39F4" w14:paraId="4C9E2855" w14:textId="77777777" w:rsidTr="00DA39F4">
        <w:trPr>
          <w:trHeight w:val="285"/>
        </w:trPr>
        <w:tc>
          <w:tcPr>
            <w:tcW w:w="8733" w:type="dxa"/>
            <w:tcBorders>
              <w:top w:val="nil"/>
              <w:left w:val="nil"/>
              <w:bottom w:val="nil"/>
              <w:right w:val="nil"/>
            </w:tcBorders>
            <w:shd w:val="clear" w:color="auto" w:fill="auto"/>
            <w:vAlign w:val="center"/>
            <w:hideMark/>
          </w:tcPr>
          <w:p w14:paraId="7AD15B07" w14:textId="50ABE0DC" w:rsidR="00DA39F4" w:rsidRPr="00DA39F4" w:rsidRDefault="00AF76AF" w:rsidP="00DA39F4">
            <w:pPr>
              <w:widowControl/>
              <w:spacing w:line="240" w:lineRule="auto"/>
              <w:jc w:val="both"/>
              <w:rPr>
                <w:rFonts w:eastAsia="Times New Roman"/>
              </w:rPr>
            </w:pPr>
            <w:r>
              <w:rPr>
                <w:rFonts w:eastAsia="Times New Roman"/>
                <w:i/>
                <w:iCs/>
              </w:rPr>
              <w:lastRenderedPageBreak/>
              <w:t xml:space="preserve">Special Term 17 - </w:t>
            </w:r>
            <w:r w:rsidR="00DA39F4" w:rsidRPr="00DA39F4">
              <w:rPr>
                <w:rFonts w:eastAsia="Times New Roman"/>
              </w:rPr>
              <w:t>All processing of Buyer data shall be conducted on Buyer assets which Buyer shall be configured to prevent/minimise data loss and/or corruption.</w:t>
            </w:r>
          </w:p>
        </w:tc>
      </w:tr>
      <w:tr w:rsidR="00DA39F4" w:rsidRPr="00DA39F4" w14:paraId="45B90A49" w14:textId="77777777" w:rsidTr="00DA39F4">
        <w:trPr>
          <w:trHeight w:val="285"/>
        </w:trPr>
        <w:tc>
          <w:tcPr>
            <w:tcW w:w="8733" w:type="dxa"/>
            <w:tcBorders>
              <w:top w:val="nil"/>
              <w:left w:val="nil"/>
              <w:bottom w:val="nil"/>
              <w:right w:val="nil"/>
            </w:tcBorders>
            <w:shd w:val="clear" w:color="auto" w:fill="auto"/>
            <w:vAlign w:val="center"/>
            <w:hideMark/>
          </w:tcPr>
          <w:p w14:paraId="25D3F8BC" w14:textId="77777777" w:rsidR="00DA39F4" w:rsidRDefault="00DA39F4" w:rsidP="00DA39F4">
            <w:pPr>
              <w:widowControl/>
              <w:spacing w:line="240" w:lineRule="auto"/>
              <w:jc w:val="both"/>
              <w:rPr>
                <w:rFonts w:eastAsia="Times New Roman"/>
              </w:rPr>
            </w:pPr>
            <w:r w:rsidRPr="00DA39F4">
              <w:rPr>
                <w:rFonts w:eastAsia="Times New Roman"/>
              </w:rPr>
              <w:t>Supplier will store and back up government data according to its own data storage policies.</w:t>
            </w:r>
          </w:p>
          <w:p w14:paraId="052DB658" w14:textId="6CDE4397" w:rsidR="00AF76AF" w:rsidRPr="00DA39F4" w:rsidRDefault="00AF76AF" w:rsidP="00DA39F4">
            <w:pPr>
              <w:widowControl/>
              <w:spacing w:line="240" w:lineRule="auto"/>
              <w:jc w:val="both"/>
              <w:rPr>
                <w:rFonts w:eastAsia="Times New Roman"/>
              </w:rPr>
            </w:pPr>
          </w:p>
        </w:tc>
      </w:tr>
      <w:tr w:rsidR="00DA39F4" w:rsidRPr="00DA39F4" w14:paraId="4A0E4AC1" w14:textId="77777777" w:rsidTr="00DA39F4">
        <w:trPr>
          <w:trHeight w:val="283"/>
        </w:trPr>
        <w:tc>
          <w:tcPr>
            <w:tcW w:w="8733" w:type="dxa"/>
            <w:tcBorders>
              <w:top w:val="nil"/>
              <w:left w:val="nil"/>
              <w:bottom w:val="nil"/>
              <w:right w:val="nil"/>
            </w:tcBorders>
            <w:shd w:val="clear" w:color="auto" w:fill="auto"/>
            <w:noWrap/>
            <w:vAlign w:val="center"/>
            <w:hideMark/>
          </w:tcPr>
          <w:p w14:paraId="4CAAA87B" w14:textId="018DF90E" w:rsidR="00DA39F4" w:rsidRPr="00DA39F4" w:rsidRDefault="00AF76AF" w:rsidP="00DA39F4">
            <w:pPr>
              <w:widowControl/>
              <w:spacing w:line="240" w:lineRule="auto"/>
              <w:jc w:val="both"/>
              <w:rPr>
                <w:rFonts w:eastAsia="Times New Roman"/>
              </w:rPr>
            </w:pPr>
            <w:r>
              <w:rPr>
                <w:rFonts w:eastAsia="Times New Roman"/>
                <w:i/>
                <w:iCs/>
              </w:rPr>
              <w:t xml:space="preserve">Special Term 18 - </w:t>
            </w:r>
            <w:r w:rsidR="00DA39F4" w:rsidRPr="00DA39F4">
              <w:rPr>
                <w:rFonts w:eastAsia="Times New Roman"/>
              </w:rPr>
              <w:t>The Deliverables, which will be RAF branded without any reference to Deloitte, and any other advice and recommendations provided by the Supplier, are for RAF’s exclusive use and are provided for the purpose set out in this Agreement. RAF may disclose Deliverables provided that (</w:t>
            </w:r>
            <w:proofErr w:type="spellStart"/>
            <w:r w:rsidR="00DA39F4" w:rsidRPr="00DA39F4">
              <w:rPr>
                <w:rFonts w:eastAsia="Times New Roman"/>
              </w:rPr>
              <w:t>i</w:t>
            </w:r>
            <w:proofErr w:type="spellEnd"/>
            <w:r w:rsidR="00DA39F4" w:rsidRPr="00DA39F4">
              <w:rPr>
                <w:rFonts w:eastAsia="Times New Roman"/>
              </w:rPr>
              <w:t>) RAF shall in no way associate the Supplier or its personnel with such Deliverable without the Supplier’s express written consent; (ii) RAF agrees that no person other than RAF may rely on the Deliverables and/or information derived from them; and (ii) RAF agrees that no responsibility is accepted or assumed by the Supplier to anyone other than RAF.  Each Deliverable will be deemed accepted by RAF (and the Services, or the relevant part of them, completed) when it is in its final form or when RAF first makes use of the Deliverable, whichever first occurs.</w:t>
            </w:r>
          </w:p>
        </w:tc>
      </w:tr>
      <w:tr w:rsidR="00DA39F4" w:rsidRPr="00DA39F4" w14:paraId="1FDB5E9B" w14:textId="77777777" w:rsidTr="00DA39F4">
        <w:trPr>
          <w:trHeight w:val="285"/>
        </w:trPr>
        <w:tc>
          <w:tcPr>
            <w:tcW w:w="8733" w:type="dxa"/>
            <w:tcBorders>
              <w:top w:val="nil"/>
              <w:left w:val="nil"/>
              <w:bottom w:val="nil"/>
              <w:right w:val="nil"/>
            </w:tcBorders>
            <w:shd w:val="clear" w:color="auto" w:fill="auto"/>
            <w:vAlign w:val="center"/>
            <w:hideMark/>
          </w:tcPr>
          <w:p w14:paraId="6FF01BD0" w14:textId="77777777" w:rsidR="00AF76AF" w:rsidRDefault="00AF76AF" w:rsidP="00DA39F4">
            <w:pPr>
              <w:widowControl/>
              <w:spacing w:line="240" w:lineRule="auto"/>
              <w:jc w:val="both"/>
              <w:rPr>
                <w:rFonts w:eastAsia="Times New Roman"/>
              </w:rPr>
            </w:pPr>
          </w:p>
          <w:p w14:paraId="1350DA82" w14:textId="7AEFA983" w:rsidR="00DA39F4" w:rsidRPr="00DA39F4" w:rsidRDefault="00AF76AF" w:rsidP="00DA39F4">
            <w:pPr>
              <w:widowControl/>
              <w:spacing w:line="240" w:lineRule="auto"/>
              <w:jc w:val="both"/>
              <w:rPr>
                <w:rFonts w:eastAsia="Times New Roman"/>
              </w:rPr>
            </w:pPr>
            <w:r>
              <w:rPr>
                <w:rFonts w:eastAsia="Times New Roman"/>
                <w:i/>
                <w:iCs/>
              </w:rPr>
              <w:t xml:space="preserve">Special Term 19 - </w:t>
            </w:r>
            <w:r w:rsidR="00DA39F4" w:rsidRPr="00DA39F4">
              <w:rPr>
                <w:rFonts w:eastAsia="Times New Roman"/>
              </w:rPr>
              <w:t>We assume RAF will provide regular access to your team to work with us to steer the project, review progress, sign-off deliverables and provide relevant data (both MI input and output data, which will need to be received in a timely manner, given that workstream outputs will depend on the data that is available and provided) and provide challenge and ideas (we propose to do this by means of weekly meetings); including a regular point of contact to help resolve issues promptly outside of meeting cycles.</w:t>
            </w:r>
          </w:p>
        </w:tc>
      </w:tr>
      <w:tr w:rsidR="00DA39F4" w:rsidRPr="00DA39F4" w14:paraId="2105F971" w14:textId="77777777" w:rsidTr="00DA39F4">
        <w:trPr>
          <w:trHeight w:val="285"/>
        </w:trPr>
        <w:tc>
          <w:tcPr>
            <w:tcW w:w="8733" w:type="dxa"/>
            <w:tcBorders>
              <w:top w:val="nil"/>
              <w:left w:val="nil"/>
              <w:bottom w:val="nil"/>
              <w:right w:val="nil"/>
            </w:tcBorders>
            <w:shd w:val="clear" w:color="auto" w:fill="auto"/>
            <w:vAlign w:val="center"/>
            <w:hideMark/>
          </w:tcPr>
          <w:p w14:paraId="58B48452" w14:textId="77777777" w:rsidR="00AF76AF" w:rsidRDefault="00AF76AF" w:rsidP="00DA39F4">
            <w:pPr>
              <w:widowControl/>
              <w:spacing w:line="240" w:lineRule="auto"/>
              <w:rPr>
                <w:rFonts w:eastAsia="Times New Roman"/>
              </w:rPr>
            </w:pPr>
          </w:p>
          <w:p w14:paraId="2B94C752" w14:textId="77777777" w:rsidR="00DA39F4" w:rsidRDefault="00AF76AF" w:rsidP="00DA39F4">
            <w:pPr>
              <w:widowControl/>
              <w:spacing w:line="240" w:lineRule="auto"/>
              <w:rPr>
                <w:rFonts w:eastAsia="Times New Roman"/>
              </w:rPr>
            </w:pPr>
            <w:r>
              <w:rPr>
                <w:rFonts w:eastAsia="Times New Roman"/>
                <w:i/>
                <w:iCs/>
              </w:rPr>
              <w:t xml:space="preserve">Special Term 20 - </w:t>
            </w:r>
            <w:r w:rsidR="00DA39F4" w:rsidRPr="00DA39F4">
              <w:rPr>
                <w:rFonts w:eastAsia="Times New Roman"/>
              </w:rPr>
              <w:t>Any project timeline is indicative and intended solely for planning purposes and will depend on all parties fulfilling their responsibilities as set out, including timely provision of accurate information.</w:t>
            </w:r>
          </w:p>
          <w:p w14:paraId="6A10C943" w14:textId="3602FC46" w:rsidR="00AF76AF" w:rsidRPr="00DA39F4" w:rsidRDefault="00AF76AF" w:rsidP="00DA39F4">
            <w:pPr>
              <w:widowControl/>
              <w:spacing w:line="240" w:lineRule="auto"/>
              <w:rPr>
                <w:rFonts w:eastAsia="Times New Roman"/>
              </w:rPr>
            </w:pPr>
          </w:p>
        </w:tc>
      </w:tr>
      <w:tr w:rsidR="00DA39F4" w:rsidRPr="00DA39F4" w14:paraId="3E10B5A6" w14:textId="77777777" w:rsidTr="00DA39F4">
        <w:trPr>
          <w:trHeight w:val="285"/>
        </w:trPr>
        <w:tc>
          <w:tcPr>
            <w:tcW w:w="8733" w:type="dxa"/>
            <w:tcBorders>
              <w:top w:val="nil"/>
              <w:left w:val="nil"/>
              <w:bottom w:val="nil"/>
              <w:right w:val="nil"/>
            </w:tcBorders>
            <w:shd w:val="clear" w:color="auto" w:fill="auto"/>
            <w:noWrap/>
            <w:vAlign w:val="center"/>
            <w:hideMark/>
          </w:tcPr>
          <w:p w14:paraId="0DFF8BC9" w14:textId="77777777" w:rsidR="00DA39F4" w:rsidRDefault="00AF76AF" w:rsidP="00DA39F4">
            <w:pPr>
              <w:widowControl/>
              <w:spacing w:line="240" w:lineRule="auto"/>
              <w:rPr>
                <w:rFonts w:eastAsia="Times New Roman"/>
              </w:rPr>
            </w:pPr>
            <w:r>
              <w:rPr>
                <w:rFonts w:eastAsia="Times New Roman"/>
                <w:i/>
                <w:iCs/>
              </w:rPr>
              <w:t xml:space="preserve">Special Term 21 - </w:t>
            </w:r>
            <w:r w:rsidR="00DA39F4" w:rsidRPr="00DA39F4">
              <w:rPr>
                <w:rFonts w:eastAsia="Times New Roman"/>
              </w:rPr>
              <w:t>We assume that no significant issues arise in relation to the sourcing and availability of quality input data for the workstreams.</w:t>
            </w:r>
          </w:p>
          <w:p w14:paraId="79A15A43" w14:textId="7718D064" w:rsidR="00AF76AF" w:rsidRPr="00DA39F4" w:rsidRDefault="00AF76AF" w:rsidP="00DA39F4">
            <w:pPr>
              <w:widowControl/>
              <w:spacing w:line="240" w:lineRule="auto"/>
              <w:rPr>
                <w:rFonts w:eastAsia="Times New Roman"/>
              </w:rPr>
            </w:pPr>
          </w:p>
        </w:tc>
      </w:tr>
      <w:tr w:rsidR="00DA39F4" w:rsidRPr="00DA39F4" w14:paraId="4938198D" w14:textId="77777777" w:rsidTr="00DA39F4">
        <w:trPr>
          <w:trHeight w:val="285"/>
        </w:trPr>
        <w:tc>
          <w:tcPr>
            <w:tcW w:w="8733" w:type="dxa"/>
            <w:tcBorders>
              <w:top w:val="nil"/>
              <w:left w:val="nil"/>
              <w:bottom w:val="nil"/>
              <w:right w:val="nil"/>
            </w:tcBorders>
            <w:shd w:val="clear" w:color="auto" w:fill="auto"/>
            <w:noWrap/>
            <w:vAlign w:val="bottom"/>
            <w:hideMark/>
          </w:tcPr>
          <w:p w14:paraId="28F59C47" w14:textId="77777777" w:rsidR="00DA39F4" w:rsidRDefault="00AF76AF" w:rsidP="00DA39F4">
            <w:pPr>
              <w:widowControl/>
              <w:spacing w:line="240" w:lineRule="auto"/>
              <w:rPr>
                <w:rFonts w:eastAsia="Times New Roman"/>
                <w:color w:val="000000"/>
              </w:rPr>
            </w:pPr>
            <w:r>
              <w:rPr>
                <w:rFonts w:eastAsia="Times New Roman"/>
                <w:i/>
                <w:iCs/>
              </w:rPr>
              <w:t xml:space="preserve">Special Term 22 - </w:t>
            </w:r>
            <w:r w:rsidR="00DA39F4" w:rsidRPr="00DA39F4">
              <w:rPr>
                <w:rFonts w:eastAsia="Times New Roman"/>
                <w:color w:val="000000"/>
              </w:rPr>
              <w:t>Call-Off Schedule 3 (Continuous Improvement) will not apply for this Call-Off.</w:t>
            </w:r>
          </w:p>
          <w:p w14:paraId="2D9506F1" w14:textId="050B98E7" w:rsidR="00AF76AF" w:rsidRPr="00DA39F4" w:rsidRDefault="00AF76AF" w:rsidP="00DA39F4">
            <w:pPr>
              <w:widowControl/>
              <w:spacing w:line="240" w:lineRule="auto"/>
              <w:rPr>
                <w:rFonts w:eastAsia="Times New Roman"/>
                <w:color w:val="000000"/>
              </w:rPr>
            </w:pPr>
          </w:p>
        </w:tc>
      </w:tr>
      <w:tr w:rsidR="00DA39F4" w:rsidRPr="00DA39F4" w14:paraId="19CE9685" w14:textId="77777777" w:rsidTr="00DA39F4">
        <w:trPr>
          <w:trHeight w:val="285"/>
        </w:trPr>
        <w:tc>
          <w:tcPr>
            <w:tcW w:w="8733" w:type="dxa"/>
            <w:tcBorders>
              <w:top w:val="nil"/>
              <w:left w:val="nil"/>
              <w:bottom w:val="nil"/>
              <w:right w:val="nil"/>
            </w:tcBorders>
            <w:shd w:val="clear" w:color="auto" w:fill="auto"/>
            <w:noWrap/>
            <w:vAlign w:val="bottom"/>
            <w:hideMark/>
          </w:tcPr>
          <w:p w14:paraId="10AB61AB" w14:textId="2FADC5BF" w:rsidR="00DA39F4" w:rsidRPr="00DA39F4" w:rsidRDefault="00AF76AF" w:rsidP="00DA39F4">
            <w:pPr>
              <w:widowControl/>
              <w:spacing w:line="240" w:lineRule="auto"/>
              <w:rPr>
                <w:rFonts w:eastAsia="Times New Roman"/>
                <w:color w:val="000000"/>
              </w:rPr>
            </w:pPr>
            <w:r>
              <w:rPr>
                <w:rFonts w:eastAsia="Times New Roman"/>
                <w:i/>
                <w:iCs/>
              </w:rPr>
              <w:t xml:space="preserve">Special Term 23 - </w:t>
            </w:r>
            <w:r w:rsidR="00DA39F4" w:rsidRPr="00DA39F4">
              <w:rPr>
                <w:rFonts w:eastAsia="Times New Roman"/>
                <w:color w:val="000000"/>
              </w:rPr>
              <w:t>For Call-Off Schedule 10 (Exit Management) the Supplier shall be permitted to use its standard template for exit services, subject to appropriate Customer review and refinement.</w:t>
            </w:r>
          </w:p>
        </w:tc>
      </w:tr>
      <w:tr w:rsidR="00DA39F4" w:rsidRPr="00DA39F4" w14:paraId="16D5569C" w14:textId="77777777" w:rsidTr="00DA39F4">
        <w:trPr>
          <w:trHeight w:val="285"/>
        </w:trPr>
        <w:tc>
          <w:tcPr>
            <w:tcW w:w="8733" w:type="dxa"/>
            <w:tcBorders>
              <w:top w:val="nil"/>
              <w:left w:val="nil"/>
              <w:bottom w:val="nil"/>
              <w:right w:val="nil"/>
            </w:tcBorders>
            <w:shd w:val="clear" w:color="auto" w:fill="auto"/>
            <w:noWrap/>
            <w:vAlign w:val="bottom"/>
            <w:hideMark/>
          </w:tcPr>
          <w:p w14:paraId="00A6B75F" w14:textId="34A1FA3C" w:rsidR="00DA39F4" w:rsidRPr="00DA39F4" w:rsidRDefault="00AF76AF" w:rsidP="00DA39F4">
            <w:pPr>
              <w:widowControl/>
              <w:spacing w:line="240" w:lineRule="auto"/>
              <w:rPr>
                <w:rFonts w:eastAsia="Times New Roman"/>
                <w:color w:val="000000"/>
              </w:rPr>
            </w:pPr>
            <w:r>
              <w:rPr>
                <w:rFonts w:eastAsia="Times New Roman"/>
                <w:i/>
                <w:iCs/>
              </w:rPr>
              <w:t xml:space="preserve">Special Term 24 - </w:t>
            </w:r>
            <w:r w:rsidR="00DA39F4" w:rsidRPr="00DA39F4">
              <w:rPr>
                <w:rFonts w:eastAsia="Times New Roman"/>
                <w:color w:val="000000"/>
              </w:rPr>
              <w:t>Regarding the payment incentive (</w:t>
            </w:r>
            <w:proofErr w:type="spellStart"/>
            <w:r w:rsidR="00DA39F4" w:rsidRPr="00DA39F4">
              <w:rPr>
                <w:rFonts w:eastAsia="Times New Roman"/>
                <w:color w:val="000000"/>
              </w:rPr>
              <w:t>SoR</w:t>
            </w:r>
            <w:proofErr w:type="spellEnd"/>
            <w:r w:rsidR="00DA39F4" w:rsidRPr="00DA39F4">
              <w:rPr>
                <w:rFonts w:eastAsia="Times New Roman"/>
                <w:color w:val="000000"/>
              </w:rPr>
              <w:t xml:space="preserve"> 15.3.3) and upholding mechanism (</w:t>
            </w:r>
            <w:proofErr w:type="spellStart"/>
            <w:r w:rsidR="00DA39F4" w:rsidRPr="00DA39F4">
              <w:rPr>
                <w:rFonts w:eastAsia="Times New Roman"/>
                <w:color w:val="000000"/>
              </w:rPr>
              <w:t>SoR</w:t>
            </w:r>
            <w:proofErr w:type="spellEnd"/>
            <w:r w:rsidR="00DA39F4" w:rsidRPr="00DA39F4">
              <w:rPr>
                <w:rFonts w:eastAsia="Times New Roman"/>
                <w:color w:val="000000"/>
              </w:rPr>
              <w:t xml:space="preserve"> 15.4) - clarity regarding how this mechanism will be operated is requested during the contracting phase. Governance around sign off towards achieving incentive, or early indicators regarding progress towards </w:t>
            </w:r>
            <w:proofErr w:type="spellStart"/>
            <w:r w:rsidR="00DA39F4" w:rsidRPr="00DA39F4">
              <w:rPr>
                <w:rFonts w:eastAsia="Times New Roman"/>
                <w:color w:val="000000"/>
              </w:rPr>
              <w:t>witholding</w:t>
            </w:r>
            <w:proofErr w:type="spellEnd"/>
            <w:r w:rsidR="00DA39F4" w:rsidRPr="00DA39F4">
              <w:rPr>
                <w:rFonts w:eastAsia="Times New Roman"/>
                <w:color w:val="000000"/>
              </w:rPr>
              <w:t>, is required.</w:t>
            </w:r>
          </w:p>
        </w:tc>
      </w:tr>
    </w:tbl>
    <w:p w14:paraId="00000046" w14:textId="4509ADAF" w:rsidR="00863CA3" w:rsidRPr="00AF76AF" w:rsidRDefault="005D5A14" w:rsidP="00AF76AF">
      <w:pPr>
        <w:tabs>
          <w:tab w:val="left" w:pos="1980"/>
        </w:tabs>
        <w:spacing w:line="240" w:lineRule="auto"/>
      </w:pPr>
      <w:r>
        <w:rPr>
          <w:sz w:val="24"/>
          <w:szCs w:val="24"/>
          <w:highlight w:val="white"/>
        </w:rPr>
        <w:t xml:space="preserve">            </w:t>
      </w:r>
    </w:p>
    <w:p w14:paraId="00000047" w14:textId="77777777" w:rsidR="00863CA3" w:rsidRDefault="00863CA3">
      <w:pPr>
        <w:spacing w:line="240" w:lineRule="auto"/>
        <w:rPr>
          <w:b/>
          <w:sz w:val="24"/>
          <w:szCs w:val="24"/>
          <w:highlight w:val="white"/>
        </w:rPr>
      </w:pPr>
    </w:p>
    <w:p w14:paraId="38B3C0B5" w14:textId="77777777" w:rsidR="008835E5" w:rsidRDefault="008835E5" w:rsidP="008835E5">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Pr>
          <w:b/>
          <w:sz w:val="24"/>
          <w:szCs w:val="24"/>
          <w:highlight w:val="white"/>
        </w:rPr>
        <w:t>25</w:t>
      </w:r>
      <w:r w:rsidRPr="00BF6657">
        <w:rPr>
          <w:b/>
          <w:sz w:val="24"/>
          <w:szCs w:val="24"/>
          <w:highlight w:val="white"/>
          <w:vertAlign w:val="superscript"/>
        </w:rPr>
        <w:t>th</w:t>
      </w:r>
      <w:r>
        <w:rPr>
          <w:b/>
          <w:sz w:val="24"/>
          <w:szCs w:val="24"/>
          <w:highlight w:val="white"/>
        </w:rPr>
        <w:t xml:space="preserve"> September 2023</w:t>
      </w:r>
    </w:p>
    <w:p w14:paraId="62F4B1F3" w14:textId="77777777" w:rsidR="008835E5" w:rsidRDefault="008835E5" w:rsidP="008835E5">
      <w:pPr>
        <w:spacing w:line="240" w:lineRule="auto"/>
        <w:rPr>
          <w:sz w:val="24"/>
          <w:szCs w:val="24"/>
          <w:highlight w:val="white"/>
        </w:rPr>
      </w:pPr>
    </w:p>
    <w:p w14:paraId="605B9B15" w14:textId="77777777" w:rsidR="008835E5" w:rsidRDefault="008835E5" w:rsidP="008835E5">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Pr>
          <w:b/>
          <w:sz w:val="24"/>
          <w:szCs w:val="24"/>
          <w:highlight w:val="white"/>
        </w:rPr>
        <w:t>28</w:t>
      </w:r>
      <w:r w:rsidRPr="00BF6657">
        <w:rPr>
          <w:b/>
          <w:sz w:val="24"/>
          <w:szCs w:val="24"/>
          <w:highlight w:val="white"/>
          <w:vertAlign w:val="superscript"/>
        </w:rPr>
        <w:t>th</w:t>
      </w:r>
      <w:r>
        <w:rPr>
          <w:b/>
          <w:sz w:val="24"/>
          <w:szCs w:val="24"/>
          <w:highlight w:val="white"/>
        </w:rPr>
        <w:t xml:space="preserve"> June 2024</w:t>
      </w:r>
    </w:p>
    <w:p w14:paraId="0000004B" w14:textId="77777777" w:rsidR="00863CA3" w:rsidRDefault="00863CA3">
      <w:pPr>
        <w:spacing w:line="240" w:lineRule="auto"/>
        <w:rPr>
          <w:b/>
          <w:sz w:val="24"/>
          <w:szCs w:val="24"/>
          <w:highlight w:val="white"/>
        </w:rPr>
      </w:pPr>
      <w:bookmarkStart w:id="8" w:name="_GoBack"/>
      <w:bookmarkEnd w:id="8"/>
    </w:p>
    <w:p w14:paraId="0000004C" w14:textId="77777777" w:rsidR="00863CA3" w:rsidRDefault="005D5A14">
      <w:pPr>
        <w:pStyle w:val="Heading3"/>
        <w:numPr>
          <w:ilvl w:val="2"/>
          <w:numId w:val="4"/>
        </w:numPr>
      </w:pPr>
      <w:bookmarkStart w:id="9" w:name="_4d34og8" w:colFirst="0" w:colLast="0"/>
      <w:bookmarkEnd w:id="9"/>
      <w:r>
        <w:rPr>
          <w:highlight w:val="white"/>
        </w:rPr>
        <w:t>Call-off deliverables:</w:t>
      </w:r>
    </w:p>
    <w:p w14:paraId="0000004D" w14:textId="77777777" w:rsidR="00863CA3" w:rsidRDefault="00863CA3">
      <w:pPr>
        <w:tabs>
          <w:tab w:val="left" w:pos="2257"/>
        </w:tabs>
        <w:spacing w:line="240" w:lineRule="auto"/>
        <w:rPr>
          <w:sz w:val="24"/>
          <w:szCs w:val="24"/>
          <w:highlight w:val="white"/>
        </w:rPr>
      </w:pPr>
    </w:p>
    <w:p w14:paraId="0000004E" w14:textId="77777777" w:rsidR="00863CA3" w:rsidRDefault="005D5A14">
      <w:pPr>
        <w:tabs>
          <w:tab w:val="left" w:pos="2257"/>
        </w:tabs>
        <w:spacing w:line="240" w:lineRule="auto"/>
      </w:pPr>
      <w:r>
        <w:rPr>
          <w:sz w:val="24"/>
          <w:szCs w:val="24"/>
          <w:highlight w:val="white"/>
        </w:rPr>
        <w:t>Option B:  See details in Call-Off Schedule 20 (Call-Off Specification)</w:t>
      </w:r>
    </w:p>
    <w:p w14:paraId="0000004F" w14:textId="77777777" w:rsidR="00863CA3" w:rsidRDefault="00863CA3">
      <w:pPr>
        <w:tabs>
          <w:tab w:val="left" w:pos="2257"/>
        </w:tabs>
        <w:spacing w:line="240" w:lineRule="auto"/>
        <w:rPr>
          <w:b/>
          <w:sz w:val="24"/>
          <w:szCs w:val="24"/>
          <w:highlight w:val="white"/>
        </w:rPr>
      </w:pPr>
    </w:p>
    <w:p w14:paraId="00000050" w14:textId="77777777" w:rsidR="00863CA3" w:rsidRDefault="005D5A14">
      <w:pPr>
        <w:pStyle w:val="Heading3"/>
        <w:numPr>
          <w:ilvl w:val="2"/>
          <w:numId w:val="4"/>
        </w:numPr>
        <w:tabs>
          <w:tab w:val="left" w:pos="2257"/>
        </w:tabs>
      </w:pPr>
      <w:bookmarkStart w:id="10" w:name="_2s8eyo1" w:colFirst="0" w:colLast="0"/>
      <w:bookmarkEnd w:id="10"/>
      <w:r>
        <w:t>Security</w:t>
      </w:r>
    </w:p>
    <w:p w14:paraId="00000051" w14:textId="77777777" w:rsidR="00863CA3" w:rsidRDefault="00863CA3">
      <w:pPr>
        <w:shd w:val="clear" w:color="auto" w:fill="FFFFFF"/>
        <w:tabs>
          <w:tab w:val="left" w:pos="0"/>
          <w:tab w:val="left" w:pos="2257"/>
        </w:tabs>
        <w:rPr>
          <w:b/>
          <w:color w:val="222222"/>
          <w:sz w:val="24"/>
          <w:szCs w:val="24"/>
          <w:highlight w:val="white"/>
        </w:rPr>
      </w:pPr>
    </w:p>
    <w:p w14:paraId="00000052" w14:textId="77777777" w:rsidR="00863CA3" w:rsidRDefault="005D5A14">
      <w:pPr>
        <w:tabs>
          <w:tab w:val="left" w:pos="0"/>
          <w:tab w:val="left" w:pos="2257"/>
        </w:tabs>
      </w:pPr>
      <w:r>
        <w:rPr>
          <w:sz w:val="24"/>
          <w:szCs w:val="24"/>
        </w:rPr>
        <w:lastRenderedPageBreak/>
        <w:t>Short form security requirements apply</w:t>
      </w:r>
    </w:p>
    <w:p w14:paraId="00000053" w14:textId="77777777" w:rsidR="00863CA3" w:rsidRDefault="00863CA3">
      <w:pPr>
        <w:tabs>
          <w:tab w:val="left" w:pos="0"/>
          <w:tab w:val="left" w:pos="2257"/>
        </w:tabs>
        <w:rPr>
          <w:sz w:val="24"/>
          <w:szCs w:val="24"/>
        </w:rPr>
      </w:pPr>
    </w:p>
    <w:p w14:paraId="00000054" w14:textId="77777777" w:rsidR="00863CA3" w:rsidRDefault="005D5A14">
      <w:pPr>
        <w:tabs>
          <w:tab w:val="left" w:pos="0"/>
          <w:tab w:val="left" w:pos="2257"/>
        </w:tabs>
        <w:rPr>
          <w:b/>
          <w:sz w:val="24"/>
          <w:szCs w:val="24"/>
        </w:rPr>
      </w:pPr>
      <w:r>
        <w:rPr>
          <w:b/>
          <w:sz w:val="24"/>
          <w:szCs w:val="24"/>
        </w:rPr>
        <w:t>[and]</w:t>
      </w:r>
    </w:p>
    <w:p w14:paraId="00000055" w14:textId="77777777" w:rsidR="00863CA3" w:rsidRDefault="00863CA3">
      <w:pPr>
        <w:tabs>
          <w:tab w:val="left" w:pos="0"/>
          <w:tab w:val="left" w:pos="2257"/>
        </w:tabs>
      </w:pPr>
    </w:p>
    <w:p w14:paraId="00000056" w14:textId="77777777" w:rsidR="00863CA3" w:rsidRDefault="005D5A14">
      <w:pPr>
        <w:shd w:val="clear" w:color="auto" w:fill="FFFFFF"/>
        <w:tabs>
          <w:tab w:val="left" w:pos="0"/>
          <w:tab w:val="left" w:pos="2257"/>
        </w:tabs>
      </w:pPr>
      <w:r>
        <w:rPr>
          <w:sz w:val="24"/>
          <w:szCs w:val="24"/>
        </w:rPr>
        <w:t>Security Policy</w:t>
      </w:r>
    </w:p>
    <w:p w14:paraId="00000057" w14:textId="77777777" w:rsidR="00863CA3" w:rsidRDefault="005D5A14">
      <w:pPr>
        <w:pStyle w:val="Heading3"/>
        <w:numPr>
          <w:ilvl w:val="2"/>
          <w:numId w:val="4"/>
        </w:numPr>
        <w:tabs>
          <w:tab w:val="left" w:pos="2257"/>
        </w:tabs>
      </w:pPr>
      <w:bookmarkStart w:id="11" w:name="_17dp8vu" w:colFirst="0" w:colLast="0"/>
      <w:bookmarkEnd w:id="11"/>
      <w:r>
        <w:rPr>
          <w:highlight w:val="white"/>
        </w:rPr>
        <w:t>Maximum liability</w:t>
      </w:r>
    </w:p>
    <w:p w14:paraId="00000058" w14:textId="77777777" w:rsidR="00863CA3" w:rsidRDefault="005D5A14">
      <w:pPr>
        <w:tabs>
          <w:tab w:val="left" w:pos="2257"/>
        </w:tabs>
        <w:spacing w:line="240" w:lineRule="auto"/>
      </w:pPr>
      <w:r>
        <w:rPr>
          <w:sz w:val="24"/>
          <w:szCs w:val="24"/>
        </w:rPr>
        <w:t>The limitation of liability for this Call-Off Contract is stated in Clause 11.2 of the Core Terms.</w:t>
      </w:r>
    </w:p>
    <w:p w14:paraId="00000059" w14:textId="77777777" w:rsidR="00863CA3" w:rsidRDefault="00863CA3">
      <w:pPr>
        <w:tabs>
          <w:tab w:val="left" w:pos="2257"/>
        </w:tabs>
        <w:spacing w:line="240" w:lineRule="auto"/>
        <w:rPr>
          <w:sz w:val="24"/>
          <w:szCs w:val="24"/>
          <w:highlight w:val="yellow"/>
        </w:rPr>
      </w:pPr>
    </w:p>
    <w:p w14:paraId="0000005A" w14:textId="77777777" w:rsidR="00863CA3" w:rsidRDefault="005D5A14">
      <w:pPr>
        <w:tabs>
          <w:tab w:val="left" w:pos="2257"/>
        </w:tabs>
        <w:spacing w:line="240" w:lineRule="auto"/>
      </w:pPr>
      <w:r>
        <w:rPr>
          <w:sz w:val="24"/>
          <w:szCs w:val="24"/>
          <w:highlight w:val="white"/>
        </w:rPr>
        <w:t>The Estimated Year 1 Charges used to calculate liability in the first contract year are:</w:t>
      </w:r>
    </w:p>
    <w:p w14:paraId="0000005B" w14:textId="77777777" w:rsidR="00863CA3" w:rsidRDefault="00863CA3">
      <w:pPr>
        <w:tabs>
          <w:tab w:val="left" w:pos="2257"/>
        </w:tabs>
        <w:spacing w:line="240" w:lineRule="auto"/>
        <w:rPr>
          <w:sz w:val="24"/>
          <w:szCs w:val="24"/>
          <w:highlight w:val="white"/>
        </w:rPr>
      </w:pPr>
    </w:p>
    <w:p w14:paraId="0000005C" w14:textId="2BC6D13F" w:rsidR="00863CA3" w:rsidRDefault="005D5A14">
      <w:pPr>
        <w:tabs>
          <w:tab w:val="left" w:pos="2257"/>
        </w:tabs>
        <w:spacing w:line="240" w:lineRule="auto"/>
      </w:pPr>
      <w:r w:rsidRPr="00DC5B0D">
        <w:rPr>
          <w:sz w:val="24"/>
          <w:szCs w:val="24"/>
          <w:highlight w:val="white"/>
        </w:rPr>
        <w:t>£9.6M</w:t>
      </w:r>
      <w:r>
        <w:rPr>
          <w:b/>
          <w:sz w:val="24"/>
          <w:szCs w:val="24"/>
          <w:highlight w:val="white"/>
        </w:rPr>
        <w:t xml:space="preserve"> </w:t>
      </w:r>
      <w:r>
        <w:rPr>
          <w:sz w:val="24"/>
          <w:szCs w:val="24"/>
          <w:highlight w:val="white"/>
        </w:rPr>
        <w:t xml:space="preserve">Estimated Year 1 Charges of the Contract. </w:t>
      </w:r>
    </w:p>
    <w:p w14:paraId="0000005D" w14:textId="77777777" w:rsidR="00863CA3" w:rsidRDefault="00863CA3">
      <w:pPr>
        <w:tabs>
          <w:tab w:val="left" w:pos="2257"/>
        </w:tabs>
        <w:spacing w:line="240" w:lineRule="auto"/>
        <w:rPr>
          <w:b/>
          <w:sz w:val="12"/>
          <w:szCs w:val="12"/>
          <w:highlight w:val="white"/>
        </w:rPr>
      </w:pPr>
    </w:p>
    <w:p w14:paraId="0000005E" w14:textId="77777777" w:rsidR="00863CA3" w:rsidRDefault="005D5A14">
      <w:pPr>
        <w:pStyle w:val="Heading3"/>
        <w:numPr>
          <w:ilvl w:val="2"/>
          <w:numId w:val="4"/>
        </w:numPr>
        <w:tabs>
          <w:tab w:val="left" w:pos="2257"/>
        </w:tabs>
      </w:pPr>
      <w:bookmarkStart w:id="12" w:name="_3rdcrjn" w:colFirst="0" w:colLast="0"/>
      <w:bookmarkEnd w:id="12"/>
      <w:r>
        <w:t>Call-off charges</w:t>
      </w:r>
    </w:p>
    <w:p w14:paraId="0000005F" w14:textId="77777777" w:rsidR="00863CA3" w:rsidRDefault="00863CA3">
      <w:pPr>
        <w:tabs>
          <w:tab w:val="left" w:pos="2257"/>
        </w:tabs>
        <w:spacing w:line="240" w:lineRule="auto"/>
        <w:rPr>
          <w:sz w:val="24"/>
          <w:szCs w:val="24"/>
        </w:rPr>
      </w:pPr>
    </w:p>
    <w:p w14:paraId="00000060" w14:textId="77777777" w:rsidR="00863CA3" w:rsidRDefault="005D5A14">
      <w:pPr>
        <w:tabs>
          <w:tab w:val="left" w:pos="2257"/>
        </w:tabs>
        <w:spacing w:line="240" w:lineRule="auto"/>
      </w:pPr>
      <w:r>
        <w:rPr>
          <w:b/>
          <w:sz w:val="24"/>
          <w:szCs w:val="24"/>
          <w:highlight w:val="white"/>
        </w:rPr>
        <w:t>Option B:</w:t>
      </w:r>
      <w:r>
        <w:rPr>
          <w:sz w:val="24"/>
          <w:szCs w:val="24"/>
          <w:highlight w:val="white"/>
        </w:rPr>
        <w:t xml:space="preserve"> See details in Call-Off Schedule 5 (Pricing Details)</w:t>
      </w:r>
    </w:p>
    <w:p w14:paraId="00000061" w14:textId="77777777" w:rsidR="00863CA3" w:rsidRDefault="00863CA3">
      <w:pPr>
        <w:tabs>
          <w:tab w:val="left" w:pos="2257"/>
        </w:tabs>
        <w:spacing w:line="240" w:lineRule="auto"/>
        <w:rPr>
          <w:sz w:val="24"/>
          <w:szCs w:val="24"/>
        </w:rPr>
      </w:pPr>
    </w:p>
    <w:p w14:paraId="00000062" w14:textId="77777777" w:rsidR="00863CA3" w:rsidRDefault="005D5A14">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63" w14:textId="77777777" w:rsidR="00863CA3" w:rsidRDefault="00863CA3">
      <w:pPr>
        <w:tabs>
          <w:tab w:val="left" w:pos="2257"/>
        </w:tabs>
        <w:spacing w:line="240" w:lineRule="auto"/>
        <w:rPr>
          <w:sz w:val="24"/>
          <w:szCs w:val="24"/>
        </w:rPr>
      </w:pPr>
    </w:p>
    <w:p w14:paraId="00000064" w14:textId="77777777" w:rsidR="00863CA3" w:rsidRDefault="005D5A14">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65" w14:textId="77777777" w:rsidR="00863CA3" w:rsidRDefault="00863CA3">
      <w:pPr>
        <w:tabs>
          <w:tab w:val="left" w:pos="2257"/>
        </w:tabs>
        <w:spacing w:line="240" w:lineRule="auto"/>
        <w:rPr>
          <w:sz w:val="24"/>
          <w:szCs w:val="24"/>
        </w:rPr>
      </w:pPr>
    </w:p>
    <w:p w14:paraId="00000066" w14:textId="77777777" w:rsidR="00863CA3" w:rsidRDefault="005D5A14">
      <w:pPr>
        <w:numPr>
          <w:ilvl w:val="0"/>
          <w:numId w:val="1"/>
        </w:numPr>
        <w:tabs>
          <w:tab w:val="left" w:pos="1537"/>
        </w:tabs>
        <w:spacing w:line="249" w:lineRule="auto"/>
      </w:pPr>
      <w:r>
        <w:rPr>
          <w:sz w:val="24"/>
          <w:szCs w:val="24"/>
        </w:rPr>
        <w:t>Specific Change in Law</w:t>
      </w:r>
    </w:p>
    <w:p w14:paraId="00000067" w14:textId="77777777" w:rsidR="00863CA3" w:rsidRDefault="005D5A14">
      <w:pPr>
        <w:numPr>
          <w:ilvl w:val="0"/>
          <w:numId w:val="1"/>
        </w:numPr>
        <w:tabs>
          <w:tab w:val="left" w:pos="1537"/>
        </w:tabs>
        <w:spacing w:line="249" w:lineRule="auto"/>
      </w:pPr>
      <w:r>
        <w:rPr>
          <w:sz w:val="24"/>
          <w:szCs w:val="24"/>
        </w:rPr>
        <w:t>Benchmarking using Call-Off Schedule 16 (Benchmarking)</w:t>
      </w:r>
    </w:p>
    <w:p w14:paraId="00000068" w14:textId="77777777" w:rsidR="00863CA3" w:rsidRDefault="00863CA3">
      <w:pPr>
        <w:pStyle w:val="Heading3"/>
        <w:numPr>
          <w:ilvl w:val="2"/>
          <w:numId w:val="4"/>
        </w:numPr>
        <w:tabs>
          <w:tab w:val="left" w:pos="2257"/>
        </w:tabs>
      </w:pPr>
      <w:bookmarkStart w:id="13" w:name="_26in1rg" w:colFirst="0" w:colLast="0"/>
      <w:bookmarkEnd w:id="13"/>
    </w:p>
    <w:p w14:paraId="00000069" w14:textId="77777777" w:rsidR="00863CA3" w:rsidRDefault="005D5A14">
      <w:pPr>
        <w:pStyle w:val="Heading3"/>
        <w:numPr>
          <w:ilvl w:val="2"/>
          <w:numId w:val="4"/>
        </w:numPr>
        <w:tabs>
          <w:tab w:val="left" w:pos="2257"/>
        </w:tabs>
      </w:pPr>
      <w:r>
        <w:t>Reimbursable expenses</w:t>
      </w:r>
    </w:p>
    <w:p w14:paraId="0000006A" w14:textId="77777777" w:rsidR="00863CA3" w:rsidRDefault="005D5A14">
      <w:pPr>
        <w:tabs>
          <w:tab w:val="left" w:pos="2257"/>
        </w:tabs>
        <w:spacing w:line="240" w:lineRule="auto"/>
      </w:pPr>
      <w:r>
        <w:rPr>
          <w:sz w:val="24"/>
          <w:szCs w:val="24"/>
        </w:rPr>
        <w:t>Recoverable as stated in Framework Schedule 3 (Framework Prices) paragraph 4.</w:t>
      </w:r>
    </w:p>
    <w:p w14:paraId="0000006B" w14:textId="77777777" w:rsidR="00863CA3" w:rsidRDefault="005D5A14">
      <w:pPr>
        <w:pStyle w:val="Heading3"/>
        <w:numPr>
          <w:ilvl w:val="2"/>
          <w:numId w:val="4"/>
        </w:numPr>
        <w:tabs>
          <w:tab w:val="left" w:pos="2257"/>
        </w:tabs>
      </w:pPr>
      <w:bookmarkStart w:id="14" w:name="_lnxbz9" w:colFirst="0" w:colLast="0"/>
      <w:bookmarkEnd w:id="14"/>
      <w:r>
        <w:t>Payment method</w:t>
      </w:r>
    </w:p>
    <w:p w14:paraId="0000006C" w14:textId="77777777" w:rsidR="00863CA3" w:rsidRDefault="00863CA3">
      <w:pPr>
        <w:tabs>
          <w:tab w:val="left" w:pos="2257"/>
        </w:tabs>
        <w:spacing w:line="240" w:lineRule="auto"/>
        <w:rPr>
          <w:b/>
          <w:sz w:val="24"/>
          <w:szCs w:val="24"/>
          <w:highlight w:val="white"/>
        </w:rPr>
      </w:pPr>
    </w:p>
    <w:p w14:paraId="0000006D" w14:textId="77777777" w:rsidR="00863CA3" w:rsidRDefault="005D5A14">
      <w:pPr>
        <w:tabs>
          <w:tab w:val="left" w:pos="2257"/>
        </w:tabs>
        <w:spacing w:line="240" w:lineRule="auto"/>
      </w:pPr>
      <w:r>
        <w:rPr>
          <w:sz w:val="24"/>
          <w:szCs w:val="24"/>
          <w:highlight w:val="white"/>
        </w:rPr>
        <w:t xml:space="preserve">All Payments are to be electronically made via CP&amp;F &amp; EXOSTAR. </w:t>
      </w:r>
    </w:p>
    <w:p w14:paraId="0000006E" w14:textId="77777777" w:rsidR="00863CA3" w:rsidRDefault="005D5A14">
      <w:pPr>
        <w:pStyle w:val="Heading3"/>
        <w:numPr>
          <w:ilvl w:val="2"/>
          <w:numId w:val="4"/>
        </w:numPr>
        <w:tabs>
          <w:tab w:val="left" w:pos="2257"/>
        </w:tabs>
      </w:pPr>
      <w:bookmarkStart w:id="15" w:name="_35nkun2" w:colFirst="0" w:colLast="0"/>
      <w:bookmarkEnd w:id="15"/>
      <w:r>
        <w:t>Buyer’s invoice address</w:t>
      </w:r>
    </w:p>
    <w:p w14:paraId="0000006F" w14:textId="77777777" w:rsidR="00863CA3" w:rsidRDefault="00863CA3"/>
    <w:p w14:paraId="00000074" w14:textId="72B9D4E6" w:rsidR="00863CA3" w:rsidRDefault="00264CAA">
      <w:pPr>
        <w:tabs>
          <w:tab w:val="left" w:pos="2257"/>
        </w:tabs>
        <w:spacing w:line="240" w:lineRule="auto"/>
      </w:pPr>
      <w:r>
        <w:t>REDACTED TEXT under FOIA Section 40, Personal Information</w:t>
      </w:r>
    </w:p>
    <w:p w14:paraId="00000075" w14:textId="77777777" w:rsidR="00863CA3" w:rsidRDefault="00863CA3">
      <w:pPr>
        <w:tabs>
          <w:tab w:val="left" w:pos="2257"/>
        </w:tabs>
        <w:spacing w:line="240" w:lineRule="auto"/>
      </w:pPr>
    </w:p>
    <w:p w14:paraId="00000076" w14:textId="77777777" w:rsidR="00863CA3" w:rsidRDefault="005D5A14">
      <w:pPr>
        <w:pStyle w:val="Heading3"/>
        <w:widowControl w:val="0"/>
        <w:numPr>
          <w:ilvl w:val="2"/>
          <w:numId w:val="4"/>
        </w:numPr>
        <w:tabs>
          <w:tab w:val="left" w:pos="2257"/>
        </w:tabs>
        <w:spacing w:line="240" w:lineRule="auto"/>
      </w:pPr>
      <w:bookmarkStart w:id="16" w:name="_1ksv4uv" w:colFirst="0" w:colLast="0"/>
      <w:bookmarkEnd w:id="16"/>
      <w:r>
        <w:t>FINANCIAL TRANSPARENCY OBJECTIVES</w:t>
      </w:r>
    </w:p>
    <w:p w14:paraId="00000077" w14:textId="77777777" w:rsidR="00863CA3" w:rsidRDefault="005D5A14">
      <w:pPr>
        <w:tabs>
          <w:tab w:val="left" w:pos="2257"/>
        </w:tabs>
        <w:spacing w:line="240" w:lineRule="auto"/>
      </w:pPr>
      <w:r>
        <w:rPr>
          <w:sz w:val="24"/>
          <w:szCs w:val="24"/>
          <w:highlight w:val="white"/>
        </w:rPr>
        <w:t>The Financial Transparency Objectives apply to this Call-Off Contract.</w:t>
      </w:r>
    </w:p>
    <w:p w14:paraId="00000078" w14:textId="77777777" w:rsidR="00863CA3" w:rsidRDefault="00863CA3">
      <w:pPr>
        <w:tabs>
          <w:tab w:val="left" w:pos="2257"/>
        </w:tabs>
        <w:spacing w:line="240" w:lineRule="auto"/>
        <w:rPr>
          <w:b/>
          <w:sz w:val="24"/>
          <w:szCs w:val="24"/>
          <w:highlight w:val="white"/>
        </w:rPr>
      </w:pPr>
    </w:p>
    <w:p w14:paraId="00000079" w14:textId="77777777" w:rsidR="00863CA3" w:rsidRDefault="005D5A14">
      <w:pPr>
        <w:tabs>
          <w:tab w:val="left" w:pos="2257"/>
        </w:tabs>
        <w:spacing w:line="240" w:lineRule="auto"/>
      </w:pPr>
      <w:r>
        <w:rPr>
          <w:b/>
          <w:sz w:val="24"/>
          <w:szCs w:val="24"/>
        </w:rPr>
        <w:t>Buyer’s authorised representative</w:t>
      </w:r>
    </w:p>
    <w:p w14:paraId="049FACFD" w14:textId="77777777" w:rsidR="00264CAA" w:rsidRDefault="00264CAA" w:rsidP="00C050E0">
      <w:pPr>
        <w:widowControl/>
        <w:shd w:val="clear" w:color="auto" w:fill="FFFFFF"/>
        <w:spacing w:line="240" w:lineRule="auto"/>
      </w:pPr>
      <w:r>
        <w:t>REDACTED TEXT under FOIA Section 40, Personal Information</w:t>
      </w:r>
    </w:p>
    <w:p w14:paraId="0000007E" w14:textId="77777777" w:rsidR="00863CA3" w:rsidRDefault="00863CA3">
      <w:pPr>
        <w:tabs>
          <w:tab w:val="left" w:pos="2257"/>
        </w:tabs>
        <w:spacing w:line="240" w:lineRule="auto"/>
      </w:pPr>
    </w:p>
    <w:p w14:paraId="0000007F" w14:textId="77777777" w:rsidR="00863CA3" w:rsidRDefault="00863CA3">
      <w:pPr>
        <w:tabs>
          <w:tab w:val="left" w:pos="2257"/>
        </w:tabs>
        <w:spacing w:line="240" w:lineRule="auto"/>
        <w:rPr>
          <w:sz w:val="24"/>
          <w:szCs w:val="24"/>
          <w:highlight w:val="white"/>
        </w:rPr>
      </w:pPr>
    </w:p>
    <w:p w14:paraId="00000080" w14:textId="77777777" w:rsidR="00863CA3" w:rsidRDefault="005D5A14">
      <w:pPr>
        <w:pStyle w:val="Heading3"/>
        <w:numPr>
          <w:ilvl w:val="2"/>
          <w:numId w:val="4"/>
        </w:numPr>
        <w:tabs>
          <w:tab w:val="left" w:pos="2257"/>
        </w:tabs>
      </w:pPr>
      <w:bookmarkStart w:id="17" w:name="_44sinio" w:colFirst="0" w:colLast="0"/>
      <w:bookmarkEnd w:id="17"/>
      <w:r>
        <w:t>Buyer’s security policy</w:t>
      </w:r>
    </w:p>
    <w:p w14:paraId="00000081" w14:textId="77777777" w:rsidR="00863CA3" w:rsidRDefault="00863CA3"/>
    <w:p w14:paraId="00000082" w14:textId="77777777" w:rsidR="00863CA3" w:rsidRDefault="005D5A14">
      <w:pPr>
        <w:tabs>
          <w:tab w:val="left" w:pos="2257"/>
        </w:tabs>
        <w:spacing w:line="240" w:lineRule="auto"/>
      </w:pPr>
      <w:r>
        <w:rPr>
          <w:sz w:val="24"/>
          <w:szCs w:val="24"/>
          <w:highlight w:val="white"/>
        </w:rPr>
        <w:t>Appended at Call-Off Schedule 9</w:t>
      </w:r>
    </w:p>
    <w:p w14:paraId="00000083" w14:textId="77777777" w:rsidR="00863CA3" w:rsidRDefault="005D5A14">
      <w:pPr>
        <w:pStyle w:val="Heading3"/>
        <w:numPr>
          <w:ilvl w:val="2"/>
          <w:numId w:val="4"/>
        </w:numPr>
        <w:tabs>
          <w:tab w:val="left" w:pos="2257"/>
        </w:tabs>
      </w:pPr>
      <w:bookmarkStart w:id="18" w:name="_2jxsxqh" w:colFirst="0" w:colLast="0"/>
      <w:bookmarkEnd w:id="18"/>
      <w:r>
        <w:t>Supplier’s authorised representative</w:t>
      </w:r>
    </w:p>
    <w:p w14:paraId="069242BF" w14:textId="68F293B4" w:rsidR="00AF76AF" w:rsidRPr="00AF76AF" w:rsidRDefault="00264CAA">
      <w:pPr>
        <w:tabs>
          <w:tab w:val="left" w:pos="2257"/>
        </w:tabs>
        <w:spacing w:line="240" w:lineRule="auto"/>
        <w:rPr>
          <w:bCs/>
        </w:rPr>
      </w:pPr>
      <w:r>
        <w:t>REDACTED TEXT under FOIA Section 40, Personal Information</w:t>
      </w:r>
    </w:p>
    <w:p w14:paraId="00000088" w14:textId="77777777" w:rsidR="00863CA3" w:rsidRDefault="00863CA3">
      <w:pPr>
        <w:tabs>
          <w:tab w:val="left" w:pos="2257"/>
        </w:tabs>
        <w:spacing w:line="240" w:lineRule="auto"/>
        <w:rPr>
          <w:sz w:val="24"/>
          <w:szCs w:val="24"/>
        </w:rPr>
      </w:pPr>
    </w:p>
    <w:p w14:paraId="00000089" w14:textId="77777777" w:rsidR="00863CA3" w:rsidRDefault="005D5A14">
      <w:pPr>
        <w:pStyle w:val="Heading3"/>
        <w:numPr>
          <w:ilvl w:val="2"/>
          <w:numId w:val="4"/>
        </w:numPr>
        <w:tabs>
          <w:tab w:val="left" w:pos="2257"/>
        </w:tabs>
      </w:pPr>
      <w:bookmarkStart w:id="19" w:name="_z337ya" w:colFirst="0" w:colLast="0"/>
      <w:bookmarkEnd w:id="19"/>
      <w:r>
        <w:t>Supplier’s contract manager</w:t>
      </w:r>
    </w:p>
    <w:p w14:paraId="0000008E" w14:textId="1559AAE4" w:rsidR="00863CA3" w:rsidRDefault="00264CAA">
      <w:pPr>
        <w:tabs>
          <w:tab w:val="left" w:pos="2257"/>
        </w:tabs>
        <w:spacing w:line="240" w:lineRule="auto"/>
        <w:rPr>
          <w:b/>
          <w:sz w:val="24"/>
          <w:szCs w:val="24"/>
          <w:highlight w:val="white"/>
        </w:rPr>
      </w:pPr>
      <w:r>
        <w:t>REDACTED TEXT under FOIA Section 40, Personal Information</w:t>
      </w:r>
    </w:p>
    <w:p w14:paraId="0000008F" w14:textId="77777777" w:rsidR="00863CA3" w:rsidRDefault="005D5A14">
      <w:pPr>
        <w:pStyle w:val="Heading3"/>
        <w:numPr>
          <w:ilvl w:val="2"/>
          <w:numId w:val="4"/>
        </w:numPr>
        <w:tabs>
          <w:tab w:val="left" w:pos="2257"/>
        </w:tabs>
      </w:pPr>
      <w:bookmarkStart w:id="20" w:name="_3j2qqm3" w:colFirst="0" w:colLast="0"/>
      <w:bookmarkEnd w:id="20"/>
      <w:r>
        <w:t>Progress report frequency</w:t>
      </w:r>
    </w:p>
    <w:p w14:paraId="00000090" w14:textId="77777777" w:rsidR="00863CA3" w:rsidRDefault="00863CA3"/>
    <w:p w14:paraId="00000091" w14:textId="77777777" w:rsidR="00863CA3" w:rsidRDefault="005D5A14">
      <w:r>
        <w:t>TBC</w:t>
      </w:r>
    </w:p>
    <w:p w14:paraId="00000092" w14:textId="77777777" w:rsidR="00863CA3" w:rsidRDefault="005D5A14">
      <w:pPr>
        <w:pStyle w:val="Heading3"/>
        <w:numPr>
          <w:ilvl w:val="2"/>
          <w:numId w:val="4"/>
        </w:numPr>
        <w:tabs>
          <w:tab w:val="left" w:pos="2257"/>
        </w:tabs>
      </w:pPr>
      <w:bookmarkStart w:id="21" w:name="_1y810tw" w:colFirst="0" w:colLast="0"/>
      <w:bookmarkEnd w:id="21"/>
      <w:r>
        <w:t>Progress meeting frequency</w:t>
      </w:r>
    </w:p>
    <w:p w14:paraId="00000093" w14:textId="77777777" w:rsidR="00863CA3" w:rsidRDefault="00863CA3"/>
    <w:p w14:paraId="00000094" w14:textId="77777777" w:rsidR="00863CA3" w:rsidRDefault="005D5A14">
      <w:r>
        <w:t>TBC</w:t>
      </w:r>
    </w:p>
    <w:p w14:paraId="00000095" w14:textId="77777777" w:rsidR="00863CA3" w:rsidRDefault="00863CA3">
      <w:pPr>
        <w:tabs>
          <w:tab w:val="left" w:pos="2257"/>
        </w:tabs>
        <w:spacing w:line="240" w:lineRule="auto"/>
        <w:rPr>
          <w:b/>
          <w:sz w:val="24"/>
          <w:szCs w:val="24"/>
        </w:rPr>
      </w:pPr>
    </w:p>
    <w:p w14:paraId="00000096" w14:textId="77777777" w:rsidR="00863CA3" w:rsidRDefault="005D5A14">
      <w:pPr>
        <w:tabs>
          <w:tab w:val="left" w:pos="2257"/>
        </w:tabs>
        <w:spacing w:line="240" w:lineRule="auto"/>
      </w:pPr>
      <w:r>
        <w:rPr>
          <w:b/>
          <w:sz w:val="24"/>
          <w:szCs w:val="24"/>
        </w:rPr>
        <w:t>Key staff</w:t>
      </w:r>
    </w:p>
    <w:p w14:paraId="00000097" w14:textId="77777777" w:rsidR="00863CA3" w:rsidRDefault="00863CA3">
      <w:pPr>
        <w:tabs>
          <w:tab w:val="left" w:pos="2257"/>
        </w:tabs>
        <w:spacing w:line="240" w:lineRule="auto"/>
      </w:pPr>
    </w:p>
    <w:p w14:paraId="0000009E" w14:textId="3F8FF99E" w:rsidR="00863CA3" w:rsidRDefault="00264CAA">
      <w:pPr>
        <w:pStyle w:val="Heading3"/>
        <w:numPr>
          <w:ilvl w:val="2"/>
          <w:numId w:val="4"/>
        </w:numPr>
        <w:tabs>
          <w:tab w:val="left" w:pos="2257"/>
        </w:tabs>
      </w:pPr>
      <w:bookmarkStart w:id="22" w:name="_4i7ojhp" w:colFirst="0" w:colLast="0"/>
      <w:bookmarkEnd w:id="22"/>
      <w:r>
        <w:t xml:space="preserve">REDACTED TEXT under FOIA Section 40, Personal </w:t>
      </w:r>
      <w:proofErr w:type="spellStart"/>
      <w:r>
        <w:t>Information</w:t>
      </w:r>
      <w:r w:rsidR="005D5A14">
        <w:t>Key</w:t>
      </w:r>
      <w:proofErr w:type="spellEnd"/>
      <w:r w:rsidR="005D5A14">
        <w:t xml:space="preserve"> subcontractor(s)</w:t>
      </w:r>
    </w:p>
    <w:p w14:paraId="0000009F" w14:textId="77777777" w:rsidR="00863CA3" w:rsidRDefault="00863CA3"/>
    <w:p w14:paraId="000000A0" w14:textId="77777777" w:rsidR="00863CA3" w:rsidRDefault="005D5A14">
      <w:r>
        <w:t>Not Applicable</w:t>
      </w:r>
    </w:p>
    <w:p w14:paraId="000000A1" w14:textId="77777777" w:rsidR="00863CA3" w:rsidRDefault="005D5A14">
      <w:pPr>
        <w:pStyle w:val="Heading3"/>
        <w:numPr>
          <w:ilvl w:val="2"/>
          <w:numId w:val="4"/>
        </w:numPr>
        <w:tabs>
          <w:tab w:val="left" w:pos="2257"/>
        </w:tabs>
      </w:pPr>
      <w:bookmarkStart w:id="23" w:name="_2xcytpi" w:colFirst="0" w:colLast="0"/>
      <w:bookmarkEnd w:id="23"/>
      <w:r>
        <w:t>Commercially sensitive information</w:t>
      </w:r>
    </w:p>
    <w:p w14:paraId="000000A2" w14:textId="77777777" w:rsidR="00863CA3" w:rsidRDefault="00863CA3"/>
    <w:p w14:paraId="000000A3" w14:textId="77777777" w:rsidR="00863CA3" w:rsidRDefault="005D5A14">
      <w:pPr>
        <w:tabs>
          <w:tab w:val="left" w:pos="2257"/>
        </w:tabs>
        <w:spacing w:line="240" w:lineRule="auto"/>
      </w:pPr>
      <w:r>
        <w:rPr>
          <w:sz w:val="24"/>
          <w:szCs w:val="24"/>
          <w:highlight w:val="white"/>
        </w:rPr>
        <w:t>As per Joint Schedule 4</w:t>
      </w:r>
    </w:p>
    <w:p w14:paraId="000000A4" w14:textId="77777777" w:rsidR="00863CA3" w:rsidRDefault="00863CA3">
      <w:pPr>
        <w:tabs>
          <w:tab w:val="left" w:pos="2257"/>
        </w:tabs>
        <w:spacing w:line="240" w:lineRule="auto"/>
        <w:rPr>
          <w:b/>
          <w:sz w:val="24"/>
          <w:szCs w:val="24"/>
          <w:highlight w:val="white"/>
        </w:rPr>
      </w:pPr>
    </w:p>
    <w:p w14:paraId="000000A5" w14:textId="77777777" w:rsidR="00863CA3" w:rsidRDefault="005D5A14">
      <w:pPr>
        <w:pStyle w:val="Heading3"/>
        <w:numPr>
          <w:ilvl w:val="2"/>
          <w:numId w:val="4"/>
        </w:numPr>
        <w:tabs>
          <w:tab w:val="left" w:pos="2257"/>
        </w:tabs>
      </w:pPr>
      <w:bookmarkStart w:id="24" w:name="_1ci93xb" w:colFirst="0" w:colLast="0"/>
      <w:bookmarkEnd w:id="24"/>
      <w:r>
        <w:t>Service credits</w:t>
      </w:r>
    </w:p>
    <w:p w14:paraId="000000A6" w14:textId="77777777" w:rsidR="00863CA3" w:rsidRDefault="00863CA3">
      <w:pPr>
        <w:tabs>
          <w:tab w:val="left" w:pos="2257"/>
        </w:tabs>
        <w:spacing w:line="240" w:lineRule="auto"/>
      </w:pPr>
    </w:p>
    <w:p w14:paraId="000000A7" w14:textId="77777777" w:rsidR="00863CA3" w:rsidRDefault="005D5A14">
      <w:pPr>
        <w:tabs>
          <w:tab w:val="left" w:pos="2257"/>
        </w:tabs>
        <w:spacing w:line="240" w:lineRule="auto"/>
      </w:pPr>
      <w:r>
        <w:t>As per Attachment 3 (Statement of Requirement) Point 15 (15.4)</w:t>
      </w:r>
    </w:p>
    <w:p w14:paraId="000000A8" w14:textId="77777777" w:rsidR="00863CA3" w:rsidRDefault="005D5A14">
      <w:pPr>
        <w:pStyle w:val="Heading3"/>
        <w:numPr>
          <w:ilvl w:val="2"/>
          <w:numId w:val="4"/>
        </w:numPr>
        <w:tabs>
          <w:tab w:val="left" w:pos="2257"/>
        </w:tabs>
      </w:pPr>
      <w:bookmarkStart w:id="25" w:name="_3whwml4" w:colFirst="0" w:colLast="0"/>
      <w:bookmarkEnd w:id="25"/>
      <w:r>
        <w:t>Additional insurances</w:t>
      </w:r>
    </w:p>
    <w:p w14:paraId="000000A9" w14:textId="77777777" w:rsidR="00863CA3" w:rsidRDefault="00863CA3"/>
    <w:p w14:paraId="000000AA" w14:textId="77777777" w:rsidR="00863CA3" w:rsidRDefault="005D5A14">
      <w:r>
        <w:t>Not Applicable</w:t>
      </w:r>
    </w:p>
    <w:p w14:paraId="000000AB" w14:textId="77777777" w:rsidR="00863CA3" w:rsidRDefault="005D5A14">
      <w:pPr>
        <w:pStyle w:val="Heading3"/>
        <w:numPr>
          <w:ilvl w:val="2"/>
          <w:numId w:val="4"/>
        </w:numPr>
        <w:jc w:val="both"/>
      </w:pPr>
      <w:bookmarkStart w:id="26" w:name="_2bn6wsx" w:colFirst="0" w:colLast="0"/>
      <w:bookmarkEnd w:id="26"/>
      <w:r>
        <w:t>Guarantee</w:t>
      </w:r>
    </w:p>
    <w:p w14:paraId="000000AC" w14:textId="77777777" w:rsidR="00863CA3" w:rsidRDefault="00863CA3"/>
    <w:p w14:paraId="000000AD" w14:textId="77777777" w:rsidR="00863CA3" w:rsidRDefault="005D5A14">
      <w:r>
        <w:t>Not Applicable</w:t>
      </w:r>
    </w:p>
    <w:p w14:paraId="000000AE" w14:textId="77777777" w:rsidR="00863CA3" w:rsidRDefault="005D5A14">
      <w:pPr>
        <w:pStyle w:val="Heading3"/>
        <w:numPr>
          <w:ilvl w:val="2"/>
          <w:numId w:val="4"/>
        </w:numPr>
        <w:tabs>
          <w:tab w:val="left" w:pos="2257"/>
        </w:tabs>
      </w:pPr>
      <w:bookmarkStart w:id="27" w:name="_qsh70q" w:colFirst="0" w:colLast="0"/>
      <w:bookmarkEnd w:id="27"/>
      <w:r>
        <w:t>Buyer’s environmental and social value policy</w:t>
      </w:r>
    </w:p>
    <w:p w14:paraId="000000AF" w14:textId="77777777" w:rsidR="00863CA3" w:rsidRDefault="00863CA3"/>
    <w:p w14:paraId="000000B0" w14:textId="77777777" w:rsidR="00863CA3" w:rsidRDefault="005D5A14">
      <w:r>
        <w:lastRenderedPageBreak/>
        <w:t>Not Applicable</w:t>
      </w:r>
    </w:p>
    <w:p w14:paraId="000000B1" w14:textId="77777777" w:rsidR="00863CA3" w:rsidRDefault="005D5A14">
      <w:pPr>
        <w:pStyle w:val="Heading3"/>
        <w:numPr>
          <w:ilvl w:val="2"/>
          <w:numId w:val="4"/>
        </w:numPr>
        <w:jc w:val="both"/>
      </w:pPr>
      <w:bookmarkStart w:id="28" w:name="_3as4poj" w:colFirst="0" w:colLast="0"/>
      <w:bookmarkEnd w:id="28"/>
      <w:r>
        <w:t>Social value commitment</w:t>
      </w:r>
    </w:p>
    <w:p w14:paraId="000000B2" w14:textId="77777777" w:rsidR="00863CA3" w:rsidRDefault="005D5A14">
      <w:pPr>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000000B3" w14:textId="77777777" w:rsidR="00863CA3" w:rsidRDefault="005D5A14">
      <w:pPr>
        <w:pStyle w:val="Heading3"/>
        <w:numPr>
          <w:ilvl w:val="2"/>
          <w:numId w:val="4"/>
        </w:numPr>
        <w:spacing w:before="0" w:after="240"/>
        <w:jc w:val="both"/>
      </w:pPr>
      <w:bookmarkStart w:id="29" w:name="_1pxezwc" w:colFirst="0" w:colLast="0"/>
      <w:bookmarkEnd w:id="29"/>
      <w:r>
        <w:t>Formation of call off contract</w:t>
      </w:r>
    </w:p>
    <w:p w14:paraId="000000B4" w14:textId="77777777" w:rsidR="00863CA3" w:rsidRDefault="005D5A14">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B5" w14:textId="77777777" w:rsidR="00863CA3" w:rsidRDefault="005D5A14">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00000B6" w14:textId="77777777" w:rsidR="00863CA3" w:rsidRDefault="005D5A14">
      <w:pPr>
        <w:spacing w:line="240" w:lineRule="auto"/>
      </w:pPr>
      <w:r>
        <w:rPr>
          <w:b/>
          <w:sz w:val="24"/>
          <w:szCs w:val="24"/>
        </w:rPr>
        <w:t>For and on behalf of the Supplier</w:t>
      </w:r>
      <w:r>
        <w:rPr>
          <w:sz w:val="24"/>
          <w:szCs w:val="24"/>
        </w:rPr>
        <w:t>:</w:t>
      </w:r>
    </w:p>
    <w:p w14:paraId="000000B7" w14:textId="77777777" w:rsidR="00863CA3" w:rsidRDefault="00863CA3">
      <w:pPr>
        <w:spacing w:line="240" w:lineRule="auto"/>
        <w:rPr>
          <w:sz w:val="24"/>
          <w:szCs w:val="24"/>
        </w:rPr>
      </w:pPr>
    </w:p>
    <w:p w14:paraId="000000B8" w14:textId="05545F88" w:rsidR="00863CA3" w:rsidRDefault="005D5A14">
      <w:pPr>
        <w:spacing w:line="240" w:lineRule="auto"/>
      </w:pPr>
      <w:r>
        <w:rPr>
          <w:sz w:val="24"/>
          <w:szCs w:val="24"/>
        </w:rPr>
        <w:t>Signature:</w:t>
      </w:r>
      <w:r w:rsidR="004E377F">
        <w:rPr>
          <w:sz w:val="24"/>
          <w:szCs w:val="24"/>
        </w:rPr>
        <w:t xml:space="preserve">  </w:t>
      </w:r>
      <w:r w:rsidR="00264CAA">
        <w:t>REDACTED TEXT under FOIA Section 40, Personal Information</w:t>
      </w:r>
    </w:p>
    <w:p w14:paraId="000000B9" w14:textId="77777777" w:rsidR="00863CA3" w:rsidRDefault="00863CA3">
      <w:pPr>
        <w:spacing w:line="240" w:lineRule="auto"/>
        <w:rPr>
          <w:sz w:val="24"/>
          <w:szCs w:val="24"/>
        </w:rPr>
      </w:pPr>
    </w:p>
    <w:p w14:paraId="000000BA" w14:textId="60FACE3C" w:rsidR="00863CA3" w:rsidRDefault="005D5A14">
      <w:pPr>
        <w:spacing w:line="240" w:lineRule="auto"/>
      </w:pPr>
      <w:r>
        <w:rPr>
          <w:sz w:val="24"/>
          <w:szCs w:val="24"/>
        </w:rPr>
        <w:t>Name:</w:t>
      </w:r>
      <w:r w:rsidR="004E377F">
        <w:rPr>
          <w:sz w:val="24"/>
          <w:szCs w:val="24"/>
        </w:rPr>
        <w:t xml:space="preserve"> </w:t>
      </w:r>
      <w:r w:rsidR="00264CAA">
        <w:t>REDACTED TEXT under FOIA Section 40, Personal Information</w:t>
      </w:r>
    </w:p>
    <w:p w14:paraId="000000BB" w14:textId="77777777" w:rsidR="00863CA3" w:rsidRDefault="00863CA3">
      <w:pPr>
        <w:spacing w:line="240" w:lineRule="auto"/>
        <w:rPr>
          <w:sz w:val="24"/>
          <w:szCs w:val="24"/>
        </w:rPr>
      </w:pPr>
    </w:p>
    <w:p w14:paraId="000000BD" w14:textId="6BAB9798" w:rsidR="00863CA3" w:rsidRDefault="005D5A14">
      <w:pPr>
        <w:spacing w:line="240" w:lineRule="auto"/>
        <w:rPr>
          <w:sz w:val="24"/>
          <w:szCs w:val="24"/>
        </w:rPr>
      </w:pPr>
      <w:r>
        <w:rPr>
          <w:sz w:val="24"/>
          <w:szCs w:val="24"/>
        </w:rPr>
        <w:t>Role:</w:t>
      </w:r>
      <w:r w:rsidR="004E377F">
        <w:rPr>
          <w:sz w:val="24"/>
          <w:szCs w:val="24"/>
        </w:rPr>
        <w:t xml:space="preserve"> </w:t>
      </w:r>
      <w:r w:rsidR="00264CAA">
        <w:t>REDACTED TEXT under FOIA Section 40, Personal Information</w:t>
      </w:r>
    </w:p>
    <w:p w14:paraId="000000BE" w14:textId="5828D956" w:rsidR="00863CA3" w:rsidRDefault="005D5A14">
      <w:pPr>
        <w:spacing w:line="240" w:lineRule="auto"/>
      </w:pPr>
      <w:r>
        <w:rPr>
          <w:sz w:val="24"/>
          <w:szCs w:val="24"/>
        </w:rPr>
        <w:t>Date:</w:t>
      </w:r>
      <w:r w:rsidR="004E377F">
        <w:rPr>
          <w:sz w:val="24"/>
          <w:szCs w:val="24"/>
        </w:rPr>
        <w:t xml:space="preserve"> </w:t>
      </w:r>
      <w:r w:rsidR="00264CAA">
        <w:t>REDACTED TEXT under FOIA Section 40, Personal Information</w:t>
      </w:r>
    </w:p>
    <w:p w14:paraId="000000BF" w14:textId="77777777" w:rsidR="00863CA3" w:rsidRDefault="00863CA3">
      <w:pPr>
        <w:spacing w:line="240" w:lineRule="auto"/>
        <w:rPr>
          <w:b/>
          <w:sz w:val="24"/>
          <w:szCs w:val="24"/>
        </w:rPr>
      </w:pPr>
    </w:p>
    <w:p w14:paraId="000000C0" w14:textId="77777777" w:rsidR="00863CA3" w:rsidRDefault="00863CA3">
      <w:pPr>
        <w:spacing w:line="240" w:lineRule="auto"/>
        <w:rPr>
          <w:b/>
          <w:sz w:val="24"/>
          <w:szCs w:val="24"/>
        </w:rPr>
      </w:pPr>
    </w:p>
    <w:p w14:paraId="000000C1" w14:textId="77777777" w:rsidR="00863CA3" w:rsidRDefault="00863CA3">
      <w:pPr>
        <w:spacing w:line="240" w:lineRule="auto"/>
        <w:rPr>
          <w:b/>
          <w:sz w:val="24"/>
          <w:szCs w:val="24"/>
        </w:rPr>
      </w:pPr>
    </w:p>
    <w:p w14:paraId="000000C2" w14:textId="77777777" w:rsidR="00863CA3" w:rsidRDefault="005D5A14">
      <w:pPr>
        <w:spacing w:line="240" w:lineRule="auto"/>
      </w:pPr>
      <w:r>
        <w:rPr>
          <w:b/>
          <w:sz w:val="24"/>
          <w:szCs w:val="24"/>
        </w:rPr>
        <w:t>For and on behalf of the Buyer</w:t>
      </w:r>
      <w:r>
        <w:rPr>
          <w:sz w:val="24"/>
          <w:szCs w:val="24"/>
        </w:rPr>
        <w:t>:</w:t>
      </w:r>
    </w:p>
    <w:p w14:paraId="000000C3" w14:textId="77777777" w:rsidR="00863CA3" w:rsidRDefault="00863CA3">
      <w:pPr>
        <w:spacing w:line="240" w:lineRule="auto"/>
        <w:rPr>
          <w:sz w:val="24"/>
          <w:szCs w:val="24"/>
        </w:rPr>
      </w:pPr>
    </w:p>
    <w:p w14:paraId="000000C4" w14:textId="518F310D" w:rsidR="00863CA3" w:rsidRDefault="005D5A14">
      <w:pPr>
        <w:spacing w:line="240" w:lineRule="auto"/>
      </w:pPr>
      <w:r>
        <w:rPr>
          <w:sz w:val="24"/>
          <w:szCs w:val="24"/>
        </w:rPr>
        <w:t>Signature:</w:t>
      </w:r>
      <w:r w:rsidR="00264CAA" w:rsidRPr="00264CAA">
        <w:t xml:space="preserve"> </w:t>
      </w:r>
      <w:r w:rsidR="00264CAA">
        <w:t>REDACTED TEXT under FOIA Section 40, Personal Information</w:t>
      </w:r>
    </w:p>
    <w:p w14:paraId="000000C5" w14:textId="77777777" w:rsidR="00863CA3" w:rsidRDefault="00863CA3">
      <w:pPr>
        <w:spacing w:line="240" w:lineRule="auto"/>
        <w:rPr>
          <w:sz w:val="24"/>
          <w:szCs w:val="24"/>
        </w:rPr>
      </w:pPr>
    </w:p>
    <w:p w14:paraId="000000C6" w14:textId="756EB734" w:rsidR="00863CA3" w:rsidRDefault="005D5A14">
      <w:pPr>
        <w:spacing w:line="240" w:lineRule="auto"/>
      </w:pPr>
      <w:r>
        <w:rPr>
          <w:sz w:val="24"/>
          <w:szCs w:val="24"/>
        </w:rPr>
        <w:t>Name:</w:t>
      </w:r>
      <w:r w:rsidR="00264CAA" w:rsidRPr="00264CAA">
        <w:t xml:space="preserve"> </w:t>
      </w:r>
      <w:r w:rsidR="00264CAA">
        <w:t>REDACTED TEXT under FOIA Section 40, Personal Information</w:t>
      </w:r>
    </w:p>
    <w:p w14:paraId="000000C7" w14:textId="77777777" w:rsidR="00863CA3" w:rsidRDefault="00863CA3">
      <w:pPr>
        <w:spacing w:line="240" w:lineRule="auto"/>
        <w:rPr>
          <w:sz w:val="24"/>
          <w:szCs w:val="24"/>
        </w:rPr>
      </w:pPr>
    </w:p>
    <w:p w14:paraId="000000C8" w14:textId="732036C0" w:rsidR="00863CA3" w:rsidRDefault="005D5A14">
      <w:pPr>
        <w:spacing w:line="240" w:lineRule="auto"/>
      </w:pPr>
      <w:r>
        <w:rPr>
          <w:sz w:val="24"/>
          <w:szCs w:val="24"/>
        </w:rPr>
        <w:t>Role:</w:t>
      </w:r>
      <w:r w:rsidR="00264CAA" w:rsidRPr="00264CAA">
        <w:t xml:space="preserve"> </w:t>
      </w:r>
      <w:r w:rsidR="00264CAA">
        <w:t>REDACTED TEXT under FOIA Section 40, Personal Information</w:t>
      </w:r>
    </w:p>
    <w:p w14:paraId="000000C9" w14:textId="77777777" w:rsidR="00863CA3" w:rsidRDefault="00863CA3">
      <w:pPr>
        <w:spacing w:line="240" w:lineRule="auto"/>
        <w:rPr>
          <w:sz w:val="24"/>
          <w:szCs w:val="24"/>
        </w:rPr>
      </w:pPr>
    </w:p>
    <w:p w14:paraId="000000CA" w14:textId="12BD5AE3" w:rsidR="00863CA3" w:rsidRDefault="005D5A14">
      <w:pPr>
        <w:spacing w:line="240" w:lineRule="auto"/>
      </w:pPr>
      <w:r>
        <w:rPr>
          <w:sz w:val="24"/>
          <w:szCs w:val="24"/>
        </w:rPr>
        <w:t>Date:</w:t>
      </w:r>
      <w:r w:rsidR="00264CAA" w:rsidRPr="00264CAA">
        <w:t xml:space="preserve"> </w:t>
      </w:r>
      <w:r w:rsidR="00264CAA">
        <w:t>REDACTED TEXT under FOIA Section 40, Personal Information</w:t>
      </w:r>
    </w:p>
    <w:p w14:paraId="000000CB" w14:textId="77777777" w:rsidR="00863CA3" w:rsidRDefault="00863CA3">
      <w:pPr>
        <w:spacing w:line="240" w:lineRule="auto"/>
        <w:rPr>
          <w:sz w:val="24"/>
          <w:szCs w:val="24"/>
        </w:rPr>
      </w:pPr>
    </w:p>
    <w:p w14:paraId="000000CC" w14:textId="77777777" w:rsidR="00863CA3" w:rsidRDefault="00863CA3">
      <w:pPr>
        <w:spacing w:line="240" w:lineRule="auto"/>
      </w:pPr>
    </w:p>
    <w:p w14:paraId="000000CD" w14:textId="77777777" w:rsidR="00863CA3" w:rsidRDefault="00863CA3"/>
    <w:sectPr w:rsidR="00863CA3">
      <w:headerReference w:type="default" r:id="rId10"/>
      <w:footerReference w:type="default" r:id="rId11"/>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A609" w14:textId="77777777" w:rsidR="00373909" w:rsidRDefault="00373909">
      <w:pPr>
        <w:spacing w:line="240" w:lineRule="auto"/>
      </w:pPr>
      <w:r>
        <w:separator/>
      </w:r>
    </w:p>
  </w:endnote>
  <w:endnote w:type="continuationSeparator" w:id="0">
    <w:p w14:paraId="24DFA29A" w14:textId="77777777" w:rsidR="00373909" w:rsidRDefault="00373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0" w14:textId="14B3DE49" w:rsidR="00863CA3" w:rsidRDefault="005D5A14">
    <w:pPr>
      <w:jc w:val="right"/>
    </w:pPr>
    <w:r>
      <w:fldChar w:fldCharType="begin"/>
    </w:r>
    <w:r>
      <w:instrText>PAGE</w:instrText>
    </w:r>
    <w:r>
      <w:fldChar w:fldCharType="separate"/>
    </w:r>
    <w:r w:rsidR="006033D3">
      <w:rPr>
        <w:noProof/>
      </w:rPr>
      <w:t>1</w:t>
    </w:r>
    <w:r>
      <w:fldChar w:fldCharType="end"/>
    </w:r>
  </w:p>
  <w:p w14:paraId="000000D1" w14:textId="77777777" w:rsidR="00863CA3" w:rsidRDefault="005D5A14">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14:paraId="000000D2" w14:textId="77777777" w:rsidR="00863CA3" w:rsidRDefault="005D5A14">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2DA3" w14:textId="77777777" w:rsidR="00373909" w:rsidRDefault="00373909">
      <w:pPr>
        <w:spacing w:line="240" w:lineRule="auto"/>
      </w:pPr>
      <w:r>
        <w:separator/>
      </w:r>
    </w:p>
  </w:footnote>
  <w:footnote w:type="continuationSeparator" w:id="0">
    <w:p w14:paraId="7AF93B8D" w14:textId="77777777" w:rsidR="00373909" w:rsidRDefault="003739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E" w14:textId="77777777" w:rsidR="00863CA3" w:rsidRDefault="005D5A14">
    <w:r>
      <w:rPr>
        <w:rFonts w:ascii="Roboto" w:eastAsia="Roboto" w:hAnsi="Roboto" w:cs="Roboto"/>
        <w:color w:val="202124"/>
        <w:sz w:val="20"/>
        <w:szCs w:val="20"/>
        <w:highlight w:val="white"/>
      </w:rPr>
      <w:t>Framework Schedule 6 (Order Form Template and Call-Off Schedules)</w:t>
    </w:r>
  </w:p>
  <w:p w14:paraId="000000CF" w14:textId="77777777" w:rsidR="00863CA3" w:rsidRDefault="005D5A14">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6D30"/>
    <w:multiLevelType w:val="multilevel"/>
    <w:tmpl w:val="0DB2A5B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5A67C64"/>
    <w:multiLevelType w:val="multilevel"/>
    <w:tmpl w:val="9D6A877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4733662"/>
    <w:multiLevelType w:val="multilevel"/>
    <w:tmpl w:val="19343E1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2A55D6"/>
    <w:multiLevelType w:val="multilevel"/>
    <w:tmpl w:val="70EC7A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77228A5"/>
    <w:multiLevelType w:val="multilevel"/>
    <w:tmpl w:val="1C52D14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A3"/>
    <w:rsid w:val="0013305B"/>
    <w:rsid w:val="00264CAA"/>
    <w:rsid w:val="00373909"/>
    <w:rsid w:val="004E377F"/>
    <w:rsid w:val="005D5A14"/>
    <w:rsid w:val="006033D3"/>
    <w:rsid w:val="00863CA3"/>
    <w:rsid w:val="008835E5"/>
    <w:rsid w:val="00960915"/>
    <w:rsid w:val="00AF76AF"/>
    <w:rsid w:val="00C050E0"/>
    <w:rsid w:val="00DA39F4"/>
    <w:rsid w:val="00DC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891B"/>
  <w15:docId w15:val="{27095A0A-3924-4860-947A-84C285CF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styleId="Hyperlink">
    <w:name w:val="Hyperlink"/>
    <w:basedOn w:val="DefaultParagraphFont"/>
    <w:uiPriority w:val="99"/>
    <w:unhideWhenUsed/>
    <w:rsid w:val="00C050E0"/>
    <w:rPr>
      <w:color w:val="0000FF"/>
      <w:u w:val="single"/>
    </w:rPr>
  </w:style>
  <w:style w:type="character" w:styleId="UnresolvedMention">
    <w:name w:val="Unresolved Mention"/>
    <w:basedOn w:val="DefaultParagraphFont"/>
    <w:uiPriority w:val="99"/>
    <w:semiHidden/>
    <w:unhideWhenUsed/>
    <w:rsid w:val="00AF76AF"/>
    <w:rPr>
      <w:color w:val="605E5C"/>
      <w:shd w:val="clear" w:color="auto" w:fill="E1DFDD"/>
    </w:rPr>
  </w:style>
  <w:style w:type="paragraph" w:styleId="ListParagraph">
    <w:name w:val="List Paragraph"/>
    <w:basedOn w:val="Normal"/>
    <w:uiPriority w:val="34"/>
    <w:qFormat/>
    <w:rsid w:val="00AF7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516769">
      <w:bodyDiv w:val="1"/>
      <w:marLeft w:val="0"/>
      <w:marRight w:val="0"/>
      <w:marTop w:val="0"/>
      <w:marBottom w:val="0"/>
      <w:divBdr>
        <w:top w:val="none" w:sz="0" w:space="0" w:color="auto"/>
        <w:left w:val="none" w:sz="0" w:space="0" w:color="auto"/>
        <w:bottom w:val="none" w:sz="0" w:space="0" w:color="auto"/>
        <w:right w:val="none" w:sz="0" w:space="0" w:color="auto"/>
      </w:divBdr>
    </w:div>
    <w:div w:id="1771121250">
      <w:bodyDiv w:val="1"/>
      <w:marLeft w:val="0"/>
      <w:marRight w:val="0"/>
      <w:marTop w:val="0"/>
      <w:marBottom w:val="0"/>
      <w:divBdr>
        <w:top w:val="none" w:sz="0" w:space="0" w:color="auto"/>
        <w:left w:val="none" w:sz="0" w:space="0" w:color="auto"/>
        <w:bottom w:val="none" w:sz="0" w:space="0" w:color="auto"/>
        <w:right w:val="none" w:sz="0" w:space="0" w:color="auto"/>
      </w:divBdr>
    </w:div>
    <w:div w:id="190540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0e35a2-86ba-4ed6-b93d-7b5c8083d8ac" xsi:nil="true"/>
    <lcf76f155ced4ddcb4097134ff3c332f xmlns="25ac6462-ebe1-4ec9-995e-3e9e427dae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22A019CD6794788097B98444714C3" ma:contentTypeVersion="11" ma:contentTypeDescription="Create a new document." ma:contentTypeScope="" ma:versionID="131c53ce8e5da03e95ad4b341e3193b5">
  <xsd:schema xmlns:xsd="http://www.w3.org/2001/XMLSchema" xmlns:xs="http://www.w3.org/2001/XMLSchema" xmlns:p="http://schemas.microsoft.com/office/2006/metadata/properties" xmlns:ns2="25ac6462-ebe1-4ec9-995e-3e9e427dae3e" xmlns:ns3="0c0e35a2-86ba-4ed6-b93d-7b5c8083d8ac" targetNamespace="http://schemas.microsoft.com/office/2006/metadata/properties" ma:root="true" ma:fieldsID="d12a1ffcdd0b093e0b09412be34bd02a" ns2:_="" ns3:_="">
    <xsd:import namespace="25ac6462-ebe1-4ec9-995e-3e9e427dae3e"/>
    <xsd:import namespace="0c0e35a2-86ba-4ed6-b93d-7b5c8083d8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c6462-ebe1-4ec9-995e-3e9e427da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e35a2-86ba-4ed6-b93d-7b5c8083d8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3a4c8-e1bc-4239-96b6-8139eba99ab4}" ma:internalName="TaxCatchAll" ma:showField="CatchAllData" ma:web="0c0e35a2-86ba-4ed6-b93d-7b5c8083d8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6C5E8-ECF5-48CD-BEE0-D633AF0E7DE6}">
  <ds:schemaRefs>
    <ds:schemaRef ds:uri="http://schemas.microsoft.com/office/2006/metadata/properties"/>
    <ds:schemaRef ds:uri="http://schemas.microsoft.com/office/infopath/2007/PartnerControls"/>
    <ds:schemaRef ds:uri="0c0e35a2-86ba-4ed6-b93d-7b5c8083d8ac"/>
    <ds:schemaRef ds:uri="25ac6462-ebe1-4ec9-995e-3e9e427dae3e"/>
  </ds:schemaRefs>
</ds:datastoreItem>
</file>

<file path=customXml/itemProps2.xml><?xml version="1.0" encoding="utf-8"?>
<ds:datastoreItem xmlns:ds="http://schemas.openxmlformats.org/officeDocument/2006/customXml" ds:itemID="{F8E632D7-9F9E-426F-8407-1CD08CAAD37E}">
  <ds:schemaRefs>
    <ds:schemaRef ds:uri="http://schemas.microsoft.com/sharepoint/v3/contenttype/forms"/>
  </ds:schemaRefs>
</ds:datastoreItem>
</file>

<file path=customXml/itemProps3.xml><?xml version="1.0" encoding="utf-8"?>
<ds:datastoreItem xmlns:ds="http://schemas.openxmlformats.org/officeDocument/2006/customXml" ds:itemID="{EC3FFE9E-3999-40B5-94A6-DEA8816B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c6462-ebe1-4ec9-995e-3e9e427dae3e"/>
    <ds:schemaRef ds:uri="0c0e35a2-86ba-4ed6-b93d-7b5c8083d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Platt</dc:creator>
  <cp:lastModifiedBy>Lorna Platt</cp:lastModifiedBy>
  <cp:revision>3</cp:revision>
  <dcterms:created xsi:type="dcterms:W3CDTF">2023-08-29T04:54:00Z</dcterms:created>
  <dcterms:modified xsi:type="dcterms:W3CDTF">2023-10-11T08:00:00Z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2023-07-31T19:06:32Z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54d3a3b3-6bd6-4bf9-96fc-8d1e72b477a3</vt:lpwstr>
  </property>
  <property fmtid="{D5CDD505-2E9C-101B-9397-08002B2CF9AE}" pid="8" name="MSIP_Label_ea60d57e-af5b-4752-ac57-3e4f28ca11dc_ContentBits">
    <vt:lpwstr>0</vt:lpwstr>
  </property>
  <property fmtid="{D5CDD505-2E9C-101B-9397-08002B2CF9AE}" pid="9" name="ContentTypeId">
    <vt:lpwstr>0x01010089922A019CD6794788097B98444714C3</vt:lpwstr>
  </property>
  <property fmtid="{D5CDD505-2E9C-101B-9397-08002B2CF9AE}" pid="10" name="MediaServiceImageTags">
    <vt:lpwstr/>
  </property>
</Properties>
</file>