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E06A" w14:textId="7E0C4364" w:rsidR="007850C9" w:rsidRDefault="00E527D3" w:rsidP="00A43CBC">
      <w:pPr>
        <w:jc w:val="center"/>
        <w:rPr>
          <w:rFonts w:ascii="Arial" w:hAnsi="Arial"/>
          <w:sz w:val="24"/>
          <w:szCs w:val="24"/>
        </w:rPr>
      </w:pPr>
      <w:r w:rsidRPr="00AA0F23">
        <w:rPr>
          <w:rFonts w:ascii="Arial" w:hAnsi="Arial"/>
          <w:noProof/>
          <w:sz w:val="24"/>
          <w:szCs w:val="24"/>
          <w:lang w:val="en-US" w:eastAsia="en-US"/>
        </w:rPr>
        <mc:AlternateContent>
          <mc:Choice Requires="wps">
            <w:drawing>
              <wp:anchor distT="0" distB="0" distL="114300" distR="114300" simplePos="0" relativeHeight="251665408" behindDoc="0" locked="0" layoutInCell="1" allowOverlap="1" wp14:anchorId="71929E16" wp14:editId="20C7A5D5">
                <wp:simplePos x="0" y="0"/>
                <wp:positionH relativeFrom="page">
                  <wp:posOffset>75565</wp:posOffset>
                </wp:positionH>
                <wp:positionV relativeFrom="page">
                  <wp:posOffset>6305550</wp:posOffset>
                </wp:positionV>
                <wp:extent cx="7556500" cy="482600"/>
                <wp:effectExtent l="0" t="0" r="0" b="0"/>
                <wp:wrapThrough wrapText="bothSides">
                  <wp:wrapPolygon edited="0">
                    <wp:start x="73" y="0"/>
                    <wp:lineTo x="73" y="20463"/>
                    <wp:lineTo x="21418" y="20463"/>
                    <wp:lineTo x="21418" y="0"/>
                    <wp:lineTo x="73" y="0"/>
                  </wp:wrapPolygon>
                </wp:wrapThrough>
                <wp:docPr id="1" name="Text Box 1"/>
                <wp:cNvGraphicFramePr/>
                <a:graphic xmlns:a="http://schemas.openxmlformats.org/drawingml/2006/main">
                  <a:graphicData uri="http://schemas.microsoft.com/office/word/2010/wordprocessingShape">
                    <wps:wsp>
                      <wps:cNvSpPr txBox="1"/>
                      <wps:spPr>
                        <a:xfrm>
                          <a:off x="0" y="0"/>
                          <a:ext cx="7556500" cy="482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114F4B4" w14:textId="77777777" w:rsidR="00E527D3" w:rsidRPr="0070095B" w:rsidRDefault="00E527D3" w:rsidP="00E527D3">
                            <w:pPr>
                              <w:spacing w:after="0"/>
                              <w:ind w:right="119"/>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9E16" id="_x0000_t202" coordsize="21600,21600" o:spt="202" path="m,l,21600r21600,l21600,xe">
                <v:stroke joinstyle="miter"/>
                <v:path gradientshapeok="t" o:connecttype="rect"/>
              </v:shapetype>
              <v:shape id="Text Box 1" o:spid="_x0000_s1026" type="#_x0000_t202" style="position:absolute;left:0;text-align:left;margin-left:5.95pt;margin-top:496.5pt;width:595pt;height:3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" filled="f" stroked="f">
                <v:textbox>
                  <w:txbxContent>
                    <w:p w14:paraId="5114F4B4" w14:textId="77777777" w:rsidR="00E527D3" w:rsidRPr="0070095B" w:rsidRDefault="00E527D3" w:rsidP="00E527D3">
                      <w:pPr>
                        <w:spacing w:after="0"/>
                        <w:ind w:right="119"/>
                        <w:jc w:val="center"/>
                        <w:rPr>
                          <w:color w:val="000000" w:themeColor="text1"/>
                        </w:rPr>
                      </w:pPr>
                    </w:p>
                  </w:txbxContent>
                </v:textbox>
                <w10:wrap type="through" anchorx="page" anchory="page"/>
              </v:shape>
            </w:pict>
          </mc:Fallback>
        </mc:AlternateContent>
      </w:r>
      <w:r w:rsidR="00E15925" w:rsidRPr="00AA0F23">
        <w:rPr>
          <w:rFonts w:ascii="Arial" w:hAnsi="Arial"/>
          <w:noProof/>
          <w:sz w:val="24"/>
          <w:szCs w:val="24"/>
          <w:lang w:val="en-US" w:eastAsia="en-US"/>
        </w:rPr>
        <mc:AlternateContent>
          <mc:Choice Requires="wps">
            <w:drawing>
              <wp:anchor distT="0" distB="0" distL="114300" distR="114300" simplePos="0" relativeHeight="251661312" behindDoc="0" locked="0" layoutInCell="1" allowOverlap="1" wp14:anchorId="70DDE8E6" wp14:editId="37FD61FA">
                <wp:simplePos x="0" y="0"/>
                <wp:positionH relativeFrom="page">
                  <wp:posOffset>360045</wp:posOffset>
                </wp:positionH>
                <wp:positionV relativeFrom="page">
                  <wp:posOffset>4699000</wp:posOffset>
                </wp:positionV>
                <wp:extent cx="6840855" cy="1244600"/>
                <wp:effectExtent l="0" t="0" r="0" b="0"/>
                <wp:wrapThrough wrapText="bothSides">
                  <wp:wrapPolygon edited="0">
                    <wp:start x="80" y="0"/>
                    <wp:lineTo x="80" y="21159"/>
                    <wp:lineTo x="21414" y="21159"/>
                    <wp:lineTo x="21414" y="0"/>
                    <wp:lineTo x="80" y="0"/>
                  </wp:wrapPolygon>
                </wp:wrapThrough>
                <wp:docPr id="6" name="Text Box 6"/>
                <wp:cNvGraphicFramePr/>
                <a:graphic xmlns:a="http://schemas.openxmlformats.org/drawingml/2006/main">
                  <a:graphicData uri="http://schemas.microsoft.com/office/word/2010/wordprocessingShape">
                    <wps:wsp>
                      <wps:cNvSpPr txBox="1"/>
                      <wps:spPr>
                        <a:xfrm>
                          <a:off x="0" y="0"/>
                          <a:ext cx="6840855" cy="124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14EE552" w14:textId="77777777" w:rsidR="0047249A" w:rsidRPr="0047249A" w:rsidRDefault="00A43CBC" w:rsidP="0047249A">
                            <w:pPr>
                              <w:spacing w:after="0"/>
                              <w:ind w:right="119"/>
                              <w:jc w:val="center"/>
                              <w:rPr>
                                <w:rFonts w:ascii="Arial" w:hAnsi="Arial" w:cs="Arial"/>
                                <w:color w:val="FFFFFF" w:themeColor="background1"/>
                                <w:sz w:val="72"/>
                                <w:szCs w:val="40"/>
                              </w:rPr>
                            </w:pPr>
                            <w:r>
                              <w:rPr>
                                <w:rFonts w:ascii="Arial" w:hAnsi="Arial" w:cs="Arial"/>
                                <w:color w:val="FFFFFF" w:themeColor="background1"/>
                                <w:sz w:val="72"/>
                                <w:szCs w:val="40"/>
                              </w:rPr>
                              <w:t xml:space="preserve">Podiatry Service – GMMH Service Specification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DE8E6" id="_x0000_t202" coordsize="21600,21600" o:spt="202" path="m,l,21600r21600,l21600,xe">
                <v:stroke joinstyle="miter"/>
                <v:path gradientshapeok="t" o:connecttype="rect"/>
              </v:shapetype>
              <v:shape id="Text Box 6" o:spid="_x0000_s1027" type="#_x0000_t202" style="position:absolute;left:0;text-align:left;margin-left:28.35pt;margin-top:370pt;width:538.65pt;height: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" filled="f" stroked="f">
                <v:textbox>
                  <w:txbxContent>
                    <w:p w14:paraId="514EE552" w14:textId="77777777" w:rsidR="0047249A" w:rsidRPr="0047249A" w:rsidRDefault="00A43CBC" w:rsidP="0047249A">
                      <w:pPr>
                        <w:spacing w:after="0"/>
                        <w:ind w:right="119"/>
                        <w:jc w:val="center"/>
                        <w:rPr>
                          <w:rFonts w:ascii="Arial" w:hAnsi="Arial" w:cs="Arial"/>
                          <w:color w:val="FFFFFF" w:themeColor="background1"/>
                          <w:sz w:val="72"/>
                          <w:szCs w:val="40"/>
                        </w:rPr>
                      </w:pPr>
                      <w:r>
                        <w:rPr>
                          <w:rFonts w:ascii="Arial" w:hAnsi="Arial" w:cs="Arial"/>
                          <w:color w:val="FFFFFF" w:themeColor="background1"/>
                          <w:sz w:val="72"/>
                          <w:szCs w:val="40"/>
                        </w:rPr>
                        <w:t xml:space="preserve">Podiatry Service – GMMH Service Specification </w:t>
                      </w:r>
                    </w:p>
                  </w:txbxContent>
                </v:textbox>
                <w10:wrap type="through" anchorx="page" anchory="page"/>
              </v:shape>
            </w:pict>
          </mc:Fallback>
        </mc:AlternateContent>
      </w:r>
      <w:r w:rsidR="0047249A" w:rsidRPr="00AA0F23">
        <w:rPr>
          <w:rFonts w:ascii="Arial" w:hAnsi="Arial"/>
          <w:noProof/>
          <w:sz w:val="24"/>
          <w:szCs w:val="24"/>
          <w:lang w:val="en-US" w:eastAsia="en-US"/>
        </w:rPr>
        <mc:AlternateContent>
          <mc:Choice Requires="wps">
            <w:drawing>
              <wp:anchor distT="0" distB="0" distL="114300" distR="114300" simplePos="0" relativeHeight="251659264" behindDoc="0" locked="0" layoutInCell="1" allowOverlap="1" wp14:anchorId="106D3479" wp14:editId="4882BB75">
                <wp:simplePos x="0" y="0"/>
                <wp:positionH relativeFrom="page">
                  <wp:posOffset>0</wp:posOffset>
                </wp:positionH>
                <wp:positionV relativeFrom="page">
                  <wp:posOffset>4610100</wp:posOffset>
                </wp:positionV>
                <wp:extent cx="7556500" cy="1473200"/>
                <wp:effectExtent l="0" t="0" r="12700" b="0"/>
                <wp:wrapThrough wrapText="bothSides">
                  <wp:wrapPolygon edited="0">
                    <wp:start x="0" y="0"/>
                    <wp:lineTo x="0" y="21228"/>
                    <wp:lineTo x="21564" y="21228"/>
                    <wp:lineTo x="21564"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556500" cy="1473200"/>
                        </a:xfrm>
                        <a:prstGeom prst="rect">
                          <a:avLst/>
                        </a:prstGeom>
                        <a:solidFill>
                          <a:srgbClr val="80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F1D16" id="Rectangle 4" o:spid="_x0000_s1026" style="position:absolute;margin-left:0;margin-top:363pt;width:595pt;height:1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" fillcolor="maroon" stroked="f">
                <w10:wrap type="through" anchorx="page" anchory="page"/>
              </v:rect>
            </w:pict>
          </mc:Fallback>
        </mc:AlternateContent>
      </w:r>
      <w:r w:rsidR="00E046A1" w:rsidRPr="00AA0F23">
        <w:rPr>
          <w:rFonts w:ascii="Arial" w:hAnsi="Arial"/>
          <w:sz w:val="24"/>
          <w:szCs w:val="24"/>
        </w:rPr>
        <w:t xml:space="preserve"> </w:t>
      </w:r>
    </w:p>
    <w:p w14:paraId="693B2A95" w14:textId="4DA254DF" w:rsidR="00E17C0C" w:rsidRDefault="002102AF" w:rsidP="00A43CBC">
      <w:pPr>
        <w:jc w:val="center"/>
        <w:rPr>
          <w:rFonts w:ascii="Arial" w:hAnsi="Arial"/>
          <w:sz w:val="24"/>
          <w:szCs w:val="24"/>
        </w:rPr>
      </w:pPr>
      <w:r w:rsidRPr="00AA0F23">
        <w:rPr>
          <w:rFonts w:ascii="Arial" w:hAnsi="Arial"/>
          <w:noProof/>
          <w:sz w:val="24"/>
          <w:szCs w:val="24"/>
          <w:lang w:val="en-US" w:eastAsia="en-US"/>
        </w:rPr>
        <w:lastRenderedPageBreak/>
        <mc:AlternateContent>
          <mc:Choice Requires="wps">
            <w:drawing>
              <wp:anchor distT="0" distB="0" distL="114300" distR="114300" simplePos="0" relativeHeight="251663360" behindDoc="0" locked="0" layoutInCell="1" allowOverlap="1" wp14:anchorId="2631AF54" wp14:editId="316769B3">
                <wp:simplePos x="0" y="0"/>
                <wp:positionH relativeFrom="page">
                  <wp:posOffset>309563</wp:posOffset>
                </wp:positionH>
                <wp:positionV relativeFrom="page">
                  <wp:posOffset>1343025</wp:posOffset>
                </wp:positionV>
                <wp:extent cx="7556500" cy="482600"/>
                <wp:effectExtent l="0" t="0" r="0" b="0"/>
                <wp:wrapThrough wrapText="bothSides">
                  <wp:wrapPolygon edited="0">
                    <wp:start x="73" y="0"/>
                    <wp:lineTo x="73" y="20463"/>
                    <wp:lineTo x="21418" y="20463"/>
                    <wp:lineTo x="21418" y="0"/>
                    <wp:lineTo x="73" y="0"/>
                  </wp:wrapPolygon>
                </wp:wrapThrough>
                <wp:docPr id="5" name="Text Box 5"/>
                <wp:cNvGraphicFramePr/>
                <a:graphic xmlns:a="http://schemas.openxmlformats.org/drawingml/2006/main">
                  <a:graphicData uri="http://schemas.microsoft.com/office/word/2010/wordprocessingShape">
                    <wps:wsp>
                      <wps:cNvSpPr txBox="1"/>
                      <wps:spPr>
                        <a:xfrm>
                          <a:off x="0" y="0"/>
                          <a:ext cx="7556500" cy="482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F5465A9" w14:textId="77777777" w:rsidR="00ED711B" w:rsidRPr="0070095B" w:rsidRDefault="00ED711B" w:rsidP="00ED711B">
                            <w:pPr>
                              <w:spacing w:after="0"/>
                              <w:ind w:right="119"/>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AF54" id="Text Box 5" o:spid="_x0000_s1028" type="#_x0000_t202" style="position:absolute;left:0;text-align:left;margin-left:24.4pt;margin-top:105.75pt;width:595pt;height:3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" filled="f" stroked="f">
                <v:textbox>
                  <w:txbxContent>
                    <w:p w14:paraId="0F5465A9" w14:textId="77777777" w:rsidR="00ED711B" w:rsidRPr="0070095B" w:rsidRDefault="00ED711B" w:rsidP="00ED711B">
                      <w:pPr>
                        <w:spacing w:after="0"/>
                        <w:ind w:right="119"/>
                        <w:jc w:val="center"/>
                        <w:rPr>
                          <w:color w:val="000000" w:themeColor="text1"/>
                        </w:rPr>
                      </w:pPr>
                    </w:p>
                  </w:txbxContent>
                </v:textbox>
                <w10:wrap type="through" anchorx="page" anchory="page"/>
              </v:shape>
            </w:pict>
          </mc:Fallback>
        </mc:AlternateContent>
      </w:r>
      <w:r w:rsidR="00984B99">
        <w:rPr>
          <w:noProof/>
        </w:rPr>
        <w:drawing>
          <wp:inline distT="0" distB="0" distL="0" distR="0" wp14:anchorId="0A4335D8" wp14:editId="29636593">
            <wp:extent cx="6031383" cy="3151398"/>
            <wp:effectExtent l="0" t="0" r="7620" b="0"/>
            <wp:docPr id="133249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357" cy="3167060"/>
                    </a:xfrm>
                    <a:prstGeom prst="rect">
                      <a:avLst/>
                    </a:prstGeom>
                    <a:noFill/>
                  </pic:spPr>
                </pic:pic>
              </a:graphicData>
            </a:graphic>
          </wp:inline>
        </w:drawing>
      </w:r>
      <w:r w:rsidR="003827BE">
        <w:rPr>
          <w:noProof/>
        </w:rPr>
        <w:t xml:space="preserve">  </w:t>
      </w:r>
      <w:r w:rsidR="00E17C0C">
        <w:rPr>
          <w:rFonts w:ascii="Arial" w:hAnsi="Arial"/>
          <w:sz w:val="24"/>
          <w:szCs w:val="24"/>
        </w:rPr>
        <w:t xml:space="preserve">                                                    </w:t>
      </w:r>
      <w:r w:rsidR="003827BE">
        <w:rPr>
          <w:noProof/>
        </w:rPr>
        <w:t xml:space="preserve"> </w:t>
      </w:r>
      <w:r w:rsidR="00A05090" w:rsidRPr="007850C9">
        <w:rPr>
          <w:rFonts w:ascii="Arial" w:hAnsi="Arial"/>
          <w:sz w:val="24"/>
          <w:szCs w:val="24"/>
        </w:rPr>
        <w:br w:type="page"/>
      </w:r>
    </w:p>
    <w:p w14:paraId="1DDD7B6F" w14:textId="77777777" w:rsidR="00E17C0C" w:rsidRDefault="00E17C0C" w:rsidP="00A43CBC">
      <w:pPr>
        <w:jc w:val="center"/>
        <w:rPr>
          <w:rFonts w:ascii="Arial" w:hAnsi="Arial"/>
          <w:sz w:val="24"/>
          <w:szCs w:val="24"/>
        </w:rPr>
      </w:pPr>
    </w:p>
    <w:p w14:paraId="54D51AFA" w14:textId="77777777" w:rsidR="00A43CBC" w:rsidRPr="00E17C0C" w:rsidRDefault="00035979" w:rsidP="00E17C0C">
      <w:pPr>
        <w:jc w:val="center"/>
        <w:rPr>
          <w:rFonts w:ascii="Arial" w:hAnsi="Arial" w:cs="Arial"/>
          <w:b/>
          <w:bCs/>
          <w:sz w:val="24"/>
          <w:szCs w:val="24"/>
          <w:u w:val="single"/>
          <w:lang w:val="en-US"/>
        </w:rPr>
      </w:pPr>
      <w:r w:rsidRPr="00A43CBC">
        <w:rPr>
          <w:rFonts w:ascii="Arial" w:hAnsi="Arial" w:cs="Arial"/>
          <w:color w:val="3C3C3B"/>
          <w:sz w:val="24"/>
          <w:szCs w:val="24"/>
        </w:rPr>
        <w:t xml:space="preserve"> </w:t>
      </w:r>
      <w:r w:rsidR="00A43CBC" w:rsidRPr="00A43CBC">
        <w:rPr>
          <w:rFonts w:ascii="Arial" w:hAnsi="Arial" w:cs="Arial"/>
          <w:b/>
          <w:bCs/>
          <w:sz w:val="24"/>
          <w:szCs w:val="24"/>
          <w:u w:val="single"/>
          <w:lang w:val="en-US"/>
        </w:rPr>
        <w:t>Service Specification –</w:t>
      </w:r>
      <w:r w:rsidR="00A43CBC">
        <w:rPr>
          <w:rFonts w:ascii="Arial" w:hAnsi="Arial" w:cs="Arial"/>
          <w:b/>
          <w:bCs/>
          <w:sz w:val="24"/>
          <w:szCs w:val="24"/>
          <w:u w:val="single"/>
          <w:lang w:val="en-US"/>
        </w:rPr>
        <w:t xml:space="preserve"> GMMH</w:t>
      </w:r>
      <w:r w:rsidR="00A43CBC" w:rsidRPr="00A43CBC">
        <w:rPr>
          <w:rFonts w:ascii="Arial" w:hAnsi="Arial" w:cs="Arial"/>
          <w:b/>
          <w:bCs/>
          <w:sz w:val="24"/>
          <w:szCs w:val="24"/>
          <w:u w:val="single"/>
          <w:lang w:val="en-US"/>
        </w:rPr>
        <w:t xml:space="preserve"> Podiatry Service</w:t>
      </w:r>
    </w:p>
    <w:p w14:paraId="0E78D7DE" w14:textId="77777777" w:rsidR="00A43CBC" w:rsidRPr="00A43CBC" w:rsidRDefault="00A43CBC" w:rsidP="00A43CBC">
      <w:pPr>
        <w:ind w:left="720" w:hanging="720"/>
        <w:jc w:val="both"/>
        <w:rPr>
          <w:rFonts w:ascii="Arial" w:hAnsi="Arial" w:cs="Arial"/>
          <w:b/>
          <w:bCs/>
          <w:sz w:val="24"/>
          <w:szCs w:val="24"/>
        </w:rPr>
      </w:pPr>
      <w:r w:rsidRPr="00A43CBC">
        <w:rPr>
          <w:rFonts w:ascii="Arial" w:hAnsi="Arial" w:cs="Arial"/>
          <w:bCs/>
          <w:sz w:val="24"/>
          <w:szCs w:val="24"/>
        </w:rPr>
        <w:t>1.0</w:t>
      </w:r>
      <w:r w:rsidRPr="00A43CBC">
        <w:rPr>
          <w:rFonts w:ascii="Arial" w:hAnsi="Arial" w:cs="Arial"/>
          <w:b/>
          <w:bCs/>
          <w:sz w:val="24"/>
          <w:szCs w:val="24"/>
        </w:rPr>
        <w:tab/>
        <w:t>Summary</w:t>
      </w:r>
    </w:p>
    <w:p w14:paraId="4CFE1A77" w14:textId="77777777" w:rsidR="00A43CBC" w:rsidRPr="00A43CBC" w:rsidRDefault="00A43CBC" w:rsidP="00A43CBC">
      <w:pPr>
        <w:ind w:left="720"/>
        <w:jc w:val="both"/>
        <w:rPr>
          <w:rFonts w:ascii="Arial" w:hAnsi="Arial" w:cs="Arial"/>
          <w:sz w:val="24"/>
          <w:szCs w:val="24"/>
        </w:rPr>
      </w:pPr>
      <w:r w:rsidRPr="00A43CBC">
        <w:rPr>
          <w:rFonts w:ascii="Arial" w:hAnsi="Arial" w:cs="Arial"/>
          <w:sz w:val="24"/>
          <w:szCs w:val="24"/>
        </w:rPr>
        <w:t>This contract is for the provision of Podiatry Service</w:t>
      </w:r>
      <w:r>
        <w:rPr>
          <w:rFonts w:ascii="Arial" w:hAnsi="Arial" w:cs="Arial"/>
          <w:sz w:val="24"/>
          <w:szCs w:val="24"/>
        </w:rPr>
        <w:t>s within Greater Manchester Mental Health Trust</w:t>
      </w:r>
    </w:p>
    <w:p w14:paraId="4B4A379F" w14:textId="77777777" w:rsidR="00A43CBC" w:rsidRDefault="00A43CBC" w:rsidP="00046109">
      <w:pPr>
        <w:spacing w:after="0" w:line="240" w:lineRule="auto"/>
        <w:jc w:val="both"/>
        <w:rPr>
          <w:rFonts w:ascii="Arial" w:hAnsi="Arial" w:cs="Arial"/>
          <w:b/>
          <w:bCs/>
          <w:sz w:val="24"/>
          <w:szCs w:val="24"/>
        </w:rPr>
      </w:pPr>
      <w:r w:rsidRPr="00A43CBC">
        <w:rPr>
          <w:rFonts w:ascii="Arial" w:hAnsi="Arial" w:cs="Arial"/>
          <w:bCs/>
          <w:sz w:val="24"/>
          <w:szCs w:val="24"/>
        </w:rPr>
        <w:t>2.0</w:t>
      </w:r>
      <w:r w:rsidRPr="00A43CBC">
        <w:rPr>
          <w:rFonts w:ascii="Arial" w:hAnsi="Arial" w:cs="Arial"/>
          <w:b/>
          <w:bCs/>
          <w:sz w:val="24"/>
          <w:szCs w:val="24"/>
        </w:rPr>
        <w:t xml:space="preserve"> </w:t>
      </w:r>
      <w:r w:rsidRPr="00A43CBC">
        <w:rPr>
          <w:rFonts w:ascii="Arial" w:hAnsi="Arial" w:cs="Arial"/>
          <w:b/>
          <w:bCs/>
          <w:sz w:val="24"/>
          <w:szCs w:val="24"/>
        </w:rPr>
        <w:tab/>
        <w:t>Purpose and scope of the Service Agreement and models of care</w:t>
      </w:r>
    </w:p>
    <w:p w14:paraId="6589D3A6" w14:textId="77777777" w:rsidR="002102AF" w:rsidRPr="00A43CBC" w:rsidRDefault="002102AF" w:rsidP="00046109">
      <w:pPr>
        <w:spacing w:after="0" w:line="240" w:lineRule="auto"/>
        <w:jc w:val="both"/>
        <w:rPr>
          <w:rFonts w:ascii="Arial" w:hAnsi="Arial" w:cs="Arial"/>
          <w:b/>
          <w:bCs/>
          <w:sz w:val="24"/>
          <w:szCs w:val="24"/>
        </w:rPr>
      </w:pPr>
    </w:p>
    <w:p w14:paraId="7944BA48" w14:textId="0CBB143F" w:rsidR="00A43CBC" w:rsidRDefault="00A43CBC" w:rsidP="00046109">
      <w:pPr>
        <w:spacing w:after="0" w:line="240" w:lineRule="auto"/>
        <w:ind w:left="720" w:hanging="720"/>
        <w:jc w:val="both"/>
        <w:rPr>
          <w:rFonts w:ascii="Arial" w:hAnsi="Arial" w:cs="Arial"/>
          <w:sz w:val="24"/>
          <w:szCs w:val="24"/>
        </w:rPr>
      </w:pPr>
      <w:r w:rsidRPr="00A43CBC">
        <w:rPr>
          <w:rFonts w:ascii="Arial" w:hAnsi="Arial" w:cs="Arial"/>
          <w:sz w:val="24"/>
          <w:szCs w:val="24"/>
        </w:rPr>
        <w:t xml:space="preserve">2.1 </w:t>
      </w:r>
      <w:r w:rsidRPr="00A43CBC">
        <w:rPr>
          <w:rFonts w:ascii="Arial" w:hAnsi="Arial" w:cs="Arial"/>
          <w:sz w:val="24"/>
          <w:szCs w:val="24"/>
        </w:rPr>
        <w:tab/>
        <w:t xml:space="preserve">This agreement sets out the terms and conditions upon </w:t>
      </w:r>
      <w:proofErr w:type="spellStart"/>
      <w:r w:rsidR="003827BE" w:rsidRPr="003827BE">
        <w:rPr>
          <w:rFonts w:ascii="Arial" w:hAnsi="Arial" w:cs="Arial"/>
          <w:sz w:val="24"/>
          <w:szCs w:val="24"/>
          <w:highlight w:val="yellow"/>
        </w:rPr>
        <w:t>xxxxxxxx</w:t>
      </w:r>
      <w:proofErr w:type="spellEnd"/>
      <w:r w:rsidRPr="00A43CBC">
        <w:rPr>
          <w:rFonts w:ascii="Arial" w:hAnsi="Arial" w:cs="Arial"/>
          <w:sz w:val="24"/>
          <w:szCs w:val="24"/>
        </w:rPr>
        <w:t xml:space="preserve"> will provide a manpower resource to carry out the agreed patient contacts to</w:t>
      </w:r>
      <w:r w:rsidR="002102AF">
        <w:rPr>
          <w:rFonts w:ascii="Arial" w:hAnsi="Arial" w:cs="Arial"/>
          <w:sz w:val="24"/>
          <w:szCs w:val="24"/>
        </w:rPr>
        <w:t xml:space="preserve"> </w:t>
      </w:r>
      <w:proofErr w:type="spellStart"/>
      <w:r w:rsidR="003827BE" w:rsidRPr="003827BE">
        <w:rPr>
          <w:rFonts w:ascii="Arial" w:hAnsi="Arial" w:cs="Arial"/>
          <w:sz w:val="24"/>
          <w:szCs w:val="24"/>
          <w:highlight w:val="yellow"/>
        </w:rPr>
        <w:t>xxxxxxxxx</w:t>
      </w:r>
      <w:proofErr w:type="spellEnd"/>
      <w:r w:rsidR="003827BE">
        <w:rPr>
          <w:rFonts w:ascii="Arial" w:hAnsi="Arial" w:cs="Arial"/>
          <w:sz w:val="24"/>
          <w:szCs w:val="24"/>
        </w:rPr>
        <w:t xml:space="preserve"> of </w:t>
      </w:r>
      <w:r w:rsidRPr="00A43CBC">
        <w:rPr>
          <w:rFonts w:ascii="Arial" w:hAnsi="Arial" w:cs="Arial"/>
          <w:sz w:val="24"/>
          <w:szCs w:val="24"/>
        </w:rPr>
        <w:t>Greater Manchester Mental Health NHS Foundation Trust (Commissioner).</w:t>
      </w:r>
    </w:p>
    <w:p w14:paraId="196BF280" w14:textId="77777777" w:rsidR="002102AF" w:rsidRPr="00A43CBC" w:rsidRDefault="002102AF" w:rsidP="00046109">
      <w:pPr>
        <w:spacing w:after="0" w:line="240" w:lineRule="auto"/>
        <w:ind w:left="720" w:hanging="720"/>
        <w:jc w:val="both"/>
        <w:rPr>
          <w:rFonts w:ascii="Arial" w:hAnsi="Arial" w:cs="Arial"/>
          <w:sz w:val="24"/>
          <w:szCs w:val="24"/>
        </w:rPr>
      </w:pPr>
    </w:p>
    <w:p w14:paraId="5CAB4F18" w14:textId="77777777" w:rsidR="00A43CBC" w:rsidRPr="00A43CBC" w:rsidRDefault="00A43CBC" w:rsidP="00046109">
      <w:pPr>
        <w:numPr>
          <w:ilvl w:val="2"/>
          <w:numId w:val="3"/>
        </w:numPr>
        <w:spacing w:after="0" w:line="240" w:lineRule="auto"/>
        <w:jc w:val="both"/>
        <w:rPr>
          <w:rFonts w:ascii="Arial" w:hAnsi="Arial" w:cs="Arial"/>
          <w:sz w:val="24"/>
          <w:szCs w:val="24"/>
          <w:u w:val="single"/>
        </w:rPr>
      </w:pPr>
      <w:r w:rsidRPr="00A43CBC">
        <w:rPr>
          <w:rFonts w:ascii="Arial" w:hAnsi="Arial" w:cs="Arial"/>
          <w:sz w:val="24"/>
          <w:szCs w:val="24"/>
          <w:u w:val="single"/>
        </w:rPr>
        <w:t>Scope of Service</w:t>
      </w:r>
    </w:p>
    <w:p w14:paraId="33063E23" w14:textId="77777777" w:rsidR="00A43CBC" w:rsidRPr="00A43CBC" w:rsidRDefault="00A43CBC" w:rsidP="00046109">
      <w:pPr>
        <w:pStyle w:val="Header"/>
        <w:jc w:val="both"/>
        <w:rPr>
          <w:rFonts w:ascii="Arial" w:hAnsi="Arial" w:cs="Arial"/>
        </w:rPr>
      </w:pPr>
    </w:p>
    <w:p w14:paraId="118A8635" w14:textId="77777777" w:rsidR="00A43CBC" w:rsidRDefault="00A43CBC" w:rsidP="00046109">
      <w:pPr>
        <w:spacing w:after="0" w:line="240" w:lineRule="auto"/>
        <w:ind w:left="720"/>
        <w:jc w:val="both"/>
        <w:rPr>
          <w:rFonts w:ascii="Arial" w:hAnsi="Arial" w:cs="Arial"/>
          <w:sz w:val="24"/>
          <w:szCs w:val="24"/>
        </w:rPr>
      </w:pPr>
      <w:proofErr w:type="gramStart"/>
      <w:r w:rsidRPr="00A43CBC">
        <w:rPr>
          <w:rFonts w:ascii="Arial" w:hAnsi="Arial" w:cs="Arial"/>
          <w:sz w:val="24"/>
          <w:szCs w:val="24"/>
        </w:rPr>
        <w:t>For the purpose of</w:t>
      </w:r>
      <w:proofErr w:type="gramEnd"/>
      <w:r w:rsidRPr="00A43CBC">
        <w:rPr>
          <w:rFonts w:ascii="Arial" w:hAnsi="Arial" w:cs="Arial"/>
          <w:sz w:val="24"/>
          <w:szCs w:val="24"/>
        </w:rPr>
        <w:t xml:space="preserve"> this service level agreement the profession included is Podiatry.  This service is recognised nationally as Allied Health Professions (AHPs) and within this document refer specifically to Podiatrists.</w:t>
      </w:r>
    </w:p>
    <w:p w14:paraId="0A4B494B" w14:textId="77777777" w:rsidR="00046109" w:rsidRPr="00A43CBC" w:rsidRDefault="00046109" w:rsidP="00046109">
      <w:pPr>
        <w:spacing w:after="0" w:line="240" w:lineRule="auto"/>
        <w:ind w:left="720"/>
        <w:jc w:val="both"/>
        <w:rPr>
          <w:rFonts w:ascii="Arial" w:hAnsi="Arial" w:cs="Arial"/>
          <w:sz w:val="24"/>
          <w:szCs w:val="24"/>
        </w:rPr>
      </w:pPr>
    </w:p>
    <w:p w14:paraId="054771E8" w14:textId="77777777" w:rsidR="00A43CBC" w:rsidRDefault="00A43CBC" w:rsidP="00046109">
      <w:pPr>
        <w:spacing w:after="0" w:line="240" w:lineRule="auto"/>
        <w:ind w:left="720"/>
        <w:jc w:val="both"/>
        <w:rPr>
          <w:rFonts w:ascii="Arial" w:hAnsi="Arial" w:cs="Arial"/>
          <w:sz w:val="24"/>
          <w:szCs w:val="24"/>
        </w:rPr>
      </w:pPr>
      <w:r w:rsidRPr="00A43CBC">
        <w:rPr>
          <w:rFonts w:ascii="Arial" w:hAnsi="Arial" w:cs="Arial"/>
          <w:sz w:val="24"/>
          <w:szCs w:val="24"/>
        </w:rPr>
        <w:t xml:space="preserve">The services are managed in an integrated management structure and their clinical practice includes the assessment, diagnosis and treatment of the lower limb. </w:t>
      </w:r>
    </w:p>
    <w:p w14:paraId="20E9727A" w14:textId="77777777" w:rsidR="00046109" w:rsidRPr="00A43CBC" w:rsidRDefault="00046109" w:rsidP="00046109">
      <w:pPr>
        <w:spacing w:after="0" w:line="240" w:lineRule="auto"/>
        <w:ind w:left="720"/>
        <w:jc w:val="both"/>
        <w:rPr>
          <w:rFonts w:ascii="Arial" w:hAnsi="Arial" w:cs="Arial"/>
          <w:sz w:val="24"/>
          <w:szCs w:val="24"/>
        </w:rPr>
      </w:pPr>
    </w:p>
    <w:p w14:paraId="36D977B4" w14:textId="77777777" w:rsidR="00A43CBC" w:rsidRDefault="00A43CBC" w:rsidP="00046109">
      <w:pPr>
        <w:numPr>
          <w:ilvl w:val="2"/>
          <w:numId w:val="3"/>
        </w:numPr>
        <w:spacing w:after="0" w:line="240" w:lineRule="auto"/>
        <w:jc w:val="both"/>
        <w:rPr>
          <w:rFonts w:ascii="Arial" w:hAnsi="Arial" w:cs="Arial"/>
          <w:sz w:val="24"/>
          <w:szCs w:val="24"/>
          <w:u w:val="single"/>
        </w:rPr>
      </w:pPr>
      <w:r w:rsidRPr="00A43CBC">
        <w:rPr>
          <w:rFonts w:ascii="Arial" w:hAnsi="Arial" w:cs="Arial"/>
          <w:sz w:val="24"/>
          <w:szCs w:val="24"/>
          <w:u w:val="single"/>
        </w:rPr>
        <w:t>Models of Care</w:t>
      </w:r>
    </w:p>
    <w:p w14:paraId="4FD215DF" w14:textId="77777777" w:rsidR="00A43CBC" w:rsidRPr="00A43CBC" w:rsidRDefault="00A43CBC" w:rsidP="00046109">
      <w:pPr>
        <w:spacing w:after="0" w:line="240" w:lineRule="auto"/>
        <w:ind w:left="720"/>
        <w:jc w:val="both"/>
        <w:rPr>
          <w:rFonts w:ascii="Arial" w:hAnsi="Arial" w:cs="Arial"/>
          <w:sz w:val="24"/>
          <w:szCs w:val="24"/>
          <w:u w:val="single"/>
        </w:rPr>
      </w:pPr>
    </w:p>
    <w:p w14:paraId="499DF1EA" w14:textId="77777777" w:rsidR="00A43CBC" w:rsidRDefault="00A43CBC" w:rsidP="00046109">
      <w:pPr>
        <w:spacing w:after="0" w:line="240" w:lineRule="auto"/>
        <w:ind w:left="720"/>
        <w:jc w:val="both"/>
        <w:rPr>
          <w:rFonts w:ascii="Arial" w:hAnsi="Arial" w:cs="Arial"/>
          <w:sz w:val="24"/>
          <w:szCs w:val="24"/>
        </w:rPr>
      </w:pPr>
      <w:r w:rsidRPr="00A43CBC">
        <w:rPr>
          <w:rFonts w:ascii="Arial" w:hAnsi="Arial" w:cs="Arial"/>
          <w:sz w:val="24"/>
          <w:szCs w:val="24"/>
        </w:rPr>
        <w:t>Whilst each profession has its own way of working, the broad principles that underpin the AHP philosophy are to support the promotion of health, well-being and independence of all clients. Partnership working with other professional groups such as nursing and medicine is a major feature of the work undertaken.</w:t>
      </w:r>
    </w:p>
    <w:p w14:paraId="4B56790C" w14:textId="77777777" w:rsidR="00046109" w:rsidRPr="00A43CBC" w:rsidRDefault="00046109" w:rsidP="00046109">
      <w:pPr>
        <w:spacing w:after="0" w:line="240" w:lineRule="auto"/>
        <w:ind w:left="720"/>
        <w:jc w:val="both"/>
        <w:rPr>
          <w:rFonts w:ascii="Arial" w:hAnsi="Arial" w:cs="Arial"/>
          <w:sz w:val="24"/>
          <w:szCs w:val="24"/>
        </w:rPr>
      </w:pPr>
    </w:p>
    <w:p w14:paraId="4F6E8F6F" w14:textId="77777777" w:rsidR="00A43CBC" w:rsidRDefault="00A43CBC" w:rsidP="00046109">
      <w:pPr>
        <w:numPr>
          <w:ilvl w:val="2"/>
          <w:numId w:val="3"/>
        </w:numPr>
        <w:spacing w:after="0" w:line="240" w:lineRule="auto"/>
        <w:jc w:val="both"/>
        <w:rPr>
          <w:rFonts w:ascii="Arial" w:hAnsi="Arial" w:cs="Arial"/>
          <w:sz w:val="24"/>
          <w:szCs w:val="24"/>
          <w:u w:val="single"/>
        </w:rPr>
      </w:pPr>
      <w:r w:rsidRPr="00A43CBC">
        <w:rPr>
          <w:rFonts w:ascii="Arial" w:hAnsi="Arial" w:cs="Arial"/>
          <w:sz w:val="24"/>
          <w:szCs w:val="24"/>
          <w:u w:val="single"/>
        </w:rPr>
        <w:t>Service Descriptions</w:t>
      </w:r>
    </w:p>
    <w:p w14:paraId="5F817980" w14:textId="77777777" w:rsidR="00A43CBC" w:rsidRPr="00A43CBC" w:rsidRDefault="00A43CBC" w:rsidP="00046109">
      <w:pPr>
        <w:spacing w:after="0" w:line="240" w:lineRule="auto"/>
        <w:ind w:left="720"/>
        <w:jc w:val="both"/>
        <w:rPr>
          <w:rFonts w:ascii="Arial" w:hAnsi="Arial" w:cs="Arial"/>
          <w:sz w:val="24"/>
          <w:szCs w:val="24"/>
          <w:u w:val="single"/>
        </w:rPr>
      </w:pPr>
    </w:p>
    <w:p w14:paraId="051F1E16" w14:textId="77777777" w:rsidR="00A43CBC" w:rsidRPr="00A43CBC" w:rsidRDefault="00A43CBC" w:rsidP="00046109">
      <w:pPr>
        <w:spacing w:after="0" w:line="240" w:lineRule="auto"/>
        <w:ind w:left="720"/>
        <w:rPr>
          <w:rFonts w:ascii="Arial" w:hAnsi="Arial" w:cs="Arial"/>
          <w:sz w:val="24"/>
          <w:szCs w:val="24"/>
        </w:rPr>
      </w:pPr>
      <w:r w:rsidRPr="00A43CBC">
        <w:rPr>
          <w:rFonts w:ascii="Arial" w:hAnsi="Arial" w:cs="Arial"/>
          <w:sz w:val="24"/>
          <w:szCs w:val="24"/>
        </w:rPr>
        <w:t>Assessment, diagnosis and treatment of conditions of the lower limb, with the aim of eradicating or controlling lower limb pathologies. This is to prevent mortality and morbidity and promote maximum mobility and improve quality of life, by reducing foot ulceration, amputation and pain, within a scope of practice that includes the following:</w:t>
      </w:r>
    </w:p>
    <w:p w14:paraId="15D1EBC4" w14:textId="77777777" w:rsidR="00A43CBC" w:rsidRPr="00A43CBC" w:rsidRDefault="00A43CBC" w:rsidP="00046109">
      <w:pPr>
        <w:pStyle w:val="ListParagraph"/>
        <w:numPr>
          <w:ilvl w:val="0"/>
          <w:numId w:val="8"/>
        </w:numPr>
        <w:rPr>
          <w:rFonts w:cs="Arial"/>
        </w:rPr>
      </w:pPr>
      <w:r w:rsidRPr="00A43CBC">
        <w:rPr>
          <w:rFonts w:cs="Arial"/>
        </w:rPr>
        <w:t xml:space="preserve">Nail care including thickened </w:t>
      </w:r>
      <w:proofErr w:type="gramStart"/>
      <w:r w:rsidRPr="00A43CBC">
        <w:rPr>
          <w:rFonts w:cs="Arial"/>
        </w:rPr>
        <w:t>nails</w:t>
      </w:r>
      <w:proofErr w:type="gramEnd"/>
    </w:p>
    <w:p w14:paraId="314E7367" w14:textId="29A8DC71" w:rsidR="00A43CBC" w:rsidRPr="00A43CBC" w:rsidRDefault="00A43CBC" w:rsidP="00046109">
      <w:pPr>
        <w:pStyle w:val="ListParagraph"/>
        <w:numPr>
          <w:ilvl w:val="0"/>
          <w:numId w:val="8"/>
        </w:numPr>
        <w:rPr>
          <w:rFonts w:cs="Arial"/>
        </w:rPr>
      </w:pPr>
      <w:r w:rsidRPr="00A43CBC">
        <w:rPr>
          <w:rFonts w:cs="Arial"/>
        </w:rPr>
        <w:t xml:space="preserve">Callus or corn causing </w:t>
      </w:r>
      <w:proofErr w:type="gramStart"/>
      <w:r w:rsidRPr="00A43CBC">
        <w:rPr>
          <w:rFonts w:cs="Arial"/>
        </w:rPr>
        <w:t>pain</w:t>
      </w:r>
      <w:r w:rsidR="002102AF">
        <w:rPr>
          <w:rFonts w:cs="Arial"/>
        </w:rPr>
        <w:t>s</w:t>
      </w:r>
      <w:proofErr w:type="gramEnd"/>
    </w:p>
    <w:p w14:paraId="29AE0EE9" w14:textId="77777777" w:rsidR="00A43CBC" w:rsidRPr="00A43CBC" w:rsidRDefault="00A43CBC" w:rsidP="00046109">
      <w:pPr>
        <w:pStyle w:val="ListParagraph"/>
        <w:numPr>
          <w:ilvl w:val="0"/>
          <w:numId w:val="8"/>
        </w:numPr>
        <w:rPr>
          <w:rFonts w:cs="Arial"/>
        </w:rPr>
      </w:pPr>
      <w:r w:rsidRPr="00A43CBC">
        <w:rPr>
          <w:rFonts w:cs="Arial"/>
        </w:rPr>
        <w:t>Callus with extravasation</w:t>
      </w:r>
    </w:p>
    <w:p w14:paraId="157EC7FB" w14:textId="77777777" w:rsidR="00A43CBC" w:rsidRPr="00A43CBC" w:rsidRDefault="00A43CBC" w:rsidP="00046109">
      <w:pPr>
        <w:pStyle w:val="ListParagraph"/>
        <w:numPr>
          <w:ilvl w:val="0"/>
          <w:numId w:val="8"/>
        </w:numPr>
        <w:rPr>
          <w:rFonts w:cs="Arial"/>
        </w:rPr>
      </w:pPr>
      <w:r w:rsidRPr="00A43CBC">
        <w:rPr>
          <w:rFonts w:cs="Arial"/>
        </w:rPr>
        <w:t>In growing toenails</w:t>
      </w:r>
    </w:p>
    <w:p w14:paraId="3BCA98AA" w14:textId="77777777" w:rsidR="00A43CBC" w:rsidRPr="00A43CBC" w:rsidRDefault="00A43CBC" w:rsidP="00046109">
      <w:pPr>
        <w:pStyle w:val="ListParagraph"/>
        <w:numPr>
          <w:ilvl w:val="0"/>
          <w:numId w:val="8"/>
        </w:numPr>
        <w:rPr>
          <w:rFonts w:cs="Arial"/>
        </w:rPr>
      </w:pPr>
      <w:r w:rsidRPr="00A43CBC">
        <w:rPr>
          <w:rFonts w:cs="Arial"/>
        </w:rPr>
        <w:t>Nail surgery</w:t>
      </w:r>
    </w:p>
    <w:p w14:paraId="664F793D" w14:textId="77777777" w:rsidR="00A43CBC" w:rsidRPr="00A43CBC" w:rsidRDefault="00A43CBC" w:rsidP="00046109">
      <w:pPr>
        <w:pStyle w:val="ListParagraph"/>
        <w:numPr>
          <w:ilvl w:val="0"/>
          <w:numId w:val="8"/>
        </w:numPr>
        <w:rPr>
          <w:rFonts w:cs="Arial"/>
        </w:rPr>
      </w:pPr>
      <w:r w:rsidRPr="00A43CBC">
        <w:rPr>
          <w:rFonts w:cs="Arial"/>
        </w:rPr>
        <w:t>Painful Verrucae</w:t>
      </w:r>
    </w:p>
    <w:p w14:paraId="11EAFDF1" w14:textId="77777777" w:rsidR="00D97EC5" w:rsidRPr="00046109" w:rsidRDefault="00A43CBC" w:rsidP="00046109">
      <w:pPr>
        <w:pStyle w:val="ListParagraph"/>
        <w:numPr>
          <w:ilvl w:val="0"/>
          <w:numId w:val="8"/>
        </w:numPr>
        <w:rPr>
          <w:rFonts w:cs="Arial"/>
        </w:rPr>
      </w:pPr>
      <w:r w:rsidRPr="00A43CBC">
        <w:rPr>
          <w:rFonts w:cs="Arial"/>
        </w:rPr>
        <w:t xml:space="preserve">Sharp debridement of wounds if necessary- Podiatry wound care pathway </w:t>
      </w:r>
      <w:r w:rsidR="00046109">
        <w:rPr>
          <w:rFonts w:cs="Arial"/>
        </w:rPr>
        <w:t xml:space="preserve"> </w:t>
      </w:r>
    </w:p>
    <w:p w14:paraId="7F1CC5C9" w14:textId="77777777" w:rsidR="00D97EC5" w:rsidRPr="00A43CBC" w:rsidRDefault="00D97EC5" w:rsidP="00E17C0C">
      <w:pPr>
        <w:pStyle w:val="ListParagraph"/>
        <w:ind w:left="1905"/>
        <w:rPr>
          <w:rFonts w:cs="Arial"/>
        </w:rPr>
      </w:pPr>
    </w:p>
    <w:p w14:paraId="0DDCBBEA" w14:textId="77777777" w:rsidR="00A43CBC" w:rsidRPr="00A43CBC" w:rsidRDefault="00A43CBC" w:rsidP="00A43CBC">
      <w:pPr>
        <w:jc w:val="both"/>
        <w:rPr>
          <w:rFonts w:ascii="Arial" w:hAnsi="Arial" w:cs="Arial"/>
          <w:b/>
          <w:bCs/>
          <w:sz w:val="24"/>
          <w:szCs w:val="24"/>
        </w:rPr>
      </w:pPr>
      <w:r w:rsidRPr="00A43CBC">
        <w:rPr>
          <w:rFonts w:ascii="Arial" w:hAnsi="Arial" w:cs="Arial"/>
          <w:sz w:val="24"/>
          <w:szCs w:val="24"/>
        </w:rPr>
        <w:t>3.0</w:t>
      </w:r>
      <w:r w:rsidRPr="00A43CBC">
        <w:rPr>
          <w:rFonts w:ascii="Arial" w:hAnsi="Arial" w:cs="Arial"/>
          <w:sz w:val="24"/>
          <w:szCs w:val="24"/>
        </w:rPr>
        <w:tab/>
      </w:r>
      <w:r w:rsidRPr="00A43CBC">
        <w:rPr>
          <w:rFonts w:ascii="Arial" w:hAnsi="Arial" w:cs="Arial"/>
          <w:b/>
          <w:bCs/>
          <w:sz w:val="24"/>
          <w:szCs w:val="24"/>
        </w:rPr>
        <w:t>Responsibilities</w:t>
      </w:r>
    </w:p>
    <w:p w14:paraId="6821B847" w14:textId="77777777" w:rsidR="00A43CBC" w:rsidRPr="00A43CBC" w:rsidRDefault="00A43CBC" w:rsidP="00A43CBC">
      <w:pPr>
        <w:ind w:left="720" w:hanging="720"/>
        <w:jc w:val="both"/>
        <w:rPr>
          <w:rFonts w:ascii="Arial" w:hAnsi="Arial" w:cs="Arial"/>
          <w:sz w:val="24"/>
          <w:szCs w:val="24"/>
        </w:rPr>
      </w:pPr>
      <w:r w:rsidRPr="00A43CBC">
        <w:rPr>
          <w:rFonts w:ascii="Arial" w:hAnsi="Arial" w:cs="Arial"/>
          <w:sz w:val="24"/>
          <w:szCs w:val="24"/>
        </w:rPr>
        <w:t>3.1</w:t>
      </w:r>
      <w:r w:rsidRPr="00A43CBC">
        <w:rPr>
          <w:rFonts w:ascii="Arial" w:hAnsi="Arial" w:cs="Arial"/>
          <w:sz w:val="24"/>
          <w:szCs w:val="24"/>
        </w:rPr>
        <w:tab/>
        <w:t>The responsibilities of both Provider and Commissioner are shown below: -</w:t>
      </w:r>
    </w:p>
    <w:p w14:paraId="70A76570" w14:textId="77777777" w:rsidR="00A43CBC" w:rsidRPr="00A43CBC" w:rsidRDefault="00A43CBC" w:rsidP="00A43CBC">
      <w:pPr>
        <w:numPr>
          <w:ilvl w:val="0"/>
          <w:numId w:val="2"/>
        </w:numPr>
        <w:spacing w:after="0" w:line="240" w:lineRule="auto"/>
        <w:jc w:val="both"/>
        <w:rPr>
          <w:rFonts w:ascii="Arial" w:hAnsi="Arial" w:cs="Arial"/>
          <w:sz w:val="24"/>
          <w:szCs w:val="24"/>
        </w:rPr>
      </w:pPr>
      <w:r w:rsidRPr="00A43CBC">
        <w:rPr>
          <w:rFonts w:ascii="Arial" w:hAnsi="Arial" w:cs="Arial"/>
          <w:sz w:val="24"/>
          <w:szCs w:val="24"/>
        </w:rPr>
        <w:t xml:space="preserve">Accommodation </w:t>
      </w:r>
    </w:p>
    <w:p w14:paraId="60EB7E3C" w14:textId="77777777" w:rsidR="00A43CBC" w:rsidRPr="00A43CBC" w:rsidRDefault="00A43CBC" w:rsidP="00A43CBC">
      <w:pPr>
        <w:ind w:left="720"/>
        <w:jc w:val="both"/>
        <w:rPr>
          <w:rFonts w:ascii="Arial" w:hAnsi="Arial" w:cs="Arial"/>
          <w:sz w:val="24"/>
          <w:szCs w:val="24"/>
        </w:rPr>
      </w:pPr>
      <w:r w:rsidRPr="00A43CBC">
        <w:rPr>
          <w:rFonts w:ascii="Arial" w:hAnsi="Arial" w:cs="Arial"/>
          <w:sz w:val="24"/>
          <w:szCs w:val="24"/>
        </w:rPr>
        <w:t>It is the responsibility of the Commissioner to provide the appropriate accommodation for the staff at all locations where the service is provided.</w:t>
      </w:r>
    </w:p>
    <w:p w14:paraId="4556AA13" w14:textId="77777777" w:rsidR="00A43CBC" w:rsidRPr="00A43CBC" w:rsidRDefault="00A43CBC" w:rsidP="00A43CBC">
      <w:pPr>
        <w:numPr>
          <w:ilvl w:val="0"/>
          <w:numId w:val="2"/>
        </w:numPr>
        <w:spacing w:after="0" w:line="240" w:lineRule="auto"/>
        <w:jc w:val="both"/>
        <w:rPr>
          <w:rFonts w:ascii="Arial" w:hAnsi="Arial" w:cs="Arial"/>
          <w:sz w:val="24"/>
          <w:szCs w:val="24"/>
        </w:rPr>
      </w:pPr>
      <w:r w:rsidRPr="00A43CBC">
        <w:rPr>
          <w:rFonts w:ascii="Arial" w:hAnsi="Arial" w:cs="Arial"/>
          <w:sz w:val="24"/>
          <w:szCs w:val="24"/>
        </w:rPr>
        <w:lastRenderedPageBreak/>
        <w:t>Information technology</w:t>
      </w:r>
    </w:p>
    <w:p w14:paraId="28C7726C" w14:textId="77777777" w:rsidR="00A43CBC" w:rsidRPr="00A43CBC" w:rsidRDefault="00A43CBC" w:rsidP="00A43CBC">
      <w:pPr>
        <w:ind w:left="720"/>
        <w:jc w:val="both"/>
        <w:rPr>
          <w:rFonts w:ascii="Arial" w:hAnsi="Arial" w:cs="Arial"/>
          <w:sz w:val="24"/>
          <w:szCs w:val="24"/>
        </w:rPr>
      </w:pPr>
      <w:r w:rsidRPr="00A43CBC">
        <w:rPr>
          <w:rFonts w:ascii="Arial" w:hAnsi="Arial" w:cs="Arial"/>
          <w:sz w:val="24"/>
          <w:szCs w:val="24"/>
        </w:rPr>
        <w:t>The Commissioner will provide the appropriate IT systems and support in terms of hardware and maintenance to allow staff and managers to function effectively.  Podiatry staff will be required to comply with GMMH policies and procedures for record keeping and data collection using their Integrated Clinical Information System (ICIS).</w:t>
      </w:r>
    </w:p>
    <w:p w14:paraId="067D52B5" w14:textId="77777777" w:rsidR="00A43CBC" w:rsidRPr="00A43CBC" w:rsidRDefault="00A43CBC" w:rsidP="00A43CBC">
      <w:pPr>
        <w:numPr>
          <w:ilvl w:val="0"/>
          <w:numId w:val="2"/>
        </w:numPr>
        <w:spacing w:after="0" w:line="240" w:lineRule="auto"/>
        <w:jc w:val="both"/>
        <w:rPr>
          <w:rFonts w:ascii="Arial" w:hAnsi="Arial" w:cs="Arial"/>
          <w:sz w:val="24"/>
          <w:szCs w:val="24"/>
        </w:rPr>
      </w:pPr>
      <w:r w:rsidRPr="00A43CBC">
        <w:rPr>
          <w:rFonts w:ascii="Arial" w:hAnsi="Arial" w:cs="Arial"/>
          <w:sz w:val="24"/>
          <w:szCs w:val="24"/>
        </w:rPr>
        <w:t>Terms and Conditions</w:t>
      </w:r>
    </w:p>
    <w:p w14:paraId="10DAA972" w14:textId="77777777" w:rsidR="00A43CBC" w:rsidRDefault="00A43CBC" w:rsidP="00E17C0C">
      <w:pPr>
        <w:spacing w:after="0" w:line="240" w:lineRule="auto"/>
        <w:ind w:left="720"/>
        <w:jc w:val="both"/>
        <w:rPr>
          <w:rFonts w:ascii="Arial" w:hAnsi="Arial" w:cs="Arial"/>
          <w:sz w:val="24"/>
          <w:szCs w:val="24"/>
        </w:rPr>
      </w:pPr>
      <w:r w:rsidRPr="00A43CBC">
        <w:rPr>
          <w:rFonts w:ascii="Arial" w:hAnsi="Arial" w:cs="Arial"/>
          <w:sz w:val="24"/>
          <w:szCs w:val="24"/>
        </w:rPr>
        <w:t xml:space="preserve">The Podiatry staff will carry out </w:t>
      </w:r>
      <w:proofErr w:type="spellStart"/>
      <w:r w:rsidR="003827BE" w:rsidRPr="003827BE">
        <w:rPr>
          <w:rFonts w:ascii="Arial" w:hAnsi="Arial" w:cs="Arial"/>
          <w:sz w:val="24"/>
          <w:szCs w:val="24"/>
          <w:highlight w:val="yellow"/>
        </w:rPr>
        <w:t>xxxxxxxxx</w:t>
      </w:r>
      <w:proofErr w:type="spellEnd"/>
      <w:r w:rsidRPr="00A43CBC">
        <w:rPr>
          <w:rFonts w:ascii="Arial" w:hAnsi="Arial" w:cs="Arial"/>
          <w:sz w:val="24"/>
          <w:szCs w:val="24"/>
        </w:rPr>
        <w:t xml:space="preserve"> sessions per year spread over the following locations:</w:t>
      </w:r>
    </w:p>
    <w:p w14:paraId="2FA33D07" w14:textId="77777777" w:rsidR="003827BE" w:rsidRPr="00A43CBC" w:rsidRDefault="003827BE" w:rsidP="00E17C0C">
      <w:pPr>
        <w:spacing w:after="0" w:line="240" w:lineRule="auto"/>
        <w:ind w:left="720"/>
        <w:jc w:val="both"/>
        <w:rPr>
          <w:rFonts w:ascii="Arial" w:hAnsi="Arial" w:cs="Arial"/>
          <w:sz w:val="24"/>
          <w:szCs w:val="24"/>
        </w:rPr>
      </w:pPr>
    </w:p>
    <w:p w14:paraId="2468FB61" w14:textId="77777777" w:rsidR="00A43CBC" w:rsidRPr="003827BE" w:rsidRDefault="003827BE" w:rsidP="00E17C0C">
      <w:pPr>
        <w:pStyle w:val="ListParagraph"/>
        <w:numPr>
          <w:ilvl w:val="0"/>
          <w:numId w:val="10"/>
        </w:numPr>
        <w:rPr>
          <w:rFonts w:cs="Arial"/>
          <w:highlight w:val="yellow"/>
        </w:rPr>
      </w:pPr>
      <w:proofErr w:type="spellStart"/>
      <w:r w:rsidRPr="003827BE">
        <w:rPr>
          <w:rFonts w:cs="Arial"/>
          <w:highlight w:val="yellow"/>
        </w:rPr>
        <w:t>xxxxxxxxxxxxxx</w:t>
      </w:r>
      <w:proofErr w:type="spellEnd"/>
    </w:p>
    <w:p w14:paraId="6A8076CD" w14:textId="77777777" w:rsidR="00A43CBC" w:rsidRPr="003827BE" w:rsidRDefault="003827BE" w:rsidP="00E17C0C">
      <w:pPr>
        <w:pStyle w:val="ListParagraph"/>
        <w:numPr>
          <w:ilvl w:val="0"/>
          <w:numId w:val="10"/>
        </w:numPr>
        <w:rPr>
          <w:rFonts w:cs="Arial"/>
          <w:highlight w:val="yellow"/>
        </w:rPr>
      </w:pPr>
      <w:proofErr w:type="spellStart"/>
      <w:r w:rsidRPr="003827BE">
        <w:rPr>
          <w:rFonts w:cs="Arial"/>
          <w:highlight w:val="yellow"/>
        </w:rPr>
        <w:t>xxxxxxxxxxxxxx</w:t>
      </w:r>
      <w:proofErr w:type="spellEnd"/>
    </w:p>
    <w:p w14:paraId="5D5A8A03" w14:textId="77777777" w:rsidR="003827BE" w:rsidRPr="00E17C0C" w:rsidRDefault="003827BE" w:rsidP="003827BE">
      <w:pPr>
        <w:pStyle w:val="ListParagraph"/>
        <w:ind w:left="1800"/>
        <w:rPr>
          <w:rFonts w:cs="Arial"/>
        </w:rPr>
      </w:pPr>
    </w:p>
    <w:p w14:paraId="756D725F" w14:textId="77777777" w:rsidR="00A43CBC" w:rsidRPr="00A43CBC" w:rsidRDefault="00A43CBC" w:rsidP="00A43CBC">
      <w:pPr>
        <w:ind w:left="720"/>
        <w:jc w:val="both"/>
        <w:rPr>
          <w:rFonts w:ascii="Arial" w:hAnsi="Arial" w:cs="Arial"/>
          <w:sz w:val="24"/>
          <w:szCs w:val="24"/>
        </w:rPr>
      </w:pPr>
      <w:r w:rsidRPr="00A43CBC">
        <w:rPr>
          <w:rFonts w:ascii="Arial" w:hAnsi="Arial" w:cs="Arial"/>
          <w:sz w:val="24"/>
          <w:szCs w:val="24"/>
        </w:rPr>
        <w:t>In the event of unusual or unexpected staff absence where the number of sessions will be affected, then it is the providers responsibly to make the Commissioner aware of the likelihood of a gap in service provision and for how long. The provider must also attempt to resolve this situation as soon as possible and keep the Commissioner informed.</w:t>
      </w:r>
    </w:p>
    <w:p w14:paraId="02C9AC30" w14:textId="77777777" w:rsidR="00A43CBC" w:rsidRDefault="00A43CBC" w:rsidP="00A43CBC">
      <w:pPr>
        <w:pStyle w:val="ListParagraph"/>
        <w:numPr>
          <w:ilvl w:val="0"/>
          <w:numId w:val="2"/>
        </w:numPr>
        <w:jc w:val="both"/>
        <w:rPr>
          <w:rFonts w:cs="Arial"/>
        </w:rPr>
      </w:pPr>
      <w:r>
        <w:rPr>
          <w:rFonts w:cs="Arial"/>
        </w:rPr>
        <w:t>Travel Expenses</w:t>
      </w:r>
    </w:p>
    <w:p w14:paraId="0DDF62B7" w14:textId="77777777" w:rsidR="00A43CBC" w:rsidRPr="00A43CBC" w:rsidRDefault="00A43CBC" w:rsidP="00A43CBC">
      <w:pPr>
        <w:ind w:left="720"/>
        <w:jc w:val="both"/>
        <w:rPr>
          <w:rFonts w:ascii="Arial" w:hAnsi="Arial" w:cs="Arial"/>
          <w:sz w:val="24"/>
          <w:szCs w:val="24"/>
        </w:rPr>
      </w:pPr>
      <w:r w:rsidRPr="00A43CBC">
        <w:rPr>
          <w:rFonts w:ascii="Arial" w:hAnsi="Arial" w:cs="Arial"/>
          <w:sz w:val="24"/>
          <w:szCs w:val="24"/>
        </w:rPr>
        <w:t>The Commissioner will reimburse any work incurred travelling expenses in line with Standing Financial Instructions.</w:t>
      </w:r>
    </w:p>
    <w:p w14:paraId="4DDABF94" w14:textId="77777777" w:rsidR="00A43CBC" w:rsidRPr="00A43CBC" w:rsidRDefault="00A43CBC" w:rsidP="00E527D3">
      <w:pPr>
        <w:spacing w:after="0" w:line="240" w:lineRule="auto"/>
        <w:ind w:firstLine="720"/>
        <w:jc w:val="both"/>
        <w:rPr>
          <w:rFonts w:ascii="Arial" w:hAnsi="Arial" w:cs="Arial"/>
          <w:b/>
          <w:bCs/>
          <w:sz w:val="24"/>
          <w:szCs w:val="24"/>
        </w:rPr>
      </w:pPr>
      <w:r w:rsidRPr="00A43CBC">
        <w:rPr>
          <w:rFonts w:ascii="Arial" w:hAnsi="Arial" w:cs="Arial"/>
          <w:sz w:val="24"/>
          <w:szCs w:val="24"/>
        </w:rPr>
        <w:t xml:space="preserve">e) </w:t>
      </w:r>
      <w:r w:rsidRPr="00A43CBC">
        <w:rPr>
          <w:rFonts w:ascii="Arial" w:hAnsi="Arial" w:cs="Arial"/>
          <w:bCs/>
          <w:sz w:val="24"/>
          <w:szCs w:val="24"/>
        </w:rPr>
        <w:t>Materials and Equipment</w:t>
      </w:r>
    </w:p>
    <w:p w14:paraId="5BF46AFA" w14:textId="77777777" w:rsidR="00A43CBC" w:rsidRDefault="00A43CBC" w:rsidP="00E527D3">
      <w:pPr>
        <w:spacing w:after="0" w:line="240" w:lineRule="auto"/>
        <w:ind w:left="720"/>
        <w:jc w:val="both"/>
        <w:rPr>
          <w:rFonts w:ascii="Arial" w:hAnsi="Arial" w:cs="Arial"/>
          <w:sz w:val="24"/>
          <w:szCs w:val="24"/>
        </w:rPr>
      </w:pPr>
      <w:r w:rsidRPr="00A43CBC">
        <w:rPr>
          <w:rFonts w:ascii="Arial" w:hAnsi="Arial" w:cs="Arial"/>
          <w:sz w:val="24"/>
          <w:szCs w:val="24"/>
        </w:rPr>
        <w:t>All materials and instruments required by Podiatrists to carry out their job will be provided by the Provider, including staff uniform</w:t>
      </w:r>
      <w:r w:rsidR="003827BE">
        <w:rPr>
          <w:rFonts w:ascii="Arial" w:hAnsi="Arial" w:cs="Arial"/>
          <w:sz w:val="24"/>
          <w:szCs w:val="24"/>
        </w:rPr>
        <w:t xml:space="preserve"> (if required)</w:t>
      </w:r>
    </w:p>
    <w:p w14:paraId="4AB8ED55" w14:textId="77777777" w:rsidR="003827BE" w:rsidRDefault="003827BE" w:rsidP="00E527D3">
      <w:pPr>
        <w:spacing w:after="0" w:line="240" w:lineRule="auto"/>
        <w:ind w:left="720"/>
        <w:jc w:val="both"/>
        <w:rPr>
          <w:rFonts w:ascii="Arial" w:hAnsi="Arial" w:cs="Arial"/>
          <w:sz w:val="24"/>
          <w:szCs w:val="24"/>
        </w:rPr>
      </w:pPr>
    </w:p>
    <w:p w14:paraId="3375C107" w14:textId="77777777" w:rsidR="00541F61" w:rsidRPr="00541F61" w:rsidRDefault="00541F61" w:rsidP="00541F61">
      <w:pPr>
        <w:pStyle w:val="ListParagraph"/>
        <w:numPr>
          <w:ilvl w:val="0"/>
          <w:numId w:val="2"/>
        </w:numPr>
        <w:jc w:val="both"/>
        <w:rPr>
          <w:rFonts w:cs="Arial"/>
        </w:rPr>
      </w:pPr>
      <w:r w:rsidRPr="00541F61">
        <w:rPr>
          <w:rFonts w:cs="Arial"/>
        </w:rPr>
        <w:t>Training for GMMH Staff</w:t>
      </w:r>
    </w:p>
    <w:p w14:paraId="477AF9A4" w14:textId="77777777" w:rsidR="00541F61" w:rsidRDefault="00541F61" w:rsidP="00541F61">
      <w:pPr>
        <w:spacing w:after="0" w:line="240" w:lineRule="auto"/>
        <w:ind w:left="720"/>
        <w:jc w:val="both"/>
        <w:rPr>
          <w:rFonts w:ascii="Arial" w:hAnsi="Arial" w:cs="Arial"/>
          <w:sz w:val="24"/>
          <w:szCs w:val="24"/>
        </w:rPr>
      </w:pPr>
      <w:r w:rsidRPr="00541F61">
        <w:rPr>
          <w:rFonts w:ascii="Arial" w:hAnsi="Arial" w:cs="Arial"/>
          <w:sz w:val="24"/>
          <w:szCs w:val="24"/>
        </w:rPr>
        <w:t xml:space="preserve">The Podiatry service will provide 4 </w:t>
      </w:r>
      <w:r>
        <w:rPr>
          <w:rFonts w:ascii="Arial" w:hAnsi="Arial" w:cs="Arial"/>
          <w:sz w:val="24"/>
          <w:szCs w:val="24"/>
        </w:rPr>
        <w:t>x</w:t>
      </w:r>
      <w:r w:rsidRPr="00541F61">
        <w:rPr>
          <w:rFonts w:ascii="Arial" w:hAnsi="Arial" w:cs="Arial"/>
          <w:sz w:val="24"/>
          <w:szCs w:val="24"/>
        </w:rPr>
        <w:t xml:space="preserve"> 1 hour Diabetes footcare and screening training sessions per year for GMMH Health care </w:t>
      </w:r>
      <w:proofErr w:type="gramStart"/>
      <w:r w:rsidRPr="00541F61">
        <w:rPr>
          <w:rFonts w:ascii="Arial" w:hAnsi="Arial" w:cs="Arial"/>
          <w:sz w:val="24"/>
          <w:szCs w:val="24"/>
        </w:rPr>
        <w:t>staff</w:t>
      </w:r>
      <w:proofErr w:type="gramEnd"/>
    </w:p>
    <w:p w14:paraId="53C7E916" w14:textId="77777777" w:rsidR="00785247" w:rsidRDefault="00785247" w:rsidP="00541F61">
      <w:pPr>
        <w:spacing w:after="0" w:line="240" w:lineRule="auto"/>
        <w:ind w:left="720"/>
        <w:jc w:val="both"/>
        <w:rPr>
          <w:rFonts w:ascii="Arial" w:hAnsi="Arial" w:cs="Arial"/>
          <w:sz w:val="24"/>
          <w:szCs w:val="24"/>
        </w:rPr>
      </w:pPr>
    </w:p>
    <w:p w14:paraId="3745C909" w14:textId="77777777" w:rsidR="00785247" w:rsidRDefault="00785247" w:rsidP="00785247">
      <w:pPr>
        <w:pStyle w:val="ListParagraph"/>
        <w:numPr>
          <w:ilvl w:val="0"/>
          <w:numId w:val="2"/>
        </w:numPr>
        <w:jc w:val="both"/>
        <w:rPr>
          <w:rFonts w:cs="Arial"/>
        </w:rPr>
      </w:pPr>
      <w:r>
        <w:rPr>
          <w:rFonts w:cs="Arial"/>
        </w:rPr>
        <w:t>Referrals and Appointment booking</w:t>
      </w:r>
    </w:p>
    <w:p w14:paraId="0B3E2228" w14:textId="77777777" w:rsidR="00785247" w:rsidRPr="00785247" w:rsidRDefault="00785247" w:rsidP="00785247">
      <w:pPr>
        <w:ind w:left="720"/>
        <w:jc w:val="both"/>
        <w:rPr>
          <w:rFonts w:ascii="Arial" w:hAnsi="Arial" w:cs="Arial"/>
          <w:sz w:val="24"/>
          <w:szCs w:val="24"/>
        </w:rPr>
      </w:pPr>
      <w:r w:rsidRPr="00785247">
        <w:rPr>
          <w:rFonts w:ascii="Arial" w:hAnsi="Arial" w:cs="Arial"/>
          <w:sz w:val="24"/>
          <w:szCs w:val="24"/>
        </w:rPr>
        <w:t>The commissioning service will be responsible for all referrals into the Podiatry clinic and will be responsible for all booking of appointments (Appendix 2)</w:t>
      </w:r>
    </w:p>
    <w:p w14:paraId="69B121BC" w14:textId="77777777" w:rsidR="00A43CBC" w:rsidRPr="005617B2" w:rsidRDefault="00A43CBC" w:rsidP="00A43CBC">
      <w:pPr>
        <w:jc w:val="both"/>
        <w:rPr>
          <w:rFonts w:ascii="Arial" w:hAnsi="Arial" w:cs="Arial"/>
          <w:b/>
          <w:bCs/>
          <w:sz w:val="24"/>
          <w:szCs w:val="24"/>
        </w:rPr>
      </w:pPr>
      <w:r w:rsidRPr="00A43CBC">
        <w:rPr>
          <w:rFonts w:ascii="Arial" w:hAnsi="Arial" w:cs="Arial"/>
          <w:bCs/>
          <w:sz w:val="24"/>
          <w:szCs w:val="24"/>
        </w:rPr>
        <w:t>4.0</w:t>
      </w:r>
      <w:r w:rsidRPr="00A43CBC">
        <w:rPr>
          <w:rFonts w:ascii="Arial" w:hAnsi="Arial" w:cs="Arial"/>
          <w:b/>
          <w:bCs/>
          <w:sz w:val="24"/>
          <w:szCs w:val="24"/>
        </w:rPr>
        <w:tab/>
        <w:t>Contract Monitoring and in-year variations.</w:t>
      </w:r>
    </w:p>
    <w:p w14:paraId="4B6814E5" w14:textId="77777777" w:rsidR="00A43CBC" w:rsidRDefault="00A43CBC" w:rsidP="005617B2">
      <w:pPr>
        <w:ind w:left="720" w:hanging="720"/>
        <w:jc w:val="both"/>
        <w:rPr>
          <w:rFonts w:ascii="Arial" w:hAnsi="Arial" w:cs="Arial"/>
          <w:sz w:val="24"/>
          <w:szCs w:val="24"/>
        </w:rPr>
      </w:pPr>
      <w:r w:rsidRPr="00A43CBC">
        <w:rPr>
          <w:rFonts w:ascii="Arial" w:hAnsi="Arial" w:cs="Arial"/>
          <w:sz w:val="24"/>
          <w:szCs w:val="24"/>
        </w:rPr>
        <w:t>4.1</w:t>
      </w:r>
      <w:r w:rsidRPr="00A43CBC">
        <w:rPr>
          <w:rFonts w:ascii="Arial" w:hAnsi="Arial" w:cs="Arial"/>
          <w:sz w:val="24"/>
          <w:szCs w:val="24"/>
        </w:rPr>
        <w:tab/>
        <w:t xml:space="preserve">The Provider and Commissioner representatives will meet on a </w:t>
      </w:r>
      <w:proofErr w:type="spellStart"/>
      <w:r w:rsidR="003827BE" w:rsidRPr="003827BE">
        <w:rPr>
          <w:rFonts w:ascii="Arial" w:hAnsi="Arial" w:cs="Arial"/>
          <w:sz w:val="24"/>
          <w:szCs w:val="24"/>
          <w:highlight w:val="yellow"/>
        </w:rPr>
        <w:t>xxxxxxxxxxx</w:t>
      </w:r>
      <w:proofErr w:type="spellEnd"/>
      <w:r w:rsidRPr="00A43CBC">
        <w:rPr>
          <w:rFonts w:ascii="Arial" w:hAnsi="Arial" w:cs="Arial"/>
          <w:sz w:val="24"/>
          <w:szCs w:val="24"/>
        </w:rPr>
        <w:t xml:space="preserve"> to discuss contract performance.  </w:t>
      </w:r>
    </w:p>
    <w:p w14:paraId="72F668BC" w14:textId="77777777" w:rsidR="00785247" w:rsidRDefault="00785247" w:rsidP="005617B2">
      <w:pPr>
        <w:ind w:left="720" w:hanging="720"/>
        <w:jc w:val="both"/>
        <w:rPr>
          <w:rFonts w:ascii="Arial" w:hAnsi="Arial" w:cs="Arial"/>
          <w:sz w:val="24"/>
          <w:szCs w:val="24"/>
        </w:rPr>
      </w:pPr>
      <w:r>
        <w:rPr>
          <w:rFonts w:ascii="Arial" w:hAnsi="Arial" w:cs="Arial"/>
          <w:sz w:val="24"/>
          <w:szCs w:val="24"/>
        </w:rPr>
        <w:t xml:space="preserve">4.2    The Provider will </w:t>
      </w:r>
      <w:r w:rsidR="00E17C0C">
        <w:rPr>
          <w:rFonts w:ascii="Arial" w:hAnsi="Arial" w:cs="Arial"/>
          <w:sz w:val="24"/>
          <w:szCs w:val="24"/>
        </w:rPr>
        <w:t>monitor</w:t>
      </w:r>
      <w:r>
        <w:rPr>
          <w:rFonts w:ascii="Arial" w:hAnsi="Arial" w:cs="Arial"/>
          <w:sz w:val="24"/>
          <w:szCs w:val="24"/>
        </w:rPr>
        <w:t xml:space="preserve"> that the contracted number of sessions are provided</w:t>
      </w:r>
      <w:r w:rsidR="00E17C0C">
        <w:rPr>
          <w:rFonts w:ascii="Arial" w:hAnsi="Arial" w:cs="Arial"/>
          <w:sz w:val="24"/>
          <w:szCs w:val="24"/>
        </w:rPr>
        <w:t xml:space="preserve"> in line with 3.1(C)</w:t>
      </w:r>
    </w:p>
    <w:p w14:paraId="721CE270" w14:textId="77777777" w:rsidR="00785247" w:rsidRPr="005617B2" w:rsidRDefault="00785247" w:rsidP="005617B2">
      <w:pPr>
        <w:ind w:left="720" w:hanging="720"/>
        <w:jc w:val="both"/>
        <w:rPr>
          <w:rFonts w:ascii="Arial" w:hAnsi="Arial" w:cs="Arial"/>
          <w:sz w:val="24"/>
          <w:szCs w:val="24"/>
        </w:rPr>
      </w:pPr>
      <w:r>
        <w:rPr>
          <w:rFonts w:ascii="Arial" w:hAnsi="Arial" w:cs="Arial"/>
          <w:sz w:val="24"/>
          <w:szCs w:val="24"/>
        </w:rPr>
        <w:t xml:space="preserve">4.3    The Commissioner is responsible for monitoring the </w:t>
      </w:r>
      <w:r w:rsidR="00E17C0C">
        <w:rPr>
          <w:rFonts w:ascii="Arial" w:hAnsi="Arial" w:cs="Arial"/>
          <w:sz w:val="24"/>
          <w:szCs w:val="24"/>
        </w:rPr>
        <w:t xml:space="preserve">appointment </w:t>
      </w:r>
      <w:r>
        <w:rPr>
          <w:rFonts w:ascii="Arial" w:hAnsi="Arial" w:cs="Arial"/>
          <w:sz w:val="24"/>
          <w:szCs w:val="24"/>
        </w:rPr>
        <w:t>booking of the</w:t>
      </w:r>
      <w:r w:rsidR="00E17C0C">
        <w:rPr>
          <w:rFonts w:ascii="Arial" w:hAnsi="Arial" w:cs="Arial"/>
          <w:sz w:val="24"/>
          <w:szCs w:val="24"/>
        </w:rPr>
        <w:t xml:space="preserve"> </w:t>
      </w:r>
      <w:proofErr w:type="gramStart"/>
      <w:r w:rsidR="00E17C0C">
        <w:rPr>
          <w:rFonts w:ascii="Arial" w:hAnsi="Arial" w:cs="Arial"/>
          <w:sz w:val="24"/>
          <w:szCs w:val="24"/>
        </w:rPr>
        <w:t xml:space="preserve">provided </w:t>
      </w:r>
      <w:r>
        <w:rPr>
          <w:rFonts w:ascii="Arial" w:hAnsi="Arial" w:cs="Arial"/>
          <w:sz w:val="24"/>
          <w:szCs w:val="24"/>
        </w:rPr>
        <w:t xml:space="preserve"> sessions</w:t>
      </w:r>
      <w:proofErr w:type="gramEnd"/>
      <w:r>
        <w:rPr>
          <w:rFonts w:ascii="Arial" w:hAnsi="Arial" w:cs="Arial"/>
          <w:sz w:val="24"/>
          <w:szCs w:val="24"/>
        </w:rPr>
        <w:t xml:space="preserve"> </w:t>
      </w:r>
      <w:r w:rsidR="00E17C0C">
        <w:rPr>
          <w:rFonts w:ascii="Arial" w:hAnsi="Arial" w:cs="Arial"/>
          <w:sz w:val="24"/>
          <w:szCs w:val="24"/>
        </w:rPr>
        <w:t>by the physical health teams</w:t>
      </w:r>
    </w:p>
    <w:p w14:paraId="5927E37D" w14:textId="77777777" w:rsidR="00A43CBC" w:rsidRDefault="00A43CBC" w:rsidP="00A43CBC">
      <w:pPr>
        <w:numPr>
          <w:ilvl w:val="0"/>
          <w:numId w:val="4"/>
        </w:numPr>
        <w:spacing w:after="0" w:line="240" w:lineRule="auto"/>
        <w:jc w:val="both"/>
        <w:rPr>
          <w:rFonts w:ascii="Arial" w:hAnsi="Arial" w:cs="Arial"/>
          <w:b/>
          <w:bCs/>
          <w:sz w:val="24"/>
          <w:szCs w:val="24"/>
        </w:rPr>
      </w:pPr>
      <w:r w:rsidRPr="00A43CBC">
        <w:rPr>
          <w:rFonts w:ascii="Arial" w:hAnsi="Arial" w:cs="Arial"/>
          <w:b/>
          <w:bCs/>
          <w:sz w:val="24"/>
          <w:szCs w:val="24"/>
        </w:rPr>
        <w:t>Quality, Clinical Audit and Clinical Governance</w:t>
      </w:r>
    </w:p>
    <w:p w14:paraId="6A4F158A" w14:textId="77777777" w:rsidR="005617B2" w:rsidRPr="005617B2" w:rsidRDefault="005617B2" w:rsidP="005617B2">
      <w:pPr>
        <w:spacing w:after="0" w:line="240" w:lineRule="auto"/>
        <w:ind w:left="720"/>
        <w:jc w:val="both"/>
        <w:rPr>
          <w:rFonts w:ascii="Arial" w:hAnsi="Arial" w:cs="Arial"/>
          <w:b/>
          <w:bCs/>
          <w:sz w:val="24"/>
          <w:szCs w:val="24"/>
        </w:rPr>
      </w:pPr>
    </w:p>
    <w:p w14:paraId="76FA34E2" w14:textId="77777777" w:rsidR="00A43CBC" w:rsidRPr="005617B2" w:rsidRDefault="00A43CBC" w:rsidP="00A43CBC">
      <w:pPr>
        <w:numPr>
          <w:ilvl w:val="1"/>
          <w:numId w:val="4"/>
        </w:numPr>
        <w:tabs>
          <w:tab w:val="clear" w:pos="1440"/>
          <w:tab w:val="num" w:pos="720"/>
        </w:tabs>
        <w:spacing w:after="0" w:line="240" w:lineRule="auto"/>
        <w:ind w:left="720"/>
        <w:jc w:val="both"/>
        <w:rPr>
          <w:rFonts w:ascii="Arial" w:hAnsi="Arial" w:cs="Arial"/>
          <w:b/>
          <w:bCs/>
          <w:sz w:val="24"/>
          <w:szCs w:val="24"/>
        </w:rPr>
      </w:pPr>
      <w:r w:rsidRPr="00A43CBC">
        <w:rPr>
          <w:rFonts w:ascii="Arial" w:hAnsi="Arial" w:cs="Arial"/>
          <w:bCs/>
          <w:sz w:val="24"/>
          <w:szCs w:val="24"/>
        </w:rPr>
        <w:t>The P</w:t>
      </w:r>
      <w:r w:rsidRPr="00A43CBC">
        <w:rPr>
          <w:rFonts w:ascii="Arial" w:hAnsi="Arial" w:cs="Arial"/>
          <w:sz w:val="24"/>
          <w:szCs w:val="24"/>
        </w:rPr>
        <w:t>rovider shall carry out the Services in accordance with best practice in health care and shall be guided by the standards and recommendations:</w:t>
      </w:r>
    </w:p>
    <w:p w14:paraId="77CBB590" w14:textId="77777777" w:rsidR="00A43CBC" w:rsidRPr="00A43CBC" w:rsidRDefault="00A43CBC" w:rsidP="00A43CBC">
      <w:pPr>
        <w:numPr>
          <w:ilvl w:val="0"/>
          <w:numId w:val="1"/>
        </w:numPr>
        <w:spacing w:after="0" w:line="240" w:lineRule="auto"/>
        <w:jc w:val="both"/>
        <w:rPr>
          <w:rFonts w:ascii="Arial" w:hAnsi="Arial" w:cs="Arial"/>
          <w:sz w:val="24"/>
          <w:szCs w:val="24"/>
        </w:rPr>
      </w:pPr>
      <w:r w:rsidRPr="00A43CBC">
        <w:rPr>
          <w:rFonts w:ascii="Arial" w:hAnsi="Arial" w:cs="Arial"/>
          <w:sz w:val="24"/>
          <w:szCs w:val="24"/>
        </w:rPr>
        <w:t>Contained in the statement of National Minimum Standards.</w:t>
      </w:r>
    </w:p>
    <w:p w14:paraId="5D015211" w14:textId="77777777" w:rsidR="00A43CBC" w:rsidRPr="00A43CBC" w:rsidRDefault="00A43CBC" w:rsidP="00A43CBC">
      <w:pPr>
        <w:numPr>
          <w:ilvl w:val="0"/>
          <w:numId w:val="1"/>
        </w:numPr>
        <w:spacing w:after="0" w:line="240" w:lineRule="auto"/>
        <w:jc w:val="both"/>
        <w:rPr>
          <w:rFonts w:ascii="Arial" w:hAnsi="Arial" w:cs="Arial"/>
          <w:sz w:val="24"/>
          <w:szCs w:val="24"/>
        </w:rPr>
      </w:pPr>
      <w:r w:rsidRPr="00A43CBC">
        <w:rPr>
          <w:rFonts w:ascii="Arial" w:hAnsi="Arial" w:cs="Arial"/>
          <w:sz w:val="24"/>
          <w:szCs w:val="24"/>
        </w:rPr>
        <w:t>Contained within Standards for Better Health.</w:t>
      </w:r>
    </w:p>
    <w:p w14:paraId="16B640A7" w14:textId="77777777" w:rsidR="00A43CBC" w:rsidRPr="00A43CBC" w:rsidRDefault="00A43CBC" w:rsidP="00A43CBC">
      <w:pPr>
        <w:numPr>
          <w:ilvl w:val="0"/>
          <w:numId w:val="1"/>
        </w:numPr>
        <w:spacing w:after="0" w:line="240" w:lineRule="auto"/>
        <w:jc w:val="both"/>
        <w:rPr>
          <w:rFonts w:ascii="Arial" w:hAnsi="Arial" w:cs="Arial"/>
          <w:sz w:val="24"/>
          <w:szCs w:val="24"/>
        </w:rPr>
      </w:pPr>
      <w:r w:rsidRPr="00A43CBC">
        <w:rPr>
          <w:rFonts w:ascii="Arial" w:hAnsi="Arial" w:cs="Arial"/>
          <w:sz w:val="24"/>
          <w:szCs w:val="24"/>
        </w:rPr>
        <w:t>Issued by the National Institute of Clinical Excellence; or</w:t>
      </w:r>
    </w:p>
    <w:p w14:paraId="68DAFE6A" w14:textId="77777777" w:rsidR="00A43CBC" w:rsidRPr="00A43CBC" w:rsidRDefault="00A43CBC" w:rsidP="00A43CBC">
      <w:pPr>
        <w:numPr>
          <w:ilvl w:val="0"/>
          <w:numId w:val="1"/>
        </w:numPr>
        <w:spacing w:after="0" w:line="240" w:lineRule="auto"/>
        <w:jc w:val="both"/>
        <w:rPr>
          <w:rFonts w:ascii="Arial" w:hAnsi="Arial" w:cs="Arial"/>
          <w:sz w:val="24"/>
          <w:szCs w:val="24"/>
        </w:rPr>
      </w:pPr>
      <w:r w:rsidRPr="00A43CBC">
        <w:rPr>
          <w:rFonts w:ascii="Arial" w:hAnsi="Arial" w:cs="Arial"/>
          <w:sz w:val="24"/>
          <w:szCs w:val="24"/>
        </w:rPr>
        <w:lastRenderedPageBreak/>
        <w:t>Issued by any relevant professional body.</w:t>
      </w:r>
    </w:p>
    <w:p w14:paraId="345F07BE" w14:textId="77777777" w:rsidR="00A43CBC" w:rsidRPr="00A43CBC" w:rsidRDefault="00A43CBC" w:rsidP="00A43CBC">
      <w:pPr>
        <w:numPr>
          <w:ilvl w:val="0"/>
          <w:numId w:val="1"/>
        </w:numPr>
        <w:spacing w:after="0" w:line="240" w:lineRule="auto"/>
        <w:jc w:val="both"/>
        <w:rPr>
          <w:rFonts w:ascii="Arial" w:hAnsi="Arial" w:cs="Arial"/>
          <w:sz w:val="24"/>
          <w:szCs w:val="24"/>
        </w:rPr>
      </w:pPr>
      <w:r w:rsidRPr="00A43CBC">
        <w:rPr>
          <w:rFonts w:ascii="Arial" w:hAnsi="Arial" w:cs="Arial"/>
          <w:sz w:val="24"/>
          <w:szCs w:val="24"/>
        </w:rPr>
        <w:t>From any audit and Adverse Incident Reporting.</w:t>
      </w:r>
    </w:p>
    <w:p w14:paraId="3CB8D8B1" w14:textId="77777777" w:rsidR="00A43CBC" w:rsidRDefault="00A43CBC" w:rsidP="00541F61">
      <w:pPr>
        <w:numPr>
          <w:ilvl w:val="0"/>
          <w:numId w:val="1"/>
        </w:numPr>
        <w:spacing w:after="0" w:line="240" w:lineRule="auto"/>
        <w:jc w:val="both"/>
        <w:rPr>
          <w:rFonts w:ascii="Arial" w:hAnsi="Arial" w:cs="Arial"/>
          <w:sz w:val="24"/>
          <w:szCs w:val="24"/>
        </w:rPr>
      </w:pPr>
      <w:r w:rsidRPr="00A43CBC">
        <w:rPr>
          <w:rFonts w:ascii="Arial" w:hAnsi="Arial" w:cs="Arial"/>
          <w:sz w:val="24"/>
          <w:szCs w:val="24"/>
        </w:rPr>
        <w:t>And such other quality standards agreed in writing between the parties.</w:t>
      </w:r>
    </w:p>
    <w:p w14:paraId="1A5DE1E2" w14:textId="77777777" w:rsidR="00541F61" w:rsidRPr="00541F61" w:rsidRDefault="00541F61" w:rsidP="00541F61">
      <w:pPr>
        <w:spacing w:after="0" w:line="240" w:lineRule="auto"/>
        <w:ind w:left="1780"/>
        <w:jc w:val="both"/>
        <w:rPr>
          <w:rFonts w:ascii="Arial" w:hAnsi="Arial" w:cs="Arial"/>
          <w:sz w:val="24"/>
          <w:szCs w:val="24"/>
        </w:rPr>
      </w:pPr>
    </w:p>
    <w:p w14:paraId="1EAF5DF1" w14:textId="77777777" w:rsidR="00A43CBC" w:rsidRPr="00541F61" w:rsidRDefault="00A43CBC" w:rsidP="00541F61">
      <w:pPr>
        <w:jc w:val="both"/>
        <w:rPr>
          <w:rFonts w:ascii="Arial" w:hAnsi="Arial" w:cs="Arial"/>
          <w:sz w:val="24"/>
          <w:szCs w:val="24"/>
        </w:rPr>
      </w:pPr>
      <w:r w:rsidRPr="00A43CBC">
        <w:rPr>
          <w:rFonts w:ascii="Arial" w:hAnsi="Arial" w:cs="Arial"/>
          <w:sz w:val="24"/>
          <w:szCs w:val="24"/>
        </w:rPr>
        <w:t>6.0</w:t>
      </w:r>
      <w:r w:rsidRPr="00A43CBC">
        <w:rPr>
          <w:rFonts w:ascii="Arial" w:hAnsi="Arial" w:cs="Arial"/>
          <w:sz w:val="24"/>
          <w:szCs w:val="24"/>
        </w:rPr>
        <w:tab/>
      </w:r>
      <w:r w:rsidRPr="00A43CBC">
        <w:rPr>
          <w:rFonts w:ascii="Arial" w:hAnsi="Arial" w:cs="Arial"/>
          <w:b/>
          <w:sz w:val="24"/>
          <w:szCs w:val="24"/>
        </w:rPr>
        <w:t>Clinical Governance</w:t>
      </w:r>
    </w:p>
    <w:p w14:paraId="48B39AED" w14:textId="77777777" w:rsidR="00A43CBC" w:rsidRPr="00A43CBC" w:rsidRDefault="00A43CBC" w:rsidP="00541F61">
      <w:pPr>
        <w:ind w:left="720" w:hanging="720"/>
        <w:jc w:val="both"/>
        <w:rPr>
          <w:rFonts w:ascii="Arial" w:hAnsi="Arial" w:cs="Arial"/>
          <w:sz w:val="24"/>
          <w:szCs w:val="24"/>
        </w:rPr>
      </w:pPr>
      <w:r w:rsidRPr="00A43CBC">
        <w:rPr>
          <w:rFonts w:ascii="Arial" w:hAnsi="Arial" w:cs="Arial"/>
          <w:sz w:val="24"/>
          <w:szCs w:val="24"/>
        </w:rPr>
        <w:t>6.1</w:t>
      </w:r>
      <w:r w:rsidRPr="00A43CBC">
        <w:rPr>
          <w:rFonts w:ascii="Arial" w:hAnsi="Arial" w:cs="Arial"/>
          <w:sz w:val="24"/>
          <w:szCs w:val="24"/>
        </w:rPr>
        <w:tab/>
        <w:t>All aspects of governance will be monitored through the Commissioners Governance frameworks.  This includes clinical and corporate governance, information and research governance.</w:t>
      </w:r>
    </w:p>
    <w:p w14:paraId="2D4B4EAA" w14:textId="77777777" w:rsidR="00A43CBC" w:rsidRPr="00A43CBC" w:rsidRDefault="00A43CBC" w:rsidP="00541F61">
      <w:pPr>
        <w:ind w:left="720" w:hanging="720"/>
        <w:jc w:val="both"/>
        <w:rPr>
          <w:rFonts w:ascii="Arial" w:hAnsi="Arial" w:cs="Arial"/>
          <w:sz w:val="24"/>
          <w:szCs w:val="24"/>
        </w:rPr>
      </w:pPr>
      <w:r w:rsidRPr="00A43CBC">
        <w:rPr>
          <w:rFonts w:ascii="Arial" w:hAnsi="Arial" w:cs="Arial"/>
          <w:sz w:val="24"/>
          <w:szCs w:val="24"/>
        </w:rPr>
        <w:t>6.2</w:t>
      </w:r>
      <w:r w:rsidRPr="00A43CBC">
        <w:rPr>
          <w:rFonts w:ascii="Arial" w:hAnsi="Arial" w:cs="Arial"/>
          <w:sz w:val="24"/>
          <w:szCs w:val="24"/>
        </w:rPr>
        <w:tab/>
        <w:t>The Provider Podiatrists will be represented in the Commissioner organisation by the ‘Lead AHP’ who will maintain representation and dissemination of information within the directorate clinical governance structures, which include:</w:t>
      </w:r>
    </w:p>
    <w:p w14:paraId="3D159E0F" w14:textId="77777777" w:rsidR="00A43CBC" w:rsidRPr="00A43CBC" w:rsidRDefault="00A43CBC" w:rsidP="00541F61">
      <w:pPr>
        <w:numPr>
          <w:ilvl w:val="0"/>
          <w:numId w:val="11"/>
        </w:numPr>
        <w:spacing w:after="0" w:line="240" w:lineRule="auto"/>
        <w:jc w:val="both"/>
        <w:rPr>
          <w:rFonts w:ascii="Arial" w:hAnsi="Arial" w:cs="Arial"/>
          <w:sz w:val="24"/>
          <w:szCs w:val="24"/>
        </w:rPr>
      </w:pPr>
      <w:r w:rsidRPr="00A43CBC">
        <w:rPr>
          <w:rFonts w:ascii="Arial" w:hAnsi="Arial" w:cs="Arial"/>
          <w:sz w:val="24"/>
          <w:szCs w:val="24"/>
        </w:rPr>
        <w:t>Representation on directorate clinical governance committees (relevant clinical staff)</w:t>
      </w:r>
    </w:p>
    <w:p w14:paraId="015D782D" w14:textId="77777777" w:rsidR="00A43CBC" w:rsidRPr="00A43CBC" w:rsidRDefault="00A43CBC" w:rsidP="00541F61">
      <w:pPr>
        <w:numPr>
          <w:ilvl w:val="0"/>
          <w:numId w:val="11"/>
        </w:numPr>
        <w:spacing w:after="0" w:line="240" w:lineRule="auto"/>
        <w:jc w:val="both"/>
        <w:rPr>
          <w:rFonts w:ascii="Arial" w:hAnsi="Arial" w:cs="Arial"/>
          <w:sz w:val="24"/>
          <w:szCs w:val="24"/>
        </w:rPr>
      </w:pPr>
      <w:r w:rsidRPr="00A43CBC">
        <w:rPr>
          <w:rFonts w:ascii="Arial" w:hAnsi="Arial" w:cs="Arial"/>
          <w:sz w:val="24"/>
          <w:szCs w:val="24"/>
        </w:rPr>
        <w:t>Representation on corporate clinical governance committees via AHP Lead</w:t>
      </w:r>
    </w:p>
    <w:p w14:paraId="79D7F7D6" w14:textId="77777777" w:rsidR="00A43CBC" w:rsidRPr="00A43CBC" w:rsidRDefault="00A43CBC" w:rsidP="00A43CBC">
      <w:pPr>
        <w:pStyle w:val="BodyTextIndent2"/>
        <w:ind w:left="0" w:firstLine="0"/>
        <w:rPr>
          <w:sz w:val="24"/>
          <w:szCs w:val="24"/>
        </w:rPr>
      </w:pPr>
    </w:p>
    <w:p w14:paraId="6D4BD45C" w14:textId="77777777" w:rsidR="00A43CBC" w:rsidRPr="00A43CBC" w:rsidRDefault="00A43CBC" w:rsidP="00A43CBC">
      <w:pPr>
        <w:pStyle w:val="BodyTextIndent2"/>
        <w:ind w:left="0" w:firstLine="0"/>
        <w:rPr>
          <w:sz w:val="24"/>
          <w:szCs w:val="24"/>
        </w:rPr>
      </w:pPr>
      <w:r w:rsidRPr="00A43CBC">
        <w:rPr>
          <w:sz w:val="24"/>
          <w:szCs w:val="24"/>
        </w:rPr>
        <w:t>7.0</w:t>
      </w:r>
      <w:r w:rsidRPr="00A43CBC">
        <w:rPr>
          <w:sz w:val="24"/>
          <w:szCs w:val="24"/>
        </w:rPr>
        <w:tab/>
      </w:r>
      <w:r w:rsidRPr="00A43CBC">
        <w:rPr>
          <w:b/>
          <w:sz w:val="24"/>
          <w:szCs w:val="24"/>
        </w:rPr>
        <w:t>Clinical Effectiveness</w:t>
      </w:r>
    </w:p>
    <w:p w14:paraId="111ED053" w14:textId="77777777" w:rsidR="00A43CBC" w:rsidRPr="00A43CBC" w:rsidRDefault="00541F61" w:rsidP="00541F61">
      <w:pPr>
        <w:pStyle w:val="BodyTextIndent2"/>
        <w:numPr>
          <w:ilvl w:val="1"/>
          <w:numId w:val="12"/>
        </w:numPr>
        <w:rPr>
          <w:sz w:val="24"/>
          <w:szCs w:val="24"/>
        </w:rPr>
      </w:pPr>
      <w:r>
        <w:rPr>
          <w:sz w:val="24"/>
          <w:szCs w:val="24"/>
        </w:rPr>
        <w:t xml:space="preserve">     </w:t>
      </w:r>
      <w:r w:rsidR="00A43CBC" w:rsidRPr="00A43CBC">
        <w:rPr>
          <w:sz w:val="24"/>
          <w:szCs w:val="24"/>
        </w:rPr>
        <w:t xml:space="preserve">Provider Podiatry staff will work within the Commissioners clinical effectiveness framework.  </w:t>
      </w:r>
    </w:p>
    <w:p w14:paraId="662AC037" w14:textId="77777777" w:rsidR="00A43CBC" w:rsidRPr="00A43CBC" w:rsidRDefault="00A43CBC" w:rsidP="00A43CBC">
      <w:pPr>
        <w:pStyle w:val="BodyTextIndent2"/>
        <w:ind w:left="1080" w:hanging="360"/>
        <w:rPr>
          <w:sz w:val="24"/>
          <w:szCs w:val="24"/>
        </w:rPr>
      </w:pPr>
    </w:p>
    <w:p w14:paraId="111CE370" w14:textId="77777777" w:rsidR="00A43CBC" w:rsidRDefault="00541F61" w:rsidP="00541F61">
      <w:pPr>
        <w:spacing w:after="0" w:line="240" w:lineRule="auto"/>
        <w:jc w:val="both"/>
        <w:rPr>
          <w:rFonts w:ascii="Arial" w:hAnsi="Arial" w:cs="Arial"/>
          <w:b/>
          <w:sz w:val="24"/>
          <w:szCs w:val="24"/>
        </w:rPr>
      </w:pPr>
      <w:r w:rsidRPr="00541F61">
        <w:rPr>
          <w:rFonts w:ascii="Arial" w:hAnsi="Arial" w:cs="Arial"/>
          <w:bCs/>
          <w:sz w:val="24"/>
          <w:szCs w:val="24"/>
        </w:rPr>
        <w:t>8.0</w:t>
      </w:r>
      <w:r>
        <w:rPr>
          <w:rFonts w:ascii="Arial" w:hAnsi="Arial" w:cs="Arial"/>
          <w:b/>
          <w:sz w:val="24"/>
          <w:szCs w:val="24"/>
        </w:rPr>
        <w:t xml:space="preserve">     </w:t>
      </w:r>
      <w:r w:rsidR="00A43CBC" w:rsidRPr="00A43CBC">
        <w:rPr>
          <w:rFonts w:ascii="Arial" w:hAnsi="Arial" w:cs="Arial"/>
          <w:b/>
          <w:sz w:val="24"/>
          <w:szCs w:val="24"/>
        </w:rPr>
        <w:t>Staffing and Staff Management</w:t>
      </w:r>
    </w:p>
    <w:p w14:paraId="1C4DF0EB" w14:textId="77777777" w:rsidR="00A43CBC" w:rsidRPr="00A43CBC" w:rsidRDefault="00A43CBC" w:rsidP="00A43CBC">
      <w:pPr>
        <w:pStyle w:val="BodyTextIndent"/>
        <w:rPr>
          <w:rFonts w:ascii="Arial" w:hAnsi="Arial" w:cs="Arial"/>
          <w:i w:val="0"/>
          <w:iCs w:val="0"/>
          <w:sz w:val="24"/>
          <w:szCs w:val="24"/>
        </w:rPr>
      </w:pPr>
      <w:r w:rsidRPr="00A43CBC">
        <w:rPr>
          <w:rFonts w:ascii="Arial" w:hAnsi="Arial" w:cs="Arial"/>
          <w:i w:val="0"/>
          <w:iCs w:val="0"/>
          <w:sz w:val="24"/>
          <w:szCs w:val="24"/>
        </w:rPr>
        <w:t>8.1</w:t>
      </w:r>
      <w:r w:rsidRPr="00A43CBC">
        <w:rPr>
          <w:rFonts w:ascii="Arial" w:hAnsi="Arial" w:cs="Arial"/>
          <w:i w:val="0"/>
          <w:iCs w:val="0"/>
          <w:sz w:val="24"/>
          <w:szCs w:val="24"/>
        </w:rPr>
        <w:tab/>
      </w:r>
      <w:r w:rsidRPr="00A43CBC">
        <w:rPr>
          <w:rFonts w:ascii="Arial" w:hAnsi="Arial" w:cs="Arial"/>
          <w:i w:val="0"/>
          <w:iCs w:val="0"/>
          <w:sz w:val="24"/>
          <w:szCs w:val="24"/>
          <w:u w:val="single"/>
        </w:rPr>
        <w:t>Induction</w:t>
      </w:r>
      <w:r w:rsidRPr="00A43CBC">
        <w:rPr>
          <w:rFonts w:ascii="Arial" w:hAnsi="Arial" w:cs="Arial"/>
          <w:i w:val="0"/>
          <w:iCs w:val="0"/>
          <w:sz w:val="24"/>
          <w:szCs w:val="24"/>
        </w:rPr>
        <w:t xml:space="preserve"> – Podiatry Staff will attend both the Providers corporate induction training. Local Induction will also be provided. Records of inductions must be notified to the Commissioners Human Resources Department for recording on the Commissioners OLM system.</w:t>
      </w:r>
    </w:p>
    <w:p w14:paraId="752027CE" w14:textId="77777777" w:rsidR="00A43CBC" w:rsidRDefault="00A43CBC" w:rsidP="00A43CBC">
      <w:pPr>
        <w:pStyle w:val="BodyTextIndent"/>
        <w:rPr>
          <w:rFonts w:ascii="Arial" w:hAnsi="Arial" w:cs="Arial"/>
          <w:i w:val="0"/>
          <w:iCs w:val="0"/>
          <w:sz w:val="24"/>
          <w:szCs w:val="24"/>
        </w:rPr>
      </w:pPr>
      <w:r w:rsidRPr="00A43CBC">
        <w:rPr>
          <w:rFonts w:ascii="Arial" w:hAnsi="Arial" w:cs="Arial"/>
          <w:i w:val="0"/>
          <w:iCs w:val="0"/>
          <w:sz w:val="24"/>
          <w:szCs w:val="24"/>
        </w:rPr>
        <w:t>8.2</w:t>
      </w:r>
      <w:r w:rsidRPr="00A43CBC">
        <w:rPr>
          <w:rFonts w:ascii="Arial" w:hAnsi="Arial" w:cs="Arial"/>
          <w:i w:val="0"/>
          <w:iCs w:val="0"/>
          <w:sz w:val="24"/>
          <w:szCs w:val="24"/>
        </w:rPr>
        <w:tab/>
      </w:r>
      <w:r w:rsidRPr="00A43CBC">
        <w:rPr>
          <w:rFonts w:ascii="Arial" w:hAnsi="Arial" w:cs="Arial"/>
          <w:i w:val="0"/>
          <w:iCs w:val="0"/>
          <w:sz w:val="24"/>
          <w:szCs w:val="24"/>
          <w:u w:val="single"/>
        </w:rPr>
        <w:t>Registration</w:t>
      </w:r>
      <w:r w:rsidRPr="00A43CBC">
        <w:rPr>
          <w:rFonts w:ascii="Arial" w:hAnsi="Arial" w:cs="Arial"/>
          <w:i w:val="0"/>
          <w:iCs w:val="0"/>
          <w:sz w:val="24"/>
          <w:szCs w:val="24"/>
        </w:rPr>
        <w:t xml:space="preserve"> – the professional registration of all Podiatry staff</w:t>
      </w:r>
      <w:r w:rsidRPr="00541F61">
        <w:rPr>
          <w:rFonts w:ascii="Arial" w:hAnsi="Arial" w:cs="Arial"/>
          <w:i w:val="0"/>
          <w:iCs w:val="0"/>
          <w:sz w:val="24"/>
          <w:szCs w:val="24"/>
        </w:rPr>
        <w:t xml:space="preserve"> will</w:t>
      </w:r>
      <w:r w:rsidRPr="00A43CBC">
        <w:rPr>
          <w:rFonts w:ascii="Arial" w:hAnsi="Arial" w:cs="Arial"/>
          <w:i w:val="0"/>
          <w:iCs w:val="0"/>
          <w:sz w:val="24"/>
          <w:szCs w:val="24"/>
        </w:rPr>
        <w:t xml:space="preserve"> be checked by the Providers Human Resources Department upon appointment into post and at the renewal date. </w:t>
      </w:r>
    </w:p>
    <w:p w14:paraId="6DA41221" w14:textId="77777777" w:rsidR="00A43CBC" w:rsidRPr="00A43CBC" w:rsidRDefault="00A43CBC" w:rsidP="00A43CBC">
      <w:pPr>
        <w:pStyle w:val="BodyTextIndent"/>
        <w:rPr>
          <w:rFonts w:ascii="Arial" w:hAnsi="Arial" w:cs="Arial"/>
          <w:i w:val="0"/>
          <w:iCs w:val="0"/>
          <w:sz w:val="24"/>
          <w:szCs w:val="24"/>
        </w:rPr>
      </w:pPr>
      <w:r w:rsidRPr="00A43CBC">
        <w:rPr>
          <w:rFonts w:ascii="Arial" w:hAnsi="Arial" w:cs="Arial"/>
          <w:i w:val="0"/>
          <w:iCs w:val="0"/>
          <w:sz w:val="24"/>
          <w:szCs w:val="24"/>
        </w:rPr>
        <w:t>8.3</w:t>
      </w:r>
      <w:r w:rsidRPr="00A43CBC">
        <w:rPr>
          <w:rFonts w:ascii="Arial" w:hAnsi="Arial" w:cs="Arial"/>
          <w:i w:val="0"/>
          <w:iCs w:val="0"/>
          <w:sz w:val="24"/>
          <w:szCs w:val="24"/>
        </w:rPr>
        <w:tab/>
      </w:r>
      <w:r w:rsidR="0053350D">
        <w:rPr>
          <w:rFonts w:ascii="Arial" w:hAnsi="Arial" w:cs="Arial"/>
          <w:i w:val="0"/>
          <w:iCs w:val="0"/>
          <w:sz w:val="24"/>
          <w:szCs w:val="24"/>
          <w:u w:val="single"/>
        </w:rPr>
        <w:t>DBS</w:t>
      </w:r>
      <w:r w:rsidRPr="00A43CBC">
        <w:rPr>
          <w:rFonts w:ascii="Arial" w:hAnsi="Arial" w:cs="Arial"/>
          <w:i w:val="0"/>
          <w:iCs w:val="0"/>
          <w:sz w:val="24"/>
          <w:szCs w:val="24"/>
        </w:rPr>
        <w:t xml:space="preserve"> – An Enhanced </w:t>
      </w:r>
      <w:r w:rsidR="0053350D">
        <w:rPr>
          <w:rFonts w:ascii="Arial" w:hAnsi="Arial" w:cs="Arial"/>
          <w:i w:val="0"/>
          <w:iCs w:val="0"/>
          <w:sz w:val="24"/>
          <w:szCs w:val="24"/>
        </w:rPr>
        <w:t>DBS</w:t>
      </w:r>
      <w:r w:rsidRPr="00A43CBC">
        <w:rPr>
          <w:rFonts w:ascii="Arial" w:hAnsi="Arial" w:cs="Arial"/>
          <w:i w:val="0"/>
          <w:iCs w:val="0"/>
          <w:sz w:val="24"/>
          <w:szCs w:val="24"/>
        </w:rPr>
        <w:t xml:space="preserve"> check is </w:t>
      </w:r>
      <w:proofErr w:type="gramStart"/>
      <w:r w:rsidRPr="00A43CBC">
        <w:rPr>
          <w:rFonts w:ascii="Arial" w:hAnsi="Arial" w:cs="Arial"/>
          <w:i w:val="0"/>
          <w:iCs w:val="0"/>
          <w:sz w:val="24"/>
          <w:szCs w:val="24"/>
        </w:rPr>
        <w:t>require</w:t>
      </w:r>
      <w:proofErr w:type="gramEnd"/>
      <w:r w:rsidRPr="00A43CBC">
        <w:rPr>
          <w:rFonts w:ascii="Arial" w:hAnsi="Arial" w:cs="Arial"/>
          <w:i w:val="0"/>
          <w:iCs w:val="0"/>
          <w:sz w:val="24"/>
          <w:szCs w:val="24"/>
        </w:rPr>
        <w:t xml:space="preserve"> of all NHS employees and is the responsibility of the Provider organisation to check this upon appointment. The Commissioners Human Resources Department must be notified when </w:t>
      </w:r>
      <w:r w:rsidR="0053350D">
        <w:rPr>
          <w:rFonts w:ascii="Arial" w:hAnsi="Arial" w:cs="Arial"/>
          <w:i w:val="0"/>
          <w:iCs w:val="0"/>
          <w:sz w:val="24"/>
          <w:szCs w:val="24"/>
        </w:rPr>
        <w:t>DBS</w:t>
      </w:r>
      <w:r w:rsidRPr="00A43CBC">
        <w:rPr>
          <w:rFonts w:ascii="Arial" w:hAnsi="Arial" w:cs="Arial"/>
          <w:i w:val="0"/>
          <w:iCs w:val="0"/>
          <w:sz w:val="24"/>
          <w:szCs w:val="24"/>
        </w:rPr>
        <w:t xml:space="preserve"> checks have been satisfactorily completed.</w:t>
      </w:r>
    </w:p>
    <w:p w14:paraId="4A586569" w14:textId="77777777" w:rsidR="00541F61" w:rsidRPr="00A43CBC" w:rsidRDefault="00A43CBC" w:rsidP="0053350D">
      <w:pPr>
        <w:pStyle w:val="BodyTextIndent"/>
        <w:rPr>
          <w:rFonts w:ascii="Arial" w:hAnsi="Arial" w:cs="Arial"/>
          <w:i w:val="0"/>
          <w:iCs w:val="0"/>
          <w:sz w:val="24"/>
          <w:szCs w:val="24"/>
        </w:rPr>
      </w:pPr>
      <w:r w:rsidRPr="00A43CBC">
        <w:rPr>
          <w:rFonts w:ascii="Arial" w:hAnsi="Arial" w:cs="Arial"/>
          <w:i w:val="0"/>
          <w:iCs w:val="0"/>
          <w:sz w:val="24"/>
          <w:szCs w:val="24"/>
        </w:rPr>
        <w:t>8.4</w:t>
      </w:r>
      <w:r w:rsidRPr="00A43CBC">
        <w:rPr>
          <w:rFonts w:ascii="Arial" w:hAnsi="Arial" w:cs="Arial"/>
          <w:i w:val="0"/>
          <w:iCs w:val="0"/>
          <w:sz w:val="24"/>
          <w:szCs w:val="24"/>
        </w:rPr>
        <w:tab/>
      </w:r>
      <w:r w:rsidRPr="00A43CBC">
        <w:rPr>
          <w:rFonts w:ascii="Arial" w:hAnsi="Arial" w:cs="Arial"/>
          <w:i w:val="0"/>
          <w:iCs w:val="0"/>
          <w:sz w:val="24"/>
          <w:szCs w:val="24"/>
          <w:u w:val="single"/>
        </w:rPr>
        <w:t>Occupational Health Report</w:t>
      </w:r>
      <w:r w:rsidRPr="00A43CBC">
        <w:rPr>
          <w:rFonts w:ascii="Arial" w:hAnsi="Arial" w:cs="Arial"/>
          <w:i w:val="0"/>
          <w:iCs w:val="0"/>
          <w:sz w:val="24"/>
          <w:szCs w:val="24"/>
        </w:rPr>
        <w:t xml:space="preserve"> - It will be the responsibility of the Provider organisation to carry out the Occupational health clearance upon recruitment and bring to the attention of the Commissioner any relevant health issues. </w:t>
      </w:r>
    </w:p>
    <w:p w14:paraId="3C375CDD" w14:textId="77777777" w:rsidR="00A43CBC" w:rsidRDefault="00A43CBC" w:rsidP="00A43CBC">
      <w:pPr>
        <w:pStyle w:val="BodyTextIndent"/>
        <w:rPr>
          <w:rFonts w:ascii="Arial" w:hAnsi="Arial" w:cs="Arial"/>
          <w:i w:val="0"/>
          <w:iCs w:val="0"/>
          <w:sz w:val="24"/>
          <w:szCs w:val="24"/>
        </w:rPr>
      </w:pPr>
      <w:r w:rsidRPr="00A43CBC">
        <w:rPr>
          <w:rFonts w:ascii="Arial" w:hAnsi="Arial" w:cs="Arial"/>
          <w:i w:val="0"/>
          <w:iCs w:val="0"/>
          <w:sz w:val="24"/>
          <w:szCs w:val="24"/>
        </w:rPr>
        <w:t>8.5</w:t>
      </w:r>
      <w:r w:rsidRPr="00A43CBC">
        <w:rPr>
          <w:rFonts w:ascii="Arial" w:hAnsi="Arial" w:cs="Arial"/>
          <w:i w:val="0"/>
          <w:iCs w:val="0"/>
          <w:sz w:val="24"/>
          <w:szCs w:val="24"/>
        </w:rPr>
        <w:tab/>
      </w:r>
      <w:r w:rsidRPr="00A43CBC">
        <w:rPr>
          <w:rFonts w:ascii="Arial" w:hAnsi="Arial" w:cs="Arial"/>
          <w:i w:val="0"/>
          <w:iCs w:val="0"/>
          <w:sz w:val="24"/>
          <w:szCs w:val="24"/>
          <w:u w:val="single"/>
        </w:rPr>
        <w:t>Performance Information</w:t>
      </w:r>
      <w:r w:rsidRPr="00A43CBC">
        <w:rPr>
          <w:rFonts w:ascii="Arial" w:hAnsi="Arial" w:cs="Arial"/>
          <w:i w:val="0"/>
          <w:iCs w:val="0"/>
          <w:sz w:val="24"/>
          <w:szCs w:val="24"/>
        </w:rPr>
        <w:t xml:space="preserve"> - The Provider has a responsibly to inform the Commissioner of any line management or performance issues of individual staff due to be rotated, which may affect their performance and need to be monitored. Likewise, the Commissioner will bring to the attention of the Provider any management or performance issues that emerge. </w:t>
      </w:r>
    </w:p>
    <w:p w14:paraId="32F25D75" w14:textId="77777777" w:rsidR="00541F61" w:rsidRPr="00A43CBC" w:rsidRDefault="00541F61" w:rsidP="00A43CBC">
      <w:pPr>
        <w:pStyle w:val="BodyTextIndent"/>
        <w:rPr>
          <w:rFonts w:ascii="Arial" w:hAnsi="Arial" w:cs="Arial"/>
          <w:i w:val="0"/>
          <w:iCs w:val="0"/>
          <w:sz w:val="24"/>
          <w:szCs w:val="24"/>
        </w:rPr>
      </w:pPr>
    </w:p>
    <w:p w14:paraId="16F81CCF" w14:textId="77777777" w:rsidR="00A43CBC" w:rsidRDefault="00A43CBC" w:rsidP="00A43CBC">
      <w:pPr>
        <w:pStyle w:val="BodyTextIndent"/>
        <w:rPr>
          <w:rFonts w:ascii="Arial" w:hAnsi="Arial" w:cs="Arial"/>
          <w:i w:val="0"/>
          <w:iCs w:val="0"/>
          <w:sz w:val="24"/>
          <w:szCs w:val="24"/>
        </w:rPr>
      </w:pPr>
      <w:r w:rsidRPr="00A43CBC">
        <w:rPr>
          <w:rFonts w:ascii="Arial" w:hAnsi="Arial" w:cs="Arial"/>
          <w:i w:val="0"/>
          <w:iCs w:val="0"/>
          <w:sz w:val="24"/>
          <w:szCs w:val="24"/>
        </w:rPr>
        <w:t>8.6</w:t>
      </w:r>
      <w:r w:rsidRPr="00A43CBC">
        <w:rPr>
          <w:rFonts w:ascii="Arial" w:hAnsi="Arial" w:cs="Arial"/>
          <w:i w:val="0"/>
          <w:iCs w:val="0"/>
          <w:sz w:val="24"/>
          <w:szCs w:val="24"/>
        </w:rPr>
        <w:tab/>
      </w:r>
      <w:r w:rsidRPr="00A43CBC">
        <w:rPr>
          <w:rFonts w:ascii="Arial" w:hAnsi="Arial" w:cs="Arial"/>
          <w:i w:val="0"/>
          <w:iCs w:val="0"/>
          <w:sz w:val="24"/>
          <w:szCs w:val="24"/>
          <w:u w:val="single"/>
        </w:rPr>
        <w:t>Appraisal</w:t>
      </w:r>
      <w:r w:rsidRPr="00A43CBC">
        <w:rPr>
          <w:rFonts w:ascii="Arial" w:hAnsi="Arial" w:cs="Arial"/>
          <w:i w:val="0"/>
          <w:iCs w:val="0"/>
          <w:sz w:val="24"/>
          <w:szCs w:val="24"/>
        </w:rPr>
        <w:t xml:space="preserve"> – the Provider will ensure that all Podiatry staff have a current appraisal and personal development plan in accordance with Provider’s HR Policies.</w:t>
      </w:r>
    </w:p>
    <w:p w14:paraId="4775F9BB" w14:textId="77777777" w:rsidR="00541F61" w:rsidRPr="00A43CBC" w:rsidRDefault="00541F61" w:rsidP="00A43CBC">
      <w:pPr>
        <w:pStyle w:val="BodyTextIndent"/>
        <w:rPr>
          <w:rFonts w:ascii="Arial" w:hAnsi="Arial" w:cs="Arial"/>
          <w:i w:val="0"/>
          <w:iCs w:val="0"/>
          <w:sz w:val="24"/>
          <w:szCs w:val="24"/>
        </w:rPr>
      </w:pPr>
    </w:p>
    <w:p w14:paraId="13FA4E2F" w14:textId="77777777" w:rsidR="00A43CBC" w:rsidRDefault="00A43CBC" w:rsidP="0053350D">
      <w:pPr>
        <w:pStyle w:val="BodyTextIndent"/>
        <w:rPr>
          <w:rFonts w:ascii="Arial" w:hAnsi="Arial" w:cs="Arial"/>
          <w:i w:val="0"/>
          <w:iCs w:val="0"/>
          <w:sz w:val="24"/>
          <w:szCs w:val="24"/>
        </w:rPr>
      </w:pPr>
      <w:r w:rsidRPr="00A43CBC">
        <w:rPr>
          <w:rFonts w:ascii="Arial" w:hAnsi="Arial" w:cs="Arial"/>
          <w:i w:val="0"/>
          <w:iCs w:val="0"/>
          <w:sz w:val="24"/>
          <w:szCs w:val="24"/>
        </w:rPr>
        <w:t>8.7</w:t>
      </w:r>
      <w:r w:rsidRPr="00A43CBC">
        <w:rPr>
          <w:rFonts w:ascii="Arial" w:hAnsi="Arial" w:cs="Arial"/>
          <w:i w:val="0"/>
          <w:iCs w:val="0"/>
          <w:sz w:val="24"/>
          <w:szCs w:val="24"/>
        </w:rPr>
        <w:tab/>
      </w:r>
      <w:r w:rsidRPr="00A43CBC">
        <w:rPr>
          <w:rFonts w:ascii="Arial" w:hAnsi="Arial" w:cs="Arial"/>
          <w:i w:val="0"/>
          <w:iCs w:val="0"/>
          <w:sz w:val="24"/>
          <w:szCs w:val="24"/>
          <w:u w:val="single"/>
        </w:rPr>
        <w:t>Mandatory training</w:t>
      </w:r>
      <w:r w:rsidRPr="00A43CBC">
        <w:rPr>
          <w:rFonts w:ascii="Arial" w:hAnsi="Arial" w:cs="Arial"/>
          <w:i w:val="0"/>
          <w:iCs w:val="0"/>
          <w:sz w:val="24"/>
          <w:szCs w:val="24"/>
        </w:rPr>
        <w:t xml:space="preserve"> – the Provider will ensure that all AHP staff undertake all mandatory training, including any annual updates.  Where specific training is required solely to fulfil the duties required by the Commissioner, this training will be provided by the Commissioner. Evidence of mandatory training undertaken will be provided to the Commissioner upon request. Staff training records will be held within the Electronic Staff Record (</w:t>
      </w:r>
      <w:r w:rsidR="00541F61" w:rsidRPr="00A43CBC">
        <w:rPr>
          <w:rFonts w:ascii="Arial" w:hAnsi="Arial" w:cs="Arial"/>
          <w:i w:val="0"/>
          <w:iCs w:val="0"/>
          <w:sz w:val="24"/>
          <w:szCs w:val="24"/>
        </w:rPr>
        <w:t>ESR) of</w:t>
      </w:r>
      <w:r w:rsidRPr="00A43CBC">
        <w:rPr>
          <w:rFonts w:ascii="Arial" w:hAnsi="Arial" w:cs="Arial"/>
          <w:i w:val="0"/>
          <w:iCs w:val="0"/>
          <w:sz w:val="24"/>
          <w:szCs w:val="24"/>
        </w:rPr>
        <w:t xml:space="preserve"> the Provider organisation and can be made available to the Commissioner upon request.</w:t>
      </w:r>
    </w:p>
    <w:p w14:paraId="04960CFC" w14:textId="77777777" w:rsidR="00541F61" w:rsidRPr="00A43CBC" w:rsidRDefault="00541F61" w:rsidP="00A43CBC">
      <w:pPr>
        <w:pStyle w:val="BodyTextIndent"/>
        <w:rPr>
          <w:rFonts w:ascii="Arial" w:hAnsi="Arial" w:cs="Arial"/>
          <w:i w:val="0"/>
          <w:iCs w:val="0"/>
          <w:sz w:val="24"/>
          <w:szCs w:val="24"/>
        </w:rPr>
      </w:pPr>
    </w:p>
    <w:p w14:paraId="0B7CE3F6" w14:textId="77777777" w:rsidR="00A43CBC" w:rsidRDefault="00A43CBC" w:rsidP="0053350D">
      <w:pPr>
        <w:spacing w:after="0"/>
        <w:ind w:left="720" w:hanging="720"/>
        <w:jc w:val="both"/>
        <w:rPr>
          <w:rFonts w:ascii="Arial" w:hAnsi="Arial" w:cs="Arial"/>
          <w:sz w:val="24"/>
          <w:szCs w:val="24"/>
        </w:rPr>
      </w:pPr>
      <w:r w:rsidRPr="00A43CBC">
        <w:rPr>
          <w:rFonts w:ascii="Arial" w:hAnsi="Arial" w:cs="Arial"/>
          <w:sz w:val="24"/>
          <w:szCs w:val="24"/>
        </w:rPr>
        <w:t>8.8</w:t>
      </w:r>
      <w:r w:rsidRPr="00A43CBC">
        <w:rPr>
          <w:rFonts w:ascii="Arial" w:hAnsi="Arial" w:cs="Arial"/>
          <w:sz w:val="24"/>
          <w:szCs w:val="24"/>
        </w:rPr>
        <w:tab/>
      </w:r>
      <w:r w:rsidRPr="00A43CBC">
        <w:rPr>
          <w:rFonts w:ascii="Arial" w:hAnsi="Arial" w:cs="Arial"/>
          <w:sz w:val="24"/>
          <w:szCs w:val="24"/>
          <w:u w:val="single"/>
        </w:rPr>
        <w:t>Continuing Professional Development (CPD</w:t>
      </w:r>
      <w:r w:rsidRPr="00A43CBC">
        <w:rPr>
          <w:rFonts w:ascii="Arial" w:hAnsi="Arial" w:cs="Arial"/>
          <w:bCs/>
          <w:sz w:val="24"/>
          <w:szCs w:val="24"/>
          <w:u w:val="single"/>
        </w:rPr>
        <w:t>)</w:t>
      </w:r>
      <w:r w:rsidRPr="00A43CBC">
        <w:rPr>
          <w:rFonts w:ascii="Arial" w:hAnsi="Arial" w:cs="Arial"/>
          <w:bCs/>
          <w:sz w:val="24"/>
          <w:szCs w:val="24"/>
        </w:rPr>
        <w:t xml:space="preserve"> - </w:t>
      </w:r>
      <w:r w:rsidRPr="00A43CBC">
        <w:rPr>
          <w:rFonts w:ascii="Arial" w:hAnsi="Arial" w:cs="Arial"/>
          <w:sz w:val="24"/>
          <w:szCs w:val="24"/>
        </w:rPr>
        <w:t xml:space="preserve">The Provider will ensure that all Podiatry staff have the necessary knowledge, skills and competencies to deliver effective Podiatry services </w:t>
      </w:r>
      <w:r w:rsidRPr="00A43CBC">
        <w:rPr>
          <w:rFonts w:ascii="Arial" w:hAnsi="Arial" w:cs="Arial"/>
          <w:sz w:val="24"/>
          <w:szCs w:val="24"/>
        </w:rPr>
        <w:lastRenderedPageBreak/>
        <w:t xml:space="preserve">for the Commissioner. All staff will have access to appropriate CPD opportunities in accordance with any relevant guidance or recommendation from professional bodies.  This will </w:t>
      </w:r>
      <w:proofErr w:type="gramStart"/>
      <w:r w:rsidRPr="00A43CBC">
        <w:rPr>
          <w:rFonts w:ascii="Arial" w:hAnsi="Arial" w:cs="Arial"/>
          <w:sz w:val="24"/>
          <w:szCs w:val="24"/>
        </w:rPr>
        <w:t>include  in</w:t>
      </w:r>
      <w:proofErr w:type="gramEnd"/>
      <w:r w:rsidRPr="00A43CBC">
        <w:rPr>
          <w:rFonts w:ascii="Arial" w:hAnsi="Arial" w:cs="Arial"/>
          <w:sz w:val="24"/>
          <w:szCs w:val="24"/>
        </w:rPr>
        <w:t>-service training, clinical supervision, and may include attendance on external courses, relevant to service provision.</w:t>
      </w:r>
    </w:p>
    <w:p w14:paraId="514201A0" w14:textId="77777777" w:rsidR="0053350D" w:rsidRPr="00A43CBC" w:rsidRDefault="0053350D" w:rsidP="0053350D">
      <w:pPr>
        <w:spacing w:after="0"/>
        <w:ind w:left="720" w:hanging="720"/>
        <w:jc w:val="both"/>
        <w:rPr>
          <w:rFonts w:ascii="Arial" w:hAnsi="Arial" w:cs="Arial"/>
          <w:sz w:val="24"/>
          <w:szCs w:val="24"/>
        </w:rPr>
      </w:pPr>
    </w:p>
    <w:p w14:paraId="6C4525DF" w14:textId="77777777" w:rsidR="00A43CBC" w:rsidRPr="00A43CBC" w:rsidRDefault="00A43CBC" w:rsidP="00541F61">
      <w:pPr>
        <w:jc w:val="both"/>
        <w:rPr>
          <w:rFonts w:ascii="Arial" w:hAnsi="Arial" w:cs="Arial"/>
          <w:sz w:val="24"/>
          <w:szCs w:val="24"/>
        </w:rPr>
      </w:pPr>
      <w:r w:rsidRPr="00A43CBC">
        <w:rPr>
          <w:rFonts w:ascii="Arial" w:hAnsi="Arial" w:cs="Arial"/>
          <w:sz w:val="24"/>
          <w:szCs w:val="24"/>
        </w:rPr>
        <w:t>9.0</w:t>
      </w:r>
      <w:r w:rsidRPr="00A43CBC">
        <w:rPr>
          <w:rFonts w:ascii="Arial" w:hAnsi="Arial" w:cs="Arial"/>
          <w:sz w:val="24"/>
          <w:szCs w:val="24"/>
        </w:rPr>
        <w:tab/>
      </w:r>
      <w:r w:rsidRPr="00A43CBC">
        <w:rPr>
          <w:rFonts w:ascii="Arial" w:hAnsi="Arial" w:cs="Arial"/>
          <w:b/>
          <w:sz w:val="24"/>
          <w:szCs w:val="24"/>
        </w:rPr>
        <w:t>Risk Management and Health &amp; Safety</w:t>
      </w:r>
      <w:r w:rsidRPr="00A43CBC">
        <w:rPr>
          <w:rFonts w:ascii="Arial" w:hAnsi="Arial" w:cs="Arial"/>
          <w:sz w:val="24"/>
          <w:szCs w:val="24"/>
        </w:rPr>
        <w:t xml:space="preserve"> </w:t>
      </w:r>
    </w:p>
    <w:p w14:paraId="33CAD88B" w14:textId="77777777" w:rsidR="00A43CBC" w:rsidRPr="00A43CBC" w:rsidRDefault="00A43CBC" w:rsidP="00541F61">
      <w:pPr>
        <w:ind w:left="720" w:hanging="720"/>
        <w:jc w:val="both"/>
        <w:rPr>
          <w:rFonts w:ascii="Arial" w:hAnsi="Arial" w:cs="Arial"/>
          <w:sz w:val="24"/>
          <w:szCs w:val="24"/>
        </w:rPr>
      </w:pPr>
      <w:r w:rsidRPr="00A43CBC">
        <w:rPr>
          <w:rFonts w:ascii="Arial" w:hAnsi="Arial" w:cs="Arial"/>
          <w:sz w:val="24"/>
          <w:szCs w:val="24"/>
        </w:rPr>
        <w:t>9.1</w:t>
      </w:r>
      <w:r w:rsidRPr="00A43CBC">
        <w:rPr>
          <w:rFonts w:ascii="Arial" w:hAnsi="Arial" w:cs="Arial"/>
          <w:sz w:val="24"/>
          <w:szCs w:val="24"/>
        </w:rPr>
        <w:tab/>
        <w:t>All adverse incidents involving or affecting Podiatrists occurring on the Commissioner’s premises will be reported via the commissioner’s Incident Reporting System.  Health and Safety issues will be managed in accordance with the Commissioner policies and procedures.</w:t>
      </w:r>
    </w:p>
    <w:p w14:paraId="07E22225" w14:textId="77777777" w:rsidR="00A43CBC" w:rsidRPr="00541F61" w:rsidRDefault="00A43CBC" w:rsidP="00541F61">
      <w:pPr>
        <w:pStyle w:val="ListParagraph"/>
        <w:numPr>
          <w:ilvl w:val="0"/>
          <w:numId w:val="13"/>
        </w:numPr>
        <w:jc w:val="both"/>
        <w:rPr>
          <w:rFonts w:cs="Arial"/>
          <w:b/>
        </w:rPr>
      </w:pPr>
      <w:r w:rsidRPr="00541F61">
        <w:rPr>
          <w:rFonts w:cs="Arial"/>
          <w:b/>
        </w:rPr>
        <w:t>Research</w:t>
      </w:r>
    </w:p>
    <w:p w14:paraId="09448A29" w14:textId="77777777" w:rsidR="00541F61" w:rsidRPr="00541F61" w:rsidRDefault="00541F61" w:rsidP="00541F61">
      <w:pPr>
        <w:spacing w:after="0" w:line="240" w:lineRule="auto"/>
        <w:ind w:left="720"/>
        <w:jc w:val="both"/>
        <w:rPr>
          <w:rFonts w:ascii="Arial" w:hAnsi="Arial" w:cs="Arial"/>
          <w:b/>
          <w:sz w:val="24"/>
          <w:szCs w:val="24"/>
        </w:rPr>
      </w:pPr>
    </w:p>
    <w:p w14:paraId="2574FA86" w14:textId="77777777" w:rsidR="00A43CBC" w:rsidRDefault="00541F61" w:rsidP="00541F61">
      <w:pPr>
        <w:ind w:left="720" w:hanging="720"/>
        <w:jc w:val="both"/>
        <w:rPr>
          <w:rFonts w:ascii="Arial" w:hAnsi="Arial" w:cs="Arial"/>
          <w:sz w:val="24"/>
          <w:szCs w:val="24"/>
        </w:rPr>
      </w:pPr>
      <w:r>
        <w:rPr>
          <w:rFonts w:ascii="Arial" w:hAnsi="Arial" w:cs="Arial"/>
          <w:sz w:val="24"/>
          <w:szCs w:val="24"/>
        </w:rPr>
        <w:t>10</w:t>
      </w:r>
      <w:r w:rsidR="00A43CBC" w:rsidRPr="00A43CBC">
        <w:rPr>
          <w:rFonts w:ascii="Arial" w:hAnsi="Arial" w:cs="Arial"/>
          <w:sz w:val="24"/>
          <w:szCs w:val="24"/>
        </w:rPr>
        <w:t>.1</w:t>
      </w:r>
      <w:r w:rsidR="00A43CBC" w:rsidRPr="00A43CBC">
        <w:rPr>
          <w:rFonts w:ascii="Arial" w:hAnsi="Arial" w:cs="Arial"/>
          <w:sz w:val="24"/>
          <w:szCs w:val="24"/>
        </w:rPr>
        <w:tab/>
        <w:t>All research undertaken by Podiatry staff will be registered with the Providers teaching and learning directorate. Any research undertaken within the Commissioning organisation will be registered with the Commissioner’s research department.  Any research undertaken must have the necessary ethical approval and governance arrangements.</w:t>
      </w:r>
    </w:p>
    <w:p w14:paraId="13BB9FEE" w14:textId="77777777" w:rsidR="00A43CBC" w:rsidRPr="00541F61" w:rsidRDefault="00A43CBC" w:rsidP="00541F61">
      <w:pPr>
        <w:ind w:left="720" w:hanging="720"/>
        <w:jc w:val="both"/>
        <w:rPr>
          <w:rFonts w:ascii="Arial" w:hAnsi="Arial" w:cs="Arial"/>
          <w:sz w:val="24"/>
          <w:szCs w:val="24"/>
        </w:rPr>
      </w:pPr>
      <w:r w:rsidRPr="00A43CBC">
        <w:rPr>
          <w:rFonts w:ascii="Arial" w:hAnsi="Arial" w:cs="Arial"/>
          <w:sz w:val="24"/>
          <w:szCs w:val="24"/>
        </w:rPr>
        <w:t>1</w:t>
      </w:r>
      <w:r w:rsidR="00541F61">
        <w:rPr>
          <w:rFonts w:ascii="Arial" w:hAnsi="Arial" w:cs="Arial"/>
          <w:sz w:val="24"/>
          <w:szCs w:val="24"/>
        </w:rPr>
        <w:t>1</w:t>
      </w:r>
      <w:r w:rsidRPr="00A43CBC">
        <w:rPr>
          <w:rFonts w:ascii="Arial" w:hAnsi="Arial" w:cs="Arial"/>
          <w:sz w:val="24"/>
          <w:szCs w:val="24"/>
        </w:rPr>
        <w:t>.0</w:t>
      </w:r>
      <w:r w:rsidRPr="00A43CBC">
        <w:rPr>
          <w:rFonts w:ascii="Arial" w:hAnsi="Arial" w:cs="Arial"/>
          <w:sz w:val="24"/>
          <w:szCs w:val="24"/>
        </w:rPr>
        <w:tab/>
      </w:r>
      <w:r w:rsidRPr="00A43CBC">
        <w:rPr>
          <w:rFonts w:ascii="Arial" w:hAnsi="Arial" w:cs="Arial"/>
          <w:b/>
          <w:sz w:val="24"/>
          <w:szCs w:val="24"/>
        </w:rPr>
        <w:t>Confidentiality</w:t>
      </w:r>
    </w:p>
    <w:p w14:paraId="1FF3183F" w14:textId="77777777" w:rsidR="00A43CBC" w:rsidRPr="00A43CBC" w:rsidRDefault="00A43CBC" w:rsidP="00A43CBC">
      <w:pPr>
        <w:pStyle w:val="BodyTextIndent3"/>
        <w:rPr>
          <w:rFonts w:cs="Arial"/>
        </w:rPr>
      </w:pPr>
      <w:r w:rsidRPr="00A43CBC">
        <w:rPr>
          <w:rFonts w:cs="Arial"/>
        </w:rPr>
        <w:t>1</w:t>
      </w:r>
      <w:r w:rsidR="00541F61">
        <w:rPr>
          <w:rFonts w:cs="Arial"/>
        </w:rPr>
        <w:t>1</w:t>
      </w:r>
      <w:r w:rsidRPr="00A43CBC">
        <w:rPr>
          <w:rFonts w:cs="Arial"/>
        </w:rPr>
        <w:t>.1</w:t>
      </w:r>
      <w:r w:rsidRPr="00A43CBC">
        <w:rPr>
          <w:rFonts w:cs="Arial"/>
        </w:rPr>
        <w:tab/>
        <w:t>All staff will comply with legal and professional requirements concerning confidentiality of patient information and acknowledge their respective duties under the recommendations of the Caldicott Committee, the Data Protection Act 1998 and the Freedom of Information Act 2000.  All staff will comply with the Provider and Commissioners policies regarding use of the electronic patient record.</w:t>
      </w:r>
    </w:p>
    <w:p w14:paraId="4BF5F7DC" w14:textId="77777777" w:rsidR="00A43CBC" w:rsidRPr="00A43CBC" w:rsidRDefault="00A43CBC" w:rsidP="00A43CBC">
      <w:pPr>
        <w:pStyle w:val="BodyTextIndent3"/>
        <w:rPr>
          <w:rFonts w:cs="Arial"/>
        </w:rPr>
      </w:pPr>
    </w:p>
    <w:p w14:paraId="36329DFF" w14:textId="77777777" w:rsidR="00A43CBC" w:rsidRPr="00A43CBC" w:rsidRDefault="00A43CBC" w:rsidP="00541F61">
      <w:pPr>
        <w:pStyle w:val="BodyTextIndent3"/>
        <w:numPr>
          <w:ilvl w:val="0"/>
          <w:numId w:val="14"/>
        </w:numPr>
        <w:rPr>
          <w:rFonts w:cs="Arial"/>
          <w:b/>
        </w:rPr>
      </w:pPr>
      <w:r w:rsidRPr="00A43CBC">
        <w:rPr>
          <w:rFonts w:cs="Arial"/>
          <w:b/>
        </w:rPr>
        <w:t>Communication</w:t>
      </w:r>
    </w:p>
    <w:p w14:paraId="4EE408C4" w14:textId="77777777" w:rsidR="00A43CBC" w:rsidRPr="00A43CBC" w:rsidRDefault="00A43CBC" w:rsidP="00A43CBC">
      <w:pPr>
        <w:pStyle w:val="BodyTextIndent3"/>
        <w:ind w:left="0" w:firstLine="0"/>
        <w:rPr>
          <w:rFonts w:cs="Arial"/>
        </w:rPr>
      </w:pPr>
    </w:p>
    <w:p w14:paraId="1D312BD6" w14:textId="68FE1961" w:rsidR="00A43CBC" w:rsidRPr="00A43CBC" w:rsidRDefault="00A43CBC" w:rsidP="00A43CBC">
      <w:pPr>
        <w:pStyle w:val="BodyTextIndent3"/>
        <w:ind w:left="0" w:firstLine="0"/>
        <w:rPr>
          <w:rFonts w:cs="Arial"/>
          <w:b/>
        </w:rPr>
      </w:pPr>
      <w:r w:rsidRPr="00A43CBC">
        <w:rPr>
          <w:rFonts w:cs="Arial"/>
        </w:rPr>
        <w:t>1</w:t>
      </w:r>
      <w:r w:rsidR="00541F61">
        <w:rPr>
          <w:rFonts w:cs="Arial"/>
        </w:rPr>
        <w:t>2</w:t>
      </w:r>
      <w:r w:rsidRPr="00A43CBC">
        <w:rPr>
          <w:rFonts w:cs="Arial"/>
        </w:rPr>
        <w:t>.1</w:t>
      </w:r>
      <w:r w:rsidRPr="00A43CBC">
        <w:rPr>
          <w:rFonts w:cs="Arial"/>
        </w:rPr>
        <w:tab/>
        <w:t>The service will comply with the NHS Complaints Procedure.</w:t>
      </w:r>
    </w:p>
    <w:p w14:paraId="026B620D" w14:textId="77777777" w:rsidR="00A43CBC" w:rsidRPr="00A43CBC" w:rsidRDefault="00A43CBC" w:rsidP="00A43CBC">
      <w:pPr>
        <w:pStyle w:val="BodyTextIndent3"/>
        <w:ind w:left="1440"/>
        <w:rPr>
          <w:rFonts w:cs="Arial"/>
        </w:rPr>
      </w:pPr>
    </w:p>
    <w:p w14:paraId="6C9D2DC3" w14:textId="77777777" w:rsidR="00A43CBC" w:rsidRPr="00A43CBC" w:rsidRDefault="00A43CBC" w:rsidP="00A43CBC">
      <w:pPr>
        <w:pStyle w:val="BodyTextIndent3"/>
        <w:rPr>
          <w:rFonts w:cs="Arial"/>
        </w:rPr>
      </w:pPr>
      <w:r w:rsidRPr="00A43CBC">
        <w:rPr>
          <w:rFonts w:cs="Arial"/>
        </w:rPr>
        <w:t>1</w:t>
      </w:r>
      <w:r w:rsidR="00541F61">
        <w:rPr>
          <w:rFonts w:cs="Arial"/>
        </w:rPr>
        <w:t>2</w:t>
      </w:r>
      <w:r w:rsidRPr="00A43CBC">
        <w:rPr>
          <w:rFonts w:cs="Arial"/>
        </w:rPr>
        <w:t>.2</w:t>
      </w:r>
      <w:r w:rsidRPr="00A43CBC">
        <w:rPr>
          <w:rFonts w:cs="Arial"/>
        </w:rPr>
        <w:tab/>
        <w:t xml:space="preserve">Any complaints regarding the Podiatry service delivery or staff undertaking any duties for the Commissioner are the responsibility of the Provider.  In the event of a complaint being received by the Commissioner, this will be logged with the Commissioner’s complaints department and then passed to the Provider’s complaints department for actioning.  A nominated lead professional will investigate in accordance with the Provider trusts procedures. Any action plans arising from complaints will be shared with the Commissioner.  </w:t>
      </w:r>
    </w:p>
    <w:p w14:paraId="64F19604" w14:textId="77777777" w:rsidR="00A43CBC" w:rsidRPr="00A43CBC" w:rsidRDefault="00A43CBC" w:rsidP="00A43CBC">
      <w:pPr>
        <w:pStyle w:val="BodyTextIndent3"/>
        <w:rPr>
          <w:rFonts w:cs="Arial"/>
        </w:rPr>
      </w:pPr>
    </w:p>
    <w:p w14:paraId="2314F1E5" w14:textId="77777777" w:rsidR="00A43CBC" w:rsidRPr="00A43CBC" w:rsidRDefault="00A43CBC" w:rsidP="00A43CBC">
      <w:pPr>
        <w:pStyle w:val="BodyTextIndent3"/>
        <w:rPr>
          <w:rFonts w:cs="Arial"/>
        </w:rPr>
      </w:pPr>
      <w:r w:rsidRPr="00A43CBC">
        <w:rPr>
          <w:rFonts w:cs="Arial"/>
        </w:rPr>
        <w:t>1</w:t>
      </w:r>
      <w:r w:rsidR="00541F61">
        <w:rPr>
          <w:rFonts w:cs="Arial"/>
        </w:rPr>
        <w:t>2</w:t>
      </w:r>
      <w:r w:rsidRPr="00A43CBC">
        <w:rPr>
          <w:rFonts w:cs="Arial"/>
        </w:rPr>
        <w:t>.3</w:t>
      </w:r>
      <w:r w:rsidRPr="00A43CBC">
        <w:rPr>
          <w:rFonts w:cs="Arial"/>
        </w:rPr>
        <w:tab/>
        <w:t>Any staff actions which result in Disciplinary action needing to be taken, then this will follow the Providers procedure being advised to the Commissioner.</w:t>
      </w:r>
    </w:p>
    <w:p w14:paraId="75909AE1" w14:textId="77777777" w:rsidR="00A43CBC" w:rsidRPr="00A43CBC" w:rsidRDefault="00A43CBC" w:rsidP="00A43CBC">
      <w:pPr>
        <w:pStyle w:val="BodyTextIndent3"/>
        <w:ind w:left="0" w:firstLine="0"/>
        <w:rPr>
          <w:rFonts w:cs="Arial"/>
        </w:rPr>
      </w:pPr>
    </w:p>
    <w:p w14:paraId="4792AEE3" w14:textId="77777777" w:rsidR="00A43CBC" w:rsidRPr="00A43CBC" w:rsidRDefault="00A43CBC" w:rsidP="00A43CBC">
      <w:pPr>
        <w:pStyle w:val="BodyTextIndent3"/>
        <w:ind w:left="0" w:firstLine="0"/>
        <w:rPr>
          <w:rFonts w:cs="Arial"/>
          <w:b/>
          <w:bCs/>
        </w:rPr>
      </w:pPr>
      <w:r w:rsidRPr="00A43CBC">
        <w:rPr>
          <w:rFonts w:cs="Arial"/>
        </w:rPr>
        <w:t>12.0</w:t>
      </w:r>
      <w:r w:rsidRPr="00A43CBC">
        <w:rPr>
          <w:rFonts w:cs="Arial"/>
        </w:rPr>
        <w:tab/>
      </w:r>
      <w:r w:rsidRPr="00A43CBC">
        <w:rPr>
          <w:rFonts w:cs="Arial"/>
          <w:b/>
          <w:bCs/>
        </w:rPr>
        <w:t>Sub-contracting</w:t>
      </w:r>
    </w:p>
    <w:p w14:paraId="3D6C14C0" w14:textId="77777777" w:rsidR="00A43CBC" w:rsidRPr="00A43CBC" w:rsidRDefault="00A43CBC" w:rsidP="00A43CBC">
      <w:pPr>
        <w:pStyle w:val="BodyTextIndent3"/>
        <w:autoSpaceDE/>
        <w:autoSpaceDN/>
        <w:adjustRightInd/>
        <w:rPr>
          <w:rFonts w:cs="Arial"/>
        </w:rPr>
      </w:pPr>
      <w:r w:rsidRPr="00A43CBC">
        <w:rPr>
          <w:rFonts w:cs="Arial"/>
        </w:rPr>
        <w:t>12.1</w:t>
      </w:r>
      <w:r w:rsidRPr="00A43CBC">
        <w:rPr>
          <w:rFonts w:cs="Arial"/>
        </w:rPr>
        <w:tab/>
        <w:t>It is recognised that if staffing difficulties occur</w:t>
      </w:r>
      <w:r w:rsidRPr="00A43CBC">
        <w:rPr>
          <w:rFonts w:cs="Arial"/>
          <w:color w:val="0000FF"/>
        </w:rPr>
        <w:t xml:space="preserve"> </w:t>
      </w:r>
      <w:r w:rsidRPr="00A43CBC">
        <w:rPr>
          <w:rFonts w:cs="Arial"/>
        </w:rPr>
        <w:t xml:space="preserve">the Provider may use locum staff from agencies to deliver part of this service. This must be notified and agreed by the Commissioner in advance. </w:t>
      </w:r>
    </w:p>
    <w:p w14:paraId="7664EC94" w14:textId="77777777" w:rsidR="00A43CBC" w:rsidRPr="00A43CBC" w:rsidRDefault="00A43CBC" w:rsidP="00A43CBC">
      <w:pPr>
        <w:pStyle w:val="BodyTextIndent3"/>
        <w:rPr>
          <w:rFonts w:cs="Arial"/>
        </w:rPr>
      </w:pPr>
    </w:p>
    <w:p w14:paraId="18D4DA03" w14:textId="77777777" w:rsidR="00A43CBC" w:rsidRPr="00A43CBC" w:rsidRDefault="00A43CBC" w:rsidP="00A43CBC">
      <w:pPr>
        <w:jc w:val="both"/>
        <w:rPr>
          <w:rFonts w:ascii="Arial" w:hAnsi="Arial" w:cs="Arial"/>
          <w:b/>
          <w:sz w:val="24"/>
          <w:szCs w:val="24"/>
        </w:rPr>
      </w:pPr>
      <w:r w:rsidRPr="00A43CBC">
        <w:rPr>
          <w:rFonts w:ascii="Arial" w:hAnsi="Arial" w:cs="Arial"/>
          <w:b/>
          <w:sz w:val="24"/>
          <w:szCs w:val="24"/>
        </w:rPr>
        <w:t>E</w:t>
      </w:r>
      <w:r w:rsidR="00C303A2">
        <w:rPr>
          <w:rFonts w:ascii="Arial" w:hAnsi="Arial" w:cs="Arial"/>
          <w:b/>
          <w:sz w:val="24"/>
          <w:szCs w:val="24"/>
        </w:rPr>
        <w:t>ND</w:t>
      </w:r>
    </w:p>
    <w:p w14:paraId="38BC5C76" w14:textId="77777777" w:rsidR="00A43CBC" w:rsidRPr="00A43CBC" w:rsidRDefault="00A43CBC" w:rsidP="00A43CBC">
      <w:pPr>
        <w:jc w:val="both"/>
        <w:rPr>
          <w:rFonts w:ascii="Arial" w:hAnsi="Arial" w:cs="Arial"/>
          <w:b/>
          <w:sz w:val="24"/>
          <w:szCs w:val="24"/>
        </w:rPr>
      </w:pPr>
    </w:p>
    <w:p w14:paraId="53835CF9" w14:textId="77777777" w:rsidR="00785247" w:rsidRPr="002204DB" w:rsidRDefault="00785247" w:rsidP="00785247">
      <w:pPr>
        <w:jc w:val="center"/>
        <w:rPr>
          <w:noProof/>
        </w:rPr>
      </w:pPr>
    </w:p>
    <w:sectPr w:rsidR="00785247" w:rsidRPr="002204DB" w:rsidSect="00333E6D">
      <w:headerReference w:type="even" r:id="rId9"/>
      <w:headerReference w:type="default" r:id="rId10"/>
      <w:footerReference w:type="even" r:id="rId11"/>
      <w:footerReference w:type="default" r:id="rId12"/>
      <w:headerReference w:type="first" r:id="rId13"/>
      <w:footerReference w:type="first" r:id="rId14"/>
      <w:pgSz w:w="11900" w:h="16840"/>
      <w:pgMar w:top="1276" w:right="567" w:bottom="567" w:left="84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BD1F" w14:textId="77777777" w:rsidR="00E14E3E" w:rsidRDefault="00E14E3E" w:rsidP="00A1538A">
      <w:pPr>
        <w:spacing w:after="0" w:line="240" w:lineRule="auto"/>
      </w:pPr>
      <w:r>
        <w:separator/>
      </w:r>
    </w:p>
  </w:endnote>
  <w:endnote w:type="continuationSeparator" w:id="0">
    <w:p w14:paraId="060B668D" w14:textId="77777777" w:rsidR="00E14E3E" w:rsidRDefault="00E14E3E"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6017" w14:textId="77777777" w:rsidR="00FC5BA5" w:rsidRDefault="00FC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886C" w14:textId="0DE6E872" w:rsidR="000C65D7" w:rsidRDefault="000C6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530D" w14:textId="6E700B0B" w:rsidR="00442F9A" w:rsidRDefault="00442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21B6" w14:textId="77777777" w:rsidR="00E14E3E" w:rsidRDefault="00E14E3E" w:rsidP="00A1538A">
      <w:pPr>
        <w:spacing w:after="0" w:line="240" w:lineRule="auto"/>
      </w:pPr>
      <w:r>
        <w:separator/>
      </w:r>
    </w:p>
  </w:footnote>
  <w:footnote w:type="continuationSeparator" w:id="0">
    <w:p w14:paraId="6392861E" w14:textId="77777777" w:rsidR="00E14E3E" w:rsidRDefault="00E14E3E"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DDEA" w14:textId="77777777" w:rsidR="00FC5BA5" w:rsidRDefault="00FC5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4928" w14:textId="77777777" w:rsidR="00FC5BA5" w:rsidRDefault="00FC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BCD6" w14:textId="77777777" w:rsidR="00FC5BA5" w:rsidRDefault="00FC5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729"/>
    <w:multiLevelType w:val="hybridMultilevel"/>
    <w:tmpl w:val="D944B2C8"/>
    <w:lvl w:ilvl="0" w:tplc="73445A26">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2217323"/>
    <w:multiLevelType w:val="hybridMultilevel"/>
    <w:tmpl w:val="8D08053A"/>
    <w:lvl w:ilvl="0" w:tplc="E9D40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8A48AD"/>
    <w:multiLevelType w:val="multilevel"/>
    <w:tmpl w:val="1D243B1C"/>
    <w:lvl w:ilvl="0">
      <w:start w:val="10"/>
      <w:numFmt w:val="decimal"/>
      <w:lvlText w:val="%1.0"/>
      <w:lvlJc w:val="left"/>
      <w:pPr>
        <w:ind w:left="465" w:hanging="465"/>
      </w:pPr>
      <w:rPr>
        <w:rFonts w:hint="default"/>
        <w:b w:val="0"/>
        <w:bCs/>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B022C9B"/>
    <w:multiLevelType w:val="multilevel"/>
    <w:tmpl w:val="EEAE14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BD12E7"/>
    <w:multiLevelType w:val="multilevel"/>
    <w:tmpl w:val="A5A40212"/>
    <w:lvl w:ilvl="0">
      <w:start w:val="8"/>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9AE19BE"/>
    <w:multiLevelType w:val="hybridMultilevel"/>
    <w:tmpl w:val="81E6FC64"/>
    <w:lvl w:ilvl="0" w:tplc="73445A26">
      <w:start w:val="1"/>
      <w:numFmt w:val="bullet"/>
      <w:lvlText w:val=""/>
      <w:lvlJc w:val="left"/>
      <w:pPr>
        <w:tabs>
          <w:tab w:val="num" w:pos="1800"/>
        </w:tabs>
        <w:ind w:left="1800" w:hanging="360"/>
      </w:pPr>
      <w:rPr>
        <w:rFonts w:ascii="Symbol" w:hAnsi="Symbol" w:hint="default"/>
        <w:sz w:val="16"/>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58825B6"/>
    <w:multiLevelType w:val="hybridMultilevel"/>
    <w:tmpl w:val="ECAE977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65850B6"/>
    <w:multiLevelType w:val="hybridMultilevel"/>
    <w:tmpl w:val="378C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318E"/>
    <w:multiLevelType w:val="multilevel"/>
    <w:tmpl w:val="03262B5A"/>
    <w:lvl w:ilvl="0">
      <w:start w:val="11"/>
      <w:numFmt w:val="decimal"/>
      <w:lvlText w:val="%1.0"/>
      <w:lvlJc w:val="left"/>
      <w:pPr>
        <w:tabs>
          <w:tab w:val="num" w:pos="465"/>
        </w:tabs>
        <w:ind w:left="465" w:hanging="465"/>
      </w:pPr>
      <w:rPr>
        <w:rFonts w:hint="default"/>
        <w:b w:val="0"/>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8FF7EB7"/>
    <w:multiLevelType w:val="hybridMultilevel"/>
    <w:tmpl w:val="469E8D60"/>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0" w15:restartNumberingAfterBreak="0">
    <w:nsid w:val="59E6032B"/>
    <w:multiLevelType w:val="multilevel"/>
    <w:tmpl w:val="B636BE6E"/>
    <w:lvl w:ilvl="0">
      <w:start w:val="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1" w15:restartNumberingAfterBreak="0">
    <w:nsid w:val="680672C2"/>
    <w:multiLevelType w:val="multilevel"/>
    <w:tmpl w:val="AC6887B6"/>
    <w:lvl w:ilvl="0">
      <w:start w:val="12"/>
      <w:numFmt w:val="decimal"/>
      <w:lvlText w:val="%1.0"/>
      <w:lvlJc w:val="left"/>
      <w:pPr>
        <w:ind w:left="465" w:hanging="465"/>
      </w:pPr>
      <w:rPr>
        <w:rFonts w:hint="default"/>
        <w:b w:val="0"/>
        <w:bCs/>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297C65"/>
    <w:multiLevelType w:val="multilevel"/>
    <w:tmpl w:val="114606F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7443BAB"/>
    <w:multiLevelType w:val="hybridMultilevel"/>
    <w:tmpl w:val="ADBEF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00533690">
    <w:abstractNumId w:val="0"/>
  </w:num>
  <w:num w:numId="2" w16cid:durableId="1305817881">
    <w:abstractNumId w:val="1"/>
  </w:num>
  <w:num w:numId="3" w16cid:durableId="269355362">
    <w:abstractNumId w:val="12"/>
  </w:num>
  <w:num w:numId="4" w16cid:durableId="404912286">
    <w:abstractNumId w:val="10"/>
  </w:num>
  <w:num w:numId="5" w16cid:durableId="199438685">
    <w:abstractNumId w:val="6"/>
  </w:num>
  <w:num w:numId="6" w16cid:durableId="1922324606">
    <w:abstractNumId w:val="4"/>
  </w:num>
  <w:num w:numId="7" w16cid:durableId="378021244">
    <w:abstractNumId w:val="8"/>
  </w:num>
  <w:num w:numId="8" w16cid:durableId="1078745923">
    <w:abstractNumId w:val="9"/>
  </w:num>
  <w:num w:numId="9" w16cid:durableId="580413398">
    <w:abstractNumId w:val="7"/>
  </w:num>
  <w:num w:numId="10" w16cid:durableId="2069910532">
    <w:abstractNumId w:val="13"/>
  </w:num>
  <w:num w:numId="11" w16cid:durableId="1275213558">
    <w:abstractNumId w:val="5"/>
  </w:num>
  <w:num w:numId="12" w16cid:durableId="875313779">
    <w:abstractNumId w:val="3"/>
  </w:num>
  <w:num w:numId="13" w16cid:durableId="1398474379">
    <w:abstractNumId w:val="2"/>
  </w:num>
  <w:num w:numId="14" w16cid:durableId="796066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35979"/>
    <w:rsid w:val="00046109"/>
    <w:rsid w:val="00061A42"/>
    <w:rsid w:val="000C65D7"/>
    <w:rsid w:val="000D2AE8"/>
    <w:rsid w:val="000D540A"/>
    <w:rsid w:val="001530C5"/>
    <w:rsid w:val="001722E2"/>
    <w:rsid w:val="001E1BB6"/>
    <w:rsid w:val="002102AF"/>
    <w:rsid w:val="002203BB"/>
    <w:rsid w:val="002204DB"/>
    <w:rsid w:val="002C2634"/>
    <w:rsid w:val="002E1D38"/>
    <w:rsid w:val="002E6B4D"/>
    <w:rsid w:val="002F6D61"/>
    <w:rsid w:val="00333E6D"/>
    <w:rsid w:val="003827BE"/>
    <w:rsid w:val="003D17B5"/>
    <w:rsid w:val="00436772"/>
    <w:rsid w:val="00442F9A"/>
    <w:rsid w:val="0047249A"/>
    <w:rsid w:val="00486E7A"/>
    <w:rsid w:val="004A2D0D"/>
    <w:rsid w:val="005050E0"/>
    <w:rsid w:val="0053350D"/>
    <w:rsid w:val="00541F61"/>
    <w:rsid w:val="005617B2"/>
    <w:rsid w:val="006712D8"/>
    <w:rsid w:val="0070095B"/>
    <w:rsid w:val="00702581"/>
    <w:rsid w:val="007850C9"/>
    <w:rsid w:val="00785247"/>
    <w:rsid w:val="007B4235"/>
    <w:rsid w:val="008430AE"/>
    <w:rsid w:val="008631F7"/>
    <w:rsid w:val="008C0A56"/>
    <w:rsid w:val="0097110D"/>
    <w:rsid w:val="00984B99"/>
    <w:rsid w:val="00A05090"/>
    <w:rsid w:val="00A1538A"/>
    <w:rsid w:val="00A16605"/>
    <w:rsid w:val="00A43CBC"/>
    <w:rsid w:val="00A71A99"/>
    <w:rsid w:val="00A77214"/>
    <w:rsid w:val="00A97C51"/>
    <w:rsid w:val="00AA0F23"/>
    <w:rsid w:val="00AE66D9"/>
    <w:rsid w:val="00B268E3"/>
    <w:rsid w:val="00B950C9"/>
    <w:rsid w:val="00C07B16"/>
    <w:rsid w:val="00C303A2"/>
    <w:rsid w:val="00C308AC"/>
    <w:rsid w:val="00C67989"/>
    <w:rsid w:val="00C8146D"/>
    <w:rsid w:val="00D562B9"/>
    <w:rsid w:val="00D97EC5"/>
    <w:rsid w:val="00DC3779"/>
    <w:rsid w:val="00DF745D"/>
    <w:rsid w:val="00E046A1"/>
    <w:rsid w:val="00E12B6B"/>
    <w:rsid w:val="00E14E3E"/>
    <w:rsid w:val="00E15925"/>
    <w:rsid w:val="00E17C0C"/>
    <w:rsid w:val="00E527D3"/>
    <w:rsid w:val="00ED711B"/>
    <w:rsid w:val="00FC0299"/>
    <w:rsid w:val="00FC5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50F2B"/>
  <w14:defaultImageDpi w14:val="300"/>
  <w15:docId w15:val="{D1CF3559-8FDD-472C-9517-D9F9A4B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43CBC"/>
    <w:pPr>
      <w:autoSpaceDE w:val="0"/>
      <w:autoSpaceDN w:val="0"/>
      <w:adjustRightInd w:val="0"/>
      <w:spacing w:after="0" w:line="240" w:lineRule="auto"/>
      <w:ind w:left="720" w:hanging="720"/>
      <w:jc w:val="both"/>
    </w:pPr>
    <w:rPr>
      <w:rFonts w:ascii="Arial,Italic" w:eastAsia="Times New Roman" w:hAnsi="Arial,Italic" w:cs="Times New Roman"/>
      <w:i/>
      <w:iCs/>
      <w:lang w:val="en-US" w:eastAsia="en-US"/>
    </w:rPr>
  </w:style>
  <w:style w:type="character" w:customStyle="1" w:styleId="BodyTextIndentChar">
    <w:name w:val="Body Text Indent Char"/>
    <w:basedOn w:val="DefaultParagraphFont"/>
    <w:link w:val="BodyTextIndent"/>
    <w:rsid w:val="00A43CBC"/>
    <w:rPr>
      <w:rFonts w:ascii="Arial,Italic" w:eastAsia="Times New Roman" w:hAnsi="Arial,Italic" w:cs="Times New Roman"/>
      <w:i/>
      <w:iCs/>
      <w:sz w:val="22"/>
      <w:szCs w:val="22"/>
    </w:rPr>
  </w:style>
  <w:style w:type="paragraph" w:styleId="BodyTextIndent2">
    <w:name w:val="Body Text Indent 2"/>
    <w:basedOn w:val="Normal"/>
    <w:link w:val="BodyTextIndent2Char"/>
    <w:rsid w:val="00A43CBC"/>
    <w:pPr>
      <w:autoSpaceDE w:val="0"/>
      <w:autoSpaceDN w:val="0"/>
      <w:adjustRightInd w:val="0"/>
      <w:spacing w:after="0" w:line="240" w:lineRule="auto"/>
      <w:ind w:left="720" w:hanging="720"/>
      <w:jc w:val="both"/>
    </w:pPr>
    <w:rPr>
      <w:rFonts w:ascii="Arial" w:eastAsia="Times New Roman" w:hAnsi="Arial" w:cs="Arial"/>
      <w:lang w:val="en-US" w:eastAsia="en-US"/>
    </w:rPr>
  </w:style>
  <w:style w:type="character" w:customStyle="1" w:styleId="BodyTextIndent2Char">
    <w:name w:val="Body Text Indent 2 Char"/>
    <w:basedOn w:val="DefaultParagraphFont"/>
    <w:link w:val="BodyTextIndent2"/>
    <w:rsid w:val="00A43CBC"/>
    <w:rPr>
      <w:rFonts w:ascii="Arial" w:eastAsia="Times New Roman" w:hAnsi="Arial" w:cs="Arial"/>
      <w:sz w:val="22"/>
      <w:szCs w:val="22"/>
    </w:rPr>
  </w:style>
  <w:style w:type="paragraph" w:styleId="BodyTextIndent3">
    <w:name w:val="Body Text Indent 3"/>
    <w:basedOn w:val="Normal"/>
    <w:link w:val="BodyTextIndent3Char"/>
    <w:rsid w:val="00A43CBC"/>
    <w:pPr>
      <w:autoSpaceDE w:val="0"/>
      <w:autoSpaceDN w:val="0"/>
      <w:adjustRightInd w:val="0"/>
      <w:spacing w:after="0" w:line="240" w:lineRule="auto"/>
      <w:ind w:left="720" w:hanging="720"/>
      <w:jc w:val="both"/>
    </w:pPr>
    <w:rPr>
      <w:rFonts w:ascii="Arial" w:eastAsia="Times New Roman" w:hAnsi="Arial" w:cs="Times New Roman"/>
      <w:sz w:val="24"/>
      <w:szCs w:val="24"/>
      <w:lang w:eastAsia="en-US"/>
    </w:rPr>
  </w:style>
  <w:style w:type="character" w:customStyle="1" w:styleId="BodyTextIndent3Char">
    <w:name w:val="Body Text Indent 3 Char"/>
    <w:basedOn w:val="DefaultParagraphFont"/>
    <w:link w:val="BodyTextIndent3"/>
    <w:rsid w:val="00A43CBC"/>
    <w:rPr>
      <w:rFonts w:ascii="Arial" w:eastAsia="Times New Roman" w:hAnsi="Arial" w:cs="Times New Roman"/>
      <w:lang w:val="en-GB"/>
    </w:rPr>
  </w:style>
  <w:style w:type="paragraph" w:styleId="ListParagraph">
    <w:name w:val="List Paragraph"/>
    <w:basedOn w:val="Normal"/>
    <w:uiPriority w:val="34"/>
    <w:qFormat/>
    <w:rsid w:val="00A43CBC"/>
    <w:pPr>
      <w:spacing w:after="0" w:line="240" w:lineRule="auto"/>
      <w:ind w:left="720"/>
      <w:contextualSpacing/>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3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1F4A-4BBA-4291-86C6-0A637417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Wilson</dc:creator>
  <cp:keywords/>
  <dc:description/>
  <cp:lastModifiedBy>Olugbenga Oshin</cp:lastModifiedBy>
  <cp:revision>3</cp:revision>
  <cp:lastPrinted>2021-09-13T09:34:00Z</cp:lastPrinted>
  <dcterms:created xsi:type="dcterms:W3CDTF">2024-05-29T11:01:00Z</dcterms:created>
  <dcterms:modified xsi:type="dcterms:W3CDTF">2024-05-29T13:30:00Z</dcterms:modified>
</cp:coreProperties>
</file>