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487"/>
      </w:tblGrid>
      <w:tr w:rsidR="00AD26BE" w:rsidRPr="008D4A19" w14:paraId="48ED3031" w14:textId="77777777" w:rsidTr="00731189">
        <w:tc>
          <w:tcPr>
            <w:tcW w:w="4539" w:type="dxa"/>
          </w:tcPr>
          <w:p w14:paraId="008A048D" w14:textId="77777777" w:rsidR="00AD26BE" w:rsidRPr="008D4A19" w:rsidRDefault="00AD26BE" w:rsidP="00731189">
            <w:pPr>
              <w:spacing w:after="200" w:line="276" w:lineRule="auto"/>
              <w:rPr>
                <w:rFonts w:eastAsiaTheme="minorHAnsi" w:cstheme="minorBidi"/>
                <w:b/>
                <w:color w:val="FF0000"/>
                <w:szCs w:val="22"/>
              </w:rPr>
            </w:pPr>
            <w:bookmarkStart w:id="0" w:name="_GoBack"/>
            <w:bookmarkEnd w:id="0"/>
            <w:r w:rsidRPr="008D4A19">
              <w:rPr>
                <w:rFonts w:eastAsiaTheme="minorHAnsi" w:cstheme="minorBidi"/>
                <w:b/>
                <w:noProof/>
                <w:color w:val="FF0000"/>
                <w:szCs w:val="22"/>
              </w:rPr>
              <w:drawing>
                <wp:inline distT="0" distB="0" distL="0" distR="0" wp14:anchorId="1D648153" wp14:editId="33C1FF21">
                  <wp:extent cx="1809750" cy="1085850"/>
                  <wp:effectExtent l="19050" t="0" r="0" b="0"/>
                  <wp:docPr id="9"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p>
        </w:tc>
        <w:tc>
          <w:tcPr>
            <w:tcW w:w="4487" w:type="dxa"/>
          </w:tcPr>
          <w:p w14:paraId="49DD46AD" w14:textId="77777777" w:rsidR="00AD26BE" w:rsidRPr="008D4A19" w:rsidRDefault="00AD26BE" w:rsidP="00731189">
            <w:pPr>
              <w:spacing w:after="200" w:line="276" w:lineRule="auto"/>
              <w:jc w:val="right"/>
              <w:rPr>
                <w:rFonts w:eastAsiaTheme="minorHAnsi" w:cstheme="minorBidi"/>
                <w:b/>
                <w:color w:val="FF0000"/>
                <w:szCs w:val="22"/>
              </w:rPr>
            </w:pPr>
            <w:r>
              <w:rPr>
                <w:noProof/>
              </w:rPr>
              <w:drawing>
                <wp:inline distT="0" distB="0" distL="0" distR="0" wp14:anchorId="346574BF" wp14:editId="333CA279">
                  <wp:extent cx="1047135" cy="1047135"/>
                  <wp:effectExtent l="0" t="0" r="635" b="635"/>
                  <wp:docPr id="7"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tc>
      </w:tr>
    </w:tbl>
    <w:p w14:paraId="4E5EA8D5" w14:textId="77777777" w:rsidR="00AD26BE" w:rsidRDefault="00AD26BE" w:rsidP="00AD26BE"/>
    <w:p w14:paraId="207FD5D6" w14:textId="77777777" w:rsidR="00AD26BE" w:rsidRDefault="00AD26BE" w:rsidP="00AD26BE"/>
    <w:p w14:paraId="633B4024" w14:textId="77777777" w:rsidR="00AD26BE" w:rsidRDefault="00AD26BE" w:rsidP="00AD26BE"/>
    <w:p w14:paraId="73189744" w14:textId="77777777" w:rsidR="00AD26BE" w:rsidRDefault="00AD26BE" w:rsidP="00AD26BE"/>
    <w:p w14:paraId="11700504" w14:textId="77777777" w:rsidR="00AD26BE" w:rsidRDefault="00AD26BE" w:rsidP="00AD26BE"/>
    <w:p w14:paraId="117D20EE" w14:textId="77777777" w:rsidR="00AD26BE" w:rsidRDefault="00AD26BE" w:rsidP="00AD26BE"/>
    <w:p w14:paraId="0864FFF7" w14:textId="77777777" w:rsidR="00AD26BE" w:rsidRDefault="00AD26BE" w:rsidP="00AD26BE"/>
    <w:p w14:paraId="25BC4E5F" w14:textId="470FDE2B" w:rsidR="00AD26BE" w:rsidRPr="00360CDD" w:rsidRDefault="00AD26BE" w:rsidP="00AD26BE">
      <w:pPr>
        <w:rPr>
          <w:b/>
          <w:sz w:val="52"/>
          <w:szCs w:val="52"/>
        </w:rPr>
      </w:pPr>
      <w:r w:rsidRPr="00360CDD">
        <w:rPr>
          <w:b/>
          <w:sz w:val="52"/>
          <w:szCs w:val="52"/>
        </w:rPr>
        <w:t xml:space="preserve">SPECIFICATION </w:t>
      </w:r>
    </w:p>
    <w:p w14:paraId="4417495C" w14:textId="77777777" w:rsidR="00AD26BE" w:rsidRDefault="00AD26BE" w:rsidP="00AD26BE">
      <w:pPr>
        <w:rPr>
          <w:b/>
          <w:sz w:val="48"/>
          <w:szCs w:val="48"/>
        </w:rPr>
      </w:pPr>
    </w:p>
    <w:p w14:paraId="4C6626C3" w14:textId="77777777" w:rsidR="00AD26BE" w:rsidRDefault="00AD26BE" w:rsidP="00AD26BE">
      <w:pPr>
        <w:rPr>
          <w:b/>
          <w:sz w:val="48"/>
          <w:szCs w:val="48"/>
        </w:rPr>
      </w:pPr>
    </w:p>
    <w:p w14:paraId="05E9E69A" w14:textId="7492A152" w:rsidR="00AD26BE" w:rsidRPr="00AF14B1" w:rsidRDefault="00AD26BE" w:rsidP="00AD26BE">
      <w:pPr>
        <w:rPr>
          <w:b/>
          <w:sz w:val="36"/>
          <w:szCs w:val="36"/>
        </w:rPr>
      </w:pPr>
      <w:r w:rsidRPr="00360CDD">
        <w:rPr>
          <w:b/>
          <w:sz w:val="36"/>
          <w:szCs w:val="36"/>
        </w:rPr>
        <w:t>INVITATION TO TENDER</w:t>
      </w:r>
      <w:r>
        <w:rPr>
          <w:b/>
          <w:sz w:val="36"/>
          <w:szCs w:val="36"/>
        </w:rPr>
        <w:t>:</w:t>
      </w:r>
      <w:r w:rsidRPr="00360CDD">
        <w:rPr>
          <w:b/>
          <w:sz w:val="36"/>
          <w:szCs w:val="36"/>
        </w:rPr>
        <w:t xml:space="preserve"> </w:t>
      </w:r>
      <w:r w:rsidR="00AF14B1" w:rsidRPr="00AF14B1">
        <w:rPr>
          <w:b/>
          <w:sz w:val="36"/>
          <w:szCs w:val="36"/>
        </w:rPr>
        <w:t>itt_2991</w:t>
      </w:r>
      <w:r w:rsidR="00071E7F">
        <w:rPr>
          <w:b/>
          <w:sz w:val="36"/>
          <w:szCs w:val="36"/>
        </w:rPr>
        <w:t>9</w:t>
      </w:r>
    </w:p>
    <w:p w14:paraId="79405AAA" w14:textId="77777777" w:rsidR="00AD26BE" w:rsidRDefault="00AD26BE" w:rsidP="00AD26BE">
      <w:pPr>
        <w:autoSpaceDE w:val="0"/>
        <w:autoSpaceDN w:val="0"/>
        <w:adjustRightInd w:val="0"/>
        <w:rPr>
          <w:rFonts w:cs="Arial"/>
          <w:b/>
          <w:bCs/>
          <w:sz w:val="48"/>
          <w:szCs w:val="48"/>
        </w:rPr>
      </w:pPr>
    </w:p>
    <w:p w14:paraId="34E318DB" w14:textId="77777777" w:rsidR="00AD26BE" w:rsidRDefault="00AD26BE" w:rsidP="00AD26BE">
      <w:pPr>
        <w:autoSpaceDE w:val="0"/>
        <w:autoSpaceDN w:val="0"/>
        <w:adjustRightInd w:val="0"/>
        <w:rPr>
          <w:rFonts w:cs="Arial"/>
          <w:b/>
          <w:bCs/>
          <w:sz w:val="48"/>
          <w:szCs w:val="48"/>
        </w:rPr>
      </w:pPr>
    </w:p>
    <w:p w14:paraId="073D4F05" w14:textId="192B0219" w:rsidR="00AD26BE" w:rsidRPr="00AD26BE" w:rsidRDefault="00AD26BE" w:rsidP="00AD26BE">
      <w:pPr>
        <w:autoSpaceDE w:val="0"/>
        <w:autoSpaceDN w:val="0"/>
        <w:adjustRightInd w:val="0"/>
        <w:rPr>
          <w:rFonts w:cs="Arial"/>
          <w:b/>
          <w:bCs/>
          <w:color w:val="FF0000"/>
          <w:sz w:val="36"/>
          <w:szCs w:val="36"/>
        </w:rPr>
      </w:pPr>
      <w:r w:rsidRPr="00AD26BE">
        <w:rPr>
          <w:rFonts w:cs="Arial"/>
          <w:b/>
          <w:bCs/>
          <w:sz w:val="36"/>
          <w:szCs w:val="36"/>
        </w:rPr>
        <w:t xml:space="preserve">SPECIFICATION REFERENCE: </w:t>
      </w:r>
      <w:r w:rsidR="00AF14B1" w:rsidRPr="00AF14B1">
        <w:rPr>
          <w:rFonts w:cs="Arial"/>
          <w:b/>
          <w:bCs/>
          <w:sz w:val="36"/>
          <w:szCs w:val="36"/>
        </w:rPr>
        <w:t>2</w:t>
      </w:r>
      <w:r w:rsidR="00071E7F">
        <w:rPr>
          <w:rFonts w:cs="Arial"/>
          <w:b/>
          <w:bCs/>
          <w:sz w:val="36"/>
          <w:szCs w:val="36"/>
        </w:rPr>
        <w:t>1</w:t>
      </w:r>
      <w:r w:rsidR="00AF14B1" w:rsidRPr="00AF14B1">
        <w:rPr>
          <w:rFonts w:cs="Arial"/>
          <w:b/>
          <w:bCs/>
          <w:sz w:val="36"/>
          <w:szCs w:val="36"/>
        </w:rPr>
        <w:t>-003</w:t>
      </w:r>
      <w:r w:rsidRPr="00AF14B1">
        <w:rPr>
          <w:rFonts w:cs="Arial"/>
          <w:b/>
          <w:bCs/>
          <w:sz w:val="36"/>
          <w:szCs w:val="36"/>
        </w:rPr>
        <w:t xml:space="preserve"> </w:t>
      </w:r>
    </w:p>
    <w:p w14:paraId="560D34E7" w14:textId="77777777" w:rsidR="00AD26BE" w:rsidRPr="00360CDD" w:rsidRDefault="00AD26BE" w:rsidP="00AD26BE">
      <w:pPr>
        <w:autoSpaceDE w:val="0"/>
        <w:autoSpaceDN w:val="0"/>
        <w:adjustRightInd w:val="0"/>
        <w:rPr>
          <w:rFonts w:cs="Arial"/>
          <w:b/>
          <w:bCs/>
          <w:sz w:val="48"/>
          <w:szCs w:val="48"/>
        </w:rPr>
      </w:pPr>
    </w:p>
    <w:p w14:paraId="53B363B3" w14:textId="77777777" w:rsidR="00AD26BE" w:rsidRDefault="00AD26BE" w:rsidP="00AD26BE">
      <w:pPr>
        <w:autoSpaceDE w:val="0"/>
        <w:autoSpaceDN w:val="0"/>
        <w:adjustRightInd w:val="0"/>
        <w:rPr>
          <w:rFonts w:cs="Arial"/>
          <w:b/>
          <w:bCs/>
          <w:color w:val="FF0000"/>
          <w:sz w:val="36"/>
          <w:szCs w:val="36"/>
        </w:rPr>
      </w:pPr>
    </w:p>
    <w:p w14:paraId="518BCE9B" w14:textId="4E34CF39" w:rsidR="00AF14B1" w:rsidRPr="00AF14B1" w:rsidRDefault="00AF14B1" w:rsidP="00AF14B1">
      <w:pPr>
        <w:spacing w:line="276" w:lineRule="auto"/>
        <w:ind w:right="284"/>
        <w:jc w:val="both"/>
        <w:rPr>
          <w:rFonts w:eastAsiaTheme="minorHAnsi"/>
          <w:b/>
          <w:caps/>
          <w:sz w:val="36"/>
        </w:rPr>
      </w:pPr>
      <w:r w:rsidRPr="00AF14B1">
        <w:rPr>
          <w:rFonts w:eastAsiaTheme="minorHAnsi"/>
          <w:b/>
          <w:caps/>
          <w:sz w:val="36"/>
        </w:rPr>
        <w:t xml:space="preserve">ESF funded activity to support individuals who are NEET in </w:t>
      </w:r>
      <w:r w:rsidR="00071E7F">
        <w:rPr>
          <w:rFonts w:eastAsiaTheme="minorHAnsi"/>
          <w:b/>
          <w:caps/>
          <w:sz w:val="36"/>
        </w:rPr>
        <w:t>LEICESTER &amp; LEICESTERSHIRE</w:t>
      </w:r>
      <w:r>
        <w:rPr>
          <w:rFonts w:eastAsiaTheme="minorHAnsi"/>
          <w:b/>
          <w:caps/>
          <w:sz w:val="36"/>
        </w:rPr>
        <w:t xml:space="preserve"> </w:t>
      </w:r>
      <w:r w:rsidRPr="00AF14B1">
        <w:rPr>
          <w:rFonts w:eastAsiaTheme="minorHAnsi"/>
          <w:b/>
          <w:caps/>
          <w:sz w:val="36"/>
        </w:rPr>
        <w:t>LEP area</w:t>
      </w:r>
    </w:p>
    <w:p w14:paraId="614BAA9A" w14:textId="77777777" w:rsidR="00AD26BE" w:rsidRDefault="00AD26BE" w:rsidP="00AD26BE">
      <w:pPr>
        <w:rPr>
          <w:b/>
          <w:sz w:val="48"/>
          <w:szCs w:val="48"/>
        </w:rPr>
      </w:pPr>
    </w:p>
    <w:p w14:paraId="67867331" w14:textId="3843C08C" w:rsidR="00AD26BE" w:rsidRPr="00AF14B1" w:rsidRDefault="00071E7F" w:rsidP="00AD26BE">
      <w:pPr>
        <w:rPr>
          <w:b/>
          <w:sz w:val="36"/>
          <w:szCs w:val="36"/>
        </w:rPr>
      </w:pPr>
      <w:r>
        <w:rPr>
          <w:b/>
          <w:sz w:val="36"/>
          <w:szCs w:val="36"/>
        </w:rPr>
        <w:t>LEICESTER &amp; LEICESTERSHIRE</w:t>
      </w:r>
    </w:p>
    <w:p w14:paraId="2BFE13B1" w14:textId="77777777" w:rsidR="00AD26BE" w:rsidRDefault="00AD26BE" w:rsidP="00AD26BE">
      <w:pPr>
        <w:rPr>
          <w:b/>
          <w:sz w:val="48"/>
          <w:szCs w:val="48"/>
        </w:rPr>
      </w:pPr>
    </w:p>
    <w:p w14:paraId="697D4C77" w14:textId="77777777" w:rsidR="00AF14B1" w:rsidRDefault="00AF14B1">
      <w:pPr>
        <w:rPr>
          <w:b/>
          <w:sz w:val="36"/>
          <w:szCs w:val="36"/>
        </w:rPr>
      </w:pPr>
    </w:p>
    <w:p w14:paraId="622C5000" w14:textId="6ED29D93" w:rsidR="006E37BA" w:rsidRDefault="00AD26BE">
      <w:pPr>
        <w:rPr>
          <w:b/>
          <w:sz w:val="36"/>
          <w:szCs w:val="36"/>
        </w:rPr>
      </w:pPr>
      <w:r w:rsidRPr="00360CDD">
        <w:rPr>
          <w:b/>
          <w:sz w:val="36"/>
          <w:szCs w:val="36"/>
        </w:rPr>
        <w:t>DATE:</w:t>
      </w:r>
      <w:r w:rsidR="00AF14B1">
        <w:rPr>
          <w:b/>
          <w:sz w:val="36"/>
          <w:szCs w:val="36"/>
        </w:rPr>
        <w:t xml:space="preserve"> </w:t>
      </w:r>
      <w:r w:rsidR="00071E7F">
        <w:rPr>
          <w:b/>
          <w:sz w:val="36"/>
          <w:szCs w:val="36"/>
        </w:rPr>
        <w:t>Dec</w:t>
      </w:r>
      <w:r w:rsidR="00AF14B1">
        <w:rPr>
          <w:b/>
          <w:sz w:val="36"/>
          <w:szCs w:val="36"/>
        </w:rPr>
        <w:t>ember 2015</w:t>
      </w:r>
    </w:p>
    <w:p w14:paraId="2FEB9385" w14:textId="77777777" w:rsidR="003843BC" w:rsidRDefault="003843BC">
      <w:pPr>
        <w:rPr>
          <w:b/>
          <w:sz w:val="36"/>
          <w:szCs w:val="36"/>
        </w:rPr>
      </w:pPr>
    </w:p>
    <w:p w14:paraId="7B870F88" w14:textId="77777777" w:rsidR="003843BC" w:rsidRDefault="003843BC">
      <w:pPr>
        <w:rPr>
          <w:b/>
          <w:sz w:val="36"/>
          <w:szCs w:val="36"/>
        </w:rPr>
      </w:pPr>
    </w:p>
    <w:p w14:paraId="076BD9C8" w14:textId="77777777" w:rsidR="003843BC" w:rsidRDefault="003843BC">
      <w:pPr>
        <w:rPr>
          <w:b/>
          <w:sz w:val="36"/>
          <w:szCs w:val="36"/>
        </w:rPr>
      </w:pPr>
    </w:p>
    <w:p w14:paraId="4F8E8D6B" w14:textId="5CE16E3B" w:rsidR="003843BC" w:rsidRDefault="003602E0">
      <w:pPr>
        <w:rPr>
          <w:b/>
          <w:sz w:val="36"/>
          <w:szCs w:val="36"/>
        </w:rPr>
      </w:pPr>
      <w:r w:rsidRPr="008D4A19">
        <w:rPr>
          <w:rFonts w:eastAsiaTheme="minorHAnsi" w:cstheme="minorBidi"/>
          <w:b/>
          <w:noProof/>
          <w:color w:val="FF0000"/>
          <w:szCs w:val="22"/>
          <w:lang w:eastAsia="en-GB"/>
        </w:rPr>
        <w:lastRenderedPageBreak/>
        <w:drawing>
          <wp:inline distT="0" distB="0" distL="0" distR="0" wp14:anchorId="2A32F7F6" wp14:editId="005F6B3E">
            <wp:extent cx="1809750" cy="1085850"/>
            <wp:effectExtent l="19050" t="0" r="0" b="0"/>
            <wp:docPr id="3" name="Picture 5" descr="SFA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A_BLK_AW"/>
                    <pic:cNvPicPr>
                      <a:picLocks noChangeAspect="1" noChangeArrowheads="1"/>
                    </pic:cNvPicPr>
                  </pic:nvPicPr>
                  <pic:blipFill>
                    <a:blip r:embed="rId10" cstate="print"/>
                    <a:srcRect/>
                    <a:stretch>
                      <a:fillRect/>
                    </a:stretch>
                  </pic:blipFill>
                  <pic:spPr bwMode="auto">
                    <a:xfrm>
                      <a:off x="0" y="0"/>
                      <a:ext cx="1809750" cy="1085850"/>
                    </a:xfrm>
                    <a:prstGeom prst="rect">
                      <a:avLst/>
                    </a:prstGeom>
                    <a:noFill/>
                    <a:ln w="9525">
                      <a:noFill/>
                      <a:miter lim="800000"/>
                      <a:headEnd/>
                      <a:tailEnd/>
                    </a:ln>
                  </pic:spPr>
                </pic:pic>
              </a:graphicData>
            </a:graphic>
          </wp:inline>
        </w:drawing>
      </w:r>
      <w:r>
        <w:rPr>
          <w:b/>
          <w:sz w:val="36"/>
          <w:szCs w:val="36"/>
        </w:rPr>
        <w:tab/>
      </w:r>
      <w:r>
        <w:rPr>
          <w:b/>
          <w:sz w:val="36"/>
          <w:szCs w:val="36"/>
        </w:rPr>
        <w:tab/>
      </w:r>
      <w:r>
        <w:rPr>
          <w:b/>
          <w:sz w:val="36"/>
          <w:szCs w:val="36"/>
        </w:rPr>
        <w:tab/>
      </w:r>
      <w:r>
        <w:rPr>
          <w:b/>
          <w:sz w:val="36"/>
          <w:szCs w:val="36"/>
        </w:rPr>
        <w:tab/>
      </w:r>
      <w:r>
        <w:rPr>
          <w:b/>
          <w:sz w:val="36"/>
          <w:szCs w:val="36"/>
        </w:rPr>
        <w:tab/>
      </w:r>
      <w:r>
        <w:rPr>
          <w:noProof/>
          <w:lang w:eastAsia="en-GB"/>
        </w:rPr>
        <w:drawing>
          <wp:inline distT="0" distB="0" distL="0" distR="0" wp14:anchorId="4F4EB343" wp14:editId="193FE569">
            <wp:extent cx="1047135" cy="1047135"/>
            <wp:effectExtent l="0" t="0" r="635" b="635"/>
            <wp:docPr id="4" name="Picture 64" descr="Description: LogoESF_Col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LogoESF_Col_Portra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4960" cy="1044960"/>
                    </a:xfrm>
                    <a:prstGeom prst="rect">
                      <a:avLst/>
                    </a:prstGeom>
                    <a:noFill/>
                    <a:ln>
                      <a:noFill/>
                    </a:ln>
                  </pic:spPr>
                </pic:pic>
              </a:graphicData>
            </a:graphic>
          </wp:inline>
        </w:drawing>
      </w:r>
    </w:p>
    <w:p w14:paraId="3B32EFF2" w14:textId="5FCBECDC" w:rsidR="003602E0" w:rsidRDefault="003602E0">
      <w:pPr>
        <w:rPr>
          <w:b/>
          <w:sz w:val="36"/>
          <w:szCs w:val="36"/>
        </w:rPr>
      </w:pPr>
    </w:p>
    <w:p w14:paraId="0339E9D3" w14:textId="77777777" w:rsidR="003602E0" w:rsidRDefault="003602E0">
      <w:pPr>
        <w:rPr>
          <w:b/>
          <w:sz w:val="36"/>
          <w:szCs w:val="36"/>
        </w:rPr>
      </w:pPr>
    </w:p>
    <w:tbl>
      <w:tblPr>
        <w:tblStyle w:val="TableGrid"/>
        <w:tblW w:w="5177" w:type="pct"/>
        <w:tblLayout w:type="fixed"/>
        <w:tblLook w:val="04A0" w:firstRow="1" w:lastRow="0" w:firstColumn="1" w:lastColumn="0" w:noHBand="0" w:noVBand="1"/>
      </w:tblPr>
      <w:tblGrid>
        <w:gridCol w:w="9067"/>
        <w:gridCol w:w="21"/>
      </w:tblGrid>
      <w:tr w:rsidR="003602E0" w:rsidRPr="00EF4406" w14:paraId="04D05F9C" w14:textId="77777777" w:rsidTr="006A74E0">
        <w:trPr>
          <w:trHeight w:val="597"/>
        </w:trPr>
        <w:tc>
          <w:tcPr>
            <w:tcW w:w="9088" w:type="dxa"/>
            <w:gridSpan w:val="2"/>
          </w:tcPr>
          <w:p w14:paraId="32C88A0D" w14:textId="77777777" w:rsidR="003602E0" w:rsidRPr="00A21D15" w:rsidRDefault="003602E0" w:rsidP="006A74E0">
            <w:pPr>
              <w:pStyle w:val="BodyText"/>
              <w:tabs>
                <w:tab w:val="num" w:pos="1134"/>
              </w:tabs>
              <w:spacing w:after="0"/>
              <w:jc w:val="both"/>
              <w:rPr>
                <w:rFonts w:ascii="Arial" w:hAnsi="Arial" w:cs="Arial"/>
                <w:b/>
              </w:rPr>
            </w:pPr>
            <w:r w:rsidRPr="00A21D15">
              <w:rPr>
                <w:rFonts w:ascii="Arial" w:hAnsi="Arial" w:cs="Arial"/>
                <w:b/>
              </w:rPr>
              <w:t>EUROPEAN SOCIAL FUND – NEET SPECIFICATION – LEICESTER &amp; LEICESTERSHIRE LOCAL ENTERPRISE PARTNERSHIP - NEET and Youth Unemployed Support (Aged &lt;24)</w:t>
            </w:r>
          </w:p>
          <w:p w14:paraId="5264EC76" w14:textId="532A6CA0" w:rsidR="003602E0" w:rsidRPr="00200BC6" w:rsidRDefault="009724A5" w:rsidP="006A74E0">
            <w:pPr>
              <w:pStyle w:val="BodyText"/>
              <w:tabs>
                <w:tab w:val="num" w:pos="1134"/>
              </w:tabs>
              <w:spacing w:after="0"/>
              <w:jc w:val="both"/>
              <w:rPr>
                <w:rFonts w:ascii="Arial" w:hAnsi="Arial" w:cs="Arial"/>
                <w:b/>
                <w:color w:val="FF0000"/>
              </w:rPr>
            </w:pPr>
            <w:r>
              <w:rPr>
                <w:rFonts w:ascii="Arial" w:hAnsi="Arial" w:cs="Arial"/>
                <w:b/>
              </w:rPr>
              <w:t>ITT_29919-21-003</w:t>
            </w:r>
          </w:p>
        </w:tc>
      </w:tr>
      <w:tr w:rsidR="003602E0" w14:paraId="50DD9EBC" w14:textId="77777777" w:rsidTr="006A74E0">
        <w:trPr>
          <w:trHeight w:val="567"/>
        </w:trPr>
        <w:tc>
          <w:tcPr>
            <w:tcW w:w="9088" w:type="dxa"/>
            <w:gridSpan w:val="2"/>
            <w:shd w:val="clear" w:color="auto" w:fill="D9D9D9" w:themeFill="background1" w:themeFillShade="D9"/>
            <w:vAlign w:val="center"/>
          </w:tcPr>
          <w:p w14:paraId="48F096FF" w14:textId="77777777" w:rsidR="003602E0" w:rsidRPr="00FD3B0A" w:rsidRDefault="003602E0" w:rsidP="006A74E0">
            <w:pPr>
              <w:pStyle w:val="SpecificationHeading"/>
            </w:pPr>
            <w:r w:rsidRPr="00FD3B0A">
              <w:t>BACKGROUND</w:t>
            </w:r>
          </w:p>
        </w:tc>
      </w:tr>
      <w:tr w:rsidR="003602E0" w:rsidRPr="00BE2EE4" w14:paraId="27EC5A88" w14:textId="77777777" w:rsidTr="006A74E0">
        <w:tc>
          <w:tcPr>
            <w:tcW w:w="9088" w:type="dxa"/>
            <w:gridSpan w:val="2"/>
          </w:tcPr>
          <w:p w14:paraId="611F73ED" w14:textId="77777777" w:rsidR="003602E0" w:rsidRPr="00BE2EE4" w:rsidRDefault="003602E0" w:rsidP="006A74E0">
            <w:pPr>
              <w:tabs>
                <w:tab w:val="num" w:pos="900"/>
              </w:tabs>
              <w:autoSpaceDE w:val="0"/>
              <w:autoSpaceDN w:val="0"/>
              <w:adjustRightInd w:val="0"/>
              <w:rPr>
                <w:rFonts w:cs="Arial"/>
                <w:b/>
              </w:rPr>
            </w:pPr>
          </w:p>
          <w:p w14:paraId="0EAF3EF1" w14:textId="77777777" w:rsidR="003602E0" w:rsidRPr="00BE2EE4" w:rsidRDefault="003602E0" w:rsidP="006A74E0">
            <w:pPr>
              <w:tabs>
                <w:tab w:val="num" w:pos="900"/>
              </w:tabs>
              <w:autoSpaceDE w:val="0"/>
              <w:autoSpaceDN w:val="0"/>
              <w:adjustRightInd w:val="0"/>
              <w:rPr>
                <w:rFonts w:cs="Arial"/>
                <w:b/>
              </w:rPr>
            </w:pPr>
            <w:r w:rsidRPr="00BE2EE4">
              <w:rPr>
                <w:rFonts w:cs="Arial"/>
                <w:b/>
              </w:rPr>
              <w:t>General</w:t>
            </w:r>
          </w:p>
          <w:p w14:paraId="740E4FFB" w14:textId="77777777" w:rsidR="003602E0" w:rsidRPr="00BE2EE4" w:rsidRDefault="003602E0" w:rsidP="006A74E0">
            <w:pPr>
              <w:tabs>
                <w:tab w:val="num" w:pos="900"/>
              </w:tabs>
              <w:autoSpaceDE w:val="0"/>
              <w:autoSpaceDN w:val="0"/>
              <w:adjustRightInd w:val="0"/>
              <w:rPr>
                <w:rFonts w:cs="Arial"/>
                <w:b/>
              </w:rPr>
            </w:pPr>
          </w:p>
          <w:p w14:paraId="641F455F" w14:textId="77777777" w:rsidR="003602E0" w:rsidRPr="00BE2EE4" w:rsidRDefault="003602E0" w:rsidP="006A74E0">
            <w:pPr>
              <w:tabs>
                <w:tab w:val="num" w:pos="900"/>
              </w:tabs>
              <w:autoSpaceDE w:val="0"/>
              <w:autoSpaceDN w:val="0"/>
              <w:adjustRightInd w:val="0"/>
              <w:rPr>
                <w:rFonts w:cs="Arial"/>
              </w:rPr>
            </w:pPr>
            <w:r w:rsidRPr="00BE2EE4">
              <w:rPr>
                <w:rFonts w:cs="Arial"/>
              </w:rPr>
              <w:t>The contracting authority is the Secretary of State for Business Innovation and Skills acting through the Skills Funding Agency (SFA), an executive agency of the Department for Business Innovation and Skills exercising functions to fund adult education and skills.</w:t>
            </w:r>
          </w:p>
          <w:p w14:paraId="1EB52AA6" w14:textId="77777777" w:rsidR="003602E0" w:rsidRPr="00BE2EE4" w:rsidRDefault="003602E0" w:rsidP="006A74E0">
            <w:pPr>
              <w:tabs>
                <w:tab w:val="num" w:pos="900"/>
              </w:tabs>
              <w:autoSpaceDE w:val="0"/>
              <w:autoSpaceDN w:val="0"/>
              <w:adjustRightInd w:val="0"/>
              <w:rPr>
                <w:rFonts w:cs="Arial"/>
              </w:rPr>
            </w:pPr>
          </w:p>
          <w:p w14:paraId="2731F3AE" w14:textId="77777777" w:rsidR="003602E0" w:rsidRPr="00BE2EE4" w:rsidRDefault="003602E0" w:rsidP="006A74E0">
            <w:pPr>
              <w:rPr>
                <w:rFonts w:cs="Arial"/>
              </w:rPr>
            </w:pPr>
            <w:r w:rsidRPr="00BE2EE4">
              <w:rPr>
                <w:rFonts w:cs="Arial"/>
              </w:rPr>
              <w:t xml:space="preserve">The SFA, acting as an Opt-In Organisation for the European Social Fund (ESF), is procuring education and training services to meet priorities identified by </w:t>
            </w:r>
            <w:r w:rsidRPr="00BE2EE4">
              <w:t xml:space="preserve">Local Enterprise Partnership (LEP) area European Structural and Investment Funds Sub–Committees. </w:t>
            </w:r>
            <w:r w:rsidRPr="00BE2EE4">
              <w:rPr>
                <w:rFonts w:cs="Arial"/>
              </w:rPr>
              <w:t>As an Opt-In Organisation the SFA provides match funding at Priority Axis level utilising sources of public funding as match for ESF funded activity.</w:t>
            </w:r>
          </w:p>
          <w:p w14:paraId="425E17BA" w14:textId="77777777" w:rsidR="003602E0" w:rsidRPr="00BE2EE4" w:rsidRDefault="003602E0" w:rsidP="006A74E0">
            <w:pPr>
              <w:rPr>
                <w:rFonts w:cs="Arial"/>
              </w:rPr>
            </w:pPr>
          </w:p>
          <w:p w14:paraId="2EC11948" w14:textId="77777777" w:rsidR="003602E0" w:rsidRPr="00BE2EE4" w:rsidRDefault="003602E0" w:rsidP="006A74E0">
            <w:pPr>
              <w:rPr>
                <w:rFonts w:cs="Arial"/>
              </w:rPr>
            </w:pPr>
            <w:r w:rsidRPr="00BE2EE4">
              <w:rPr>
                <w:rFonts w:cs="Arial"/>
              </w:rPr>
              <w:t xml:space="preserve">This Invitation to Tender (ITT) supports ESF Investment Priority 1.2 where the need has been identified both in the LEP area and European Structural and Investment Fund Strategies.  </w:t>
            </w:r>
          </w:p>
          <w:p w14:paraId="40F3A969" w14:textId="77777777" w:rsidR="003602E0" w:rsidRPr="00BE2EE4" w:rsidRDefault="003602E0" w:rsidP="006A74E0">
            <w:pPr>
              <w:tabs>
                <w:tab w:val="num" w:pos="900"/>
              </w:tabs>
              <w:autoSpaceDE w:val="0"/>
              <w:autoSpaceDN w:val="0"/>
              <w:adjustRightInd w:val="0"/>
              <w:rPr>
                <w:rFonts w:cs="Arial"/>
              </w:rPr>
            </w:pPr>
          </w:p>
          <w:p w14:paraId="5EB6FB35" w14:textId="77777777" w:rsidR="003602E0" w:rsidRPr="00BE2EE4" w:rsidRDefault="003602E0" w:rsidP="006A74E0">
            <w:pPr>
              <w:rPr>
                <w:rFonts w:cs="Arial"/>
              </w:rPr>
            </w:pPr>
            <w:r w:rsidRPr="00BE2EE4">
              <w:rPr>
                <w:rFonts w:cs="Arial"/>
              </w:rPr>
              <w:t xml:space="preserve">The SFA is looking to procure an organisation to deliver education and training services to support young people who are 16-24 who are not in education employment or training (NEET) or at risk of becoming NEET in the LEP area set out below. </w:t>
            </w:r>
          </w:p>
          <w:p w14:paraId="2CD006D5" w14:textId="77777777" w:rsidR="003602E0" w:rsidRPr="00BE2EE4" w:rsidRDefault="003602E0" w:rsidP="006A74E0">
            <w:pPr>
              <w:rPr>
                <w:rFonts w:cs="Arial"/>
              </w:rPr>
            </w:pPr>
          </w:p>
          <w:p w14:paraId="43A2E668" w14:textId="77777777" w:rsidR="003602E0" w:rsidRPr="00BE2EE4" w:rsidRDefault="003602E0" w:rsidP="006A74E0">
            <w:pPr>
              <w:rPr>
                <w:rFonts w:cs="Arial"/>
                <w:b/>
              </w:rPr>
            </w:pPr>
            <w:r w:rsidRPr="00BE2EE4">
              <w:rPr>
                <w:rFonts w:cs="Arial"/>
                <w:b/>
              </w:rPr>
              <w:t>Leicester &amp; Leicestershire Local Enterprise Partnership (LLEP)</w:t>
            </w:r>
          </w:p>
          <w:p w14:paraId="5B6DF321" w14:textId="77777777" w:rsidR="003602E0" w:rsidRPr="00BE2EE4" w:rsidRDefault="003602E0" w:rsidP="006A74E0">
            <w:pPr>
              <w:rPr>
                <w:rFonts w:cs="Arial"/>
              </w:rPr>
            </w:pPr>
          </w:p>
          <w:p w14:paraId="2415208B" w14:textId="77777777" w:rsidR="003602E0" w:rsidRPr="00BE2EE4" w:rsidRDefault="003602E0" w:rsidP="006A74E0">
            <w:pPr>
              <w:rPr>
                <w:rFonts w:cs="Arial"/>
              </w:rPr>
            </w:pPr>
            <w:r w:rsidRPr="00BE2EE4">
              <w:rPr>
                <w:rFonts w:cs="Arial"/>
              </w:rPr>
              <w:t>This activity fully aligns with the LLEP’s ESIF strategy and with the City Deal (signed March 2014).</w:t>
            </w:r>
          </w:p>
          <w:p w14:paraId="598E2905" w14:textId="77777777" w:rsidR="003602E0" w:rsidRPr="00BE2EE4" w:rsidRDefault="003602E0" w:rsidP="006A74E0">
            <w:pPr>
              <w:rPr>
                <w:rFonts w:cs="Arial"/>
              </w:rPr>
            </w:pPr>
          </w:p>
          <w:p w14:paraId="3DC88B52" w14:textId="77777777" w:rsidR="003602E0" w:rsidRPr="00BE2EE4" w:rsidRDefault="003602E0" w:rsidP="006A74E0">
            <w:pPr>
              <w:rPr>
                <w:rFonts w:cs="Arial"/>
              </w:rPr>
            </w:pPr>
            <w:r w:rsidRPr="00BE2EE4">
              <w:rPr>
                <w:rFonts w:cs="Arial"/>
              </w:rPr>
              <w:t>In particular, the high level objectives in the LLEP ESIF strategy that are relevant to this procurement include:</w:t>
            </w:r>
          </w:p>
          <w:p w14:paraId="51958ED9" w14:textId="77777777" w:rsidR="003602E0" w:rsidRPr="00BE2EE4" w:rsidRDefault="003602E0" w:rsidP="006A74E0">
            <w:pPr>
              <w:rPr>
                <w:rFonts w:cs="Arial"/>
              </w:rPr>
            </w:pPr>
          </w:p>
          <w:p w14:paraId="7195EE4D" w14:textId="77777777" w:rsidR="003602E0" w:rsidRPr="00BE2EE4" w:rsidRDefault="003602E0" w:rsidP="003602E0">
            <w:pPr>
              <w:pStyle w:val="ListParagraph"/>
              <w:numPr>
                <w:ilvl w:val="0"/>
                <w:numId w:val="6"/>
              </w:numPr>
              <w:rPr>
                <w:rFonts w:cs="Arial"/>
              </w:rPr>
            </w:pPr>
            <w:r w:rsidRPr="00BE2EE4">
              <w:rPr>
                <w:rFonts w:cs="Arial"/>
              </w:rPr>
              <w:t>Reduce youth unemployment by 50% by 2018</w:t>
            </w:r>
          </w:p>
          <w:p w14:paraId="1FE3E727" w14:textId="77777777" w:rsidR="003602E0" w:rsidRPr="00BE2EE4" w:rsidRDefault="003602E0" w:rsidP="003602E0">
            <w:pPr>
              <w:pStyle w:val="ListParagraph"/>
              <w:numPr>
                <w:ilvl w:val="0"/>
                <w:numId w:val="6"/>
              </w:numPr>
              <w:rPr>
                <w:rFonts w:cs="Arial"/>
              </w:rPr>
            </w:pPr>
            <w:r w:rsidRPr="00BE2EE4">
              <w:rPr>
                <w:rFonts w:cs="Arial"/>
              </w:rPr>
              <w:t>Reduce 16-19 NEET by 50% by 2018</w:t>
            </w:r>
          </w:p>
          <w:p w14:paraId="05277B4B" w14:textId="77777777" w:rsidR="003602E0" w:rsidRPr="00BE2EE4" w:rsidRDefault="003602E0" w:rsidP="003602E0">
            <w:pPr>
              <w:pStyle w:val="ListParagraph"/>
              <w:numPr>
                <w:ilvl w:val="0"/>
                <w:numId w:val="6"/>
              </w:numPr>
              <w:rPr>
                <w:rFonts w:cs="Arial"/>
              </w:rPr>
            </w:pPr>
            <w:r w:rsidRPr="00BE2EE4">
              <w:rPr>
                <w:rFonts w:cs="Arial"/>
              </w:rPr>
              <w:lastRenderedPageBreak/>
              <w:t>Improve employability skills amongst those seeking to enter the labour market</w:t>
            </w:r>
          </w:p>
          <w:p w14:paraId="56B1A198" w14:textId="77777777" w:rsidR="003602E0" w:rsidRPr="00BE2EE4" w:rsidRDefault="003602E0" w:rsidP="003602E0">
            <w:pPr>
              <w:pStyle w:val="ListParagraph"/>
              <w:numPr>
                <w:ilvl w:val="0"/>
                <w:numId w:val="6"/>
              </w:numPr>
              <w:rPr>
                <w:rFonts w:cs="Arial"/>
              </w:rPr>
            </w:pPr>
            <w:r w:rsidRPr="00BE2EE4">
              <w:rPr>
                <w:rFonts w:cs="Arial"/>
              </w:rPr>
              <w:t>Reduce the proportion of the working age population with no qualifications</w:t>
            </w:r>
          </w:p>
          <w:p w14:paraId="77912AA5" w14:textId="77777777" w:rsidR="003602E0" w:rsidRPr="00BE2EE4" w:rsidRDefault="003602E0" w:rsidP="003602E0">
            <w:pPr>
              <w:pStyle w:val="ListParagraph"/>
              <w:numPr>
                <w:ilvl w:val="0"/>
                <w:numId w:val="6"/>
              </w:numPr>
              <w:rPr>
                <w:rFonts w:cs="Arial"/>
              </w:rPr>
            </w:pPr>
            <w:r w:rsidRPr="00BE2EE4">
              <w:rPr>
                <w:rFonts w:cs="Arial"/>
              </w:rPr>
              <w:t>Improve the match between the aspirations of young people and the opportunities in the labour market</w:t>
            </w:r>
          </w:p>
          <w:p w14:paraId="171DE166" w14:textId="77777777" w:rsidR="003602E0" w:rsidRPr="00BE2EE4" w:rsidRDefault="003602E0" w:rsidP="006A74E0">
            <w:pPr>
              <w:rPr>
                <w:rFonts w:cs="Arial"/>
              </w:rPr>
            </w:pPr>
          </w:p>
          <w:p w14:paraId="705CB76E" w14:textId="77777777" w:rsidR="003602E0" w:rsidRPr="00BE2EE4" w:rsidRDefault="003602E0" w:rsidP="006A74E0">
            <w:pPr>
              <w:rPr>
                <w:rFonts w:cs="Arial"/>
              </w:rPr>
            </w:pPr>
            <w:r w:rsidRPr="00BE2EE4">
              <w:rPr>
                <w:rFonts w:cs="Arial"/>
              </w:rPr>
              <w:t>Under Thematic Objective 8 in LLEP ESIF strategy the LEP have identified indicative activities for those aged under 25 to support entry into employment which include:</w:t>
            </w:r>
          </w:p>
          <w:p w14:paraId="2FF5EBB3" w14:textId="77777777" w:rsidR="003602E0" w:rsidRPr="00BE2EE4" w:rsidRDefault="003602E0" w:rsidP="006A74E0">
            <w:pPr>
              <w:rPr>
                <w:rFonts w:cs="Arial"/>
              </w:rPr>
            </w:pPr>
          </w:p>
          <w:p w14:paraId="08600BDF" w14:textId="77777777" w:rsidR="003602E0" w:rsidRPr="00BE2EE4" w:rsidRDefault="003602E0" w:rsidP="003602E0">
            <w:pPr>
              <w:pStyle w:val="ListParagraph"/>
              <w:numPr>
                <w:ilvl w:val="0"/>
                <w:numId w:val="6"/>
              </w:numPr>
              <w:rPr>
                <w:rFonts w:cs="Arial"/>
              </w:rPr>
            </w:pPr>
            <w:r w:rsidRPr="00BE2EE4">
              <w:rPr>
                <w:rFonts w:cs="Arial"/>
              </w:rPr>
              <w:t>Structured programmes to help young people become job ready.  This will include careers advice and guidance, preparation activities, confidence building, development of employability skills and interventions aimed at improving job r</w:t>
            </w:r>
            <w:r>
              <w:rPr>
                <w:rFonts w:cs="Arial"/>
              </w:rPr>
              <w:t>eadiness (e.g. work placements)</w:t>
            </w:r>
          </w:p>
          <w:p w14:paraId="67B41551" w14:textId="77777777" w:rsidR="003602E0" w:rsidRPr="00BE2EE4" w:rsidRDefault="003602E0" w:rsidP="003602E0">
            <w:pPr>
              <w:pStyle w:val="ListParagraph"/>
              <w:numPr>
                <w:ilvl w:val="0"/>
                <w:numId w:val="6"/>
              </w:numPr>
              <w:rPr>
                <w:rFonts w:cs="Arial"/>
              </w:rPr>
            </w:pPr>
            <w:r w:rsidRPr="00BE2EE4">
              <w:rPr>
                <w:rFonts w:cs="Arial"/>
              </w:rPr>
              <w:t>Structured programmes and activities to support NEET and young unemployed people to acquire relevant skills including basic maths and English language skills to help labour market entry</w:t>
            </w:r>
          </w:p>
          <w:p w14:paraId="02A2C42F" w14:textId="77777777" w:rsidR="003602E0" w:rsidRPr="00BE2EE4" w:rsidRDefault="003602E0" w:rsidP="003602E0">
            <w:pPr>
              <w:pStyle w:val="ListParagraph"/>
              <w:numPr>
                <w:ilvl w:val="0"/>
                <w:numId w:val="6"/>
              </w:numPr>
              <w:rPr>
                <w:rFonts w:cs="Arial"/>
              </w:rPr>
            </w:pPr>
            <w:r w:rsidRPr="00BE2EE4">
              <w:rPr>
                <w:rFonts w:cs="Arial"/>
              </w:rPr>
              <w:t>Transition support for young people in the transition from education to work including work experience and work placements.</w:t>
            </w:r>
          </w:p>
          <w:p w14:paraId="394CE6F0" w14:textId="77777777" w:rsidR="003602E0" w:rsidRPr="00BE2EE4" w:rsidRDefault="003602E0" w:rsidP="006A74E0">
            <w:pPr>
              <w:pStyle w:val="ListParagraph"/>
              <w:rPr>
                <w:rFonts w:asciiTheme="minorHAnsi" w:hAnsiTheme="minorHAnsi" w:cs="Arial"/>
              </w:rPr>
            </w:pPr>
          </w:p>
          <w:p w14:paraId="564450F1" w14:textId="77777777" w:rsidR="003602E0" w:rsidRPr="00BE2EE4" w:rsidRDefault="003602E0" w:rsidP="006A74E0">
            <w:pPr>
              <w:rPr>
                <w:rFonts w:cs="Arial"/>
              </w:rPr>
            </w:pPr>
            <w:r w:rsidRPr="00BE2EE4">
              <w:rPr>
                <w:rFonts w:cs="Arial"/>
              </w:rPr>
              <w:t>This procurement aims to deliver these indicative activities for the NEET and unemployed cohort of young people.</w:t>
            </w:r>
          </w:p>
          <w:p w14:paraId="15E21089" w14:textId="77777777" w:rsidR="003602E0" w:rsidRPr="00BE2EE4" w:rsidRDefault="003602E0" w:rsidP="006A74E0">
            <w:pPr>
              <w:rPr>
                <w:rFonts w:cs="Arial"/>
              </w:rPr>
            </w:pPr>
          </w:p>
          <w:p w14:paraId="1CA1093A" w14:textId="77777777" w:rsidR="003602E0" w:rsidRPr="00BE2EE4" w:rsidRDefault="003602E0" w:rsidP="006A74E0">
            <w:pPr>
              <w:rPr>
                <w:rFonts w:cs="Arial"/>
              </w:rPr>
            </w:pPr>
            <w:r w:rsidRPr="00BE2EE4">
              <w:rPr>
                <w:rFonts w:cs="Arial"/>
              </w:rPr>
              <w:t>This activity builds on evidence of what works from current programmes delivered by Princes Trust (such as Get Into and Get Started), Connexions, Prospects, VCS organisations in our area, FE Colle</w:t>
            </w:r>
            <w:r>
              <w:rPr>
                <w:rFonts w:cs="Arial"/>
              </w:rPr>
              <w:t xml:space="preserve">ges and training providers. </w:t>
            </w:r>
            <w:r w:rsidRPr="00BE2EE4">
              <w:rPr>
                <w:rFonts w:cs="Arial"/>
              </w:rPr>
              <w:t xml:space="preserve">LLEP have engaged in widespread consultation with partners which has confirmed a significant need for the interventions in this procurement.  </w:t>
            </w:r>
          </w:p>
          <w:p w14:paraId="68EBA50C" w14:textId="77777777" w:rsidR="003602E0" w:rsidRPr="00BE2EE4" w:rsidRDefault="003602E0" w:rsidP="006A74E0">
            <w:pPr>
              <w:rPr>
                <w:rFonts w:cs="Arial"/>
              </w:rPr>
            </w:pPr>
          </w:p>
          <w:p w14:paraId="3327B94B" w14:textId="77777777" w:rsidR="003602E0" w:rsidRPr="00BE2EE4" w:rsidRDefault="003602E0" w:rsidP="006A74E0">
            <w:pPr>
              <w:rPr>
                <w:rFonts w:cs="Arial"/>
              </w:rPr>
            </w:pPr>
            <w:r w:rsidRPr="00BE2EE4">
              <w:rPr>
                <w:rFonts w:cs="Arial"/>
              </w:rPr>
              <w:t>The activity is to support young people into employment primarily and also training/learning which will ultimately lead to employment.  It is aimed at those who face complex needs and barriers who have not benefitted sufficiently from mainstream interventions to date.  Some of these people lack confidence and are not engaged in any training, learning or job search activities. Consultation with partners suggests that some young people are ‘recycling’ and coming in and out of the system rather than securing sustainable employment.</w:t>
            </w:r>
          </w:p>
          <w:p w14:paraId="15FC365C" w14:textId="77777777" w:rsidR="003602E0" w:rsidRPr="00BE2EE4" w:rsidRDefault="003602E0" w:rsidP="006A74E0">
            <w:pPr>
              <w:rPr>
                <w:rFonts w:cs="Arial"/>
              </w:rPr>
            </w:pPr>
          </w:p>
          <w:p w14:paraId="07BE1F2C" w14:textId="77777777" w:rsidR="003602E0" w:rsidRPr="00BE2EE4" w:rsidRDefault="003602E0" w:rsidP="006A74E0">
            <w:pPr>
              <w:rPr>
                <w:rFonts w:cs="Arial"/>
              </w:rPr>
            </w:pPr>
            <w:r w:rsidRPr="00BE2EE4">
              <w:rPr>
                <w:rFonts w:cs="Arial"/>
              </w:rPr>
              <w:t>Current unemployment, NEET statistics can be summarised as:</w:t>
            </w:r>
          </w:p>
          <w:p w14:paraId="23BE93DB" w14:textId="77777777" w:rsidR="003602E0" w:rsidRPr="00BE2EE4" w:rsidRDefault="003602E0" w:rsidP="006A74E0">
            <w:pPr>
              <w:rPr>
                <w:rFonts w:cs="Arial"/>
              </w:rPr>
            </w:pPr>
          </w:p>
          <w:p w14:paraId="613B0D3A" w14:textId="77777777" w:rsidR="003602E0" w:rsidRPr="00BE2EE4" w:rsidRDefault="003602E0" w:rsidP="006A74E0">
            <w:pPr>
              <w:rPr>
                <w:rFonts w:cs="Arial"/>
              </w:rPr>
            </w:pPr>
            <w:r>
              <w:rPr>
                <w:rFonts w:cs="Arial"/>
              </w:rPr>
              <w:t xml:space="preserve">Leicester City: </w:t>
            </w:r>
            <w:r w:rsidRPr="00BE2EE4">
              <w:rPr>
                <w:rFonts w:cs="Arial"/>
              </w:rPr>
              <w:t>NEET running at 6.3% in December 2014 – 771 young people (from years 12 to 14).  A number of groups feature significantly in the NEET cohort including – 75% of teenage mothers, 14% of LLDD, 47.6% of those supervised by the youth offending team, 28.9% of looked after children.  In addition, a high proportion of white males from disadvantaged backgrounds across the City with no or low attainment levels are in the NEET cohort.</w:t>
            </w:r>
          </w:p>
          <w:p w14:paraId="31774DA7" w14:textId="77777777" w:rsidR="003602E0" w:rsidRPr="00BE2EE4" w:rsidRDefault="003602E0" w:rsidP="006A74E0">
            <w:pPr>
              <w:rPr>
                <w:rFonts w:cs="Arial"/>
              </w:rPr>
            </w:pPr>
          </w:p>
          <w:p w14:paraId="48EAC281" w14:textId="77777777" w:rsidR="003602E0" w:rsidRPr="00BE2EE4" w:rsidRDefault="003602E0" w:rsidP="006A74E0">
            <w:pPr>
              <w:rPr>
                <w:rFonts w:cs="Arial"/>
              </w:rPr>
            </w:pPr>
            <w:r>
              <w:rPr>
                <w:rFonts w:cs="Arial"/>
              </w:rPr>
              <w:t xml:space="preserve">Leicestershire County:  </w:t>
            </w:r>
            <w:r w:rsidRPr="00BE2EE4">
              <w:rPr>
                <w:rFonts w:cs="Arial"/>
              </w:rPr>
              <w:t xml:space="preserve">NEET running at 3.1% in December </w:t>
            </w:r>
            <w:r>
              <w:rPr>
                <w:rFonts w:cs="Arial"/>
              </w:rPr>
              <w:t>2014 – 653 young people.  A</w:t>
            </w:r>
            <w:r w:rsidRPr="00BE2EE4">
              <w:rPr>
                <w:rFonts w:cs="Arial"/>
              </w:rPr>
              <w:t xml:space="preserve"> number of groups feature significantly in the cohort including teenage parents, LLDD, young offenders, care leavers, looked after children.</w:t>
            </w:r>
          </w:p>
          <w:p w14:paraId="7134A999" w14:textId="77777777" w:rsidR="003602E0" w:rsidRPr="00BE2EE4" w:rsidRDefault="003602E0" w:rsidP="006A74E0">
            <w:pPr>
              <w:rPr>
                <w:rFonts w:cs="Arial"/>
              </w:rPr>
            </w:pPr>
          </w:p>
          <w:p w14:paraId="0C5B5184" w14:textId="77777777" w:rsidR="003602E0" w:rsidRPr="00BE2EE4" w:rsidRDefault="003602E0" w:rsidP="006A74E0">
            <w:pPr>
              <w:rPr>
                <w:rFonts w:cs="Arial"/>
              </w:rPr>
            </w:pPr>
            <w:r>
              <w:rPr>
                <w:rFonts w:cs="Arial"/>
              </w:rPr>
              <w:lastRenderedPageBreak/>
              <w:t xml:space="preserve">Leicester City:  </w:t>
            </w:r>
            <w:r w:rsidRPr="00BE2EE4">
              <w:rPr>
                <w:rFonts w:cs="Arial"/>
              </w:rPr>
              <w:t>18-24 JSA claimants – 1,325 (2.8%) – 305 have been unemployed for over 6 months</w:t>
            </w:r>
          </w:p>
          <w:p w14:paraId="2652DD0B" w14:textId="77777777" w:rsidR="003602E0" w:rsidRPr="00BE2EE4" w:rsidRDefault="003602E0" w:rsidP="006A74E0">
            <w:pPr>
              <w:rPr>
                <w:rFonts w:cs="Arial"/>
              </w:rPr>
            </w:pPr>
          </w:p>
          <w:p w14:paraId="53F6A94A" w14:textId="77777777" w:rsidR="003602E0" w:rsidRPr="00BE2EE4" w:rsidRDefault="003602E0" w:rsidP="006A74E0">
            <w:pPr>
              <w:rPr>
                <w:rFonts w:cs="Arial"/>
              </w:rPr>
            </w:pPr>
            <w:r>
              <w:rPr>
                <w:rFonts w:cs="Arial"/>
              </w:rPr>
              <w:t xml:space="preserve">Leicestershire County:  </w:t>
            </w:r>
            <w:r w:rsidRPr="00BE2EE4">
              <w:rPr>
                <w:rFonts w:cs="Arial"/>
              </w:rPr>
              <w:t xml:space="preserve">18-24 JSA claimants – 875 (1.4%) – 180 have been unemployed for over 6 months </w:t>
            </w:r>
          </w:p>
          <w:p w14:paraId="38C961DC" w14:textId="77777777" w:rsidR="003602E0" w:rsidRPr="00BE2EE4" w:rsidRDefault="003602E0" w:rsidP="006A74E0">
            <w:pPr>
              <w:rPr>
                <w:rFonts w:cs="Arial"/>
              </w:rPr>
            </w:pPr>
          </w:p>
          <w:p w14:paraId="20BC16EE" w14:textId="77777777" w:rsidR="003602E0" w:rsidRPr="00BE2EE4" w:rsidRDefault="003602E0" w:rsidP="006A74E0">
            <w:pPr>
              <w:rPr>
                <w:rFonts w:cs="Arial"/>
              </w:rPr>
            </w:pPr>
            <w:r w:rsidRPr="00BE2EE4">
              <w:rPr>
                <w:rFonts w:cs="Arial"/>
              </w:rPr>
              <w:t>In terms of qualifications</w:t>
            </w:r>
            <w:r>
              <w:rPr>
                <w:rFonts w:cs="Arial"/>
              </w:rPr>
              <w:t>:</w:t>
            </w:r>
          </w:p>
          <w:p w14:paraId="6AC8726A" w14:textId="77777777" w:rsidR="003602E0" w:rsidRPr="00BE2EE4" w:rsidRDefault="003602E0" w:rsidP="006A74E0">
            <w:pPr>
              <w:rPr>
                <w:rFonts w:cs="Arial"/>
              </w:rPr>
            </w:pPr>
          </w:p>
          <w:p w14:paraId="26DA3110" w14:textId="77777777" w:rsidR="003602E0" w:rsidRDefault="003602E0" w:rsidP="006A74E0">
            <w:pPr>
              <w:rPr>
                <w:rFonts w:cs="Arial"/>
              </w:rPr>
            </w:pPr>
            <w:r>
              <w:rPr>
                <w:rFonts w:cs="Arial"/>
              </w:rPr>
              <w:t xml:space="preserve">Leicester City:  </w:t>
            </w:r>
            <w:r w:rsidRPr="00BE2EE4">
              <w:rPr>
                <w:rFonts w:cs="Arial"/>
              </w:rPr>
              <w:t>13.7% have no qualifications (working age population)</w:t>
            </w:r>
          </w:p>
          <w:p w14:paraId="1B9903AA" w14:textId="77777777" w:rsidR="003602E0" w:rsidRPr="00BE2EE4" w:rsidRDefault="003602E0" w:rsidP="006A74E0">
            <w:pPr>
              <w:rPr>
                <w:rFonts w:cs="Arial"/>
              </w:rPr>
            </w:pPr>
          </w:p>
          <w:p w14:paraId="582E43DC" w14:textId="77777777" w:rsidR="003602E0" w:rsidRPr="00BE2EE4" w:rsidRDefault="003602E0" w:rsidP="006A74E0">
            <w:pPr>
              <w:rPr>
                <w:rFonts w:cs="Arial"/>
              </w:rPr>
            </w:pPr>
            <w:r>
              <w:rPr>
                <w:rFonts w:cs="Arial"/>
              </w:rPr>
              <w:t xml:space="preserve">Leicestershire County:  </w:t>
            </w:r>
            <w:r w:rsidRPr="00BE2EE4">
              <w:rPr>
                <w:rFonts w:cs="Arial"/>
              </w:rPr>
              <w:t xml:space="preserve">8.8% have no qualifications.  35% of Leicestershire 19 year olds and 41% of Leicester 19 year olds do not attain Level Two including English and maths – a key threshold qualification to jobs with prospects. </w:t>
            </w:r>
          </w:p>
          <w:p w14:paraId="01EE241F" w14:textId="77777777" w:rsidR="003602E0" w:rsidRPr="00BE2EE4" w:rsidRDefault="003602E0" w:rsidP="006A74E0">
            <w:pPr>
              <w:rPr>
                <w:rFonts w:cs="Arial"/>
              </w:rPr>
            </w:pPr>
          </w:p>
        </w:tc>
      </w:tr>
      <w:tr w:rsidR="003602E0" w14:paraId="5FEA09D7" w14:textId="77777777" w:rsidTr="006A74E0">
        <w:trPr>
          <w:trHeight w:val="567"/>
        </w:trPr>
        <w:tc>
          <w:tcPr>
            <w:tcW w:w="9088" w:type="dxa"/>
            <w:gridSpan w:val="2"/>
            <w:shd w:val="clear" w:color="auto" w:fill="D9D9D9" w:themeFill="background1" w:themeFillShade="D9"/>
            <w:vAlign w:val="center"/>
          </w:tcPr>
          <w:p w14:paraId="3159DFC3" w14:textId="77777777" w:rsidR="003602E0" w:rsidRPr="00FD3B0A" w:rsidRDefault="003602E0" w:rsidP="006A74E0">
            <w:pPr>
              <w:pStyle w:val="SpecificationHeading"/>
            </w:pPr>
            <w:r>
              <w:lastRenderedPageBreak/>
              <w:t>DEFINITION OF TERMS</w:t>
            </w:r>
          </w:p>
        </w:tc>
      </w:tr>
      <w:tr w:rsidR="003602E0" w:rsidRPr="00EF4406" w14:paraId="37316F05" w14:textId="77777777" w:rsidTr="006A74E0">
        <w:trPr>
          <w:trHeight w:val="3387"/>
        </w:trPr>
        <w:tc>
          <w:tcPr>
            <w:tcW w:w="9088" w:type="dxa"/>
            <w:gridSpan w:val="2"/>
          </w:tcPr>
          <w:p w14:paraId="30885A51" w14:textId="77777777" w:rsidR="003602E0" w:rsidRPr="00BE2EE4" w:rsidRDefault="003602E0" w:rsidP="006A74E0">
            <w:pPr>
              <w:rPr>
                <w:rFonts w:cs="Arial"/>
                <w:i/>
              </w:rPr>
            </w:pPr>
          </w:p>
          <w:p w14:paraId="79FDADC3" w14:textId="77777777" w:rsidR="003602E0" w:rsidRPr="00BE2EE4" w:rsidRDefault="003602E0" w:rsidP="006A74E0">
            <w:pPr>
              <w:ind w:left="360" w:hanging="360"/>
            </w:pPr>
            <w:r w:rsidRPr="00BE2EE4">
              <w:rPr>
                <w:b/>
              </w:rPr>
              <w:t xml:space="preserve">At risk of becoming NEET: </w:t>
            </w:r>
            <w:r w:rsidRPr="00BE2EE4">
              <w:t>Support for at risk young people aged 15 to prevent them becoming NEET.</w:t>
            </w:r>
          </w:p>
          <w:p w14:paraId="140017F7" w14:textId="77777777" w:rsidR="003602E0" w:rsidRPr="00BE2EE4" w:rsidRDefault="003602E0" w:rsidP="006A74E0">
            <w:pPr>
              <w:ind w:left="360" w:hanging="360"/>
              <w:rPr>
                <w:b/>
              </w:rPr>
            </w:pPr>
          </w:p>
          <w:p w14:paraId="62A41799" w14:textId="77777777" w:rsidR="003602E0" w:rsidRPr="00BE2EE4" w:rsidRDefault="003602E0" w:rsidP="006A74E0">
            <w:pPr>
              <w:ind w:left="360" w:hanging="360"/>
            </w:pPr>
            <w:r w:rsidRPr="00BE2EE4">
              <w:rPr>
                <w:b/>
              </w:rPr>
              <w:t xml:space="preserve">Candidate: </w:t>
            </w:r>
            <w:r w:rsidRPr="00BE2EE4">
              <w:t>means an organisation who has been invited to take part in this restricted procurement procedure</w:t>
            </w:r>
          </w:p>
          <w:p w14:paraId="4C2A439D" w14:textId="77777777" w:rsidR="003602E0" w:rsidRPr="00BE2EE4" w:rsidRDefault="003602E0" w:rsidP="006A74E0">
            <w:pPr>
              <w:ind w:left="360" w:hanging="360"/>
              <w:rPr>
                <w:b/>
              </w:rPr>
            </w:pPr>
          </w:p>
          <w:p w14:paraId="0C70C19E" w14:textId="77777777" w:rsidR="003602E0" w:rsidRPr="00BE2EE4" w:rsidRDefault="003602E0" w:rsidP="006A74E0">
            <w:pPr>
              <w:ind w:left="360" w:hanging="360"/>
              <w:rPr>
                <w:b/>
              </w:rPr>
            </w:pPr>
            <w:r w:rsidRPr="00BE2EE4">
              <w:rPr>
                <w:b/>
              </w:rPr>
              <w:t>Disability</w:t>
            </w:r>
            <w:r w:rsidRPr="00BE2EE4">
              <w:t>: A person has a disability if they disclose a disability that limits their ability to work.</w:t>
            </w:r>
          </w:p>
          <w:p w14:paraId="5CC08D3C" w14:textId="77777777" w:rsidR="003602E0" w:rsidRPr="00BE2EE4" w:rsidRDefault="003602E0" w:rsidP="006A74E0">
            <w:pPr>
              <w:ind w:left="360" w:hanging="360"/>
              <w:rPr>
                <w:b/>
              </w:rPr>
            </w:pPr>
          </w:p>
          <w:p w14:paraId="61F71189" w14:textId="77777777" w:rsidR="003602E0" w:rsidRPr="00BE2EE4" w:rsidRDefault="003602E0" w:rsidP="006A74E0">
            <w:pPr>
              <w:ind w:left="360" w:hanging="360"/>
            </w:pPr>
            <w:r w:rsidRPr="00BE2EE4">
              <w:rPr>
                <w:b/>
              </w:rPr>
              <w:t>Eligibility:</w:t>
            </w:r>
            <w:r w:rsidRPr="00BE2EE4">
              <w:t xml:space="preserve"> Other than 15 year olds at risk of being NEET, only people who are eligible to work in UK are eligible for this programme.  Asylum seekers are not generally supported by ESF.</w:t>
            </w:r>
          </w:p>
          <w:p w14:paraId="5E688D55" w14:textId="77777777" w:rsidR="003602E0" w:rsidRPr="00BE2EE4" w:rsidRDefault="003602E0" w:rsidP="006A74E0">
            <w:pPr>
              <w:ind w:left="360" w:hanging="360"/>
            </w:pPr>
          </w:p>
          <w:p w14:paraId="6C02EA8A" w14:textId="77777777" w:rsidR="003602E0" w:rsidRPr="00BE2EE4" w:rsidRDefault="003602E0" w:rsidP="006A74E0">
            <w:pPr>
              <w:autoSpaceDE w:val="0"/>
              <w:autoSpaceDN w:val="0"/>
              <w:adjustRightInd w:val="0"/>
              <w:ind w:left="360" w:hanging="360"/>
            </w:pPr>
            <w:r w:rsidRPr="00BE2EE4">
              <w:rPr>
                <w:b/>
              </w:rPr>
              <w:t>Employed</w:t>
            </w:r>
            <w:r w:rsidRPr="00BE2EE4">
              <w:t>: People are employed if they perform work for pay, profit or family gain. People are self-employed if they work in his/her own business for the purpose of earning a profit, even if they are not making a profit or are just setting up.</w:t>
            </w:r>
          </w:p>
          <w:p w14:paraId="46ECA938" w14:textId="77777777" w:rsidR="003602E0" w:rsidRPr="00BE2EE4" w:rsidRDefault="003602E0" w:rsidP="006A74E0">
            <w:pPr>
              <w:autoSpaceDE w:val="0"/>
              <w:autoSpaceDN w:val="0"/>
              <w:adjustRightInd w:val="0"/>
              <w:ind w:left="360" w:hanging="360"/>
              <w:rPr>
                <w:color w:val="FF0000"/>
              </w:rPr>
            </w:pPr>
          </w:p>
          <w:p w14:paraId="00249134" w14:textId="77777777" w:rsidR="003602E0" w:rsidRPr="00BE2EE4" w:rsidRDefault="003602E0" w:rsidP="006A74E0">
            <w:pPr>
              <w:autoSpaceDE w:val="0"/>
              <w:autoSpaceDN w:val="0"/>
              <w:adjustRightInd w:val="0"/>
              <w:ind w:left="360" w:hanging="360"/>
            </w:pPr>
            <w:r w:rsidRPr="00BE2EE4">
              <w:rPr>
                <w:b/>
              </w:rPr>
              <w:t>Job Seeking:</w:t>
            </w:r>
            <w:r w:rsidRPr="00BE2EE4">
              <w:t xml:space="preserve"> Where applicable, persons engaged in job seeking is understood to be persons usually without work and actively seeking work.</w:t>
            </w:r>
          </w:p>
          <w:p w14:paraId="15E332CA" w14:textId="77777777" w:rsidR="003602E0" w:rsidRPr="00BE2EE4" w:rsidRDefault="003602E0" w:rsidP="006A74E0">
            <w:pPr>
              <w:autoSpaceDE w:val="0"/>
              <w:autoSpaceDN w:val="0"/>
              <w:adjustRightInd w:val="0"/>
              <w:ind w:left="360" w:hanging="360"/>
            </w:pPr>
          </w:p>
          <w:p w14:paraId="48201A05" w14:textId="77777777" w:rsidR="003602E0" w:rsidRPr="00BE2EE4" w:rsidRDefault="003602E0" w:rsidP="006A74E0">
            <w:pPr>
              <w:autoSpaceDE w:val="0"/>
              <w:autoSpaceDN w:val="0"/>
              <w:adjustRightInd w:val="0"/>
              <w:ind w:left="360" w:hanging="360"/>
            </w:pPr>
            <w:r w:rsidRPr="00BE2EE4">
              <w:rPr>
                <w:b/>
              </w:rPr>
              <w:t xml:space="preserve">Qualifications: </w:t>
            </w:r>
            <w:r w:rsidRPr="00BE2EE4">
              <w:t xml:space="preserve">Qualification means a formal outcome assessment and validation process which is obtained when a competent body determines that an individual has achieved learning outcomes to given standards.  Regulated qualifications/aims are those listed in the Learning Aims Reference Service as being regulated.  Non-regulated aims are those listed in the Learning Aims Reference Service as being non-regulated.  </w:t>
            </w:r>
          </w:p>
          <w:p w14:paraId="1293013A" w14:textId="77777777" w:rsidR="003602E0" w:rsidRPr="00BE2EE4" w:rsidRDefault="003602E0" w:rsidP="006A74E0">
            <w:pPr>
              <w:autoSpaceDE w:val="0"/>
              <w:autoSpaceDN w:val="0"/>
              <w:adjustRightInd w:val="0"/>
              <w:ind w:left="360" w:hanging="360"/>
            </w:pPr>
          </w:p>
          <w:p w14:paraId="2CA2B7BB" w14:textId="77777777" w:rsidR="003602E0" w:rsidRPr="00BE2EE4" w:rsidRDefault="003602E0" w:rsidP="006A74E0">
            <w:pPr>
              <w:autoSpaceDE w:val="0"/>
              <w:autoSpaceDN w:val="0"/>
              <w:adjustRightInd w:val="0"/>
              <w:ind w:left="360" w:hanging="360"/>
            </w:pPr>
            <w:r w:rsidRPr="00BE2EE4">
              <w:t xml:space="preserve">     Regulated and non-regulated aims must be planned to be delivered within budget.</w:t>
            </w:r>
          </w:p>
          <w:p w14:paraId="796F5A78" w14:textId="77777777" w:rsidR="003602E0" w:rsidRPr="00BE2EE4" w:rsidRDefault="003602E0" w:rsidP="006A74E0">
            <w:pPr>
              <w:autoSpaceDE w:val="0"/>
              <w:autoSpaceDN w:val="0"/>
              <w:adjustRightInd w:val="0"/>
              <w:ind w:left="360" w:hanging="360"/>
            </w:pPr>
          </w:p>
          <w:p w14:paraId="3FEEB01F" w14:textId="77777777" w:rsidR="003602E0" w:rsidRPr="00BE2EE4" w:rsidRDefault="003602E0" w:rsidP="006A74E0">
            <w:pPr>
              <w:autoSpaceDE w:val="0"/>
              <w:autoSpaceDN w:val="0"/>
              <w:adjustRightInd w:val="0"/>
              <w:ind w:left="360" w:hanging="360"/>
            </w:pPr>
            <w:r w:rsidRPr="00BE2EE4">
              <w:t xml:space="preserve">     Qualification rates are based on the published LARS rates at the start of the contract.</w:t>
            </w:r>
          </w:p>
          <w:p w14:paraId="42E758EC" w14:textId="77777777" w:rsidR="003602E0" w:rsidRPr="00BE2EE4" w:rsidRDefault="003602E0" w:rsidP="006A74E0">
            <w:pPr>
              <w:autoSpaceDE w:val="0"/>
              <w:autoSpaceDN w:val="0"/>
              <w:adjustRightInd w:val="0"/>
              <w:ind w:left="360" w:hanging="360"/>
            </w:pPr>
          </w:p>
          <w:p w14:paraId="404B3066" w14:textId="77777777" w:rsidR="003602E0" w:rsidRPr="00BE2EE4" w:rsidRDefault="003602E0" w:rsidP="006A74E0">
            <w:pPr>
              <w:autoSpaceDE w:val="0"/>
              <w:autoSpaceDN w:val="0"/>
              <w:adjustRightInd w:val="0"/>
              <w:ind w:left="360" w:hanging="360"/>
            </w:pPr>
            <w:r w:rsidRPr="00BE2EE4">
              <w:rPr>
                <w:b/>
              </w:rPr>
              <w:lastRenderedPageBreak/>
              <w:t xml:space="preserve">Services:  </w:t>
            </w:r>
            <w:r w:rsidRPr="00BE2EE4">
              <w:t>The provision of education, training or support delivered to individuals.</w:t>
            </w:r>
          </w:p>
          <w:p w14:paraId="1F8C8AA7" w14:textId="77777777" w:rsidR="003602E0" w:rsidRPr="00BE2EE4" w:rsidRDefault="003602E0" w:rsidP="006A74E0">
            <w:pPr>
              <w:autoSpaceDE w:val="0"/>
              <w:autoSpaceDN w:val="0"/>
              <w:adjustRightInd w:val="0"/>
              <w:ind w:left="360" w:hanging="360"/>
            </w:pPr>
          </w:p>
          <w:p w14:paraId="6DAFFB16" w14:textId="77777777" w:rsidR="003602E0" w:rsidRPr="00BE2EE4" w:rsidRDefault="003602E0" w:rsidP="006A74E0">
            <w:pPr>
              <w:autoSpaceDE w:val="0"/>
              <w:autoSpaceDN w:val="0"/>
              <w:adjustRightInd w:val="0"/>
              <w:ind w:left="360" w:hanging="360"/>
              <w:rPr>
                <w:color w:val="FF0000"/>
              </w:rPr>
            </w:pPr>
            <w:r w:rsidRPr="00BE2EE4">
              <w:rPr>
                <w:b/>
              </w:rPr>
              <w:t>Start Date:</w:t>
            </w:r>
            <w:r w:rsidRPr="00BE2EE4">
              <w:t xml:space="preserve"> Employment status and age are determined on the date of starting on the Provision.</w:t>
            </w:r>
            <w:r w:rsidRPr="00BE2EE4">
              <w:rPr>
                <w:b/>
              </w:rPr>
              <w:t xml:space="preserve"> </w:t>
            </w:r>
          </w:p>
          <w:p w14:paraId="134073B4" w14:textId="77777777" w:rsidR="003602E0" w:rsidRPr="00BE2EE4" w:rsidRDefault="003602E0" w:rsidP="006A74E0">
            <w:pPr>
              <w:autoSpaceDE w:val="0"/>
              <w:autoSpaceDN w:val="0"/>
              <w:adjustRightInd w:val="0"/>
              <w:ind w:left="360" w:hanging="360"/>
              <w:rPr>
                <w:color w:val="FF0000"/>
              </w:rPr>
            </w:pPr>
          </w:p>
          <w:p w14:paraId="2AA38BD8" w14:textId="77777777" w:rsidR="003602E0" w:rsidRPr="00BE2EE4" w:rsidRDefault="003602E0" w:rsidP="006A74E0">
            <w:pPr>
              <w:autoSpaceDE w:val="0"/>
              <w:autoSpaceDN w:val="0"/>
              <w:adjustRightInd w:val="0"/>
              <w:ind w:left="360" w:hanging="360"/>
              <w:rPr>
                <w:color w:val="FF0000"/>
              </w:rPr>
            </w:pPr>
            <w:r w:rsidRPr="00BE2EE4">
              <w:rPr>
                <w:b/>
              </w:rPr>
              <w:t>Survey</w:t>
            </w:r>
            <w:r w:rsidRPr="00BE2EE4">
              <w:t>: Where applicable, long term sustained outcomes over 6 months will be monitored separately.  Some ESF indicators will be collected by survey by the ESF Managing Authority directly from the participants.</w:t>
            </w:r>
          </w:p>
          <w:p w14:paraId="5F38B3EF" w14:textId="77777777" w:rsidR="003602E0" w:rsidRPr="00BE2EE4" w:rsidRDefault="003602E0" w:rsidP="006A74E0">
            <w:pPr>
              <w:autoSpaceDE w:val="0"/>
              <w:autoSpaceDN w:val="0"/>
              <w:adjustRightInd w:val="0"/>
              <w:ind w:left="360" w:hanging="360"/>
              <w:rPr>
                <w:color w:val="FF0000"/>
              </w:rPr>
            </w:pPr>
          </w:p>
          <w:p w14:paraId="1D5BC931" w14:textId="77777777" w:rsidR="003602E0" w:rsidRPr="00BE2EE4" w:rsidRDefault="003602E0" w:rsidP="006A74E0">
            <w:pPr>
              <w:autoSpaceDE w:val="0"/>
              <w:autoSpaceDN w:val="0"/>
              <w:adjustRightInd w:val="0"/>
              <w:ind w:left="360" w:hanging="360"/>
            </w:pPr>
            <w:r w:rsidRPr="00BE2EE4">
              <w:rPr>
                <w:b/>
              </w:rPr>
              <w:t>Unemployed:</w:t>
            </w:r>
            <w:r w:rsidRPr="00BE2EE4">
              <w:t xml:space="preserve"> Unemployed are persons usually without work, available for work and actively seeking work.  Persons considered registered unemployed would be included.  Full time students are considered as inactive as they are not available for work.  Long term unemployment is greater than 6 months for under 25 years old and greater than 12 months for 25 years old or more.</w:t>
            </w:r>
          </w:p>
          <w:p w14:paraId="65422FD2" w14:textId="77777777" w:rsidR="003602E0" w:rsidRPr="00BE2EE4" w:rsidRDefault="003602E0" w:rsidP="006A74E0"/>
        </w:tc>
      </w:tr>
      <w:tr w:rsidR="003602E0" w14:paraId="1833EA5B" w14:textId="77777777" w:rsidTr="006A74E0">
        <w:trPr>
          <w:trHeight w:val="567"/>
        </w:trPr>
        <w:tc>
          <w:tcPr>
            <w:tcW w:w="9088" w:type="dxa"/>
            <w:gridSpan w:val="2"/>
            <w:shd w:val="clear" w:color="auto" w:fill="D9D9D9" w:themeFill="background1" w:themeFillShade="D9"/>
            <w:vAlign w:val="center"/>
          </w:tcPr>
          <w:p w14:paraId="7E7CE396" w14:textId="77777777" w:rsidR="003602E0" w:rsidRPr="00FD3B0A" w:rsidRDefault="003602E0" w:rsidP="006A74E0">
            <w:pPr>
              <w:pStyle w:val="SpecificationHeading"/>
            </w:pPr>
            <w:r>
              <w:lastRenderedPageBreak/>
              <w:t>SERVICE REQUIREMENTS</w:t>
            </w:r>
          </w:p>
        </w:tc>
      </w:tr>
      <w:tr w:rsidR="003602E0" w:rsidRPr="00544738" w14:paraId="2860285D" w14:textId="77777777" w:rsidTr="006A74E0">
        <w:tc>
          <w:tcPr>
            <w:tcW w:w="9088" w:type="dxa"/>
            <w:gridSpan w:val="2"/>
          </w:tcPr>
          <w:p w14:paraId="1AB25816" w14:textId="77777777" w:rsidR="003602E0" w:rsidRPr="00BA333F" w:rsidRDefault="003602E0" w:rsidP="006A74E0">
            <w:pPr>
              <w:rPr>
                <w:rFonts w:cs="Arial"/>
              </w:rPr>
            </w:pPr>
          </w:p>
          <w:p w14:paraId="46EA1238" w14:textId="77777777" w:rsidR="003602E0" w:rsidRPr="00BA333F" w:rsidRDefault="003602E0" w:rsidP="006A74E0">
            <w:pPr>
              <w:rPr>
                <w:rFonts w:cs="Arial"/>
                <w:b/>
              </w:rPr>
            </w:pPr>
            <w:r w:rsidRPr="00BA333F">
              <w:rPr>
                <w:rFonts w:cs="Arial"/>
                <w:b/>
              </w:rPr>
              <w:t xml:space="preserve">General </w:t>
            </w:r>
          </w:p>
          <w:p w14:paraId="1CC9BA19" w14:textId="77777777" w:rsidR="003602E0" w:rsidRPr="002833D9" w:rsidRDefault="003602E0" w:rsidP="006A74E0">
            <w:pPr>
              <w:rPr>
                <w:rFonts w:cs="Arial"/>
              </w:rPr>
            </w:pPr>
          </w:p>
          <w:p w14:paraId="01F51D10" w14:textId="77777777" w:rsidR="003602E0" w:rsidRPr="00BE2EE4" w:rsidRDefault="003602E0" w:rsidP="006A74E0">
            <w:pPr>
              <w:rPr>
                <w:rFonts w:cs="Arial"/>
              </w:rPr>
            </w:pPr>
            <w:r w:rsidRPr="00BE2EE4">
              <w:rPr>
                <w:rFonts w:cs="Arial"/>
              </w:rPr>
              <w:t>All activities must complement and avoid duplication with other provision, thereby adding value to Department for Work and Pensions/Big Lottery, Education Funding Agency, Skills Funding Agency, local authority, National Careers Service and the new Careers Enterprise Company funded provision.  Successful candidates will be required to ensure that ESF provision will clearly add value and not duplicate any provision that can be arranged locally through existing mainstream institutions.</w:t>
            </w:r>
          </w:p>
          <w:p w14:paraId="3368A955" w14:textId="77777777" w:rsidR="003602E0" w:rsidRPr="00BE2EE4" w:rsidRDefault="003602E0" w:rsidP="006A74E0">
            <w:pPr>
              <w:rPr>
                <w:rFonts w:cs="Arial"/>
              </w:rPr>
            </w:pPr>
          </w:p>
          <w:p w14:paraId="5134F666" w14:textId="77777777" w:rsidR="003602E0" w:rsidRPr="00BA333F" w:rsidRDefault="003602E0" w:rsidP="006A74E0">
            <w:pPr>
              <w:rPr>
                <w:rFonts w:cs="Arial"/>
                <w:b/>
              </w:rPr>
            </w:pPr>
            <w:r w:rsidRPr="00BA333F">
              <w:rPr>
                <w:rFonts w:cs="Arial"/>
                <w:b/>
              </w:rPr>
              <w:t>Capacity and readiness to deliver</w:t>
            </w:r>
          </w:p>
          <w:p w14:paraId="77DD93B3" w14:textId="77777777" w:rsidR="003602E0" w:rsidRDefault="003602E0" w:rsidP="006A74E0">
            <w:pPr>
              <w:autoSpaceDE w:val="0"/>
              <w:autoSpaceDN w:val="0"/>
              <w:adjustRightInd w:val="0"/>
              <w:rPr>
                <w:rFonts w:cs="Arial"/>
              </w:rPr>
            </w:pPr>
            <w:r w:rsidRPr="00BE2EE4">
              <w:rPr>
                <w:rFonts w:cs="Arial"/>
              </w:rPr>
              <w:t>Candidates must have:</w:t>
            </w:r>
          </w:p>
          <w:p w14:paraId="0A782268" w14:textId="77777777" w:rsidR="003602E0" w:rsidRPr="00BE2EE4" w:rsidRDefault="003602E0" w:rsidP="006A74E0">
            <w:pPr>
              <w:autoSpaceDE w:val="0"/>
              <w:autoSpaceDN w:val="0"/>
              <w:adjustRightInd w:val="0"/>
              <w:rPr>
                <w:rFonts w:cs="Arial"/>
              </w:rPr>
            </w:pPr>
          </w:p>
          <w:p w14:paraId="3DCCA44E" w14:textId="77777777" w:rsidR="003602E0" w:rsidRPr="00BA333F" w:rsidRDefault="003602E0" w:rsidP="003602E0">
            <w:pPr>
              <w:pStyle w:val="ListParagraph"/>
              <w:numPr>
                <w:ilvl w:val="0"/>
                <w:numId w:val="5"/>
              </w:numPr>
              <w:autoSpaceDE w:val="0"/>
              <w:autoSpaceDN w:val="0"/>
              <w:adjustRightInd w:val="0"/>
              <w:ind w:left="313"/>
              <w:rPr>
                <w:rFonts w:cs="Arial"/>
              </w:rPr>
            </w:pPr>
            <w:r w:rsidRPr="00BA333F">
              <w:rPr>
                <w:rFonts w:cs="Arial"/>
              </w:rPr>
              <w:t>The resources to offer very local and flexible delivery in the areas where levels of NEET are highest.</w:t>
            </w:r>
          </w:p>
          <w:p w14:paraId="6EC82AD6" w14:textId="77777777" w:rsidR="003602E0" w:rsidRPr="00BE2EE4" w:rsidRDefault="003602E0" w:rsidP="003602E0">
            <w:pPr>
              <w:pStyle w:val="ListParagraph"/>
              <w:numPr>
                <w:ilvl w:val="0"/>
                <w:numId w:val="5"/>
              </w:numPr>
              <w:ind w:left="313"/>
              <w:rPr>
                <w:rFonts w:cs="Arial"/>
              </w:rPr>
            </w:pPr>
            <w:r w:rsidRPr="00BA333F">
              <w:rPr>
                <w:rFonts w:cs="Arial"/>
              </w:rPr>
              <w:t>The capacity to deliver provision immediately upon commencement of the contract and that delivery should not be delayed in any way by any recruitment processes or other processes or relationships that need to be established.</w:t>
            </w:r>
          </w:p>
          <w:p w14:paraId="1020402B" w14:textId="77777777" w:rsidR="003602E0" w:rsidRPr="00BE2EE4" w:rsidRDefault="003602E0" w:rsidP="006A74E0">
            <w:pPr>
              <w:rPr>
                <w:rFonts w:cs="Arial"/>
              </w:rPr>
            </w:pPr>
          </w:p>
          <w:p w14:paraId="404A5ECE" w14:textId="77777777" w:rsidR="003602E0" w:rsidRPr="00BA333F" w:rsidRDefault="003602E0" w:rsidP="006A74E0">
            <w:pPr>
              <w:rPr>
                <w:rFonts w:cs="Arial"/>
                <w:b/>
              </w:rPr>
            </w:pPr>
            <w:r w:rsidRPr="00BA333F">
              <w:rPr>
                <w:rFonts w:cs="Arial"/>
                <w:b/>
              </w:rPr>
              <w:t>Track record</w:t>
            </w:r>
          </w:p>
          <w:p w14:paraId="0023CC9F" w14:textId="77777777" w:rsidR="003602E0" w:rsidRPr="00BA333F" w:rsidRDefault="003602E0" w:rsidP="006A74E0">
            <w:pPr>
              <w:rPr>
                <w:rFonts w:cs="Arial"/>
              </w:rPr>
            </w:pPr>
            <w:r w:rsidRPr="00BE2EE4">
              <w:rPr>
                <w:rFonts w:cs="Arial"/>
              </w:rPr>
              <w:t>T</w:t>
            </w:r>
            <w:r w:rsidRPr="00BA333F">
              <w:rPr>
                <w:rFonts w:cs="Arial"/>
              </w:rPr>
              <w:t>he ability to deliver the required activity, based on a track record in the successful delivery and management of this type of programme</w:t>
            </w:r>
          </w:p>
          <w:p w14:paraId="786DA3AF" w14:textId="77777777" w:rsidR="003602E0" w:rsidRPr="00BA333F" w:rsidRDefault="003602E0" w:rsidP="006A74E0">
            <w:pPr>
              <w:rPr>
                <w:rFonts w:cs="Arial"/>
              </w:rPr>
            </w:pPr>
          </w:p>
          <w:p w14:paraId="212D6C0F" w14:textId="77777777" w:rsidR="003602E0" w:rsidRPr="00BA333F" w:rsidRDefault="003602E0" w:rsidP="006A74E0">
            <w:pPr>
              <w:autoSpaceDE w:val="0"/>
              <w:autoSpaceDN w:val="0"/>
              <w:adjustRightInd w:val="0"/>
              <w:ind w:left="29"/>
              <w:rPr>
                <w:rFonts w:cs="Arial"/>
              </w:rPr>
            </w:pPr>
            <w:r w:rsidRPr="00BA333F">
              <w:rPr>
                <w:rFonts w:cs="Arial"/>
              </w:rPr>
              <w:t>Candidates will need to have a</w:t>
            </w:r>
            <w:r w:rsidRPr="00BE2EE4">
              <w:rPr>
                <w:rFonts w:cs="Arial"/>
              </w:rPr>
              <w:t>n understanding of the varied needs of young people and a</w:t>
            </w:r>
            <w:r w:rsidRPr="00BA333F">
              <w:rPr>
                <w:rFonts w:cs="Arial"/>
              </w:rPr>
              <w:t xml:space="preserve">n ability to engage and work with young people, especially those who are disengaged and vulnerable and have particular learning needs or barriers to learning. </w:t>
            </w:r>
          </w:p>
          <w:p w14:paraId="66974A7F" w14:textId="77777777" w:rsidR="003602E0" w:rsidRPr="00BA333F" w:rsidRDefault="003602E0" w:rsidP="006A74E0">
            <w:pPr>
              <w:autoSpaceDE w:val="0"/>
              <w:autoSpaceDN w:val="0"/>
              <w:adjustRightInd w:val="0"/>
              <w:ind w:left="29"/>
              <w:rPr>
                <w:rFonts w:cs="Arial"/>
              </w:rPr>
            </w:pPr>
          </w:p>
          <w:p w14:paraId="5511DC2D" w14:textId="77777777" w:rsidR="003602E0" w:rsidRPr="00BA333F" w:rsidRDefault="003602E0" w:rsidP="006A74E0">
            <w:pPr>
              <w:autoSpaceDE w:val="0"/>
              <w:autoSpaceDN w:val="0"/>
              <w:adjustRightInd w:val="0"/>
              <w:ind w:left="29"/>
              <w:rPr>
                <w:rFonts w:cs="Arial"/>
              </w:rPr>
            </w:pPr>
            <w:r w:rsidRPr="00BA333F">
              <w:rPr>
                <w:rFonts w:cs="Arial"/>
              </w:rPr>
              <w:t>Candidates will need to have experience of creating employment opportunities.</w:t>
            </w:r>
          </w:p>
          <w:p w14:paraId="293895B9" w14:textId="77777777" w:rsidR="003602E0" w:rsidRPr="00BA333F" w:rsidRDefault="003602E0" w:rsidP="006A74E0">
            <w:pPr>
              <w:autoSpaceDE w:val="0"/>
              <w:autoSpaceDN w:val="0"/>
              <w:adjustRightInd w:val="0"/>
              <w:ind w:left="29"/>
              <w:rPr>
                <w:rFonts w:cs="Arial"/>
              </w:rPr>
            </w:pPr>
            <w:r w:rsidRPr="00BE2EE4">
              <w:rPr>
                <w:rFonts w:cs="Arial"/>
              </w:rPr>
              <w:t>And in designing and delivering high quality provision for young people including those who are NEET/at risk of becoming NEET.</w:t>
            </w:r>
          </w:p>
          <w:p w14:paraId="7AD498D8" w14:textId="77777777" w:rsidR="003602E0" w:rsidRPr="00BE2EE4" w:rsidRDefault="003602E0" w:rsidP="006A74E0">
            <w:pPr>
              <w:rPr>
                <w:rFonts w:cs="Arial"/>
              </w:rPr>
            </w:pPr>
          </w:p>
          <w:p w14:paraId="48F890FA" w14:textId="77777777" w:rsidR="003602E0" w:rsidRPr="00BA333F" w:rsidRDefault="003602E0" w:rsidP="006A74E0">
            <w:pPr>
              <w:rPr>
                <w:rFonts w:cs="Arial"/>
                <w:b/>
              </w:rPr>
            </w:pPr>
            <w:r w:rsidRPr="00BA333F">
              <w:rPr>
                <w:rFonts w:cs="Arial"/>
                <w:b/>
              </w:rPr>
              <w:t>Management and quality assurance</w:t>
            </w:r>
          </w:p>
          <w:p w14:paraId="02DEA010" w14:textId="77777777" w:rsidR="003602E0" w:rsidRPr="00BE2EE4" w:rsidRDefault="003602E0" w:rsidP="006A74E0">
            <w:pPr>
              <w:rPr>
                <w:rFonts w:cs="Arial"/>
              </w:rPr>
            </w:pPr>
            <w:r w:rsidRPr="00BE2EE4">
              <w:rPr>
                <w:rFonts w:cs="Arial"/>
              </w:rPr>
              <w:lastRenderedPageBreak/>
              <w:t>Candidates will need to have effective management arrangements in place to ensure all of the requirements of this specification particularly in regard to meeting the identified needs of identified young people are fulfilled.  The Services must be delivered to a high quality and successful tenderers will need to have in place quality assurance and improvement processes.</w:t>
            </w:r>
          </w:p>
          <w:p w14:paraId="31AF461A" w14:textId="77777777" w:rsidR="003602E0" w:rsidRPr="00BE2EE4" w:rsidRDefault="003602E0" w:rsidP="006A74E0">
            <w:pPr>
              <w:rPr>
                <w:rFonts w:cs="Arial"/>
              </w:rPr>
            </w:pPr>
          </w:p>
          <w:p w14:paraId="2C212772" w14:textId="77777777" w:rsidR="003602E0" w:rsidRPr="00BE2EE4" w:rsidRDefault="003602E0" w:rsidP="006A74E0">
            <w:pPr>
              <w:rPr>
                <w:rFonts w:cs="Arial"/>
              </w:rPr>
            </w:pPr>
            <w:r w:rsidRPr="00BE2EE4">
              <w:rPr>
                <w:rFonts w:cs="Arial"/>
              </w:rPr>
              <w:t xml:space="preserve">The Services need to be flexible and responsive to the changing economic and political landscape and take into consideration that the approach and associated processes may change during the life of this contract.  Therefore Candidates will be expected to be able to change the delivery of the Services accordingly.  </w:t>
            </w:r>
          </w:p>
          <w:p w14:paraId="0EF2FC49" w14:textId="77777777" w:rsidR="003602E0" w:rsidRPr="00BE2EE4" w:rsidRDefault="003602E0" w:rsidP="006A74E0">
            <w:pPr>
              <w:rPr>
                <w:rFonts w:cs="Arial"/>
              </w:rPr>
            </w:pPr>
          </w:p>
          <w:p w14:paraId="1AC53505" w14:textId="77777777" w:rsidR="003602E0" w:rsidRPr="00BA333F" w:rsidRDefault="003602E0" w:rsidP="006A74E0">
            <w:pPr>
              <w:rPr>
                <w:rFonts w:cs="Arial"/>
                <w:b/>
              </w:rPr>
            </w:pPr>
            <w:r w:rsidRPr="00BA333F">
              <w:rPr>
                <w:rFonts w:cs="Arial"/>
                <w:b/>
              </w:rPr>
              <w:t>Partnership working</w:t>
            </w:r>
          </w:p>
          <w:p w14:paraId="1A8FB2A5" w14:textId="77777777" w:rsidR="003602E0" w:rsidRPr="00BE2EE4" w:rsidRDefault="003602E0" w:rsidP="006A74E0">
            <w:pPr>
              <w:rPr>
                <w:rFonts w:cs="Arial"/>
              </w:rPr>
            </w:pPr>
            <w:r w:rsidRPr="00BE2EE4">
              <w:rPr>
                <w:rFonts w:cs="Arial"/>
              </w:rPr>
              <w:t>Candidates will be required to work in partnership with other organisations delivering education and training in the area to ensure the Service is complementary to and not in competition with other funded provision.</w:t>
            </w:r>
          </w:p>
          <w:p w14:paraId="15C535C4" w14:textId="77777777" w:rsidR="003602E0" w:rsidRPr="00BE2EE4" w:rsidRDefault="003602E0" w:rsidP="006A74E0">
            <w:pPr>
              <w:rPr>
                <w:rFonts w:cs="Arial"/>
              </w:rPr>
            </w:pPr>
          </w:p>
          <w:p w14:paraId="49AC612A" w14:textId="77777777" w:rsidR="003602E0" w:rsidRPr="00BE2EE4" w:rsidRDefault="003602E0" w:rsidP="006A74E0">
            <w:pPr>
              <w:rPr>
                <w:rFonts w:cs="Arial"/>
              </w:rPr>
            </w:pPr>
            <w:r w:rsidRPr="00BE2EE4">
              <w:rPr>
                <w:rFonts w:cs="Arial"/>
              </w:rPr>
              <w:t xml:space="preserve">Candidates will engage with every Local Authority (LA) in the LEP area and will be expected to identify internal LA links across different departments.  The Service must be able to respond to changing local needs and opportunities, as well as policy changes. </w:t>
            </w:r>
          </w:p>
          <w:p w14:paraId="7518749A" w14:textId="77777777" w:rsidR="003602E0" w:rsidRPr="00BE2EE4" w:rsidRDefault="003602E0" w:rsidP="006A74E0">
            <w:pPr>
              <w:rPr>
                <w:rFonts w:cs="Arial"/>
              </w:rPr>
            </w:pPr>
          </w:p>
          <w:p w14:paraId="463E2ACF" w14:textId="77777777" w:rsidR="003602E0" w:rsidRPr="00BE2EE4" w:rsidRDefault="003602E0" w:rsidP="006A74E0">
            <w:pPr>
              <w:autoSpaceDE w:val="0"/>
              <w:autoSpaceDN w:val="0"/>
              <w:adjustRightInd w:val="0"/>
              <w:rPr>
                <w:rFonts w:cs="Arial"/>
              </w:rPr>
            </w:pPr>
            <w:r w:rsidRPr="00BE2EE4">
              <w:rPr>
                <w:rFonts w:cs="Arial"/>
              </w:rPr>
              <w:t xml:space="preserve">Candidates will be required to establish linkages with and have an understanding of, local stakeholder needs and develop strong links with the key stakeholders. </w:t>
            </w:r>
          </w:p>
          <w:p w14:paraId="59FD3292" w14:textId="77777777" w:rsidR="003602E0" w:rsidRPr="00BE2EE4" w:rsidRDefault="003602E0" w:rsidP="006A74E0">
            <w:pPr>
              <w:rPr>
                <w:rFonts w:cs="Arial"/>
              </w:rPr>
            </w:pPr>
          </w:p>
          <w:p w14:paraId="6189F00A" w14:textId="77777777" w:rsidR="003602E0" w:rsidRPr="00BA333F" w:rsidRDefault="003602E0" w:rsidP="006A74E0">
            <w:pPr>
              <w:rPr>
                <w:rFonts w:cs="Arial"/>
                <w:b/>
              </w:rPr>
            </w:pPr>
            <w:r w:rsidRPr="00BA333F">
              <w:rPr>
                <w:rFonts w:cs="Arial"/>
                <w:b/>
              </w:rPr>
              <w:t>Market intelligence and local knowledge</w:t>
            </w:r>
          </w:p>
          <w:p w14:paraId="03CAAA25" w14:textId="77777777" w:rsidR="003602E0" w:rsidRPr="00BE2EE4" w:rsidRDefault="003602E0" w:rsidP="006A74E0">
            <w:pPr>
              <w:rPr>
                <w:rFonts w:cs="Arial"/>
              </w:rPr>
            </w:pPr>
            <w:r w:rsidRPr="00BE2EE4">
              <w:rPr>
                <w:rFonts w:cs="Arial"/>
              </w:rPr>
              <w:t xml:space="preserve">The delivery of the Services must take into account the current and future social and economic indicators including labour market intelligence </w:t>
            </w:r>
            <w:r>
              <w:rPr>
                <w:rFonts w:cs="Arial"/>
              </w:rPr>
              <w:t>and in particular the specific</w:t>
            </w:r>
            <w:r w:rsidRPr="00BE2EE4">
              <w:rPr>
                <w:rFonts w:cs="Arial"/>
              </w:rPr>
              <w:t xml:space="preserve"> factor</w:t>
            </w:r>
            <w:r>
              <w:rPr>
                <w:rFonts w:cs="Arial"/>
              </w:rPr>
              <w:t>s</w:t>
            </w:r>
            <w:r w:rsidRPr="00BE2EE4">
              <w:rPr>
                <w:rFonts w:cs="Arial"/>
              </w:rPr>
              <w:t xml:space="preserve"> affecting the area in which the Service is being delivered.</w:t>
            </w:r>
            <w:r w:rsidRPr="00BA333F">
              <w:rPr>
                <w:rFonts w:cs="Arial"/>
              </w:rPr>
              <w:t xml:space="preserve"> A comprehensive understanding of the current employment market and the c</w:t>
            </w:r>
            <w:r w:rsidRPr="00BE2EE4">
              <w:rPr>
                <w:rFonts w:cs="Arial"/>
              </w:rPr>
              <w:t>urrent and future social and economic indicators including labour market intelligence</w:t>
            </w:r>
            <w:r>
              <w:rPr>
                <w:rFonts w:cs="Arial"/>
              </w:rPr>
              <w:t>.</w:t>
            </w:r>
          </w:p>
          <w:p w14:paraId="10EE003F" w14:textId="77777777" w:rsidR="003602E0" w:rsidRPr="00BE2EE4" w:rsidRDefault="003602E0" w:rsidP="006A74E0">
            <w:pPr>
              <w:rPr>
                <w:rFonts w:cs="Arial"/>
              </w:rPr>
            </w:pPr>
          </w:p>
          <w:p w14:paraId="158C2A36" w14:textId="77777777" w:rsidR="003602E0" w:rsidRPr="00BA333F" w:rsidRDefault="003602E0" w:rsidP="006A74E0">
            <w:pPr>
              <w:pStyle w:val="letteredlist"/>
              <w:numPr>
                <w:ilvl w:val="0"/>
                <w:numId w:val="0"/>
              </w:numPr>
              <w:spacing w:after="0"/>
              <w:ind w:left="29"/>
              <w:rPr>
                <w:b/>
              </w:rPr>
            </w:pPr>
            <w:r w:rsidRPr="00BA333F">
              <w:rPr>
                <w:b/>
              </w:rPr>
              <w:t>Management information and reporting</w:t>
            </w:r>
          </w:p>
          <w:p w14:paraId="3D3C0B5F" w14:textId="77777777" w:rsidR="003602E0" w:rsidRPr="00BE2EE4" w:rsidRDefault="003602E0" w:rsidP="006A74E0">
            <w:pPr>
              <w:rPr>
                <w:rFonts w:cs="Arial"/>
              </w:rPr>
            </w:pPr>
            <w:r w:rsidRPr="00BA333F">
              <w:rPr>
                <w:rFonts w:cs="Arial"/>
              </w:rPr>
              <w:t xml:space="preserve">Candidates will develop management information systems to enable it to submit data to the Skills Funding Agency via the Individual Learner Record (ILR) and put in place robust arrangements for ensuring that the evidence required to support payments is collected and retained.  </w:t>
            </w:r>
          </w:p>
          <w:p w14:paraId="438D065D" w14:textId="77777777" w:rsidR="003602E0" w:rsidRPr="00BE2EE4" w:rsidRDefault="003602E0" w:rsidP="006A74E0">
            <w:pPr>
              <w:rPr>
                <w:rFonts w:cs="Arial"/>
              </w:rPr>
            </w:pPr>
          </w:p>
          <w:p w14:paraId="143A093C" w14:textId="77777777" w:rsidR="003602E0" w:rsidRPr="00BE2EE4" w:rsidRDefault="003602E0" w:rsidP="006A74E0">
            <w:pPr>
              <w:rPr>
                <w:rFonts w:cs="Arial"/>
              </w:rPr>
            </w:pPr>
            <w:r w:rsidRPr="00BE2EE4">
              <w:rPr>
                <w:rFonts w:cs="Arial"/>
              </w:rPr>
              <w:t xml:space="preserve">Candidates will be required to share with LAs, LEPs and the Skills Funding Agency ongoing performance management data as well as additional intelligence to improve the effectiveness of all NEET reduction and prevention activities including details of each young person supported and update them of the young person’s progress. </w:t>
            </w:r>
          </w:p>
          <w:p w14:paraId="11810869" w14:textId="77777777" w:rsidR="003602E0" w:rsidRPr="00BE2EE4" w:rsidRDefault="003602E0" w:rsidP="006A74E0">
            <w:pPr>
              <w:rPr>
                <w:rFonts w:cs="Arial"/>
              </w:rPr>
            </w:pPr>
          </w:p>
          <w:p w14:paraId="1E2C4DCF" w14:textId="77777777" w:rsidR="003602E0" w:rsidRPr="00BA333F" w:rsidRDefault="003602E0" w:rsidP="006A74E0">
            <w:pPr>
              <w:pStyle w:val="paragraph1"/>
              <w:textAlignment w:val="baseline"/>
              <w:rPr>
                <w:rFonts w:ascii="Arial" w:hAnsi="Arial" w:cs="Arial"/>
                <w:lang w:eastAsia="en-US"/>
              </w:rPr>
            </w:pPr>
            <w:r w:rsidRPr="00BA333F">
              <w:rPr>
                <w:rFonts w:ascii="Arial" w:hAnsi="Arial" w:cs="Arial"/>
                <w:lang w:eastAsia="en-US"/>
              </w:rPr>
              <w:t>Candidates will be required to share delivery/outcomes to ensure full coverage</w:t>
            </w:r>
            <w:r w:rsidRPr="00BA333F">
              <w:rPr>
                <w:lang w:eastAsia="en-US"/>
              </w:rPr>
              <w:t>. </w:t>
            </w:r>
          </w:p>
          <w:p w14:paraId="24B1B161" w14:textId="77777777" w:rsidR="003602E0" w:rsidRPr="00BA333F" w:rsidRDefault="003602E0" w:rsidP="006A74E0">
            <w:pPr>
              <w:autoSpaceDE w:val="0"/>
              <w:autoSpaceDN w:val="0"/>
              <w:adjustRightInd w:val="0"/>
              <w:rPr>
                <w:rFonts w:cs="Arial"/>
              </w:rPr>
            </w:pPr>
          </w:p>
          <w:p w14:paraId="4FEE8C09" w14:textId="77777777" w:rsidR="003602E0" w:rsidRPr="00BA333F" w:rsidRDefault="003602E0" w:rsidP="006A74E0">
            <w:pPr>
              <w:autoSpaceDE w:val="0"/>
              <w:autoSpaceDN w:val="0"/>
              <w:adjustRightInd w:val="0"/>
              <w:rPr>
                <w:rFonts w:cs="Arial"/>
              </w:rPr>
            </w:pPr>
          </w:p>
          <w:p w14:paraId="0D7F1F26" w14:textId="77777777" w:rsidR="003602E0" w:rsidRPr="00BA333F" w:rsidRDefault="003602E0" w:rsidP="006A74E0">
            <w:pPr>
              <w:autoSpaceDE w:val="0"/>
              <w:autoSpaceDN w:val="0"/>
              <w:adjustRightInd w:val="0"/>
              <w:rPr>
                <w:rFonts w:cs="Arial"/>
              </w:rPr>
            </w:pPr>
          </w:p>
          <w:p w14:paraId="60DA9B2B" w14:textId="77777777" w:rsidR="003602E0" w:rsidRPr="00BA333F" w:rsidRDefault="003602E0" w:rsidP="006A74E0">
            <w:pPr>
              <w:autoSpaceDE w:val="0"/>
              <w:autoSpaceDN w:val="0"/>
              <w:adjustRightInd w:val="0"/>
              <w:rPr>
                <w:rFonts w:cs="Arial"/>
                <w:b/>
              </w:rPr>
            </w:pPr>
            <w:r w:rsidRPr="00BA333F">
              <w:rPr>
                <w:rFonts w:cs="Arial"/>
                <w:b/>
              </w:rPr>
              <w:t xml:space="preserve">LEP Specific </w:t>
            </w:r>
          </w:p>
          <w:p w14:paraId="3D7F9A76" w14:textId="77777777" w:rsidR="003602E0" w:rsidRPr="00BA333F" w:rsidRDefault="003602E0" w:rsidP="006A74E0">
            <w:pPr>
              <w:autoSpaceDE w:val="0"/>
              <w:autoSpaceDN w:val="0"/>
              <w:adjustRightInd w:val="0"/>
              <w:rPr>
                <w:rFonts w:cs="Arial"/>
              </w:rPr>
            </w:pPr>
          </w:p>
          <w:p w14:paraId="6355728A" w14:textId="77777777" w:rsidR="003602E0" w:rsidRPr="00BA333F" w:rsidRDefault="003602E0" w:rsidP="006A74E0">
            <w:pPr>
              <w:autoSpaceDE w:val="0"/>
              <w:autoSpaceDN w:val="0"/>
              <w:adjustRightInd w:val="0"/>
              <w:rPr>
                <w:rFonts w:cs="Arial"/>
              </w:rPr>
            </w:pPr>
            <w:r w:rsidRPr="00BA333F">
              <w:rPr>
                <w:rFonts w:cs="Arial"/>
              </w:rPr>
              <w:lastRenderedPageBreak/>
              <w:t xml:space="preserve">The aim of the Services is to support those aged 16 to 24 into employment or further training/learning through local and targeted programmes of engagement, confidence building, high quality Information Advice and Guidance (IAG), skills development and work experience.  </w:t>
            </w:r>
          </w:p>
          <w:p w14:paraId="6017F185" w14:textId="77777777" w:rsidR="003602E0" w:rsidRPr="00BA333F" w:rsidRDefault="003602E0" w:rsidP="006A74E0">
            <w:pPr>
              <w:autoSpaceDE w:val="0"/>
              <w:autoSpaceDN w:val="0"/>
              <w:adjustRightInd w:val="0"/>
              <w:rPr>
                <w:rFonts w:cs="Arial"/>
              </w:rPr>
            </w:pPr>
          </w:p>
          <w:p w14:paraId="11996FE8" w14:textId="77777777" w:rsidR="003602E0" w:rsidRPr="00BA333F" w:rsidRDefault="003602E0" w:rsidP="006A74E0">
            <w:pPr>
              <w:autoSpaceDE w:val="0"/>
              <w:autoSpaceDN w:val="0"/>
              <w:adjustRightInd w:val="0"/>
              <w:rPr>
                <w:rFonts w:cs="Arial"/>
              </w:rPr>
            </w:pPr>
            <w:r w:rsidRPr="00BA333F">
              <w:rPr>
                <w:rFonts w:cs="Arial"/>
              </w:rPr>
              <w:t xml:space="preserve">The Services must be centred on the needs of the individual and take a holistic approach to address the often complex problems or barriers that young people face.  </w:t>
            </w:r>
          </w:p>
          <w:p w14:paraId="4666E309" w14:textId="77777777" w:rsidR="003602E0" w:rsidRPr="00BA333F" w:rsidRDefault="003602E0" w:rsidP="006A74E0">
            <w:pPr>
              <w:autoSpaceDE w:val="0"/>
              <w:autoSpaceDN w:val="0"/>
              <w:adjustRightInd w:val="0"/>
              <w:rPr>
                <w:rFonts w:cs="Arial"/>
              </w:rPr>
            </w:pPr>
          </w:p>
          <w:p w14:paraId="74209C3E" w14:textId="77777777" w:rsidR="003602E0" w:rsidRPr="00BA333F" w:rsidRDefault="003602E0" w:rsidP="006A74E0">
            <w:pPr>
              <w:autoSpaceDE w:val="0"/>
              <w:autoSpaceDN w:val="0"/>
              <w:adjustRightInd w:val="0"/>
              <w:rPr>
                <w:rFonts w:cs="Arial"/>
              </w:rPr>
            </w:pPr>
            <w:r w:rsidRPr="00BA333F">
              <w:rPr>
                <w:rFonts w:cs="Arial"/>
              </w:rPr>
              <w:t xml:space="preserve">The Services should aim to increase commitment and motivation to achieve and focus on supporting many to attain to Level 2 including English and mathematics – the key threshold qualification level to employment.  </w:t>
            </w:r>
          </w:p>
          <w:p w14:paraId="2216FDC5" w14:textId="77777777" w:rsidR="003602E0" w:rsidRPr="00BA333F" w:rsidRDefault="003602E0" w:rsidP="006A74E0">
            <w:pPr>
              <w:autoSpaceDE w:val="0"/>
              <w:autoSpaceDN w:val="0"/>
              <w:adjustRightInd w:val="0"/>
              <w:rPr>
                <w:rFonts w:cs="Arial"/>
              </w:rPr>
            </w:pPr>
          </w:p>
          <w:p w14:paraId="67124329" w14:textId="77777777" w:rsidR="003602E0" w:rsidRDefault="003602E0" w:rsidP="006A74E0">
            <w:pPr>
              <w:autoSpaceDE w:val="0"/>
              <w:autoSpaceDN w:val="0"/>
              <w:adjustRightInd w:val="0"/>
              <w:rPr>
                <w:rFonts w:cs="Arial"/>
              </w:rPr>
            </w:pPr>
            <w:r w:rsidRPr="00BA333F">
              <w:rPr>
                <w:rFonts w:cs="Arial"/>
              </w:rPr>
              <w:t xml:space="preserve">The Services must be delivered to those most in need of support and at highest risk of long term unemployment.  </w:t>
            </w:r>
            <w:r w:rsidRPr="00CE4EFA">
              <w:rPr>
                <w:rFonts w:cs="Arial"/>
              </w:rPr>
              <w:t xml:space="preserve"> </w:t>
            </w:r>
          </w:p>
          <w:p w14:paraId="42A75882" w14:textId="77777777" w:rsidR="003602E0" w:rsidRDefault="003602E0" w:rsidP="006A74E0">
            <w:pPr>
              <w:autoSpaceDE w:val="0"/>
              <w:autoSpaceDN w:val="0"/>
              <w:adjustRightInd w:val="0"/>
              <w:rPr>
                <w:rFonts w:cs="Arial"/>
              </w:rPr>
            </w:pPr>
          </w:p>
          <w:p w14:paraId="28FB3A2F" w14:textId="77777777" w:rsidR="003602E0" w:rsidRDefault="003602E0" w:rsidP="006A74E0">
            <w:pPr>
              <w:autoSpaceDE w:val="0"/>
              <w:autoSpaceDN w:val="0"/>
              <w:adjustRightInd w:val="0"/>
              <w:rPr>
                <w:rFonts w:cs="Arial"/>
              </w:rPr>
            </w:pPr>
            <w:r>
              <w:rPr>
                <w:rFonts w:cs="Arial"/>
              </w:rPr>
              <w:t xml:space="preserve">The objectives of the Services are:  </w:t>
            </w:r>
          </w:p>
          <w:p w14:paraId="48F3F770" w14:textId="77777777" w:rsidR="003602E0" w:rsidRPr="00CE4EFA" w:rsidRDefault="003602E0" w:rsidP="006A74E0">
            <w:pPr>
              <w:autoSpaceDE w:val="0"/>
              <w:autoSpaceDN w:val="0"/>
              <w:adjustRightInd w:val="0"/>
              <w:rPr>
                <w:rFonts w:cs="Arial"/>
              </w:rPr>
            </w:pPr>
          </w:p>
          <w:p w14:paraId="52685FC6" w14:textId="77777777" w:rsidR="003602E0" w:rsidRPr="00BA333F" w:rsidRDefault="003602E0" w:rsidP="003602E0">
            <w:pPr>
              <w:pStyle w:val="ListParagraph"/>
              <w:numPr>
                <w:ilvl w:val="0"/>
                <w:numId w:val="7"/>
              </w:numPr>
              <w:ind w:right="-82"/>
              <w:rPr>
                <w:rFonts w:cs="Arial"/>
              </w:rPr>
            </w:pPr>
            <w:r w:rsidRPr="00BA333F">
              <w:rPr>
                <w:rFonts w:cs="Arial"/>
              </w:rPr>
              <w:t xml:space="preserve">To contribute to the reduction of the proportion of people with no recognised qualifications (currently 13.7% in Leicester City and 8.8% in Leicestershire County).  </w:t>
            </w:r>
          </w:p>
          <w:p w14:paraId="092F11D7" w14:textId="77777777" w:rsidR="003602E0" w:rsidRPr="00BA333F" w:rsidRDefault="003602E0" w:rsidP="003602E0">
            <w:pPr>
              <w:pStyle w:val="ListParagraph"/>
              <w:numPr>
                <w:ilvl w:val="0"/>
                <w:numId w:val="7"/>
              </w:numPr>
              <w:ind w:right="-82"/>
              <w:rPr>
                <w:rFonts w:cs="Arial"/>
              </w:rPr>
            </w:pPr>
            <w:r w:rsidRPr="00BA333F">
              <w:rPr>
                <w:rFonts w:cs="Arial"/>
              </w:rPr>
              <w:t>To contribute to the  reduction of youth unemployment by 50% (currently 2.8% in Leicester City – 1,325 JSA claimants and 1.4% in Leicestershire County – 875 claimants)</w:t>
            </w:r>
          </w:p>
          <w:p w14:paraId="6DCC0F96" w14:textId="77777777" w:rsidR="003602E0" w:rsidRPr="00BA333F" w:rsidRDefault="003602E0" w:rsidP="003602E0">
            <w:pPr>
              <w:pStyle w:val="ListParagraph"/>
              <w:numPr>
                <w:ilvl w:val="0"/>
                <w:numId w:val="7"/>
              </w:numPr>
              <w:ind w:right="-82"/>
              <w:rPr>
                <w:rFonts w:cs="Arial"/>
              </w:rPr>
            </w:pPr>
            <w:r w:rsidRPr="00BA333F">
              <w:rPr>
                <w:rFonts w:cs="Arial"/>
              </w:rPr>
              <w:t>To reduce NEET for year 12-14 by 50% (Dec 14 figures show NEET at 6.3% in Leicester City – 771 young people and 3.1% in Leicestershire County – 653 young people)</w:t>
            </w:r>
          </w:p>
          <w:p w14:paraId="487EED52" w14:textId="77777777" w:rsidR="003602E0" w:rsidRPr="00BA333F" w:rsidRDefault="003602E0" w:rsidP="003602E0">
            <w:pPr>
              <w:pStyle w:val="ListParagraph"/>
              <w:numPr>
                <w:ilvl w:val="0"/>
                <w:numId w:val="7"/>
              </w:numPr>
              <w:ind w:right="-82"/>
              <w:rPr>
                <w:rFonts w:cs="Arial"/>
              </w:rPr>
            </w:pPr>
            <w:r w:rsidRPr="00BA333F">
              <w:rPr>
                <w:rFonts w:cs="Arial"/>
              </w:rPr>
              <w:t>To secure better outcomes for those in the target groups specified in section 4.5, which feature strongly in the NEET statistics (e.g. in Leicester City 75% of teenage mothers are NEET, 14% of LDD, 47.6% of those supervised by Youth Offending Team and 28.9% of looked after children).</w:t>
            </w:r>
          </w:p>
          <w:p w14:paraId="48633822" w14:textId="77777777" w:rsidR="003602E0" w:rsidRPr="00BA333F" w:rsidRDefault="003602E0" w:rsidP="006A74E0">
            <w:pPr>
              <w:pStyle w:val="BodyText"/>
              <w:tabs>
                <w:tab w:val="left" w:pos="360"/>
              </w:tabs>
              <w:rPr>
                <w:rFonts w:ascii="Arial" w:hAnsi="Arial" w:cs="Arial"/>
                <w:lang w:eastAsia="en-US"/>
              </w:rPr>
            </w:pPr>
          </w:p>
          <w:p w14:paraId="216D45EC" w14:textId="77777777" w:rsidR="003602E0" w:rsidRPr="00BA333F" w:rsidRDefault="003602E0" w:rsidP="006A74E0">
            <w:pPr>
              <w:pStyle w:val="BodyText"/>
              <w:tabs>
                <w:tab w:val="left" w:pos="360"/>
              </w:tabs>
              <w:spacing w:after="0"/>
              <w:rPr>
                <w:rFonts w:ascii="Arial" w:hAnsi="Arial" w:cs="Arial"/>
                <w:lang w:eastAsia="en-US"/>
              </w:rPr>
            </w:pPr>
            <w:r w:rsidRPr="00BA333F">
              <w:rPr>
                <w:rFonts w:ascii="Arial" w:hAnsi="Arial" w:cs="Arial"/>
                <w:lang w:eastAsia="en-US"/>
              </w:rPr>
              <w:t xml:space="preserve">The Services should be delivered working with other training / employment agencies and the voluntary and community sector where applicable to ensure continued cross referrals and joint-planning.  </w:t>
            </w:r>
          </w:p>
          <w:p w14:paraId="782032D7" w14:textId="77777777" w:rsidR="003602E0" w:rsidRPr="00BA333F" w:rsidRDefault="003602E0" w:rsidP="006A74E0">
            <w:pPr>
              <w:pStyle w:val="BodyText"/>
              <w:tabs>
                <w:tab w:val="left" w:pos="360"/>
              </w:tabs>
              <w:spacing w:after="0"/>
              <w:rPr>
                <w:rFonts w:ascii="Arial" w:hAnsi="Arial" w:cs="Arial"/>
                <w:lang w:eastAsia="en-US"/>
              </w:rPr>
            </w:pPr>
          </w:p>
          <w:p w14:paraId="064B6695" w14:textId="77777777" w:rsidR="003602E0" w:rsidRDefault="003602E0" w:rsidP="006A74E0">
            <w:pPr>
              <w:pStyle w:val="BodyText"/>
              <w:tabs>
                <w:tab w:val="left" w:pos="360"/>
              </w:tabs>
              <w:spacing w:after="0"/>
              <w:rPr>
                <w:rFonts w:ascii="Arial" w:hAnsi="Arial" w:cs="Arial"/>
                <w:lang w:eastAsia="en-US"/>
              </w:rPr>
            </w:pPr>
            <w:r w:rsidRPr="00BA333F">
              <w:rPr>
                <w:rFonts w:ascii="Arial" w:hAnsi="Arial" w:cs="Arial"/>
                <w:lang w:eastAsia="en-US"/>
              </w:rPr>
              <w:t>The Services should build on current mainstream provision, delivering more intense support to those that need it most and who might not have bee</w:t>
            </w:r>
            <w:r w:rsidRPr="00CE4EFA">
              <w:rPr>
                <w:rFonts w:ascii="Arial" w:hAnsi="Arial" w:cs="Arial"/>
                <w:lang w:eastAsia="en-US"/>
              </w:rPr>
              <w:t xml:space="preserve">n successfully supported by mainstream </w:t>
            </w:r>
            <w:r w:rsidRPr="00BA333F">
              <w:rPr>
                <w:rFonts w:ascii="Arial" w:hAnsi="Arial" w:cs="Arial"/>
                <w:lang w:eastAsia="en-US"/>
              </w:rPr>
              <w:t>provision</w:t>
            </w:r>
            <w:r w:rsidRPr="00CE4EFA">
              <w:rPr>
                <w:rFonts w:ascii="Arial" w:hAnsi="Arial" w:cs="Arial"/>
                <w:lang w:eastAsia="en-US"/>
              </w:rPr>
              <w:t xml:space="preserve"> to date</w:t>
            </w:r>
            <w:r>
              <w:rPr>
                <w:rFonts w:ascii="Arial" w:hAnsi="Arial" w:cs="Arial"/>
                <w:lang w:eastAsia="en-US"/>
              </w:rPr>
              <w:t xml:space="preserve"> and </w:t>
            </w:r>
            <w:r w:rsidRPr="00BA333F">
              <w:rPr>
                <w:rFonts w:ascii="Arial" w:hAnsi="Arial" w:cs="Arial"/>
                <w:lang w:eastAsia="en-US"/>
              </w:rPr>
              <w:t xml:space="preserve">is additional to the proposed Employment Gateway service (also an SFA opt-in) and the National Careers Service offer. </w:t>
            </w:r>
          </w:p>
          <w:p w14:paraId="15AB1B01" w14:textId="77777777" w:rsidR="003602E0" w:rsidRPr="00BA333F" w:rsidRDefault="003602E0" w:rsidP="006A74E0">
            <w:pPr>
              <w:pStyle w:val="BodyText"/>
              <w:tabs>
                <w:tab w:val="left" w:pos="360"/>
              </w:tabs>
              <w:spacing w:after="0"/>
              <w:rPr>
                <w:rFonts w:ascii="Arial" w:hAnsi="Arial" w:cs="Arial"/>
                <w:lang w:eastAsia="en-US"/>
              </w:rPr>
            </w:pPr>
          </w:p>
          <w:p w14:paraId="6037A3AB" w14:textId="77777777" w:rsidR="003602E0" w:rsidRPr="00BA333F" w:rsidRDefault="003602E0" w:rsidP="006A74E0">
            <w:pPr>
              <w:pStyle w:val="BodyText"/>
              <w:tabs>
                <w:tab w:val="left" w:pos="360"/>
              </w:tabs>
              <w:rPr>
                <w:rFonts w:ascii="Arial" w:hAnsi="Arial" w:cs="Arial"/>
                <w:lang w:eastAsia="en-US"/>
              </w:rPr>
            </w:pPr>
            <w:r w:rsidRPr="00BA333F">
              <w:rPr>
                <w:rFonts w:ascii="Arial" w:hAnsi="Arial" w:cs="Arial"/>
                <w:lang w:eastAsia="en-US"/>
              </w:rPr>
              <w:t>The Services should include:</w:t>
            </w:r>
          </w:p>
          <w:p w14:paraId="518EBAB3" w14:textId="77777777" w:rsidR="003602E0" w:rsidRPr="00BA333F" w:rsidRDefault="003602E0" w:rsidP="003602E0">
            <w:pPr>
              <w:pStyle w:val="ListParagraph"/>
              <w:numPr>
                <w:ilvl w:val="0"/>
                <w:numId w:val="7"/>
              </w:numPr>
              <w:ind w:right="-82"/>
              <w:rPr>
                <w:rFonts w:cs="Arial"/>
              </w:rPr>
            </w:pPr>
            <w:r w:rsidRPr="00BA333F">
              <w:rPr>
                <w:rFonts w:cs="Arial"/>
              </w:rPr>
              <w:t>Active community engagement and development of links to reach and support those that are most marginalised.</w:t>
            </w:r>
          </w:p>
          <w:p w14:paraId="6B9D4E39" w14:textId="77777777" w:rsidR="003602E0" w:rsidRPr="00BA333F" w:rsidRDefault="003602E0" w:rsidP="003602E0">
            <w:pPr>
              <w:pStyle w:val="ListParagraph"/>
              <w:numPr>
                <w:ilvl w:val="0"/>
                <w:numId w:val="7"/>
              </w:numPr>
              <w:ind w:right="-82"/>
              <w:rPr>
                <w:rFonts w:cs="Arial"/>
              </w:rPr>
            </w:pPr>
            <w:r w:rsidRPr="00BA333F">
              <w:rPr>
                <w:rFonts w:cs="Arial"/>
              </w:rPr>
              <w:t>Tracking of referrals, progression, outcomes and data sharing between partners.</w:t>
            </w:r>
          </w:p>
          <w:p w14:paraId="0CCEE1D0" w14:textId="77777777" w:rsidR="003602E0" w:rsidRPr="00BA333F" w:rsidRDefault="003602E0" w:rsidP="006A74E0">
            <w:pPr>
              <w:pStyle w:val="ListParagraph"/>
              <w:rPr>
                <w:rFonts w:cs="Arial"/>
              </w:rPr>
            </w:pPr>
          </w:p>
          <w:p w14:paraId="77B99AD6" w14:textId="77777777" w:rsidR="003602E0" w:rsidRPr="00BA333F" w:rsidRDefault="003602E0" w:rsidP="006A74E0">
            <w:pPr>
              <w:pStyle w:val="BodyText"/>
              <w:tabs>
                <w:tab w:val="left" w:pos="360"/>
              </w:tabs>
              <w:spacing w:after="0"/>
              <w:rPr>
                <w:rFonts w:ascii="Arial" w:hAnsi="Arial" w:cs="Arial"/>
                <w:lang w:eastAsia="en-US"/>
              </w:rPr>
            </w:pPr>
            <w:r w:rsidRPr="00BA333F">
              <w:rPr>
                <w:rFonts w:ascii="Arial" w:hAnsi="Arial" w:cs="Arial"/>
                <w:lang w:eastAsia="en-US"/>
              </w:rPr>
              <w:t xml:space="preserve">The Services should deliver sector based programmes to encourage those furthest from the labour market to consider key sectors in the local economy such as (but not limited to) manufacturing, logistics, construction and care – linking employers with young people receiving intense support.  This will include working with </w:t>
            </w:r>
            <w:r w:rsidRPr="00BA333F">
              <w:rPr>
                <w:rFonts w:ascii="Arial" w:hAnsi="Arial" w:cs="Arial"/>
                <w:lang w:eastAsia="en-US"/>
              </w:rPr>
              <w:lastRenderedPageBreak/>
              <w:t>employers to develop their capacity to work with some of the more vulnerable young people.</w:t>
            </w:r>
          </w:p>
          <w:p w14:paraId="2675FF60" w14:textId="77777777" w:rsidR="003602E0" w:rsidRPr="00BA333F" w:rsidRDefault="003602E0" w:rsidP="006A74E0">
            <w:pPr>
              <w:pStyle w:val="BodyText"/>
              <w:tabs>
                <w:tab w:val="left" w:pos="360"/>
              </w:tabs>
              <w:spacing w:after="0"/>
              <w:rPr>
                <w:rFonts w:ascii="Arial" w:hAnsi="Arial" w:cs="Arial"/>
                <w:lang w:eastAsia="en-US"/>
              </w:rPr>
            </w:pPr>
          </w:p>
          <w:p w14:paraId="17D2D4A1" w14:textId="77777777" w:rsidR="003602E0" w:rsidRPr="00BA333F" w:rsidRDefault="003602E0" w:rsidP="006A74E0">
            <w:pPr>
              <w:pStyle w:val="BodyText"/>
              <w:tabs>
                <w:tab w:val="left" w:pos="360"/>
              </w:tabs>
              <w:spacing w:after="0"/>
              <w:rPr>
                <w:rFonts w:ascii="Arial" w:hAnsi="Arial" w:cs="Arial"/>
                <w:lang w:eastAsia="en-US"/>
              </w:rPr>
            </w:pPr>
            <w:r w:rsidRPr="00BA333F">
              <w:rPr>
                <w:rFonts w:ascii="Arial" w:hAnsi="Arial" w:cs="Arial"/>
                <w:lang w:eastAsia="en-US"/>
              </w:rPr>
              <w:t xml:space="preserve">The Services will be available to non-benefit claimants that face complex barriers to labour market entry.  </w:t>
            </w:r>
          </w:p>
          <w:p w14:paraId="0E33D44C" w14:textId="77777777" w:rsidR="003602E0" w:rsidRPr="00BA333F" w:rsidRDefault="003602E0" w:rsidP="006A74E0">
            <w:pPr>
              <w:pStyle w:val="BodyText"/>
              <w:tabs>
                <w:tab w:val="left" w:pos="360"/>
              </w:tabs>
              <w:spacing w:after="0"/>
              <w:rPr>
                <w:rFonts w:ascii="Arial" w:hAnsi="Arial" w:cs="Arial"/>
                <w:lang w:eastAsia="en-US"/>
              </w:rPr>
            </w:pPr>
          </w:p>
          <w:p w14:paraId="756416BD" w14:textId="77777777" w:rsidR="003602E0" w:rsidRPr="00BA333F" w:rsidRDefault="003602E0" w:rsidP="006A74E0">
            <w:pPr>
              <w:rPr>
                <w:rFonts w:cs="Arial"/>
                <w:b/>
              </w:rPr>
            </w:pPr>
            <w:r w:rsidRPr="00BA333F">
              <w:rPr>
                <w:rFonts w:cs="Arial"/>
                <w:b/>
              </w:rPr>
              <w:t>Detailed Services requirements</w:t>
            </w:r>
          </w:p>
          <w:p w14:paraId="1BC9342B" w14:textId="77777777" w:rsidR="003602E0" w:rsidRPr="00BA333F" w:rsidRDefault="003602E0" w:rsidP="006A74E0">
            <w:pPr>
              <w:rPr>
                <w:rFonts w:cs="Arial"/>
              </w:rPr>
            </w:pPr>
          </w:p>
          <w:p w14:paraId="10E3117E" w14:textId="77777777" w:rsidR="003602E0" w:rsidRPr="00BA333F" w:rsidRDefault="003602E0" w:rsidP="006A74E0">
            <w:pPr>
              <w:pStyle w:val="BodyText"/>
              <w:tabs>
                <w:tab w:val="left" w:pos="360"/>
              </w:tabs>
              <w:spacing w:after="0"/>
              <w:rPr>
                <w:rFonts w:ascii="Arial" w:hAnsi="Arial" w:cs="Arial"/>
                <w:lang w:eastAsia="en-US"/>
              </w:rPr>
            </w:pPr>
            <w:r w:rsidRPr="00BA333F">
              <w:rPr>
                <w:rFonts w:ascii="Arial" w:hAnsi="Arial" w:cs="Arial"/>
                <w:lang w:eastAsia="en-US"/>
              </w:rPr>
              <w:t>There must be a referral mechanism that will successfully engage with the target group and roll on roll off flexibility of recruitment.</w:t>
            </w:r>
          </w:p>
          <w:p w14:paraId="7222C744" w14:textId="77777777" w:rsidR="003602E0" w:rsidRPr="00BA333F" w:rsidRDefault="003602E0" w:rsidP="006A74E0">
            <w:pPr>
              <w:autoSpaceDE w:val="0"/>
              <w:autoSpaceDN w:val="0"/>
              <w:adjustRightInd w:val="0"/>
              <w:ind w:left="-47"/>
              <w:rPr>
                <w:rFonts w:cs="Arial"/>
              </w:rPr>
            </w:pPr>
          </w:p>
          <w:p w14:paraId="3B437A42" w14:textId="77777777" w:rsidR="003602E0" w:rsidRPr="00BA333F" w:rsidRDefault="003602E0" w:rsidP="006A74E0">
            <w:pPr>
              <w:pStyle w:val="BodyText"/>
              <w:tabs>
                <w:tab w:val="left" w:pos="360"/>
              </w:tabs>
              <w:spacing w:after="0"/>
              <w:rPr>
                <w:rFonts w:ascii="Arial" w:hAnsi="Arial" w:cs="Arial"/>
                <w:lang w:eastAsia="en-US"/>
              </w:rPr>
            </w:pPr>
            <w:r w:rsidRPr="00BA333F">
              <w:rPr>
                <w:rFonts w:ascii="Arial" w:hAnsi="Arial" w:cs="Arial"/>
                <w:lang w:eastAsia="en-US"/>
              </w:rPr>
              <w:t xml:space="preserve">The Services must provide an innovative induction programme to gain early engagement with young people.  </w:t>
            </w:r>
          </w:p>
          <w:p w14:paraId="26B607E0" w14:textId="77777777" w:rsidR="003602E0" w:rsidRDefault="003602E0" w:rsidP="006A74E0">
            <w:pPr>
              <w:autoSpaceDE w:val="0"/>
              <w:autoSpaceDN w:val="0"/>
              <w:adjustRightInd w:val="0"/>
              <w:ind w:left="-47"/>
              <w:rPr>
                <w:rFonts w:cs="Arial"/>
              </w:rPr>
            </w:pPr>
          </w:p>
          <w:p w14:paraId="3058E44F" w14:textId="77777777" w:rsidR="003602E0" w:rsidRDefault="003602E0" w:rsidP="006A74E0">
            <w:pPr>
              <w:autoSpaceDE w:val="0"/>
              <w:autoSpaceDN w:val="0"/>
              <w:adjustRightInd w:val="0"/>
              <w:jc w:val="both"/>
              <w:rPr>
                <w:rFonts w:cs="Arial"/>
              </w:rPr>
            </w:pPr>
            <w:r>
              <w:rPr>
                <w:rFonts w:cs="Arial"/>
              </w:rPr>
              <w:t>The Services must include a</w:t>
            </w:r>
            <w:r w:rsidRPr="00902469">
              <w:rPr>
                <w:rFonts w:cs="Arial"/>
              </w:rPr>
              <w:t xml:space="preserve">n initial </w:t>
            </w:r>
            <w:r>
              <w:rPr>
                <w:rFonts w:cs="Arial"/>
              </w:rPr>
              <w:t xml:space="preserve">diagnostic </w:t>
            </w:r>
            <w:r w:rsidRPr="00902469">
              <w:rPr>
                <w:rFonts w:cs="Arial"/>
              </w:rPr>
              <w:t>assessment and needs analysis for all individuals undertaking learning programmes</w:t>
            </w:r>
            <w:r>
              <w:rPr>
                <w:rFonts w:cs="Arial"/>
              </w:rPr>
              <w:t xml:space="preserve">. This will </w:t>
            </w:r>
            <w:r w:rsidRPr="00B705D2">
              <w:rPr>
                <w:rFonts w:cs="Arial"/>
              </w:rPr>
              <w:t>result in a</w:t>
            </w:r>
            <w:r>
              <w:rPr>
                <w:rFonts w:cs="Arial"/>
              </w:rPr>
              <w:t xml:space="preserve"> high quality</w:t>
            </w:r>
            <w:r w:rsidRPr="00B705D2">
              <w:rPr>
                <w:rFonts w:cs="Arial"/>
              </w:rPr>
              <w:t xml:space="preserve"> individualised learning and transition plans with progress reviews and exit interviews.</w:t>
            </w:r>
            <w:r w:rsidRPr="004200BE">
              <w:rPr>
                <w:rFonts w:cs="Arial"/>
              </w:rPr>
              <w:t xml:space="preserve"> </w:t>
            </w:r>
            <w:r>
              <w:rPr>
                <w:rFonts w:cs="Arial"/>
              </w:rPr>
              <w:t xml:space="preserve"> The d</w:t>
            </w:r>
            <w:r w:rsidRPr="004200BE">
              <w:rPr>
                <w:rFonts w:cs="Arial"/>
              </w:rPr>
              <w:t xml:space="preserve">elivery of personalised provision </w:t>
            </w:r>
            <w:r>
              <w:rPr>
                <w:rFonts w:cs="Arial"/>
              </w:rPr>
              <w:t xml:space="preserve">should </w:t>
            </w:r>
            <w:r w:rsidRPr="004200BE">
              <w:rPr>
                <w:rFonts w:cs="Arial"/>
              </w:rPr>
              <w:t>be flexible (in terms of content, times and location) through the involvement of young people in both the design and delivery of the programmes including training to provide peer support</w:t>
            </w:r>
            <w:r w:rsidRPr="004748E8">
              <w:rPr>
                <w:rFonts w:cs="Arial"/>
              </w:rPr>
              <w:t xml:space="preserve"> taking into account local conditions and requirements</w:t>
            </w:r>
            <w:r>
              <w:rPr>
                <w:rFonts w:cs="Arial"/>
              </w:rPr>
              <w:t>.</w:t>
            </w:r>
            <w:r w:rsidRPr="002523CB">
              <w:rPr>
                <w:rFonts w:cs="Arial"/>
              </w:rPr>
              <w:t xml:space="preserve"> </w:t>
            </w:r>
          </w:p>
          <w:p w14:paraId="5D3B6C8F" w14:textId="77777777" w:rsidR="003602E0" w:rsidRDefault="003602E0" w:rsidP="006A74E0">
            <w:pPr>
              <w:autoSpaceDE w:val="0"/>
              <w:autoSpaceDN w:val="0"/>
              <w:adjustRightInd w:val="0"/>
              <w:ind w:left="-47"/>
              <w:rPr>
                <w:rFonts w:cs="Arial"/>
              </w:rPr>
            </w:pPr>
          </w:p>
          <w:p w14:paraId="4BC09D30" w14:textId="77777777" w:rsidR="003602E0" w:rsidRPr="00BA333F" w:rsidDel="002F258B" w:rsidRDefault="003602E0" w:rsidP="006A74E0">
            <w:pPr>
              <w:autoSpaceDE w:val="0"/>
              <w:autoSpaceDN w:val="0"/>
              <w:adjustRightInd w:val="0"/>
              <w:rPr>
                <w:rFonts w:cs="Arial"/>
              </w:rPr>
            </w:pPr>
            <w:r w:rsidRPr="00403C50">
              <w:rPr>
                <w:rFonts w:cs="Arial"/>
              </w:rPr>
              <w:t>The Service</w:t>
            </w:r>
            <w:r>
              <w:rPr>
                <w:rFonts w:cs="Arial"/>
              </w:rPr>
              <w:t>s</w:t>
            </w:r>
            <w:r w:rsidRPr="00403C50">
              <w:rPr>
                <w:rFonts w:cs="Arial"/>
              </w:rPr>
              <w:t xml:space="preserve"> should provide tailored</w:t>
            </w:r>
            <w:r>
              <w:rPr>
                <w:rFonts w:cs="Arial"/>
              </w:rPr>
              <w:t xml:space="preserve"> IAG</w:t>
            </w:r>
            <w:r w:rsidRPr="00403C50">
              <w:rPr>
                <w:rFonts w:cs="Arial"/>
              </w:rPr>
              <w:t xml:space="preserve"> for each young person, with intensive personal guidance and help to develop their understanding of the post 16 opportunities available to them</w:t>
            </w:r>
            <w:r>
              <w:rPr>
                <w:rFonts w:cs="Arial"/>
              </w:rPr>
              <w:t xml:space="preserve">.  The Services must </w:t>
            </w:r>
            <w:r w:rsidRPr="00AD6F0A">
              <w:rPr>
                <w:rFonts w:cs="Arial"/>
              </w:rPr>
              <w:t>help young people gain a greater understanding of their own abilities, learning needs and the range of opportunities available su</w:t>
            </w:r>
            <w:r>
              <w:rPr>
                <w:rFonts w:cs="Arial"/>
              </w:rPr>
              <w:t>pported by the effective use of</w:t>
            </w:r>
            <w:r w:rsidRPr="00AD6F0A">
              <w:rPr>
                <w:rFonts w:cs="Arial"/>
              </w:rPr>
              <w:t xml:space="preserve"> intensive</w:t>
            </w:r>
            <w:r>
              <w:rPr>
                <w:rFonts w:cs="Arial"/>
              </w:rPr>
              <w:t>,</w:t>
            </w:r>
            <w:r w:rsidRPr="00AD6F0A">
              <w:rPr>
                <w:rFonts w:cs="Arial"/>
              </w:rPr>
              <w:t xml:space="preserve"> enhanced and impartial high quality IAG at all stages of the learner journey</w:t>
            </w:r>
            <w:r>
              <w:rPr>
                <w:rFonts w:cs="Arial"/>
              </w:rPr>
              <w:t>.</w:t>
            </w:r>
          </w:p>
          <w:p w14:paraId="375B2237" w14:textId="77777777" w:rsidR="003602E0" w:rsidRDefault="003602E0" w:rsidP="006A74E0">
            <w:pPr>
              <w:autoSpaceDE w:val="0"/>
              <w:autoSpaceDN w:val="0"/>
              <w:adjustRightInd w:val="0"/>
              <w:ind w:left="-47"/>
              <w:rPr>
                <w:rFonts w:cs="Arial"/>
              </w:rPr>
            </w:pPr>
          </w:p>
          <w:p w14:paraId="3E3C6169" w14:textId="77777777" w:rsidR="003602E0" w:rsidRDefault="003602E0" w:rsidP="006A74E0">
            <w:pPr>
              <w:autoSpaceDE w:val="0"/>
              <w:autoSpaceDN w:val="0"/>
              <w:adjustRightInd w:val="0"/>
              <w:rPr>
                <w:rFonts w:cs="Arial"/>
              </w:rPr>
            </w:pPr>
            <w:r>
              <w:rPr>
                <w:rFonts w:cs="Arial"/>
              </w:rPr>
              <w:t>The Services must provide i</w:t>
            </w:r>
            <w:r w:rsidRPr="00B705D2">
              <w:rPr>
                <w:rFonts w:cs="Arial"/>
              </w:rPr>
              <w:t>ndividual and continuous mentor/key worker support</w:t>
            </w:r>
            <w:r>
              <w:rPr>
                <w:rFonts w:cs="Arial"/>
              </w:rPr>
              <w:t xml:space="preserve"> to encourage continued engagement with the Services.  The mentor/key worker will be expected to engage with a young person’s parent or carer as appropriate to foster positive outcomes</w:t>
            </w:r>
            <w:r w:rsidRPr="00B705D2">
              <w:rPr>
                <w:rFonts w:cs="Arial"/>
              </w:rPr>
              <w:t>.</w:t>
            </w:r>
            <w:r>
              <w:rPr>
                <w:rFonts w:cs="Arial"/>
              </w:rPr>
              <w:t xml:space="preserve">  </w:t>
            </w:r>
          </w:p>
          <w:p w14:paraId="2D71D349" w14:textId="77777777" w:rsidR="003602E0" w:rsidRDefault="003602E0" w:rsidP="006A74E0">
            <w:pPr>
              <w:autoSpaceDE w:val="0"/>
              <w:autoSpaceDN w:val="0"/>
              <w:adjustRightInd w:val="0"/>
              <w:ind w:left="-47"/>
              <w:rPr>
                <w:rFonts w:cs="Arial"/>
              </w:rPr>
            </w:pPr>
          </w:p>
          <w:p w14:paraId="02C35EB5" w14:textId="77777777" w:rsidR="003602E0" w:rsidRPr="00BA333F" w:rsidRDefault="003602E0" w:rsidP="006A74E0">
            <w:pPr>
              <w:autoSpaceDE w:val="0"/>
              <w:autoSpaceDN w:val="0"/>
              <w:adjustRightInd w:val="0"/>
              <w:rPr>
                <w:rFonts w:cs="Arial"/>
              </w:rPr>
            </w:pPr>
            <w:r>
              <w:rPr>
                <w:rFonts w:cs="Arial"/>
              </w:rPr>
              <w:t>The Services should provide a</w:t>
            </w:r>
            <w:r w:rsidRPr="00BA333F">
              <w:rPr>
                <w:rFonts w:cs="Arial"/>
              </w:rPr>
              <w:t xml:space="preserve"> combination of personal progression planning into employment or employment with training or learning, mentoring, coaching, counselling and on-going one to ones and include personal and social development support including </w:t>
            </w:r>
            <w:r>
              <w:rPr>
                <w:rFonts w:cs="Arial"/>
              </w:rPr>
              <w:t>post-</w:t>
            </w:r>
            <w:r w:rsidRPr="00BA333F">
              <w:rPr>
                <w:rFonts w:cs="Arial"/>
              </w:rPr>
              <w:t xml:space="preserve">training and employment entry support. The Services should include activities aimed at developing confidence. </w:t>
            </w:r>
          </w:p>
          <w:p w14:paraId="1C14E84C" w14:textId="77777777" w:rsidR="003602E0" w:rsidRPr="00BA333F" w:rsidRDefault="003602E0" w:rsidP="006A74E0">
            <w:pPr>
              <w:autoSpaceDE w:val="0"/>
              <w:autoSpaceDN w:val="0"/>
              <w:adjustRightInd w:val="0"/>
              <w:ind w:left="-47"/>
              <w:rPr>
                <w:rFonts w:cs="Arial"/>
              </w:rPr>
            </w:pPr>
          </w:p>
          <w:p w14:paraId="69207B55" w14:textId="77777777" w:rsidR="003602E0" w:rsidRPr="00BA333F" w:rsidRDefault="003602E0" w:rsidP="006A74E0">
            <w:pPr>
              <w:autoSpaceDE w:val="0"/>
              <w:autoSpaceDN w:val="0"/>
              <w:adjustRightInd w:val="0"/>
              <w:rPr>
                <w:rFonts w:cs="Arial"/>
              </w:rPr>
            </w:pPr>
            <w:r w:rsidRPr="00BA333F">
              <w:rPr>
                <w:rFonts w:cs="Arial"/>
              </w:rPr>
              <w:t xml:space="preserve">The Services should include innovative delivery methods which should include outreach or residential opportunities if appropriate to meet a young person’s assessed needs. </w:t>
            </w:r>
          </w:p>
          <w:p w14:paraId="1E2866EA" w14:textId="77777777" w:rsidR="003602E0" w:rsidRPr="00BA333F" w:rsidRDefault="003602E0" w:rsidP="006A74E0">
            <w:pPr>
              <w:autoSpaceDE w:val="0"/>
              <w:autoSpaceDN w:val="0"/>
              <w:adjustRightInd w:val="0"/>
              <w:ind w:left="-47"/>
              <w:rPr>
                <w:rFonts w:cs="Arial"/>
              </w:rPr>
            </w:pPr>
          </w:p>
          <w:p w14:paraId="0F00DC3A" w14:textId="77777777" w:rsidR="003602E0" w:rsidRPr="00BA333F" w:rsidRDefault="003602E0" w:rsidP="006A74E0">
            <w:pPr>
              <w:autoSpaceDE w:val="0"/>
              <w:autoSpaceDN w:val="0"/>
              <w:adjustRightInd w:val="0"/>
              <w:rPr>
                <w:rFonts w:cs="Arial"/>
              </w:rPr>
            </w:pPr>
            <w:r w:rsidRPr="00BA333F">
              <w:rPr>
                <w:rFonts w:cs="Arial"/>
              </w:rPr>
              <w:t xml:space="preserve">The Services should include pre-employment training to enable young people to understand employer’s requirements such as attendance, attitude, motivation, language and behaviour management and skills such as interview preparation. </w:t>
            </w:r>
          </w:p>
          <w:p w14:paraId="2F0D5FE8" w14:textId="77777777" w:rsidR="003602E0" w:rsidRPr="00BA333F" w:rsidRDefault="003602E0" w:rsidP="006A74E0">
            <w:pPr>
              <w:autoSpaceDE w:val="0"/>
              <w:autoSpaceDN w:val="0"/>
              <w:adjustRightInd w:val="0"/>
              <w:ind w:left="-47"/>
              <w:rPr>
                <w:rFonts w:cs="Arial"/>
              </w:rPr>
            </w:pPr>
          </w:p>
          <w:p w14:paraId="2F252205" w14:textId="77777777" w:rsidR="003602E0" w:rsidRDefault="003602E0" w:rsidP="006A74E0">
            <w:pPr>
              <w:autoSpaceDE w:val="0"/>
              <w:autoSpaceDN w:val="0"/>
              <w:adjustRightInd w:val="0"/>
              <w:rPr>
                <w:rFonts w:cs="Arial"/>
              </w:rPr>
            </w:pPr>
            <w:r w:rsidRPr="00BA333F">
              <w:rPr>
                <w:rFonts w:cs="Arial"/>
              </w:rPr>
              <w:t xml:space="preserve">Individual programmes should develop and demonstrate young people’s employability skills through a range of structured opportunities such as enterprise, </w:t>
            </w:r>
            <w:r w:rsidRPr="00BA333F">
              <w:rPr>
                <w:rFonts w:cs="Arial"/>
              </w:rPr>
              <w:lastRenderedPageBreak/>
              <w:t xml:space="preserve">employer-based vocational training and tasters, employment trials, work pairing, work experience, internships and voluntary work in both public and private sectors or in the third sector and/or part-time, evening or weekend work.  </w:t>
            </w:r>
          </w:p>
          <w:p w14:paraId="3E96F262" w14:textId="77777777" w:rsidR="003602E0" w:rsidRPr="00B705D2" w:rsidRDefault="003602E0" w:rsidP="006A74E0">
            <w:pPr>
              <w:autoSpaceDE w:val="0"/>
              <w:autoSpaceDN w:val="0"/>
              <w:adjustRightInd w:val="0"/>
              <w:ind w:left="-47"/>
              <w:rPr>
                <w:rFonts w:cs="Arial"/>
              </w:rPr>
            </w:pPr>
          </w:p>
          <w:p w14:paraId="3FDD67E7" w14:textId="77777777" w:rsidR="003602E0" w:rsidRPr="00BA333F" w:rsidRDefault="003602E0" w:rsidP="006A74E0">
            <w:pPr>
              <w:autoSpaceDE w:val="0"/>
              <w:autoSpaceDN w:val="0"/>
              <w:adjustRightInd w:val="0"/>
              <w:rPr>
                <w:rFonts w:cs="Arial"/>
              </w:rPr>
            </w:pPr>
            <w:r w:rsidRPr="00BA333F">
              <w:rPr>
                <w:rFonts w:cs="Arial"/>
              </w:rPr>
              <w:t>The Services must deliver vocational training and qualifications linked to key employment sectors as determined by the LLEP throughout the contract lifetime and local opportunities in particular through apprenticeships or traineeships.</w:t>
            </w:r>
          </w:p>
          <w:p w14:paraId="2BE7DBA4" w14:textId="77777777" w:rsidR="003602E0" w:rsidRDefault="003602E0" w:rsidP="006A74E0">
            <w:pPr>
              <w:autoSpaceDE w:val="0"/>
              <w:autoSpaceDN w:val="0"/>
              <w:adjustRightInd w:val="0"/>
              <w:ind w:left="-47"/>
              <w:rPr>
                <w:rFonts w:cs="Arial"/>
              </w:rPr>
            </w:pPr>
          </w:p>
          <w:p w14:paraId="78E1EA6E" w14:textId="77777777" w:rsidR="003602E0" w:rsidRDefault="003602E0" w:rsidP="006A74E0">
            <w:pPr>
              <w:autoSpaceDE w:val="0"/>
              <w:autoSpaceDN w:val="0"/>
              <w:adjustRightInd w:val="0"/>
              <w:rPr>
                <w:rFonts w:cs="Arial"/>
              </w:rPr>
            </w:pPr>
            <w:r>
              <w:rPr>
                <w:rFonts w:cs="Arial"/>
              </w:rPr>
              <w:t>The Services must include s</w:t>
            </w:r>
            <w:r w:rsidRPr="00BA333F">
              <w:rPr>
                <w:rFonts w:cs="Arial"/>
              </w:rPr>
              <w:t>pecialist help and indivi</w:t>
            </w:r>
            <w:r>
              <w:rPr>
                <w:rFonts w:cs="Arial"/>
              </w:rPr>
              <w:t>dualised support with English, m</w:t>
            </w:r>
            <w:r w:rsidRPr="00BA333F">
              <w:rPr>
                <w:rFonts w:cs="Arial"/>
              </w:rPr>
              <w:t>aths, (working to</w:t>
            </w:r>
            <w:r>
              <w:rPr>
                <w:rFonts w:cs="Arial"/>
              </w:rPr>
              <w:t>wards GCSE A* - C or Level Two i</w:t>
            </w:r>
            <w:r w:rsidRPr="00BA333F">
              <w:rPr>
                <w:rFonts w:cs="Arial"/>
              </w:rPr>
              <w:t xml:space="preserve">n both cases), ICT and English for Speakers of Other Languages.  </w:t>
            </w:r>
          </w:p>
          <w:p w14:paraId="0DEB8596" w14:textId="77777777" w:rsidR="003602E0" w:rsidRPr="00BA333F" w:rsidRDefault="003602E0" w:rsidP="006A74E0">
            <w:pPr>
              <w:pStyle w:val="ListParagraph"/>
              <w:rPr>
                <w:rFonts w:cs="Arial"/>
              </w:rPr>
            </w:pPr>
          </w:p>
          <w:p w14:paraId="1F707647" w14:textId="77777777" w:rsidR="003602E0" w:rsidRPr="00BA333F" w:rsidRDefault="003602E0" w:rsidP="006A74E0">
            <w:pPr>
              <w:pStyle w:val="BodyText"/>
              <w:tabs>
                <w:tab w:val="left" w:pos="0"/>
              </w:tabs>
              <w:spacing w:after="0"/>
              <w:rPr>
                <w:rFonts w:ascii="Arial" w:hAnsi="Arial" w:cs="Arial"/>
                <w:lang w:eastAsia="en-US"/>
              </w:rPr>
            </w:pPr>
            <w:r w:rsidRPr="00BA333F">
              <w:rPr>
                <w:rFonts w:ascii="Arial" w:hAnsi="Arial" w:cs="Arial"/>
                <w:lang w:eastAsia="en-US"/>
              </w:rPr>
              <w:t xml:space="preserve">The Services must include vocational training assessment and specialist bespoke vocational training or signposting to existing vocational training (where this meets the young person’s assessed needs) with a view to securing attainment to at least Level Two wherever possible.  </w:t>
            </w:r>
          </w:p>
          <w:p w14:paraId="387650C5" w14:textId="77777777" w:rsidR="003602E0" w:rsidRPr="00BA333F" w:rsidRDefault="003602E0" w:rsidP="006A74E0">
            <w:pPr>
              <w:pStyle w:val="ListParagraph"/>
              <w:rPr>
                <w:rFonts w:cs="Arial"/>
              </w:rPr>
            </w:pPr>
          </w:p>
          <w:p w14:paraId="2E055A47" w14:textId="77777777" w:rsidR="003602E0" w:rsidRPr="008441FE" w:rsidRDefault="003602E0" w:rsidP="006A74E0">
            <w:pPr>
              <w:autoSpaceDE w:val="0"/>
              <w:autoSpaceDN w:val="0"/>
              <w:adjustRightInd w:val="0"/>
              <w:rPr>
                <w:rFonts w:cs="Arial"/>
              </w:rPr>
            </w:pPr>
            <w:r>
              <w:rPr>
                <w:rFonts w:cs="Arial"/>
              </w:rPr>
              <w:t>The successful Candidate will need to provide to the LEP a b</w:t>
            </w:r>
            <w:r w:rsidRPr="00CE4EFA">
              <w:rPr>
                <w:rFonts w:cs="Arial"/>
              </w:rPr>
              <w:t>reakdown of performance for each target group</w:t>
            </w:r>
            <w:r>
              <w:rPr>
                <w:rFonts w:cs="Arial"/>
              </w:rPr>
              <w:t xml:space="preserve"> and i</w:t>
            </w:r>
            <w:r w:rsidRPr="00CE4EFA">
              <w:rPr>
                <w:rFonts w:cs="Arial"/>
              </w:rPr>
              <w:t>ntelligence on what is working well and what could be changed to improve</w:t>
            </w:r>
            <w:r w:rsidRPr="00B022FC">
              <w:rPr>
                <w:rFonts w:cs="Arial"/>
              </w:rPr>
              <w:t xml:space="preserve"> performance and outcomes for young people</w:t>
            </w:r>
            <w:r>
              <w:rPr>
                <w:rFonts w:cs="Arial"/>
              </w:rPr>
              <w:t>, in particular performance of white male cohort.</w:t>
            </w:r>
          </w:p>
          <w:p w14:paraId="1E651EED" w14:textId="77777777" w:rsidR="003602E0" w:rsidRPr="00BE2EE4" w:rsidRDefault="003602E0" w:rsidP="006A74E0">
            <w:pPr>
              <w:autoSpaceDE w:val="0"/>
              <w:autoSpaceDN w:val="0"/>
              <w:adjustRightInd w:val="0"/>
              <w:rPr>
                <w:rFonts w:cs="Arial"/>
              </w:rPr>
            </w:pPr>
          </w:p>
        </w:tc>
      </w:tr>
      <w:tr w:rsidR="003602E0" w:rsidRPr="00F06A90" w14:paraId="7669DC8B" w14:textId="77777777" w:rsidTr="006A74E0">
        <w:trPr>
          <w:gridAfter w:val="1"/>
          <w:wAfter w:w="21" w:type="dxa"/>
          <w:trHeight w:val="553"/>
        </w:trPr>
        <w:tc>
          <w:tcPr>
            <w:tcW w:w="9067" w:type="dxa"/>
            <w:shd w:val="clear" w:color="auto" w:fill="D9D9D9" w:themeFill="background1" w:themeFillShade="D9"/>
            <w:vAlign w:val="center"/>
          </w:tcPr>
          <w:p w14:paraId="0BF94F74" w14:textId="77777777" w:rsidR="003602E0" w:rsidRPr="00C107CE" w:rsidRDefault="003602E0" w:rsidP="006A74E0">
            <w:pPr>
              <w:rPr>
                <w:rFonts w:cs="Arial"/>
                <w:b/>
              </w:rPr>
            </w:pPr>
            <w:r>
              <w:rPr>
                <w:rFonts w:cs="Arial"/>
                <w:b/>
              </w:rPr>
              <w:lastRenderedPageBreak/>
              <w:t>Horizontal Principles</w:t>
            </w:r>
          </w:p>
        </w:tc>
      </w:tr>
      <w:tr w:rsidR="003602E0" w:rsidRPr="00544738" w14:paraId="4ADEC01B" w14:textId="77777777" w:rsidTr="006A74E0">
        <w:tc>
          <w:tcPr>
            <w:tcW w:w="9088" w:type="dxa"/>
            <w:gridSpan w:val="2"/>
            <w:shd w:val="clear" w:color="auto" w:fill="auto"/>
          </w:tcPr>
          <w:p w14:paraId="563EC4AB" w14:textId="77777777" w:rsidR="003602E0" w:rsidRPr="00BE2EE4" w:rsidRDefault="003602E0" w:rsidP="006A74E0">
            <w:pPr>
              <w:autoSpaceDE w:val="0"/>
              <w:autoSpaceDN w:val="0"/>
              <w:adjustRightInd w:val="0"/>
              <w:rPr>
                <w:rFonts w:cs="Arial"/>
              </w:rPr>
            </w:pPr>
          </w:p>
          <w:p w14:paraId="410BBDD8" w14:textId="77777777" w:rsidR="003602E0" w:rsidRPr="00BE2EE4" w:rsidRDefault="003602E0" w:rsidP="006A74E0">
            <w:pPr>
              <w:autoSpaceDE w:val="0"/>
              <w:autoSpaceDN w:val="0"/>
              <w:adjustRightInd w:val="0"/>
              <w:rPr>
                <w:rFonts w:cs="Arial"/>
              </w:rPr>
            </w:pPr>
            <w:r w:rsidRPr="00BE2EE4">
              <w:rPr>
                <w:rFonts w:cs="Arial"/>
              </w:rPr>
              <w:t xml:space="preserve">The Services must support the cross cutting themes </w:t>
            </w:r>
            <w:r w:rsidRPr="00BE2EE4">
              <w:rPr>
                <w:rFonts w:cs="Arial"/>
                <w:color w:val="000000"/>
              </w:rPr>
              <w:t>of the ESF Framework</w:t>
            </w:r>
            <w:r w:rsidRPr="00BE2EE4">
              <w:rPr>
                <w:rFonts w:cs="Arial"/>
              </w:rPr>
              <w:t xml:space="preserve">. These are set out below. </w:t>
            </w:r>
          </w:p>
          <w:p w14:paraId="7A7EEC9E" w14:textId="77777777" w:rsidR="003602E0" w:rsidRPr="00BE2EE4" w:rsidRDefault="003602E0" w:rsidP="006A74E0">
            <w:pPr>
              <w:autoSpaceDE w:val="0"/>
              <w:autoSpaceDN w:val="0"/>
              <w:adjustRightInd w:val="0"/>
              <w:rPr>
                <w:rFonts w:cs="Arial"/>
              </w:rPr>
            </w:pPr>
          </w:p>
          <w:p w14:paraId="724871D7" w14:textId="77777777" w:rsidR="003602E0" w:rsidRPr="00BE2EE4" w:rsidRDefault="003602E0" w:rsidP="006A74E0">
            <w:pPr>
              <w:autoSpaceDE w:val="0"/>
              <w:autoSpaceDN w:val="0"/>
              <w:adjustRightInd w:val="0"/>
              <w:rPr>
                <w:rFonts w:cs="Arial"/>
                <w:color w:val="000000"/>
              </w:rPr>
            </w:pPr>
            <w:r w:rsidRPr="00BE2EE4">
              <w:rPr>
                <w:rFonts w:cs="Arial"/>
                <w:color w:val="000000"/>
              </w:rPr>
              <w:t>Gender Equality and Equal Opportunities and Sustainable Development. The ESF programme maintains the dual approach to promoting gender equality and equality of opportunities by funding specific activities which target women and disadvantaged groups as well as integrating equal opportunities into the planning, implementation, monitoring and evaluation of the programme as a whole. Action to promote equality and diversity is an integral part of the SFA business objectives. A world-class workforce can only be created if we remove barriers, eliminate discrimination, address disadvantage and raise the aspirations of both present and potential learners. Performance monitoring of the project will include a review of progress against the implementation/action plan on a quarterly basis included in this specification.</w:t>
            </w:r>
          </w:p>
          <w:p w14:paraId="60443C77" w14:textId="77777777" w:rsidR="003602E0" w:rsidRPr="00BE2EE4" w:rsidRDefault="003602E0" w:rsidP="006A74E0">
            <w:pPr>
              <w:autoSpaceDE w:val="0"/>
              <w:autoSpaceDN w:val="0"/>
              <w:adjustRightInd w:val="0"/>
              <w:rPr>
                <w:rFonts w:cs="Arial"/>
                <w:color w:val="000000"/>
              </w:rPr>
            </w:pPr>
          </w:p>
          <w:p w14:paraId="34D088B5" w14:textId="77777777" w:rsidR="003602E0" w:rsidRPr="00BE2EE4" w:rsidRDefault="003602E0" w:rsidP="006A74E0">
            <w:pPr>
              <w:pStyle w:val="SpecificationHeading"/>
            </w:pPr>
            <w:r w:rsidRPr="00BE2EE4">
              <w:rPr>
                <w:b w:val="0"/>
              </w:rPr>
              <w:t>Sustainable Development (SD) activity is a mandatory requirement of all projects funded through the ESF programme. Successful tenderers will be required to have in place an operational SD policy and implementation/action plan within two months of the project start date. Performance monitoring of the project will include a review of progress against the implementation/action plan on a quarterly basis included in this specification. Activity will need to promote and engage with priority individuals, such as those with protected characteristics</w:t>
            </w:r>
            <w:r w:rsidRPr="00BE2EE4">
              <w:t>.</w:t>
            </w:r>
          </w:p>
          <w:p w14:paraId="3F195BAD" w14:textId="77777777" w:rsidR="003602E0" w:rsidRPr="00BE2EE4" w:rsidRDefault="003602E0" w:rsidP="006A74E0">
            <w:pPr>
              <w:pStyle w:val="SpecificationHeading"/>
            </w:pPr>
          </w:p>
        </w:tc>
      </w:tr>
      <w:tr w:rsidR="003602E0" w:rsidRPr="00544738" w14:paraId="71A6238C" w14:textId="77777777" w:rsidTr="006A74E0">
        <w:trPr>
          <w:trHeight w:val="567"/>
        </w:trPr>
        <w:tc>
          <w:tcPr>
            <w:tcW w:w="9088" w:type="dxa"/>
            <w:gridSpan w:val="2"/>
            <w:shd w:val="clear" w:color="auto" w:fill="D9D9D9" w:themeFill="background1" w:themeFillShade="D9"/>
            <w:vAlign w:val="center"/>
          </w:tcPr>
          <w:p w14:paraId="5E7CB7DB" w14:textId="77777777" w:rsidR="003602E0" w:rsidRPr="00BE2EE4" w:rsidRDefault="003602E0" w:rsidP="006A74E0">
            <w:pPr>
              <w:pStyle w:val="SpecificationHeading"/>
            </w:pPr>
            <w:r w:rsidRPr="00BE2EE4">
              <w:lastRenderedPageBreak/>
              <w:t>ELIGIBILITY</w:t>
            </w:r>
          </w:p>
        </w:tc>
      </w:tr>
      <w:tr w:rsidR="003602E0" w:rsidRPr="00EF4406" w14:paraId="262635D0" w14:textId="77777777" w:rsidTr="006A74E0">
        <w:tc>
          <w:tcPr>
            <w:tcW w:w="9088" w:type="dxa"/>
            <w:gridSpan w:val="2"/>
          </w:tcPr>
          <w:p w14:paraId="0DAEADA5" w14:textId="77777777" w:rsidR="003602E0" w:rsidRDefault="003602E0" w:rsidP="006A74E0">
            <w:pPr>
              <w:rPr>
                <w:rFonts w:cs="Arial"/>
                <w:b/>
                <w:u w:val="single"/>
              </w:rPr>
            </w:pPr>
          </w:p>
          <w:p w14:paraId="0148491E" w14:textId="77777777" w:rsidR="003602E0" w:rsidRDefault="003602E0" w:rsidP="006A74E0">
            <w:pPr>
              <w:rPr>
                <w:b/>
              </w:rPr>
            </w:pPr>
            <w:r>
              <w:rPr>
                <w:b/>
              </w:rPr>
              <w:t>General</w:t>
            </w:r>
          </w:p>
          <w:p w14:paraId="4D29C3E3" w14:textId="77777777" w:rsidR="003602E0" w:rsidRPr="00344FA1" w:rsidRDefault="003602E0" w:rsidP="006A74E0"/>
          <w:p w14:paraId="564CB9F3" w14:textId="77777777" w:rsidR="003602E0" w:rsidRPr="00BE2EE4" w:rsidRDefault="003602E0" w:rsidP="006A74E0">
            <w:pPr>
              <w:rPr>
                <w:rFonts w:cs="Arial"/>
              </w:rPr>
            </w:pPr>
            <w:r w:rsidRPr="00BE2EE4">
              <w:rPr>
                <w:rFonts w:cs="Arial"/>
              </w:rPr>
              <w:t>General eligibility requirements are set out in : the</w:t>
            </w:r>
            <w:r w:rsidRPr="00BE2EE4">
              <w:t xml:space="preserve"> </w:t>
            </w:r>
            <w:r w:rsidRPr="00BE2EE4">
              <w:rPr>
                <w:rFonts w:cs="Arial"/>
              </w:rPr>
              <w:t xml:space="preserve">European Social Fund Programme for England 2014-2020 National Eligibility Rules which can be found here: </w:t>
            </w:r>
            <w:hyperlink r:id="rId12" w:history="1">
              <w:r w:rsidRPr="00BE2EE4">
                <w:rPr>
                  <w:rStyle w:val="Hyperlink"/>
                  <w:rFonts w:cs="Arial"/>
                </w:rPr>
                <w:t>https://www.gov.uk/government/publications/european-structural-and-investment-funds-programme-guidance</w:t>
              </w:r>
            </w:hyperlink>
            <w:r w:rsidRPr="00BE2EE4">
              <w:rPr>
                <w:rFonts w:cs="Arial"/>
              </w:rPr>
              <w:t xml:space="preserve"> </w:t>
            </w:r>
          </w:p>
          <w:p w14:paraId="58868674" w14:textId="77777777" w:rsidR="003602E0" w:rsidRPr="00BE2EE4" w:rsidRDefault="003602E0" w:rsidP="006A74E0">
            <w:pPr>
              <w:rPr>
                <w:rFonts w:cs="Arial"/>
              </w:rPr>
            </w:pPr>
          </w:p>
          <w:p w14:paraId="3BE0EE8D" w14:textId="77777777" w:rsidR="003602E0" w:rsidRDefault="003602E0" w:rsidP="006A74E0">
            <w:pPr>
              <w:pStyle w:val="paragraph1"/>
              <w:textAlignment w:val="baseline"/>
              <w:rPr>
                <w:rFonts w:ascii="Segoe UI" w:hAnsi="Segoe UI" w:cs="Segoe UI"/>
                <w:sz w:val="12"/>
                <w:szCs w:val="12"/>
              </w:rPr>
            </w:pPr>
            <w:r w:rsidRPr="00BE2EE4">
              <w:rPr>
                <w:rStyle w:val="normaltextrun"/>
                <w:rFonts w:ascii="Arial" w:hAnsi="Arial" w:cs="Arial"/>
              </w:rPr>
              <w:t>Please note LEP specific requirements are subject to the National Eligibility Rules detailed above.</w:t>
            </w:r>
            <w:r w:rsidRPr="00BE2EE4">
              <w:rPr>
                <w:rStyle w:val="eop"/>
                <w:rFonts w:ascii="Arial" w:hAnsi="Arial" w:cs="Arial"/>
              </w:rPr>
              <w:t> </w:t>
            </w:r>
          </w:p>
          <w:p w14:paraId="3F2C6BF8" w14:textId="77777777" w:rsidR="003602E0" w:rsidRPr="00843BC6" w:rsidRDefault="003602E0" w:rsidP="006A74E0">
            <w:pPr>
              <w:pStyle w:val="paragraph1"/>
              <w:textAlignment w:val="baseline"/>
              <w:rPr>
                <w:rStyle w:val="normaltextrun"/>
              </w:rPr>
            </w:pPr>
          </w:p>
          <w:p w14:paraId="2636CD48" w14:textId="77777777" w:rsidR="003602E0" w:rsidRPr="00843BC6" w:rsidRDefault="003602E0" w:rsidP="006A74E0">
            <w:pPr>
              <w:pStyle w:val="paragraph1"/>
              <w:textAlignment w:val="baseline"/>
              <w:rPr>
                <w:rStyle w:val="normaltextrun"/>
                <w:rFonts w:ascii="Arial" w:hAnsi="Arial" w:cs="Arial"/>
              </w:rPr>
            </w:pPr>
            <w:r w:rsidRPr="00843BC6">
              <w:rPr>
                <w:rStyle w:val="normaltextrun"/>
                <w:rFonts w:ascii="Arial" w:hAnsi="Arial" w:cs="Arial"/>
              </w:rPr>
              <w:t>In delivering the Services, the successful Candidate must take into account and support the targets for the following groups where this is consistent with the other Services requirements for addressing the needs of groups identified as priority and meeting the Services deliverables.</w:t>
            </w:r>
          </w:p>
          <w:p w14:paraId="1F6E01E0" w14:textId="77777777" w:rsidR="003602E0" w:rsidRPr="00843BC6" w:rsidRDefault="003602E0" w:rsidP="006A74E0">
            <w:pPr>
              <w:pStyle w:val="paragraph1"/>
              <w:textAlignment w:val="baseline"/>
              <w:rPr>
                <w:rStyle w:val="normaltextrun"/>
                <w:rFonts w:ascii="Arial" w:hAnsi="Arial" w:cs="Arial"/>
              </w:rPr>
            </w:pPr>
            <w:r w:rsidRPr="00843BC6">
              <w:rPr>
                <w:rStyle w:val="normaltextrun"/>
                <w:rFonts w:ascii="Arial" w:hAnsi="Arial" w:cs="Arial"/>
              </w:rPr>
              <w:t> </w:t>
            </w:r>
          </w:p>
          <w:p w14:paraId="5A4AA320" w14:textId="77777777" w:rsidR="003602E0" w:rsidRPr="00843BC6" w:rsidRDefault="003602E0" w:rsidP="006A74E0">
            <w:pPr>
              <w:pStyle w:val="paragraph1"/>
              <w:textAlignment w:val="baseline"/>
              <w:rPr>
                <w:rStyle w:val="normaltextrun"/>
                <w:rFonts w:ascii="Arial" w:hAnsi="Arial" w:cs="Arial"/>
              </w:rPr>
            </w:pPr>
            <w:r w:rsidRPr="00843BC6">
              <w:rPr>
                <w:rStyle w:val="normaltextrun"/>
                <w:rFonts w:ascii="Arial" w:hAnsi="Arial" w:cs="Arial"/>
              </w:rPr>
              <w:t>Ethnic groups                          min 20%</w:t>
            </w:r>
          </w:p>
          <w:p w14:paraId="7C60D7AA" w14:textId="77777777" w:rsidR="003602E0" w:rsidRPr="00843BC6" w:rsidRDefault="003602E0" w:rsidP="006A74E0">
            <w:pPr>
              <w:pStyle w:val="paragraph1"/>
              <w:textAlignment w:val="baseline"/>
              <w:rPr>
                <w:rStyle w:val="normaltextrun"/>
                <w:rFonts w:ascii="Arial" w:hAnsi="Arial" w:cs="Arial"/>
              </w:rPr>
            </w:pPr>
            <w:r w:rsidRPr="00843BC6">
              <w:rPr>
                <w:rStyle w:val="normaltextrun"/>
                <w:rFonts w:ascii="Arial" w:hAnsi="Arial" w:cs="Arial"/>
              </w:rPr>
              <w:t>Female                                    min 45%</w:t>
            </w:r>
          </w:p>
          <w:p w14:paraId="2A3E9B2E" w14:textId="77777777" w:rsidR="003602E0" w:rsidRPr="00843BC6" w:rsidRDefault="003602E0" w:rsidP="006A74E0">
            <w:pPr>
              <w:pStyle w:val="paragraph1"/>
              <w:textAlignment w:val="baseline"/>
              <w:rPr>
                <w:rStyle w:val="normaltextrun"/>
                <w:rFonts w:ascii="Arial" w:hAnsi="Arial" w:cs="Arial"/>
              </w:rPr>
            </w:pPr>
            <w:r w:rsidRPr="00843BC6">
              <w:rPr>
                <w:rStyle w:val="normaltextrun"/>
                <w:rFonts w:ascii="Arial" w:hAnsi="Arial" w:cs="Arial"/>
              </w:rPr>
              <w:t>Disability/health issues            min 10%</w:t>
            </w:r>
          </w:p>
          <w:p w14:paraId="3ED40875" w14:textId="77777777" w:rsidR="003602E0" w:rsidRPr="00843BC6" w:rsidRDefault="003602E0" w:rsidP="006A74E0">
            <w:pPr>
              <w:pStyle w:val="paragraph1"/>
              <w:textAlignment w:val="baseline"/>
              <w:rPr>
                <w:rStyle w:val="normaltextrun"/>
                <w:rFonts w:ascii="Arial" w:hAnsi="Arial" w:cs="Arial"/>
              </w:rPr>
            </w:pPr>
            <w:r w:rsidRPr="00843BC6">
              <w:rPr>
                <w:rStyle w:val="normaltextrun"/>
                <w:rFonts w:ascii="Arial" w:hAnsi="Arial" w:cs="Arial"/>
              </w:rPr>
              <w:t>Lone parents                           min 5%</w:t>
            </w:r>
          </w:p>
          <w:p w14:paraId="675534B0" w14:textId="77777777" w:rsidR="003602E0" w:rsidRPr="00843BC6" w:rsidRDefault="003602E0" w:rsidP="006A74E0">
            <w:pPr>
              <w:pStyle w:val="paragraph1"/>
              <w:textAlignment w:val="baseline"/>
              <w:rPr>
                <w:rStyle w:val="normaltextrun"/>
                <w:rFonts w:ascii="Arial" w:hAnsi="Arial" w:cs="Arial"/>
              </w:rPr>
            </w:pPr>
            <w:r w:rsidRPr="00843BC6">
              <w:rPr>
                <w:rStyle w:val="normaltextrun"/>
                <w:rFonts w:ascii="Arial" w:hAnsi="Arial" w:cs="Arial"/>
              </w:rPr>
              <w:t>No basic skills                         min 18%</w:t>
            </w:r>
          </w:p>
          <w:p w14:paraId="4AD32904" w14:textId="77777777" w:rsidR="003602E0" w:rsidRDefault="003602E0" w:rsidP="006A74E0">
            <w:pPr>
              <w:rPr>
                <w:rFonts w:cs="Arial"/>
              </w:rPr>
            </w:pPr>
          </w:p>
          <w:p w14:paraId="21D95991" w14:textId="77777777" w:rsidR="003602E0" w:rsidRPr="00F06A90" w:rsidRDefault="003602E0" w:rsidP="006A74E0">
            <w:pPr>
              <w:autoSpaceDE w:val="0"/>
              <w:autoSpaceDN w:val="0"/>
              <w:adjustRightInd w:val="0"/>
              <w:rPr>
                <w:rFonts w:cs="Arial"/>
                <w:b/>
              </w:rPr>
            </w:pPr>
            <w:r>
              <w:rPr>
                <w:rFonts w:cs="Arial"/>
                <w:b/>
              </w:rPr>
              <w:t xml:space="preserve">LEP Specific </w:t>
            </w:r>
          </w:p>
          <w:p w14:paraId="2A4DE4B9" w14:textId="77777777" w:rsidR="003602E0" w:rsidRDefault="003602E0" w:rsidP="006A74E0">
            <w:pPr>
              <w:autoSpaceDE w:val="0"/>
              <w:autoSpaceDN w:val="0"/>
              <w:adjustRightInd w:val="0"/>
              <w:rPr>
                <w:rFonts w:cs="Arial"/>
                <w:sz w:val="20"/>
                <w:szCs w:val="20"/>
              </w:rPr>
            </w:pPr>
          </w:p>
          <w:p w14:paraId="094C46E8" w14:textId="77777777" w:rsidR="003602E0" w:rsidRDefault="003602E0" w:rsidP="006A74E0">
            <w:pPr>
              <w:rPr>
                <w:rFonts w:cs="Arial"/>
                <w:szCs w:val="22"/>
              </w:rPr>
            </w:pPr>
            <w:r>
              <w:t>NEET young people</w:t>
            </w:r>
            <w:r w:rsidRPr="00CE4EFA">
              <w:rPr>
                <w:rFonts w:cs="Arial"/>
                <w:szCs w:val="22"/>
              </w:rPr>
              <w:t xml:space="preserve"> aged 16 to 24</w:t>
            </w:r>
            <w:r>
              <w:rPr>
                <w:rFonts w:cs="Arial"/>
                <w:szCs w:val="22"/>
              </w:rPr>
              <w:t>.</w:t>
            </w:r>
          </w:p>
          <w:p w14:paraId="4E48E083" w14:textId="77777777" w:rsidR="003602E0" w:rsidRDefault="003602E0" w:rsidP="006A74E0">
            <w:pPr>
              <w:rPr>
                <w:rFonts w:cs="Arial"/>
                <w:szCs w:val="22"/>
              </w:rPr>
            </w:pPr>
          </w:p>
          <w:p w14:paraId="5CD9DE33" w14:textId="77777777" w:rsidR="003602E0" w:rsidRDefault="003602E0" w:rsidP="006A74E0">
            <w:r>
              <w:t xml:space="preserve">The Services should support the following target </w:t>
            </w:r>
            <w:r w:rsidRPr="004A61F2">
              <w:t xml:space="preserve">groups in particular (consistent with </w:t>
            </w:r>
            <w:r>
              <w:t>the LLEPs</w:t>
            </w:r>
            <w:r w:rsidRPr="004A61F2">
              <w:t xml:space="preserve"> ESIF strategy and matched to </w:t>
            </w:r>
            <w:r>
              <w:t>the</w:t>
            </w:r>
            <w:r w:rsidRPr="004A61F2">
              <w:t xml:space="preserve"> City Deal propo</w:t>
            </w:r>
            <w:r>
              <w:t>sal).  These groups are at greater risk of long term unemployment and face complex barriers to labour market entry.</w:t>
            </w:r>
          </w:p>
          <w:p w14:paraId="2D2E37D9" w14:textId="77777777" w:rsidR="003602E0" w:rsidRPr="00CE4EFA" w:rsidRDefault="003602E0" w:rsidP="006A74E0">
            <w:pPr>
              <w:rPr>
                <w:rFonts w:cs="Arial"/>
              </w:rPr>
            </w:pPr>
          </w:p>
          <w:p w14:paraId="61215A32"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Young people with no qualifications</w:t>
            </w:r>
          </w:p>
          <w:p w14:paraId="578E0C40"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Those with Learning Difficulties and/or Disabilities</w:t>
            </w:r>
          </w:p>
          <w:p w14:paraId="7F78D627"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Those looked after/in care</w:t>
            </w:r>
          </w:p>
          <w:p w14:paraId="59BC8D61"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Carers – own child, parent, other children</w:t>
            </w:r>
          </w:p>
          <w:p w14:paraId="31889BC7"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Care leavers</w:t>
            </w:r>
          </w:p>
          <w:p w14:paraId="60CCFD74"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Supervised by Youth Offending Team or Probation Service</w:t>
            </w:r>
          </w:p>
          <w:p w14:paraId="33243504"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Teenage pregnancies/mothers</w:t>
            </w:r>
          </w:p>
          <w:p w14:paraId="0F12A72F"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Substance misusers</w:t>
            </w:r>
          </w:p>
          <w:p w14:paraId="59A4698C"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Participants in troubled families programmes</w:t>
            </w:r>
          </w:p>
          <w:p w14:paraId="137217E6"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People with English language needs</w:t>
            </w:r>
          </w:p>
          <w:p w14:paraId="1B0B8595" w14:textId="77777777" w:rsidR="003602E0" w:rsidRPr="00CE4EFA" w:rsidRDefault="003602E0" w:rsidP="003602E0">
            <w:pPr>
              <w:pStyle w:val="ListParagraph"/>
              <w:numPr>
                <w:ilvl w:val="0"/>
                <w:numId w:val="8"/>
              </w:numPr>
              <w:spacing w:after="200" w:line="276" w:lineRule="auto"/>
              <w:rPr>
                <w:rFonts w:cs="Arial"/>
                <w:szCs w:val="22"/>
              </w:rPr>
            </w:pPr>
            <w:r w:rsidRPr="00CE4EFA">
              <w:rPr>
                <w:rFonts w:cs="Arial"/>
                <w:szCs w:val="22"/>
              </w:rPr>
              <w:t>Other vulnerable groups including ethnic groups that participate poorly in post-16 education and have poor relative levels of attainment</w:t>
            </w:r>
            <w:r>
              <w:rPr>
                <w:rFonts w:cs="Arial"/>
                <w:szCs w:val="22"/>
              </w:rPr>
              <w:t>.</w:t>
            </w:r>
          </w:p>
          <w:p w14:paraId="2410735B" w14:textId="77777777" w:rsidR="003602E0" w:rsidRPr="00BE2EE4" w:rsidRDefault="003602E0" w:rsidP="006A74E0">
            <w:pPr>
              <w:spacing w:after="200" w:line="276" w:lineRule="auto"/>
            </w:pPr>
            <w:r>
              <w:t>(Note the LLEP</w:t>
            </w:r>
            <w:r w:rsidRPr="004A61F2">
              <w:t xml:space="preserve"> have a separate procurement document for ex-offenders, as this group was highlighted specifically in </w:t>
            </w:r>
            <w:r>
              <w:t>the</w:t>
            </w:r>
            <w:r w:rsidRPr="004A61F2">
              <w:t xml:space="preserve"> City Deal).</w:t>
            </w:r>
          </w:p>
        </w:tc>
      </w:tr>
      <w:tr w:rsidR="003602E0" w:rsidRPr="00EF4406" w14:paraId="34E4E704" w14:textId="77777777" w:rsidTr="006A74E0">
        <w:trPr>
          <w:trHeight w:val="567"/>
        </w:trPr>
        <w:tc>
          <w:tcPr>
            <w:tcW w:w="9088" w:type="dxa"/>
            <w:gridSpan w:val="2"/>
            <w:shd w:val="clear" w:color="auto" w:fill="D9D9D9" w:themeFill="background1" w:themeFillShade="D9"/>
            <w:vAlign w:val="center"/>
          </w:tcPr>
          <w:p w14:paraId="22EB388B" w14:textId="77777777" w:rsidR="003602E0" w:rsidRPr="00A005EF" w:rsidRDefault="003602E0" w:rsidP="006A74E0">
            <w:pPr>
              <w:spacing w:before="120" w:after="120"/>
              <w:rPr>
                <w:b/>
                <w:bCs/>
              </w:rPr>
            </w:pPr>
            <w:r w:rsidRPr="00A005EF">
              <w:rPr>
                <w:b/>
              </w:rPr>
              <w:lastRenderedPageBreak/>
              <w:t>GEOGRAPHY / AREA OF DELIVERY</w:t>
            </w:r>
          </w:p>
        </w:tc>
      </w:tr>
      <w:tr w:rsidR="003602E0" w:rsidRPr="0052695C" w14:paraId="45A5F8E3" w14:textId="77777777" w:rsidTr="006A74E0">
        <w:trPr>
          <w:trHeight w:val="983"/>
        </w:trPr>
        <w:tc>
          <w:tcPr>
            <w:tcW w:w="9088" w:type="dxa"/>
            <w:gridSpan w:val="2"/>
          </w:tcPr>
          <w:p w14:paraId="4C7F58F9" w14:textId="77777777" w:rsidR="003602E0" w:rsidRDefault="003602E0" w:rsidP="006A74E0"/>
          <w:p w14:paraId="4C851E1A" w14:textId="77777777" w:rsidR="003602E0" w:rsidRDefault="003602E0" w:rsidP="006A74E0">
            <w:pPr>
              <w:rPr>
                <w:b/>
              </w:rPr>
            </w:pPr>
            <w:r>
              <w:rPr>
                <w:b/>
              </w:rPr>
              <w:t>LEP Specific</w:t>
            </w:r>
          </w:p>
          <w:p w14:paraId="29E09686" w14:textId="77777777" w:rsidR="003602E0" w:rsidRPr="00C107CE" w:rsidRDefault="003602E0" w:rsidP="006A74E0">
            <w:pPr>
              <w:rPr>
                <w:b/>
              </w:rPr>
            </w:pPr>
          </w:p>
          <w:p w14:paraId="27FB6CAC" w14:textId="77777777" w:rsidR="003602E0" w:rsidRDefault="003602E0" w:rsidP="006A74E0">
            <w:pPr>
              <w:autoSpaceDE w:val="0"/>
              <w:autoSpaceDN w:val="0"/>
              <w:adjustRightInd w:val="0"/>
              <w:rPr>
                <w:rFonts w:cs="Arial"/>
              </w:rPr>
            </w:pPr>
            <w:r w:rsidRPr="00BE2EE4">
              <w:rPr>
                <w:rFonts w:cs="Arial"/>
              </w:rPr>
              <w:t>The Services will be delivered within the</w:t>
            </w:r>
            <w:r w:rsidRPr="00F06A90">
              <w:rPr>
                <w:rFonts w:cs="Arial"/>
              </w:rPr>
              <w:t xml:space="preserve"> </w:t>
            </w:r>
            <w:r>
              <w:rPr>
                <w:rFonts w:cs="Arial"/>
              </w:rPr>
              <w:t>Leicester &amp; Leicestershire Local Enterprise Partnership area.</w:t>
            </w:r>
          </w:p>
          <w:p w14:paraId="7384BBBA" w14:textId="77777777" w:rsidR="003602E0" w:rsidRDefault="003602E0" w:rsidP="006A74E0">
            <w:pPr>
              <w:autoSpaceDE w:val="0"/>
              <w:autoSpaceDN w:val="0"/>
              <w:adjustRightInd w:val="0"/>
              <w:rPr>
                <w:rFonts w:cs="Arial"/>
              </w:rPr>
            </w:pPr>
          </w:p>
          <w:p w14:paraId="4622C615" w14:textId="77777777" w:rsidR="003602E0" w:rsidRDefault="003602E0" w:rsidP="006A74E0">
            <w:pPr>
              <w:autoSpaceDE w:val="0"/>
              <w:autoSpaceDN w:val="0"/>
              <w:adjustRightInd w:val="0"/>
              <w:rPr>
                <w:rFonts w:cs="Arial"/>
              </w:rPr>
            </w:pPr>
            <w:r w:rsidRPr="00F61220">
              <w:rPr>
                <w:rFonts w:cs="Arial"/>
              </w:rPr>
              <w:t>The Services must be delivered from venues located within the Leicester and Leicestershire LEP area, with priority given to young people who are resident in, or on the school roll within, that area.</w:t>
            </w:r>
          </w:p>
          <w:p w14:paraId="3F15E2AE" w14:textId="77777777" w:rsidR="003602E0" w:rsidRPr="00FF6CCA" w:rsidRDefault="003602E0" w:rsidP="006A74E0">
            <w:pPr>
              <w:autoSpaceDE w:val="0"/>
              <w:autoSpaceDN w:val="0"/>
              <w:adjustRightInd w:val="0"/>
            </w:pPr>
          </w:p>
        </w:tc>
      </w:tr>
      <w:tr w:rsidR="003602E0" w:rsidRPr="00505117" w14:paraId="321B81BF" w14:textId="77777777" w:rsidTr="006A74E0">
        <w:trPr>
          <w:trHeight w:val="567"/>
        </w:trPr>
        <w:tc>
          <w:tcPr>
            <w:tcW w:w="9088" w:type="dxa"/>
            <w:gridSpan w:val="2"/>
            <w:shd w:val="clear" w:color="auto" w:fill="D9D9D9" w:themeFill="background1" w:themeFillShade="D9"/>
            <w:vAlign w:val="center"/>
          </w:tcPr>
          <w:p w14:paraId="0B4A07D7" w14:textId="77777777" w:rsidR="003602E0" w:rsidRPr="00A005EF" w:rsidRDefault="003602E0" w:rsidP="006A74E0">
            <w:pPr>
              <w:spacing w:before="120" w:after="120"/>
              <w:rPr>
                <w:b/>
                <w:bCs/>
              </w:rPr>
            </w:pPr>
            <w:r w:rsidRPr="00A005EF">
              <w:rPr>
                <w:b/>
              </w:rPr>
              <w:t>FUNDING AND DELIVERABLES</w:t>
            </w:r>
          </w:p>
        </w:tc>
      </w:tr>
      <w:tr w:rsidR="003602E0" w:rsidRPr="00EF4406" w14:paraId="7EBAD4EB" w14:textId="77777777" w:rsidTr="006A74E0">
        <w:trPr>
          <w:trHeight w:val="1408"/>
        </w:trPr>
        <w:tc>
          <w:tcPr>
            <w:tcW w:w="9088" w:type="dxa"/>
            <w:gridSpan w:val="2"/>
          </w:tcPr>
          <w:p w14:paraId="644D5088" w14:textId="77777777" w:rsidR="003602E0" w:rsidRDefault="003602E0" w:rsidP="006A74E0">
            <w:pPr>
              <w:rPr>
                <w:rFonts w:cs="Arial"/>
              </w:rPr>
            </w:pPr>
          </w:p>
          <w:p w14:paraId="05174A93" w14:textId="77777777" w:rsidR="003602E0" w:rsidRPr="00C107CE" w:rsidRDefault="003602E0" w:rsidP="006A74E0">
            <w:pPr>
              <w:rPr>
                <w:rFonts w:cs="Arial"/>
                <w:b/>
              </w:rPr>
            </w:pPr>
            <w:r>
              <w:rPr>
                <w:rFonts w:cs="Arial"/>
                <w:b/>
              </w:rPr>
              <w:t>LEP Specific</w:t>
            </w:r>
          </w:p>
          <w:p w14:paraId="6994A2B8" w14:textId="77777777" w:rsidR="003602E0" w:rsidRDefault="003602E0" w:rsidP="006A74E0">
            <w:pPr>
              <w:rPr>
                <w:rFonts w:cs="Arial"/>
              </w:rPr>
            </w:pPr>
          </w:p>
          <w:p w14:paraId="06336B54" w14:textId="77777777" w:rsidR="003602E0" w:rsidRPr="00BE2EE4" w:rsidRDefault="003602E0" w:rsidP="006A74E0">
            <w:pPr>
              <w:rPr>
                <w:rFonts w:cs="Arial"/>
              </w:rPr>
            </w:pPr>
            <w:r w:rsidRPr="00BE2EE4">
              <w:rPr>
                <w:rFonts w:cs="Arial"/>
              </w:rPr>
              <w:t>Currently £</w:t>
            </w:r>
            <w:r>
              <w:rPr>
                <w:rFonts w:cs="Arial"/>
              </w:rPr>
              <w:t>2,454,500</w:t>
            </w:r>
            <w:r w:rsidRPr="00BE2EE4">
              <w:rPr>
                <w:rFonts w:cs="Arial"/>
              </w:rPr>
              <w:t xml:space="preserve"> will be available for the period from </w:t>
            </w:r>
            <w:r>
              <w:rPr>
                <w:rFonts w:cs="Arial"/>
              </w:rPr>
              <w:t>1 April 2016</w:t>
            </w:r>
            <w:r w:rsidRPr="00BE2EE4">
              <w:rPr>
                <w:rFonts w:cs="Arial"/>
              </w:rPr>
              <w:t xml:space="preserve"> to </w:t>
            </w:r>
            <w:r>
              <w:rPr>
                <w:rFonts w:cs="Arial"/>
              </w:rPr>
              <w:t xml:space="preserve">31 March </w:t>
            </w:r>
            <w:r w:rsidRPr="00BE2EE4">
              <w:rPr>
                <w:rFonts w:cs="Arial"/>
              </w:rPr>
              <w:t>2018</w:t>
            </w:r>
            <w:r>
              <w:rPr>
                <w:rFonts w:cs="Arial"/>
              </w:rPr>
              <w:t xml:space="preserve">.  This </w:t>
            </w:r>
            <w:r w:rsidRPr="00BE2EE4">
              <w:rPr>
                <w:rFonts w:cs="Arial"/>
              </w:rPr>
              <w:t>may be increased if additional funding becomes available.</w:t>
            </w:r>
          </w:p>
          <w:p w14:paraId="7DA91A01" w14:textId="77777777" w:rsidR="003602E0" w:rsidRPr="00BE2EE4" w:rsidRDefault="003602E0" w:rsidP="006A74E0">
            <w:pPr>
              <w:rPr>
                <w:rFonts w:cs="Arial"/>
              </w:rPr>
            </w:pPr>
          </w:p>
          <w:p w14:paraId="5B5783CF" w14:textId="77777777" w:rsidR="003602E0" w:rsidRDefault="003602E0" w:rsidP="006A74E0">
            <w:pPr>
              <w:rPr>
                <w:rFonts w:cs="Arial"/>
              </w:rPr>
            </w:pPr>
            <w:r>
              <w:rPr>
                <w:rFonts w:cs="Arial"/>
              </w:rPr>
              <w:t>All a</w:t>
            </w:r>
            <w:r w:rsidRPr="00BE2EE4">
              <w:rPr>
                <w:rFonts w:cs="Arial"/>
              </w:rPr>
              <w:t>ctivity must be achieved within lifetime of the contract.</w:t>
            </w:r>
          </w:p>
          <w:p w14:paraId="47688852" w14:textId="77777777" w:rsidR="003602E0" w:rsidRDefault="003602E0" w:rsidP="006A74E0">
            <w:pPr>
              <w:rPr>
                <w:rFonts w:cs="Arial"/>
              </w:rPr>
            </w:pPr>
          </w:p>
          <w:p w14:paraId="10428FC1" w14:textId="77777777" w:rsidR="003602E0" w:rsidRDefault="003602E0" w:rsidP="006A74E0">
            <w:pPr>
              <w:rPr>
                <w:rFonts w:cs="Arial"/>
              </w:rPr>
            </w:pPr>
            <w:r>
              <w:rPr>
                <w:rFonts w:cs="Arial"/>
              </w:rPr>
              <w:t xml:space="preserve">The table below shows the initial planned outcomes, but performance management may change the volumes and mix during the life of the contract.  From the funding available on the regulated and non-regulated lines, the provider must plan to deliver the appropriate education &amp; training for each participant to enable them to progress. </w:t>
            </w:r>
          </w:p>
          <w:p w14:paraId="64918A0C" w14:textId="77777777" w:rsidR="003602E0" w:rsidRPr="00BE2EE4" w:rsidRDefault="003602E0" w:rsidP="006A74E0">
            <w:pPr>
              <w:rPr>
                <w:rFonts w:cs="Arial"/>
              </w:rPr>
            </w:pPr>
          </w:p>
          <w:p w14:paraId="3E69CB45" w14:textId="77777777" w:rsidR="003602E0" w:rsidRDefault="003602E0" w:rsidP="006A74E0">
            <w:pPr>
              <w:autoSpaceDE w:val="0"/>
              <w:autoSpaceDN w:val="0"/>
              <w:adjustRightInd w:val="0"/>
              <w:rPr>
                <w:rFonts w:cs="Arial"/>
              </w:rPr>
            </w:pPr>
            <w:r w:rsidRPr="00BE2EE4">
              <w:rPr>
                <w:rFonts w:cs="Arial"/>
              </w:rPr>
              <w:t>The minimum service deliverables, values and volumes for which evidence must be provided are:</w:t>
            </w:r>
          </w:p>
          <w:p w14:paraId="7BA7F8E5" w14:textId="77777777" w:rsidR="003602E0" w:rsidRDefault="003602E0" w:rsidP="006A74E0">
            <w:pPr>
              <w:autoSpaceDE w:val="0"/>
              <w:autoSpaceDN w:val="0"/>
              <w:adjustRightInd w:val="0"/>
              <w:rPr>
                <w:rFonts w:cs="Arial"/>
              </w:rPr>
            </w:pPr>
          </w:p>
          <w:tbl>
            <w:tblPr>
              <w:tblW w:w="8529" w:type="dxa"/>
              <w:tblInd w:w="10" w:type="dxa"/>
              <w:tblLayout w:type="fixed"/>
              <w:tblLook w:val="04A0" w:firstRow="1" w:lastRow="0" w:firstColumn="1" w:lastColumn="0" w:noHBand="0" w:noVBand="1"/>
            </w:tblPr>
            <w:tblGrid>
              <w:gridCol w:w="4623"/>
              <w:gridCol w:w="1377"/>
              <w:gridCol w:w="17"/>
              <w:gridCol w:w="1363"/>
              <w:gridCol w:w="1126"/>
              <w:gridCol w:w="23"/>
            </w:tblGrid>
            <w:tr w:rsidR="003602E0" w:rsidRPr="009523C3" w14:paraId="0881D5DC" w14:textId="77777777" w:rsidTr="006A74E0">
              <w:trPr>
                <w:gridAfter w:val="1"/>
                <w:wAfter w:w="23" w:type="dxa"/>
                <w:trHeight w:val="723"/>
              </w:trPr>
              <w:tc>
                <w:tcPr>
                  <w:tcW w:w="4623"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7604596E" w14:textId="77777777" w:rsidR="003602E0" w:rsidRPr="00843BC6" w:rsidRDefault="003602E0" w:rsidP="006A74E0">
                  <w:pPr>
                    <w:rPr>
                      <w:rFonts w:cs="Arial"/>
                      <w:b/>
                      <w:bCs/>
                      <w:color w:val="000000"/>
                      <w:sz w:val="20"/>
                      <w:szCs w:val="20"/>
                      <w:lang w:eastAsia="en-GB"/>
                    </w:rPr>
                  </w:pPr>
                  <w:r w:rsidRPr="00843BC6">
                    <w:rPr>
                      <w:rFonts w:cs="Arial"/>
                      <w:b/>
                      <w:bCs/>
                      <w:color w:val="000000"/>
                      <w:sz w:val="20"/>
                      <w:szCs w:val="20"/>
                      <w:lang w:eastAsia="en-GB"/>
                    </w:rPr>
                    <w:t>Description</w:t>
                  </w:r>
                </w:p>
              </w:tc>
              <w:tc>
                <w:tcPr>
                  <w:tcW w:w="1377" w:type="dxa"/>
                  <w:tcBorders>
                    <w:top w:val="single" w:sz="8" w:space="0" w:color="auto"/>
                    <w:left w:val="nil"/>
                    <w:bottom w:val="single" w:sz="12" w:space="0" w:color="auto"/>
                    <w:right w:val="single" w:sz="8" w:space="0" w:color="auto"/>
                  </w:tcBorders>
                  <w:shd w:val="clear" w:color="auto" w:fill="auto"/>
                  <w:vAlign w:val="center"/>
                  <w:hideMark/>
                </w:tcPr>
                <w:p w14:paraId="1FE7D510" w14:textId="77777777" w:rsidR="003602E0" w:rsidRPr="00843BC6" w:rsidRDefault="003602E0" w:rsidP="006A74E0">
                  <w:pPr>
                    <w:jc w:val="center"/>
                    <w:rPr>
                      <w:rFonts w:cs="Arial"/>
                      <w:b/>
                      <w:bCs/>
                      <w:color w:val="000000"/>
                      <w:sz w:val="20"/>
                      <w:szCs w:val="20"/>
                      <w:lang w:eastAsia="en-GB"/>
                    </w:rPr>
                  </w:pPr>
                  <w:r w:rsidRPr="00843BC6">
                    <w:rPr>
                      <w:rFonts w:cs="Arial"/>
                      <w:b/>
                      <w:bCs/>
                      <w:color w:val="000000"/>
                      <w:sz w:val="20"/>
                      <w:szCs w:val="20"/>
                      <w:lang w:eastAsia="en-GB"/>
                    </w:rPr>
                    <w:t>Volumes</w:t>
                  </w:r>
                </w:p>
              </w:tc>
              <w:tc>
                <w:tcPr>
                  <w:tcW w:w="1380" w:type="dxa"/>
                  <w:gridSpan w:val="2"/>
                  <w:tcBorders>
                    <w:top w:val="single" w:sz="8" w:space="0" w:color="auto"/>
                    <w:left w:val="nil"/>
                    <w:bottom w:val="single" w:sz="12" w:space="0" w:color="auto"/>
                    <w:right w:val="single" w:sz="8" w:space="0" w:color="auto"/>
                  </w:tcBorders>
                  <w:shd w:val="clear" w:color="auto" w:fill="auto"/>
                  <w:vAlign w:val="center"/>
                  <w:hideMark/>
                </w:tcPr>
                <w:p w14:paraId="1BE58348" w14:textId="77777777" w:rsidR="003602E0" w:rsidRPr="00843BC6" w:rsidRDefault="003602E0" w:rsidP="006A74E0">
                  <w:pPr>
                    <w:jc w:val="center"/>
                    <w:rPr>
                      <w:rFonts w:cs="Arial"/>
                      <w:b/>
                      <w:bCs/>
                      <w:color w:val="000000"/>
                      <w:sz w:val="20"/>
                      <w:szCs w:val="20"/>
                      <w:lang w:eastAsia="en-GB"/>
                    </w:rPr>
                  </w:pPr>
                  <w:r w:rsidRPr="00843BC6">
                    <w:rPr>
                      <w:rFonts w:cs="Arial"/>
                      <w:b/>
                      <w:bCs/>
                      <w:color w:val="000000"/>
                      <w:sz w:val="20"/>
                      <w:szCs w:val="20"/>
                      <w:lang w:eastAsia="en-GB"/>
                    </w:rPr>
                    <w:t>Unit Cost Total Value Average per Intervention</w:t>
                  </w:r>
                </w:p>
              </w:tc>
              <w:tc>
                <w:tcPr>
                  <w:tcW w:w="1126" w:type="dxa"/>
                  <w:tcBorders>
                    <w:top w:val="single" w:sz="8" w:space="0" w:color="auto"/>
                    <w:left w:val="nil"/>
                    <w:bottom w:val="single" w:sz="12" w:space="0" w:color="auto"/>
                    <w:right w:val="single" w:sz="8" w:space="0" w:color="auto"/>
                  </w:tcBorders>
                  <w:shd w:val="clear" w:color="auto" w:fill="auto"/>
                  <w:vAlign w:val="center"/>
                  <w:hideMark/>
                </w:tcPr>
                <w:p w14:paraId="4EEA2B09" w14:textId="77777777" w:rsidR="003602E0" w:rsidRPr="00843BC6" w:rsidRDefault="003602E0" w:rsidP="006A74E0">
                  <w:pPr>
                    <w:jc w:val="center"/>
                    <w:rPr>
                      <w:rFonts w:cs="Arial"/>
                      <w:b/>
                      <w:bCs/>
                      <w:color w:val="000000"/>
                      <w:sz w:val="20"/>
                      <w:szCs w:val="20"/>
                      <w:lang w:eastAsia="en-GB"/>
                    </w:rPr>
                  </w:pPr>
                  <w:r w:rsidRPr="00843BC6">
                    <w:rPr>
                      <w:rFonts w:cs="Arial"/>
                      <w:b/>
                      <w:bCs/>
                      <w:color w:val="000000"/>
                      <w:sz w:val="20"/>
                      <w:szCs w:val="20"/>
                      <w:lang w:eastAsia="en-GB"/>
                    </w:rPr>
                    <w:t>£</w:t>
                  </w:r>
                </w:p>
              </w:tc>
            </w:tr>
            <w:tr w:rsidR="003602E0" w:rsidRPr="00DD06F6" w14:paraId="111F8424" w14:textId="77777777" w:rsidTr="006A74E0">
              <w:trPr>
                <w:trHeight w:val="538"/>
              </w:trPr>
              <w:tc>
                <w:tcPr>
                  <w:tcW w:w="4623" w:type="dxa"/>
                  <w:tcBorders>
                    <w:top w:val="nil"/>
                    <w:left w:val="single" w:sz="8" w:space="0" w:color="auto"/>
                    <w:bottom w:val="single" w:sz="8" w:space="0" w:color="auto"/>
                    <w:right w:val="single" w:sz="8" w:space="0" w:color="auto"/>
                  </w:tcBorders>
                  <w:shd w:val="clear" w:color="000000" w:fill="D9D9D9"/>
                  <w:vAlign w:val="center"/>
                  <w:hideMark/>
                </w:tcPr>
                <w:p w14:paraId="77F60760"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 xml:space="preserve">ST01 Learner Assessment and Plan </w:t>
                  </w:r>
                </w:p>
              </w:tc>
              <w:tc>
                <w:tcPr>
                  <w:tcW w:w="1394" w:type="dxa"/>
                  <w:gridSpan w:val="2"/>
                  <w:tcBorders>
                    <w:top w:val="nil"/>
                    <w:left w:val="nil"/>
                    <w:bottom w:val="single" w:sz="8" w:space="0" w:color="auto"/>
                    <w:right w:val="single" w:sz="8" w:space="0" w:color="auto"/>
                  </w:tcBorders>
                  <w:shd w:val="clear" w:color="000000" w:fill="D9D9D9"/>
                  <w:vAlign w:val="center"/>
                  <w:hideMark/>
                </w:tcPr>
                <w:p w14:paraId="3485DF64"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1444</w:t>
                  </w:r>
                </w:p>
              </w:tc>
              <w:tc>
                <w:tcPr>
                  <w:tcW w:w="1363" w:type="dxa"/>
                  <w:tcBorders>
                    <w:top w:val="nil"/>
                    <w:left w:val="nil"/>
                    <w:bottom w:val="single" w:sz="8" w:space="0" w:color="auto"/>
                    <w:right w:val="single" w:sz="8" w:space="0" w:color="auto"/>
                  </w:tcBorders>
                  <w:shd w:val="clear" w:color="000000" w:fill="D9D9D9"/>
                  <w:noWrap/>
                  <w:vAlign w:val="center"/>
                  <w:hideMark/>
                </w:tcPr>
                <w:p w14:paraId="0ED7E05D"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£50</w:t>
                  </w:r>
                </w:p>
              </w:tc>
              <w:tc>
                <w:tcPr>
                  <w:tcW w:w="1149" w:type="dxa"/>
                  <w:gridSpan w:val="2"/>
                  <w:tcBorders>
                    <w:top w:val="nil"/>
                    <w:left w:val="nil"/>
                    <w:bottom w:val="single" w:sz="8" w:space="0" w:color="auto"/>
                    <w:right w:val="single" w:sz="8" w:space="0" w:color="auto"/>
                  </w:tcBorders>
                  <w:shd w:val="clear" w:color="000000" w:fill="D9D9D9"/>
                  <w:noWrap/>
                  <w:vAlign w:val="center"/>
                  <w:hideMark/>
                </w:tcPr>
                <w:p w14:paraId="0AC70BE2"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£72,200</w:t>
                  </w:r>
                </w:p>
              </w:tc>
            </w:tr>
            <w:tr w:rsidR="003602E0" w:rsidRPr="00DD06F6" w14:paraId="4DC1E7C4" w14:textId="77777777" w:rsidTr="006A74E0">
              <w:trPr>
                <w:trHeight w:val="538"/>
              </w:trPr>
              <w:tc>
                <w:tcPr>
                  <w:tcW w:w="4623" w:type="dxa"/>
                  <w:tcBorders>
                    <w:top w:val="nil"/>
                    <w:left w:val="single" w:sz="8" w:space="0" w:color="auto"/>
                    <w:bottom w:val="single" w:sz="8" w:space="0" w:color="auto"/>
                    <w:right w:val="single" w:sz="8" w:space="0" w:color="auto"/>
                  </w:tcBorders>
                  <w:shd w:val="clear" w:color="auto" w:fill="auto"/>
                  <w:vAlign w:val="center"/>
                  <w:hideMark/>
                </w:tcPr>
                <w:p w14:paraId="011D24E9"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RQ01 Regulated Learning</w:t>
                  </w:r>
                </w:p>
              </w:tc>
              <w:tc>
                <w:tcPr>
                  <w:tcW w:w="1394" w:type="dxa"/>
                  <w:gridSpan w:val="2"/>
                  <w:tcBorders>
                    <w:top w:val="nil"/>
                    <w:left w:val="nil"/>
                    <w:bottom w:val="single" w:sz="8" w:space="0" w:color="auto"/>
                    <w:right w:val="single" w:sz="8" w:space="0" w:color="auto"/>
                  </w:tcBorders>
                  <w:shd w:val="clear" w:color="auto" w:fill="auto"/>
                  <w:vAlign w:val="center"/>
                </w:tcPr>
                <w:p w14:paraId="561DAB3A" w14:textId="77777777" w:rsidR="003602E0" w:rsidRPr="009523C3" w:rsidRDefault="003602E0" w:rsidP="006A74E0">
                  <w:pPr>
                    <w:jc w:val="center"/>
                    <w:rPr>
                      <w:rFonts w:cs="Arial"/>
                      <w:color w:val="000000"/>
                      <w:sz w:val="20"/>
                      <w:szCs w:val="20"/>
                      <w:lang w:eastAsia="en-GB"/>
                    </w:rPr>
                  </w:pPr>
                </w:p>
              </w:tc>
              <w:tc>
                <w:tcPr>
                  <w:tcW w:w="1363" w:type="dxa"/>
                  <w:tcBorders>
                    <w:top w:val="nil"/>
                    <w:left w:val="nil"/>
                    <w:bottom w:val="single" w:sz="8" w:space="0" w:color="auto"/>
                    <w:right w:val="single" w:sz="8" w:space="0" w:color="auto"/>
                  </w:tcBorders>
                  <w:shd w:val="clear" w:color="auto" w:fill="auto"/>
                  <w:noWrap/>
                  <w:vAlign w:val="center"/>
                </w:tcPr>
                <w:p w14:paraId="4B3EACD5" w14:textId="77777777" w:rsidR="003602E0" w:rsidRPr="00843BC6" w:rsidRDefault="003602E0" w:rsidP="006A74E0">
                  <w:pPr>
                    <w:jc w:val="center"/>
                    <w:rPr>
                      <w:rFonts w:cs="Arial"/>
                      <w:color w:val="000000"/>
                      <w:sz w:val="20"/>
                      <w:szCs w:val="20"/>
                      <w:lang w:eastAsia="en-GB"/>
                    </w:rPr>
                  </w:pPr>
                </w:p>
              </w:tc>
              <w:tc>
                <w:tcPr>
                  <w:tcW w:w="1149" w:type="dxa"/>
                  <w:gridSpan w:val="2"/>
                  <w:tcBorders>
                    <w:top w:val="nil"/>
                    <w:left w:val="nil"/>
                    <w:bottom w:val="single" w:sz="8" w:space="0" w:color="auto"/>
                    <w:right w:val="single" w:sz="8" w:space="0" w:color="auto"/>
                  </w:tcBorders>
                  <w:shd w:val="clear" w:color="auto" w:fill="auto"/>
                  <w:noWrap/>
                  <w:vAlign w:val="center"/>
                  <w:hideMark/>
                </w:tcPr>
                <w:p w14:paraId="3E7947BD"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£800,000</w:t>
                  </w:r>
                </w:p>
              </w:tc>
            </w:tr>
            <w:tr w:rsidR="003602E0" w:rsidRPr="00DD06F6" w14:paraId="20CD3428" w14:textId="77777777" w:rsidTr="006A74E0">
              <w:trPr>
                <w:trHeight w:val="538"/>
              </w:trPr>
              <w:tc>
                <w:tcPr>
                  <w:tcW w:w="4623" w:type="dxa"/>
                  <w:tcBorders>
                    <w:top w:val="nil"/>
                    <w:left w:val="single" w:sz="8" w:space="0" w:color="auto"/>
                    <w:bottom w:val="single" w:sz="8" w:space="0" w:color="auto"/>
                    <w:right w:val="single" w:sz="8" w:space="0" w:color="auto"/>
                  </w:tcBorders>
                  <w:shd w:val="clear" w:color="000000" w:fill="D9D9D9"/>
                  <w:vAlign w:val="center"/>
                  <w:hideMark/>
                </w:tcPr>
                <w:p w14:paraId="22E51655"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NR01 Non Regulated Activity</w:t>
                  </w:r>
                </w:p>
              </w:tc>
              <w:tc>
                <w:tcPr>
                  <w:tcW w:w="1394" w:type="dxa"/>
                  <w:gridSpan w:val="2"/>
                  <w:tcBorders>
                    <w:top w:val="nil"/>
                    <w:left w:val="nil"/>
                    <w:bottom w:val="single" w:sz="8" w:space="0" w:color="auto"/>
                    <w:right w:val="single" w:sz="8" w:space="0" w:color="auto"/>
                  </w:tcBorders>
                  <w:shd w:val="clear" w:color="000000" w:fill="D9D9D9"/>
                  <w:vAlign w:val="center"/>
                </w:tcPr>
                <w:p w14:paraId="49968356" w14:textId="77777777" w:rsidR="003602E0" w:rsidRPr="009523C3" w:rsidRDefault="003602E0" w:rsidP="006A74E0">
                  <w:pPr>
                    <w:jc w:val="center"/>
                    <w:rPr>
                      <w:rFonts w:cs="Arial"/>
                      <w:color w:val="000000"/>
                      <w:sz w:val="20"/>
                      <w:szCs w:val="20"/>
                      <w:lang w:eastAsia="en-GB"/>
                    </w:rPr>
                  </w:pPr>
                </w:p>
              </w:tc>
              <w:tc>
                <w:tcPr>
                  <w:tcW w:w="1363" w:type="dxa"/>
                  <w:tcBorders>
                    <w:top w:val="nil"/>
                    <w:left w:val="nil"/>
                    <w:bottom w:val="single" w:sz="8" w:space="0" w:color="auto"/>
                    <w:right w:val="single" w:sz="8" w:space="0" w:color="auto"/>
                  </w:tcBorders>
                  <w:shd w:val="clear" w:color="000000" w:fill="D9D9D9"/>
                  <w:noWrap/>
                  <w:vAlign w:val="center"/>
                </w:tcPr>
                <w:p w14:paraId="2E394685" w14:textId="77777777" w:rsidR="003602E0" w:rsidRPr="00843BC6" w:rsidRDefault="003602E0" w:rsidP="006A74E0">
                  <w:pPr>
                    <w:jc w:val="center"/>
                    <w:rPr>
                      <w:rFonts w:cs="Arial"/>
                      <w:color w:val="000000"/>
                      <w:sz w:val="20"/>
                      <w:szCs w:val="20"/>
                      <w:lang w:eastAsia="en-GB"/>
                    </w:rPr>
                  </w:pPr>
                </w:p>
              </w:tc>
              <w:tc>
                <w:tcPr>
                  <w:tcW w:w="1149" w:type="dxa"/>
                  <w:gridSpan w:val="2"/>
                  <w:tcBorders>
                    <w:top w:val="nil"/>
                    <w:left w:val="nil"/>
                    <w:bottom w:val="single" w:sz="8" w:space="0" w:color="auto"/>
                    <w:right w:val="single" w:sz="8" w:space="0" w:color="auto"/>
                  </w:tcBorders>
                  <w:shd w:val="clear" w:color="000000" w:fill="D9D9D9"/>
                  <w:noWrap/>
                  <w:vAlign w:val="center"/>
                  <w:hideMark/>
                </w:tcPr>
                <w:p w14:paraId="665332B5"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£574,000</w:t>
                  </w:r>
                </w:p>
              </w:tc>
            </w:tr>
            <w:tr w:rsidR="003602E0" w:rsidRPr="00DD06F6" w14:paraId="078E1ED5" w14:textId="77777777" w:rsidTr="006A74E0">
              <w:trPr>
                <w:trHeight w:val="538"/>
              </w:trPr>
              <w:tc>
                <w:tcPr>
                  <w:tcW w:w="4623" w:type="dxa"/>
                  <w:tcBorders>
                    <w:top w:val="nil"/>
                    <w:left w:val="single" w:sz="8" w:space="0" w:color="auto"/>
                    <w:bottom w:val="single" w:sz="8" w:space="0" w:color="auto"/>
                    <w:right w:val="single" w:sz="8" w:space="0" w:color="auto"/>
                  </w:tcBorders>
                  <w:shd w:val="clear" w:color="auto" w:fill="auto"/>
                  <w:vAlign w:val="center"/>
                  <w:hideMark/>
                </w:tcPr>
                <w:p w14:paraId="7B56934E"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PG01 Progression Paid Employment (EMP)</w:t>
                  </w:r>
                </w:p>
              </w:tc>
              <w:tc>
                <w:tcPr>
                  <w:tcW w:w="1394" w:type="dxa"/>
                  <w:gridSpan w:val="2"/>
                  <w:tcBorders>
                    <w:top w:val="nil"/>
                    <w:left w:val="nil"/>
                    <w:bottom w:val="single" w:sz="8" w:space="0" w:color="auto"/>
                    <w:right w:val="single" w:sz="8" w:space="0" w:color="auto"/>
                  </w:tcBorders>
                  <w:shd w:val="clear" w:color="auto" w:fill="auto"/>
                  <w:vAlign w:val="center"/>
                  <w:hideMark/>
                </w:tcPr>
                <w:p w14:paraId="435E210E"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270</w:t>
                  </w:r>
                </w:p>
              </w:tc>
              <w:tc>
                <w:tcPr>
                  <w:tcW w:w="1363" w:type="dxa"/>
                  <w:tcBorders>
                    <w:top w:val="nil"/>
                    <w:left w:val="nil"/>
                    <w:bottom w:val="single" w:sz="8" w:space="0" w:color="auto"/>
                    <w:right w:val="single" w:sz="8" w:space="0" w:color="auto"/>
                  </w:tcBorders>
                  <w:shd w:val="clear" w:color="auto" w:fill="auto"/>
                  <w:noWrap/>
                  <w:vAlign w:val="center"/>
                  <w:hideMark/>
                </w:tcPr>
                <w:p w14:paraId="0D26EA89"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£800</w:t>
                  </w:r>
                </w:p>
              </w:tc>
              <w:tc>
                <w:tcPr>
                  <w:tcW w:w="1149" w:type="dxa"/>
                  <w:gridSpan w:val="2"/>
                  <w:tcBorders>
                    <w:top w:val="nil"/>
                    <w:left w:val="nil"/>
                    <w:bottom w:val="single" w:sz="8" w:space="0" w:color="auto"/>
                    <w:right w:val="single" w:sz="8" w:space="0" w:color="auto"/>
                  </w:tcBorders>
                  <w:shd w:val="clear" w:color="auto" w:fill="auto"/>
                  <w:noWrap/>
                  <w:vAlign w:val="center"/>
                  <w:hideMark/>
                </w:tcPr>
                <w:p w14:paraId="29003215"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£216,000</w:t>
                  </w:r>
                </w:p>
              </w:tc>
            </w:tr>
            <w:tr w:rsidR="003602E0" w:rsidRPr="00DD06F6" w14:paraId="2F89C647" w14:textId="77777777" w:rsidTr="006A74E0">
              <w:trPr>
                <w:trHeight w:val="538"/>
              </w:trPr>
              <w:tc>
                <w:tcPr>
                  <w:tcW w:w="4623" w:type="dxa"/>
                  <w:tcBorders>
                    <w:top w:val="nil"/>
                    <w:left w:val="single" w:sz="8" w:space="0" w:color="auto"/>
                    <w:bottom w:val="single" w:sz="8" w:space="0" w:color="auto"/>
                    <w:right w:val="single" w:sz="8" w:space="0" w:color="auto"/>
                  </w:tcBorders>
                  <w:shd w:val="clear" w:color="000000" w:fill="D9D9D9"/>
                  <w:vAlign w:val="center"/>
                  <w:hideMark/>
                </w:tcPr>
                <w:p w14:paraId="724184A1"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PG02 Progression Unpaid Employment (VOL)</w:t>
                  </w:r>
                </w:p>
              </w:tc>
              <w:tc>
                <w:tcPr>
                  <w:tcW w:w="1394" w:type="dxa"/>
                  <w:gridSpan w:val="2"/>
                  <w:tcBorders>
                    <w:top w:val="nil"/>
                    <w:left w:val="nil"/>
                    <w:bottom w:val="single" w:sz="8" w:space="0" w:color="auto"/>
                    <w:right w:val="single" w:sz="8" w:space="0" w:color="auto"/>
                  </w:tcBorders>
                  <w:shd w:val="clear" w:color="000000" w:fill="D9D9D9"/>
                  <w:vAlign w:val="center"/>
                  <w:hideMark/>
                </w:tcPr>
                <w:p w14:paraId="5689F79E"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40</w:t>
                  </w:r>
                </w:p>
              </w:tc>
              <w:tc>
                <w:tcPr>
                  <w:tcW w:w="1363" w:type="dxa"/>
                  <w:tcBorders>
                    <w:top w:val="nil"/>
                    <w:left w:val="nil"/>
                    <w:bottom w:val="single" w:sz="8" w:space="0" w:color="auto"/>
                    <w:right w:val="single" w:sz="8" w:space="0" w:color="auto"/>
                  </w:tcBorders>
                  <w:shd w:val="clear" w:color="000000" w:fill="D9D9D9"/>
                  <w:noWrap/>
                  <w:vAlign w:val="center"/>
                  <w:hideMark/>
                </w:tcPr>
                <w:p w14:paraId="05ED4E3B"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£400</w:t>
                  </w:r>
                </w:p>
              </w:tc>
              <w:tc>
                <w:tcPr>
                  <w:tcW w:w="1149" w:type="dxa"/>
                  <w:gridSpan w:val="2"/>
                  <w:tcBorders>
                    <w:top w:val="nil"/>
                    <w:left w:val="nil"/>
                    <w:bottom w:val="single" w:sz="8" w:space="0" w:color="auto"/>
                    <w:right w:val="single" w:sz="8" w:space="0" w:color="auto"/>
                  </w:tcBorders>
                  <w:shd w:val="clear" w:color="000000" w:fill="D9D9D9"/>
                  <w:noWrap/>
                  <w:vAlign w:val="center"/>
                  <w:hideMark/>
                </w:tcPr>
                <w:p w14:paraId="7BDEDB23"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£16,000</w:t>
                  </w:r>
                </w:p>
              </w:tc>
            </w:tr>
            <w:tr w:rsidR="003602E0" w:rsidRPr="00DD06F6" w14:paraId="61C45A79" w14:textId="77777777" w:rsidTr="006A74E0">
              <w:trPr>
                <w:trHeight w:val="538"/>
              </w:trPr>
              <w:tc>
                <w:tcPr>
                  <w:tcW w:w="4623" w:type="dxa"/>
                  <w:tcBorders>
                    <w:top w:val="nil"/>
                    <w:left w:val="single" w:sz="8" w:space="0" w:color="auto"/>
                    <w:bottom w:val="single" w:sz="8" w:space="0" w:color="auto"/>
                    <w:right w:val="single" w:sz="8" w:space="0" w:color="auto"/>
                  </w:tcBorders>
                  <w:shd w:val="clear" w:color="auto" w:fill="auto"/>
                  <w:vAlign w:val="center"/>
                  <w:hideMark/>
                </w:tcPr>
                <w:p w14:paraId="53884F4F"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PG03 Progression Education (EDU)</w:t>
                  </w:r>
                </w:p>
              </w:tc>
              <w:tc>
                <w:tcPr>
                  <w:tcW w:w="1394" w:type="dxa"/>
                  <w:gridSpan w:val="2"/>
                  <w:tcBorders>
                    <w:top w:val="nil"/>
                    <w:left w:val="nil"/>
                    <w:bottom w:val="single" w:sz="8" w:space="0" w:color="auto"/>
                    <w:right w:val="single" w:sz="8" w:space="0" w:color="auto"/>
                  </w:tcBorders>
                  <w:shd w:val="clear" w:color="auto" w:fill="auto"/>
                  <w:vAlign w:val="center"/>
                  <w:hideMark/>
                </w:tcPr>
                <w:p w14:paraId="2F576869"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454</w:t>
                  </w:r>
                </w:p>
              </w:tc>
              <w:tc>
                <w:tcPr>
                  <w:tcW w:w="1363" w:type="dxa"/>
                  <w:tcBorders>
                    <w:top w:val="nil"/>
                    <w:left w:val="nil"/>
                    <w:bottom w:val="single" w:sz="8" w:space="0" w:color="auto"/>
                    <w:right w:val="single" w:sz="8" w:space="0" w:color="auto"/>
                  </w:tcBorders>
                  <w:shd w:val="clear" w:color="auto" w:fill="auto"/>
                  <w:noWrap/>
                  <w:vAlign w:val="center"/>
                  <w:hideMark/>
                </w:tcPr>
                <w:p w14:paraId="474D4E66"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£400</w:t>
                  </w:r>
                </w:p>
              </w:tc>
              <w:tc>
                <w:tcPr>
                  <w:tcW w:w="1149" w:type="dxa"/>
                  <w:gridSpan w:val="2"/>
                  <w:tcBorders>
                    <w:top w:val="nil"/>
                    <w:left w:val="nil"/>
                    <w:bottom w:val="single" w:sz="8" w:space="0" w:color="auto"/>
                    <w:right w:val="single" w:sz="8" w:space="0" w:color="auto"/>
                  </w:tcBorders>
                  <w:shd w:val="clear" w:color="auto" w:fill="auto"/>
                  <w:noWrap/>
                  <w:vAlign w:val="center"/>
                  <w:hideMark/>
                </w:tcPr>
                <w:p w14:paraId="7BC5791D"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£181,600</w:t>
                  </w:r>
                </w:p>
              </w:tc>
            </w:tr>
            <w:tr w:rsidR="003602E0" w:rsidRPr="00DD06F6" w14:paraId="7730DE4F" w14:textId="77777777" w:rsidTr="006A74E0">
              <w:trPr>
                <w:trHeight w:val="538"/>
              </w:trPr>
              <w:tc>
                <w:tcPr>
                  <w:tcW w:w="4623" w:type="dxa"/>
                  <w:tcBorders>
                    <w:top w:val="nil"/>
                    <w:left w:val="single" w:sz="8" w:space="0" w:color="auto"/>
                    <w:bottom w:val="single" w:sz="8" w:space="0" w:color="auto"/>
                    <w:right w:val="single" w:sz="8" w:space="0" w:color="auto"/>
                  </w:tcBorders>
                  <w:shd w:val="clear" w:color="000000" w:fill="D9D9D9"/>
                  <w:vAlign w:val="center"/>
                  <w:hideMark/>
                </w:tcPr>
                <w:p w14:paraId="44CFC76C"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PG04 Progression Apprenticeship (EDU)</w:t>
                  </w:r>
                </w:p>
              </w:tc>
              <w:tc>
                <w:tcPr>
                  <w:tcW w:w="1394" w:type="dxa"/>
                  <w:gridSpan w:val="2"/>
                  <w:tcBorders>
                    <w:top w:val="nil"/>
                    <w:left w:val="nil"/>
                    <w:bottom w:val="single" w:sz="8" w:space="0" w:color="auto"/>
                    <w:right w:val="single" w:sz="8" w:space="0" w:color="auto"/>
                  </w:tcBorders>
                  <w:shd w:val="clear" w:color="000000" w:fill="D9D9D9"/>
                  <w:vAlign w:val="center"/>
                  <w:hideMark/>
                </w:tcPr>
                <w:p w14:paraId="7222508D"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470</w:t>
                  </w:r>
                </w:p>
              </w:tc>
              <w:tc>
                <w:tcPr>
                  <w:tcW w:w="1363" w:type="dxa"/>
                  <w:tcBorders>
                    <w:top w:val="nil"/>
                    <w:left w:val="nil"/>
                    <w:bottom w:val="single" w:sz="8" w:space="0" w:color="auto"/>
                    <w:right w:val="single" w:sz="8" w:space="0" w:color="auto"/>
                  </w:tcBorders>
                  <w:shd w:val="clear" w:color="000000" w:fill="D9D9D9"/>
                  <w:noWrap/>
                  <w:vAlign w:val="center"/>
                  <w:hideMark/>
                </w:tcPr>
                <w:p w14:paraId="297914A7"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£800</w:t>
                  </w:r>
                </w:p>
              </w:tc>
              <w:tc>
                <w:tcPr>
                  <w:tcW w:w="1149" w:type="dxa"/>
                  <w:gridSpan w:val="2"/>
                  <w:tcBorders>
                    <w:top w:val="nil"/>
                    <w:left w:val="nil"/>
                    <w:bottom w:val="single" w:sz="8" w:space="0" w:color="auto"/>
                    <w:right w:val="single" w:sz="8" w:space="0" w:color="auto"/>
                  </w:tcBorders>
                  <w:shd w:val="clear" w:color="000000" w:fill="D9D9D9"/>
                  <w:noWrap/>
                  <w:vAlign w:val="center"/>
                  <w:hideMark/>
                </w:tcPr>
                <w:p w14:paraId="251A2602"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£376,000</w:t>
                  </w:r>
                </w:p>
              </w:tc>
            </w:tr>
            <w:tr w:rsidR="003602E0" w:rsidRPr="00DD06F6" w14:paraId="397F8C4F" w14:textId="77777777" w:rsidTr="006A74E0">
              <w:trPr>
                <w:trHeight w:val="538"/>
              </w:trPr>
              <w:tc>
                <w:tcPr>
                  <w:tcW w:w="4623" w:type="dxa"/>
                  <w:tcBorders>
                    <w:top w:val="nil"/>
                    <w:left w:val="single" w:sz="8" w:space="0" w:color="auto"/>
                    <w:bottom w:val="single" w:sz="8" w:space="0" w:color="auto"/>
                    <w:right w:val="single" w:sz="8" w:space="0" w:color="auto"/>
                  </w:tcBorders>
                  <w:shd w:val="clear" w:color="auto" w:fill="auto"/>
                  <w:vAlign w:val="center"/>
                  <w:hideMark/>
                </w:tcPr>
                <w:p w14:paraId="28CD76C2"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lastRenderedPageBreak/>
                    <w:t>PG05 Progression Traineeship (EDU)</w:t>
                  </w:r>
                </w:p>
              </w:tc>
              <w:tc>
                <w:tcPr>
                  <w:tcW w:w="1394" w:type="dxa"/>
                  <w:gridSpan w:val="2"/>
                  <w:tcBorders>
                    <w:top w:val="nil"/>
                    <w:left w:val="nil"/>
                    <w:bottom w:val="single" w:sz="8" w:space="0" w:color="auto"/>
                    <w:right w:val="single" w:sz="8" w:space="0" w:color="auto"/>
                  </w:tcBorders>
                  <w:shd w:val="clear" w:color="auto" w:fill="auto"/>
                  <w:vAlign w:val="center"/>
                  <w:hideMark/>
                </w:tcPr>
                <w:p w14:paraId="6D51C644"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40</w:t>
                  </w:r>
                </w:p>
              </w:tc>
              <w:tc>
                <w:tcPr>
                  <w:tcW w:w="1363" w:type="dxa"/>
                  <w:tcBorders>
                    <w:top w:val="nil"/>
                    <w:left w:val="nil"/>
                    <w:bottom w:val="single" w:sz="8" w:space="0" w:color="auto"/>
                    <w:right w:val="single" w:sz="8" w:space="0" w:color="auto"/>
                  </w:tcBorders>
                  <w:shd w:val="clear" w:color="auto" w:fill="auto"/>
                  <w:noWrap/>
                  <w:vAlign w:val="center"/>
                  <w:hideMark/>
                </w:tcPr>
                <w:p w14:paraId="75301E14"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£400</w:t>
                  </w:r>
                </w:p>
              </w:tc>
              <w:tc>
                <w:tcPr>
                  <w:tcW w:w="1149" w:type="dxa"/>
                  <w:gridSpan w:val="2"/>
                  <w:tcBorders>
                    <w:top w:val="nil"/>
                    <w:left w:val="nil"/>
                    <w:bottom w:val="single" w:sz="8" w:space="0" w:color="auto"/>
                    <w:right w:val="single" w:sz="8" w:space="0" w:color="auto"/>
                  </w:tcBorders>
                  <w:shd w:val="clear" w:color="auto" w:fill="auto"/>
                  <w:noWrap/>
                  <w:vAlign w:val="center"/>
                  <w:hideMark/>
                </w:tcPr>
                <w:p w14:paraId="51FEDD60"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£16,000</w:t>
                  </w:r>
                </w:p>
              </w:tc>
            </w:tr>
            <w:tr w:rsidR="003602E0" w:rsidRPr="00DD06F6" w14:paraId="696C8D15" w14:textId="77777777" w:rsidTr="006A74E0">
              <w:trPr>
                <w:trHeight w:val="538"/>
              </w:trPr>
              <w:tc>
                <w:tcPr>
                  <w:tcW w:w="4623" w:type="dxa"/>
                  <w:tcBorders>
                    <w:top w:val="nil"/>
                    <w:left w:val="single" w:sz="8" w:space="0" w:color="auto"/>
                    <w:bottom w:val="single" w:sz="8" w:space="0" w:color="auto"/>
                    <w:right w:val="single" w:sz="8" w:space="0" w:color="auto"/>
                  </w:tcBorders>
                  <w:shd w:val="clear" w:color="000000" w:fill="D9D9D9"/>
                  <w:vAlign w:val="center"/>
                  <w:hideMark/>
                </w:tcPr>
                <w:p w14:paraId="6D3683C5"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SU01 Sustained Employment 3 Months</w:t>
                  </w:r>
                </w:p>
              </w:tc>
              <w:tc>
                <w:tcPr>
                  <w:tcW w:w="1394" w:type="dxa"/>
                  <w:gridSpan w:val="2"/>
                  <w:tcBorders>
                    <w:top w:val="nil"/>
                    <w:left w:val="nil"/>
                    <w:bottom w:val="single" w:sz="8" w:space="0" w:color="auto"/>
                    <w:right w:val="single" w:sz="8" w:space="0" w:color="auto"/>
                  </w:tcBorders>
                  <w:shd w:val="clear" w:color="000000" w:fill="D9D9D9"/>
                  <w:vAlign w:val="center"/>
                  <w:hideMark/>
                </w:tcPr>
                <w:p w14:paraId="5F6A0AEF"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200</w:t>
                  </w:r>
                </w:p>
              </w:tc>
              <w:tc>
                <w:tcPr>
                  <w:tcW w:w="1363" w:type="dxa"/>
                  <w:tcBorders>
                    <w:top w:val="nil"/>
                    <w:left w:val="nil"/>
                    <w:bottom w:val="single" w:sz="8" w:space="0" w:color="auto"/>
                    <w:right w:val="single" w:sz="8" w:space="0" w:color="auto"/>
                  </w:tcBorders>
                  <w:shd w:val="clear" w:color="000000" w:fill="D9D9D9"/>
                  <w:noWrap/>
                  <w:vAlign w:val="center"/>
                  <w:hideMark/>
                </w:tcPr>
                <w:p w14:paraId="02326219"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£100</w:t>
                  </w:r>
                </w:p>
              </w:tc>
              <w:tc>
                <w:tcPr>
                  <w:tcW w:w="1149" w:type="dxa"/>
                  <w:gridSpan w:val="2"/>
                  <w:tcBorders>
                    <w:top w:val="nil"/>
                    <w:left w:val="nil"/>
                    <w:bottom w:val="single" w:sz="8" w:space="0" w:color="auto"/>
                    <w:right w:val="single" w:sz="8" w:space="0" w:color="auto"/>
                  </w:tcBorders>
                  <w:shd w:val="clear" w:color="000000" w:fill="D9D9D9"/>
                  <w:noWrap/>
                  <w:vAlign w:val="center"/>
                  <w:hideMark/>
                </w:tcPr>
                <w:p w14:paraId="61EA0271"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£20,000</w:t>
                  </w:r>
                </w:p>
              </w:tc>
            </w:tr>
            <w:tr w:rsidR="003602E0" w:rsidRPr="00DD06F6" w14:paraId="6B214382" w14:textId="77777777" w:rsidTr="006A74E0">
              <w:trPr>
                <w:trHeight w:val="538"/>
              </w:trPr>
              <w:tc>
                <w:tcPr>
                  <w:tcW w:w="4623" w:type="dxa"/>
                  <w:tcBorders>
                    <w:top w:val="nil"/>
                    <w:left w:val="single" w:sz="8" w:space="0" w:color="auto"/>
                    <w:bottom w:val="single" w:sz="8" w:space="0" w:color="auto"/>
                    <w:right w:val="single" w:sz="8" w:space="0" w:color="auto"/>
                  </w:tcBorders>
                  <w:shd w:val="clear" w:color="auto" w:fill="auto"/>
                  <w:vAlign w:val="center"/>
                  <w:hideMark/>
                </w:tcPr>
                <w:p w14:paraId="046D3BEB"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SU02 Sustained Unpaid Employment 3 Months</w:t>
                  </w:r>
                </w:p>
              </w:tc>
              <w:tc>
                <w:tcPr>
                  <w:tcW w:w="1394" w:type="dxa"/>
                  <w:gridSpan w:val="2"/>
                  <w:tcBorders>
                    <w:top w:val="nil"/>
                    <w:left w:val="nil"/>
                    <w:bottom w:val="single" w:sz="8" w:space="0" w:color="auto"/>
                    <w:right w:val="single" w:sz="8" w:space="0" w:color="auto"/>
                  </w:tcBorders>
                  <w:shd w:val="clear" w:color="auto" w:fill="auto"/>
                  <w:vAlign w:val="center"/>
                  <w:hideMark/>
                </w:tcPr>
                <w:p w14:paraId="6DA05F50"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35</w:t>
                  </w:r>
                </w:p>
              </w:tc>
              <w:tc>
                <w:tcPr>
                  <w:tcW w:w="1363" w:type="dxa"/>
                  <w:tcBorders>
                    <w:top w:val="nil"/>
                    <w:left w:val="nil"/>
                    <w:bottom w:val="single" w:sz="8" w:space="0" w:color="auto"/>
                    <w:right w:val="single" w:sz="8" w:space="0" w:color="auto"/>
                  </w:tcBorders>
                  <w:shd w:val="clear" w:color="auto" w:fill="auto"/>
                  <w:noWrap/>
                  <w:vAlign w:val="center"/>
                  <w:hideMark/>
                </w:tcPr>
                <w:p w14:paraId="3C758210"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£100</w:t>
                  </w:r>
                </w:p>
              </w:tc>
              <w:tc>
                <w:tcPr>
                  <w:tcW w:w="1149" w:type="dxa"/>
                  <w:gridSpan w:val="2"/>
                  <w:tcBorders>
                    <w:top w:val="nil"/>
                    <w:left w:val="nil"/>
                    <w:bottom w:val="single" w:sz="8" w:space="0" w:color="auto"/>
                    <w:right w:val="single" w:sz="8" w:space="0" w:color="auto"/>
                  </w:tcBorders>
                  <w:shd w:val="clear" w:color="auto" w:fill="auto"/>
                  <w:noWrap/>
                  <w:vAlign w:val="center"/>
                  <w:hideMark/>
                </w:tcPr>
                <w:p w14:paraId="030B7F5A"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£3,500</w:t>
                  </w:r>
                </w:p>
              </w:tc>
            </w:tr>
            <w:tr w:rsidR="003602E0" w:rsidRPr="00DD06F6" w14:paraId="7F831D4D" w14:textId="77777777" w:rsidTr="006A74E0">
              <w:trPr>
                <w:trHeight w:val="538"/>
              </w:trPr>
              <w:tc>
                <w:tcPr>
                  <w:tcW w:w="4623" w:type="dxa"/>
                  <w:tcBorders>
                    <w:top w:val="nil"/>
                    <w:left w:val="single" w:sz="8" w:space="0" w:color="auto"/>
                    <w:bottom w:val="single" w:sz="8" w:space="0" w:color="000000"/>
                    <w:right w:val="single" w:sz="8" w:space="0" w:color="auto"/>
                  </w:tcBorders>
                  <w:shd w:val="clear" w:color="000000" w:fill="D9D9D9"/>
                  <w:vAlign w:val="center"/>
                  <w:hideMark/>
                </w:tcPr>
                <w:p w14:paraId="7627CBAF"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SU03 Sustained Education 3 Months</w:t>
                  </w:r>
                </w:p>
              </w:tc>
              <w:tc>
                <w:tcPr>
                  <w:tcW w:w="1394" w:type="dxa"/>
                  <w:gridSpan w:val="2"/>
                  <w:tcBorders>
                    <w:top w:val="nil"/>
                    <w:left w:val="nil"/>
                    <w:bottom w:val="single" w:sz="8" w:space="0" w:color="000000"/>
                    <w:right w:val="single" w:sz="8" w:space="0" w:color="auto"/>
                  </w:tcBorders>
                  <w:shd w:val="clear" w:color="000000" w:fill="D9D9D9"/>
                  <w:vAlign w:val="center"/>
                  <w:hideMark/>
                </w:tcPr>
                <w:p w14:paraId="6FBDFA46"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400</w:t>
                  </w:r>
                </w:p>
              </w:tc>
              <w:tc>
                <w:tcPr>
                  <w:tcW w:w="1363" w:type="dxa"/>
                  <w:tcBorders>
                    <w:top w:val="nil"/>
                    <w:left w:val="nil"/>
                    <w:bottom w:val="single" w:sz="8" w:space="0" w:color="000000"/>
                    <w:right w:val="single" w:sz="8" w:space="0" w:color="auto"/>
                  </w:tcBorders>
                  <w:shd w:val="clear" w:color="000000" w:fill="D9D9D9"/>
                  <w:noWrap/>
                  <w:vAlign w:val="center"/>
                  <w:hideMark/>
                </w:tcPr>
                <w:p w14:paraId="66373974"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£100</w:t>
                  </w:r>
                </w:p>
              </w:tc>
              <w:tc>
                <w:tcPr>
                  <w:tcW w:w="1149" w:type="dxa"/>
                  <w:gridSpan w:val="2"/>
                  <w:tcBorders>
                    <w:top w:val="nil"/>
                    <w:left w:val="nil"/>
                    <w:bottom w:val="single" w:sz="8" w:space="0" w:color="000000"/>
                    <w:right w:val="single" w:sz="8" w:space="0" w:color="auto"/>
                  </w:tcBorders>
                  <w:shd w:val="clear" w:color="000000" w:fill="D9D9D9"/>
                  <w:noWrap/>
                  <w:vAlign w:val="center"/>
                  <w:hideMark/>
                </w:tcPr>
                <w:p w14:paraId="6FA3F1E0"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£40,000</w:t>
                  </w:r>
                </w:p>
              </w:tc>
            </w:tr>
            <w:tr w:rsidR="003602E0" w:rsidRPr="00DD06F6" w14:paraId="528F818D" w14:textId="77777777" w:rsidTr="006A74E0">
              <w:trPr>
                <w:trHeight w:val="538"/>
              </w:trPr>
              <w:tc>
                <w:tcPr>
                  <w:tcW w:w="4623" w:type="dxa"/>
                  <w:tcBorders>
                    <w:top w:val="nil"/>
                    <w:left w:val="single" w:sz="8" w:space="0" w:color="auto"/>
                    <w:bottom w:val="single" w:sz="8" w:space="0" w:color="000000"/>
                    <w:right w:val="single" w:sz="8" w:space="0" w:color="auto"/>
                  </w:tcBorders>
                  <w:shd w:val="clear" w:color="auto" w:fill="auto"/>
                  <w:vAlign w:val="center"/>
                  <w:hideMark/>
                </w:tcPr>
                <w:p w14:paraId="640807C9"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SU04 Sustained Apprenticeship 3 Months</w:t>
                  </w:r>
                </w:p>
              </w:tc>
              <w:tc>
                <w:tcPr>
                  <w:tcW w:w="1394" w:type="dxa"/>
                  <w:gridSpan w:val="2"/>
                  <w:tcBorders>
                    <w:top w:val="nil"/>
                    <w:left w:val="nil"/>
                    <w:bottom w:val="single" w:sz="8" w:space="0" w:color="000000"/>
                    <w:right w:val="single" w:sz="8" w:space="0" w:color="auto"/>
                  </w:tcBorders>
                  <w:shd w:val="clear" w:color="auto" w:fill="auto"/>
                  <w:vAlign w:val="center"/>
                  <w:hideMark/>
                </w:tcPr>
                <w:p w14:paraId="231F8AC1"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400</w:t>
                  </w:r>
                </w:p>
              </w:tc>
              <w:tc>
                <w:tcPr>
                  <w:tcW w:w="1363" w:type="dxa"/>
                  <w:tcBorders>
                    <w:top w:val="nil"/>
                    <w:left w:val="nil"/>
                    <w:bottom w:val="single" w:sz="8" w:space="0" w:color="000000"/>
                    <w:right w:val="single" w:sz="8" w:space="0" w:color="auto"/>
                  </w:tcBorders>
                  <w:shd w:val="clear" w:color="auto" w:fill="auto"/>
                  <w:noWrap/>
                  <w:vAlign w:val="center"/>
                  <w:hideMark/>
                </w:tcPr>
                <w:p w14:paraId="0C1AD4B3"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£100</w:t>
                  </w:r>
                </w:p>
              </w:tc>
              <w:tc>
                <w:tcPr>
                  <w:tcW w:w="1149" w:type="dxa"/>
                  <w:gridSpan w:val="2"/>
                  <w:tcBorders>
                    <w:top w:val="nil"/>
                    <w:left w:val="nil"/>
                    <w:bottom w:val="single" w:sz="8" w:space="0" w:color="000000"/>
                    <w:right w:val="single" w:sz="8" w:space="0" w:color="auto"/>
                  </w:tcBorders>
                  <w:shd w:val="clear" w:color="auto" w:fill="auto"/>
                  <w:noWrap/>
                  <w:vAlign w:val="center"/>
                  <w:hideMark/>
                </w:tcPr>
                <w:p w14:paraId="7C5E8E8C"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£40,000</w:t>
                  </w:r>
                </w:p>
              </w:tc>
            </w:tr>
            <w:tr w:rsidR="003602E0" w:rsidRPr="00DD06F6" w14:paraId="58FCE72F" w14:textId="77777777" w:rsidTr="006A74E0">
              <w:trPr>
                <w:trHeight w:val="538"/>
              </w:trPr>
              <w:tc>
                <w:tcPr>
                  <w:tcW w:w="4623" w:type="dxa"/>
                  <w:tcBorders>
                    <w:top w:val="nil"/>
                    <w:left w:val="single" w:sz="8" w:space="0" w:color="auto"/>
                    <w:bottom w:val="single" w:sz="8" w:space="0" w:color="000000"/>
                    <w:right w:val="single" w:sz="8" w:space="0" w:color="auto"/>
                  </w:tcBorders>
                  <w:shd w:val="clear" w:color="000000" w:fill="D9D9D9"/>
                  <w:vAlign w:val="center"/>
                  <w:hideMark/>
                </w:tcPr>
                <w:p w14:paraId="6669DF41"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SU05 Sustained Traineeship 3 Months</w:t>
                  </w:r>
                </w:p>
              </w:tc>
              <w:tc>
                <w:tcPr>
                  <w:tcW w:w="1394" w:type="dxa"/>
                  <w:gridSpan w:val="2"/>
                  <w:tcBorders>
                    <w:top w:val="nil"/>
                    <w:left w:val="nil"/>
                    <w:bottom w:val="single" w:sz="8" w:space="0" w:color="000000"/>
                    <w:right w:val="single" w:sz="8" w:space="0" w:color="auto"/>
                  </w:tcBorders>
                  <w:shd w:val="clear" w:color="000000" w:fill="D9D9D9"/>
                  <w:vAlign w:val="center"/>
                  <w:hideMark/>
                </w:tcPr>
                <w:p w14:paraId="06A6A313"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35</w:t>
                  </w:r>
                </w:p>
              </w:tc>
              <w:tc>
                <w:tcPr>
                  <w:tcW w:w="1363" w:type="dxa"/>
                  <w:tcBorders>
                    <w:top w:val="nil"/>
                    <w:left w:val="nil"/>
                    <w:bottom w:val="single" w:sz="8" w:space="0" w:color="000000"/>
                    <w:right w:val="single" w:sz="8" w:space="0" w:color="auto"/>
                  </w:tcBorders>
                  <w:shd w:val="clear" w:color="000000" w:fill="D9D9D9"/>
                  <w:noWrap/>
                  <w:vAlign w:val="center"/>
                  <w:hideMark/>
                </w:tcPr>
                <w:p w14:paraId="41CAB6F1"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£100</w:t>
                  </w:r>
                </w:p>
              </w:tc>
              <w:tc>
                <w:tcPr>
                  <w:tcW w:w="1149" w:type="dxa"/>
                  <w:gridSpan w:val="2"/>
                  <w:tcBorders>
                    <w:top w:val="nil"/>
                    <w:left w:val="nil"/>
                    <w:bottom w:val="single" w:sz="8" w:space="0" w:color="000000"/>
                    <w:right w:val="single" w:sz="8" w:space="0" w:color="auto"/>
                  </w:tcBorders>
                  <w:shd w:val="clear" w:color="000000" w:fill="D9D9D9"/>
                  <w:noWrap/>
                  <w:vAlign w:val="center"/>
                  <w:hideMark/>
                </w:tcPr>
                <w:p w14:paraId="18D90762"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£3,500</w:t>
                  </w:r>
                </w:p>
              </w:tc>
            </w:tr>
            <w:tr w:rsidR="003602E0" w:rsidRPr="00DD06F6" w14:paraId="4D796C05" w14:textId="77777777" w:rsidTr="006A74E0">
              <w:trPr>
                <w:trHeight w:val="538"/>
              </w:trPr>
              <w:tc>
                <w:tcPr>
                  <w:tcW w:w="4623" w:type="dxa"/>
                  <w:tcBorders>
                    <w:top w:val="nil"/>
                    <w:left w:val="single" w:sz="8" w:space="0" w:color="auto"/>
                    <w:bottom w:val="single" w:sz="8" w:space="0" w:color="000000"/>
                    <w:right w:val="single" w:sz="8" w:space="0" w:color="auto"/>
                  </w:tcBorders>
                  <w:shd w:val="clear" w:color="auto" w:fill="auto"/>
                  <w:vAlign w:val="center"/>
                  <w:hideMark/>
                </w:tcPr>
                <w:p w14:paraId="793DD2D5"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SU11 Sustained Employment 6 Months</w:t>
                  </w:r>
                </w:p>
              </w:tc>
              <w:tc>
                <w:tcPr>
                  <w:tcW w:w="1394" w:type="dxa"/>
                  <w:gridSpan w:val="2"/>
                  <w:tcBorders>
                    <w:top w:val="nil"/>
                    <w:left w:val="nil"/>
                    <w:bottom w:val="single" w:sz="8" w:space="0" w:color="000000"/>
                    <w:right w:val="single" w:sz="8" w:space="0" w:color="auto"/>
                  </w:tcBorders>
                  <w:shd w:val="clear" w:color="auto" w:fill="auto"/>
                  <w:vAlign w:val="center"/>
                  <w:hideMark/>
                </w:tcPr>
                <w:p w14:paraId="53CE30A3"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200</w:t>
                  </w:r>
                </w:p>
              </w:tc>
              <w:tc>
                <w:tcPr>
                  <w:tcW w:w="1363" w:type="dxa"/>
                  <w:tcBorders>
                    <w:top w:val="nil"/>
                    <w:left w:val="nil"/>
                    <w:bottom w:val="single" w:sz="8" w:space="0" w:color="000000"/>
                    <w:right w:val="single" w:sz="8" w:space="0" w:color="auto"/>
                  </w:tcBorders>
                  <w:shd w:val="clear" w:color="auto" w:fill="auto"/>
                  <w:noWrap/>
                  <w:vAlign w:val="center"/>
                  <w:hideMark/>
                </w:tcPr>
                <w:p w14:paraId="282CAF6A"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£100</w:t>
                  </w:r>
                </w:p>
              </w:tc>
              <w:tc>
                <w:tcPr>
                  <w:tcW w:w="1149" w:type="dxa"/>
                  <w:gridSpan w:val="2"/>
                  <w:tcBorders>
                    <w:top w:val="nil"/>
                    <w:left w:val="nil"/>
                    <w:bottom w:val="single" w:sz="8" w:space="0" w:color="000000"/>
                    <w:right w:val="single" w:sz="8" w:space="0" w:color="auto"/>
                  </w:tcBorders>
                  <w:shd w:val="clear" w:color="auto" w:fill="auto"/>
                  <w:noWrap/>
                  <w:vAlign w:val="center"/>
                  <w:hideMark/>
                </w:tcPr>
                <w:p w14:paraId="555232F3"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£20,000</w:t>
                  </w:r>
                </w:p>
              </w:tc>
            </w:tr>
            <w:tr w:rsidR="003602E0" w:rsidRPr="00DD06F6" w14:paraId="4ED99D66" w14:textId="77777777" w:rsidTr="006A74E0">
              <w:trPr>
                <w:trHeight w:val="538"/>
              </w:trPr>
              <w:tc>
                <w:tcPr>
                  <w:tcW w:w="4623" w:type="dxa"/>
                  <w:tcBorders>
                    <w:top w:val="nil"/>
                    <w:left w:val="single" w:sz="8" w:space="0" w:color="auto"/>
                    <w:bottom w:val="single" w:sz="8" w:space="0" w:color="000000"/>
                    <w:right w:val="single" w:sz="8" w:space="0" w:color="auto"/>
                  </w:tcBorders>
                  <w:shd w:val="clear" w:color="000000" w:fill="D9D9D9"/>
                  <w:vAlign w:val="center"/>
                  <w:hideMark/>
                </w:tcPr>
                <w:p w14:paraId="4631CA31"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SU12 Sustained Unpaid Employment 6 Months</w:t>
                  </w:r>
                </w:p>
              </w:tc>
              <w:tc>
                <w:tcPr>
                  <w:tcW w:w="1394" w:type="dxa"/>
                  <w:gridSpan w:val="2"/>
                  <w:tcBorders>
                    <w:top w:val="nil"/>
                    <w:left w:val="nil"/>
                    <w:bottom w:val="single" w:sz="8" w:space="0" w:color="000000"/>
                    <w:right w:val="single" w:sz="8" w:space="0" w:color="auto"/>
                  </w:tcBorders>
                  <w:shd w:val="clear" w:color="000000" w:fill="D9D9D9"/>
                  <w:vAlign w:val="center"/>
                  <w:hideMark/>
                </w:tcPr>
                <w:p w14:paraId="7F26937D"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35</w:t>
                  </w:r>
                </w:p>
              </w:tc>
              <w:tc>
                <w:tcPr>
                  <w:tcW w:w="1363" w:type="dxa"/>
                  <w:tcBorders>
                    <w:top w:val="nil"/>
                    <w:left w:val="nil"/>
                    <w:bottom w:val="single" w:sz="8" w:space="0" w:color="000000"/>
                    <w:right w:val="single" w:sz="8" w:space="0" w:color="auto"/>
                  </w:tcBorders>
                  <w:shd w:val="clear" w:color="000000" w:fill="D9D9D9"/>
                  <w:noWrap/>
                  <w:vAlign w:val="center"/>
                  <w:hideMark/>
                </w:tcPr>
                <w:p w14:paraId="05F50C83"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£100</w:t>
                  </w:r>
                </w:p>
              </w:tc>
              <w:tc>
                <w:tcPr>
                  <w:tcW w:w="1149" w:type="dxa"/>
                  <w:gridSpan w:val="2"/>
                  <w:tcBorders>
                    <w:top w:val="nil"/>
                    <w:left w:val="nil"/>
                    <w:bottom w:val="single" w:sz="8" w:space="0" w:color="000000"/>
                    <w:right w:val="single" w:sz="8" w:space="0" w:color="auto"/>
                  </w:tcBorders>
                  <w:shd w:val="clear" w:color="000000" w:fill="D9D9D9"/>
                  <w:noWrap/>
                  <w:vAlign w:val="center"/>
                  <w:hideMark/>
                </w:tcPr>
                <w:p w14:paraId="24EDB8DC"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£3,500</w:t>
                  </w:r>
                </w:p>
              </w:tc>
            </w:tr>
            <w:tr w:rsidR="003602E0" w:rsidRPr="00DD06F6" w14:paraId="712A32F7" w14:textId="77777777" w:rsidTr="006A74E0">
              <w:trPr>
                <w:trHeight w:val="538"/>
              </w:trPr>
              <w:tc>
                <w:tcPr>
                  <w:tcW w:w="4623" w:type="dxa"/>
                  <w:tcBorders>
                    <w:top w:val="nil"/>
                    <w:left w:val="single" w:sz="8" w:space="0" w:color="auto"/>
                    <w:bottom w:val="single" w:sz="8" w:space="0" w:color="000000"/>
                    <w:right w:val="single" w:sz="8" w:space="0" w:color="auto"/>
                  </w:tcBorders>
                  <w:shd w:val="clear" w:color="auto" w:fill="auto"/>
                  <w:vAlign w:val="center"/>
                  <w:hideMark/>
                </w:tcPr>
                <w:p w14:paraId="0D7824DB"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SU13 Sustained Education 6 Months</w:t>
                  </w:r>
                </w:p>
              </w:tc>
              <w:tc>
                <w:tcPr>
                  <w:tcW w:w="1394" w:type="dxa"/>
                  <w:gridSpan w:val="2"/>
                  <w:tcBorders>
                    <w:top w:val="nil"/>
                    <w:left w:val="nil"/>
                    <w:bottom w:val="single" w:sz="8" w:space="0" w:color="000000"/>
                    <w:right w:val="single" w:sz="8" w:space="0" w:color="auto"/>
                  </w:tcBorders>
                  <w:shd w:val="clear" w:color="auto" w:fill="auto"/>
                  <w:vAlign w:val="center"/>
                  <w:hideMark/>
                </w:tcPr>
                <w:p w14:paraId="552A8E05"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350</w:t>
                  </w:r>
                </w:p>
              </w:tc>
              <w:tc>
                <w:tcPr>
                  <w:tcW w:w="1363" w:type="dxa"/>
                  <w:tcBorders>
                    <w:top w:val="nil"/>
                    <w:left w:val="nil"/>
                    <w:bottom w:val="single" w:sz="8" w:space="0" w:color="000000"/>
                    <w:right w:val="single" w:sz="8" w:space="0" w:color="auto"/>
                  </w:tcBorders>
                  <w:shd w:val="clear" w:color="auto" w:fill="auto"/>
                  <w:noWrap/>
                  <w:vAlign w:val="center"/>
                  <w:hideMark/>
                </w:tcPr>
                <w:p w14:paraId="5C9732F3"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£100</w:t>
                  </w:r>
                </w:p>
              </w:tc>
              <w:tc>
                <w:tcPr>
                  <w:tcW w:w="1149" w:type="dxa"/>
                  <w:gridSpan w:val="2"/>
                  <w:tcBorders>
                    <w:top w:val="nil"/>
                    <w:left w:val="nil"/>
                    <w:bottom w:val="single" w:sz="8" w:space="0" w:color="000000"/>
                    <w:right w:val="single" w:sz="8" w:space="0" w:color="auto"/>
                  </w:tcBorders>
                  <w:shd w:val="clear" w:color="auto" w:fill="auto"/>
                  <w:noWrap/>
                  <w:vAlign w:val="center"/>
                  <w:hideMark/>
                </w:tcPr>
                <w:p w14:paraId="2F8A8C04"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£35,000</w:t>
                  </w:r>
                </w:p>
              </w:tc>
            </w:tr>
            <w:tr w:rsidR="003602E0" w:rsidRPr="00DD06F6" w14:paraId="2B0410B2" w14:textId="77777777" w:rsidTr="006A74E0">
              <w:trPr>
                <w:trHeight w:val="538"/>
              </w:trPr>
              <w:tc>
                <w:tcPr>
                  <w:tcW w:w="4623" w:type="dxa"/>
                  <w:tcBorders>
                    <w:top w:val="nil"/>
                    <w:left w:val="single" w:sz="8" w:space="0" w:color="auto"/>
                    <w:bottom w:val="single" w:sz="8" w:space="0" w:color="000000"/>
                    <w:right w:val="single" w:sz="8" w:space="0" w:color="auto"/>
                  </w:tcBorders>
                  <w:shd w:val="clear" w:color="000000" w:fill="D9D9D9"/>
                  <w:vAlign w:val="center"/>
                  <w:hideMark/>
                </w:tcPr>
                <w:p w14:paraId="7AF232CD"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SU14 Sustained Apprenticeship 6 Months</w:t>
                  </w:r>
                </w:p>
              </w:tc>
              <w:tc>
                <w:tcPr>
                  <w:tcW w:w="1394" w:type="dxa"/>
                  <w:gridSpan w:val="2"/>
                  <w:tcBorders>
                    <w:top w:val="nil"/>
                    <w:left w:val="nil"/>
                    <w:bottom w:val="single" w:sz="8" w:space="0" w:color="000000"/>
                    <w:right w:val="single" w:sz="8" w:space="0" w:color="auto"/>
                  </w:tcBorders>
                  <w:shd w:val="clear" w:color="000000" w:fill="D9D9D9"/>
                  <w:vAlign w:val="center"/>
                  <w:hideMark/>
                </w:tcPr>
                <w:p w14:paraId="3893D317"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348</w:t>
                  </w:r>
                </w:p>
              </w:tc>
              <w:tc>
                <w:tcPr>
                  <w:tcW w:w="1363" w:type="dxa"/>
                  <w:tcBorders>
                    <w:top w:val="nil"/>
                    <w:left w:val="nil"/>
                    <w:bottom w:val="single" w:sz="8" w:space="0" w:color="000000"/>
                    <w:right w:val="single" w:sz="8" w:space="0" w:color="auto"/>
                  </w:tcBorders>
                  <w:shd w:val="clear" w:color="000000" w:fill="D9D9D9"/>
                  <w:noWrap/>
                  <w:vAlign w:val="center"/>
                  <w:hideMark/>
                </w:tcPr>
                <w:p w14:paraId="1A15F37F"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£100</w:t>
                  </w:r>
                </w:p>
              </w:tc>
              <w:tc>
                <w:tcPr>
                  <w:tcW w:w="1149" w:type="dxa"/>
                  <w:gridSpan w:val="2"/>
                  <w:tcBorders>
                    <w:top w:val="nil"/>
                    <w:left w:val="nil"/>
                    <w:bottom w:val="single" w:sz="8" w:space="0" w:color="000000"/>
                    <w:right w:val="single" w:sz="8" w:space="0" w:color="auto"/>
                  </w:tcBorders>
                  <w:shd w:val="clear" w:color="000000" w:fill="D9D9D9"/>
                  <w:noWrap/>
                  <w:vAlign w:val="center"/>
                  <w:hideMark/>
                </w:tcPr>
                <w:p w14:paraId="572B1651"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£34,800</w:t>
                  </w:r>
                </w:p>
              </w:tc>
            </w:tr>
            <w:tr w:rsidR="003602E0" w:rsidRPr="00DD06F6" w14:paraId="0B084234" w14:textId="77777777" w:rsidTr="006A74E0">
              <w:trPr>
                <w:trHeight w:val="538"/>
              </w:trPr>
              <w:tc>
                <w:tcPr>
                  <w:tcW w:w="4623" w:type="dxa"/>
                  <w:tcBorders>
                    <w:top w:val="nil"/>
                    <w:left w:val="single" w:sz="8" w:space="0" w:color="auto"/>
                    <w:bottom w:val="single" w:sz="8" w:space="0" w:color="000000"/>
                    <w:right w:val="single" w:sz="8" w:space="0" w:color="auto"/>
                  </w:tcBorders>
                  <w:shd w:val="clear" w:color="auto" w:fill="auto"/>
                  <w:vAlign w:val="center"/>
                  <w:hideMark/>
                </w:tcPr>
                <w:p w14:paraId="56014C63" w14:textId="77777777" w:rsidR="003602E0" w:rsidRPr="00843BC6" w:rsidRDefault="003602E0" w:rsidP="006A74E0">
                  <w:pPr>
                    <w:rPr>
                      <w:rFonts w:cs="Arial"/>
                      <w:color w:val="000000"/>
                      <w:sz w:val="20"/>
                      <w:szCs w:val="20"/>
                      <w:lang w:eastAsia="en-GB"/>
                    </w:rPr>
                  </w:pPr>
                  <w:r w:rsidRPr="00843BC6">
                    <w:rPr>
                      <w:rFonts w:cs="Arial"/>
                      <w:color w:val="000000"/>
                      <w:sz w:val="20"/>
                      <w:szCs w:val="20"/>
                      <w:lang w:eastAsia="en-GB"/>
                    </w:rPr>
                    <w:t>SU15 Sustained Traineeship 6 Months</w:t>
                  </w:r>
                </w:p>
              </w:tc>
              <w:tc>
                <w:tcPr>
                  <w:tcW w:w="1394" w:type="dxa"/>
                  <w:gridSpan w:val="2"/>
                  <w:tcBorders>
                    <w:top w:val="nil"/>
                    <w:left w:val="nil"/>
                    <w:bottom w:val="single" w:sz="8" w:space="0" w:color="000000"/>
                    <w:right w:val="single" w:sz="8" w:space="0" w:color="auto"/>
                  </w:tcBorders>
                  <w:shd w:val="clear" w:color="auto" w:fill="auto"/>
                  <w:vAlign w:val="center"/>
                  <w:hideMark/>
                </w:tcPr>
                <w:p w14:paraId="0ADC55FF"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24</w:t>
                  </w:r>
                </w:p>
              </w:tc>
              <w:tc>
                <w:tcPr>
                  <w:tcW w:w="1363" w:type="dxa"/>
                  <w:tcBorders>
                    <w:top w:val="nil"/>
                    <w:left w:val="nil"/>
                    <w:bottom w:val="single" w:sz="8" w:space="0" w:color="000000"/>
                    <w:right w:val="single" w:sz="8" w:space="0" w:color="auto"/>
                  </w:tcBorders>
                  <w:shd w:val="clear" w:color="auto" w:fill="auto"/>
                  <w:noWrap/>
                  <w:vAlign w:val="center"/>
                  <w:hideMark/>
                </w:tcPr>
                <w:p w14:paraId="41DBDDEB" w14:textId="77777777" w:rsidR="003602E0" w:rsidRPr="009523C3" w:rsidRDefault="003602E0" w:rsidP="006A74E0">
                  <w:pPr>
                    <w:jc w:val="center"/>
                    <w:rPr>
                      <w:rFonts w:cs="Arial"/>
                      <w:color w:val="000000"/>
                      <w:sz w:val="20"/>
                      <w:szCs w:val="20"/>
                      <w:lang w:eastAsia="en-GB"/>
                    </w:rPr>
                  </w:pPr>
                  <w:r w:rsidRPr="009523C3">
                    <w:rPr>
                      <w:rFonts w:cs="Arial"/>
                      <w:color w:val="000000"/>
                      <w:sz w:val="20"/>
                      <w:szCs w:val="20"/>
                      <w:lang w:eastAsia="en-GB"/>
                    </w:rPr>
                    <w:t>£100</w:t>
                  </w:r>
                </w:p>
              </w:tc>
              <w:tc>
                <w:tcPr>
                  <w:tcW w:w="1149" w:type="dxa"/>
                  <w:gridSpan w:val="2"/>
                  <w:tcBorders>
                    <w:top w:val="nil"/>
                    <w:left w:val="nil"/>
                    <w:bottom w:val="single" w:sz="8" w:space="0" w:color="000000"/>
                    <w:right w:val="single" w:sz="8" w:space="0" w:color="auto"/>
                  </w:tcBorders>
                  <w:shd w:val="clear" w:color="auto" w:fill="auto"/>
                  <w:noWrap/>
                  <w:vAlign w:val="center"/>
                  <w:hideMark/>
                </w:tcPr>
                <w:p w14:paraId="2ADD68BF" w14:textId="77777777" w:rsidR="003602E0" w:rsidRPr="00843BC6" w:rsidRDefault="003602E0" w:rsidP="006A74E0">
                  <w:pPr>
                    <w:jc w:val="center"/>
                    <w:rPr>
                      <w:rFonts w:cs="Arial"/>
                      <w:color w:val="000000"/>
                      <w:sz w:val="20"/>
                      <w:szCs w:val="20"/>
                      <w:lang w:eastAsia="en-GB"/>
                    </w:rPr>
                  </w:pPr>
                  <w:r w:rsidRPr="00843BC6">
                    <w:rPr>
                      <w:rFonts w:cs="Arial"/>
                      <w:color w:val="000000"/>
                      <w:sz w:val="20"/>
                      <w:szCs w:val="20"/>
                      <w:lang w:eastAsia="en-GB"/>
                    </w:rPr>
                    <w:t>£2,400</w:t>
                  </w:r>
                </w:p>
              </w:tc>
            </w:tr>
          </w:tbl>
          <w:p w14:paraId="56E07E0F" w14:textId="77777777" w:rsidR="003602E0" w:rsidRPr="00F06A90" w:rsidRDefault="003602E0" w:rsidP="006A74E0">
            <w:pPr>
              <w:autoSpaceDE w:val="0"/>
              <w:autoSpaceDN w:val="0"/>
              <w:adjustRightInd w:val="0"/>
              <w:rPr>
                <w:rFonts w:cs="Arial"/>
              </w:rPr>
            </w:pPr>
          </w:p>
          <w:p w14:paraId="7D50F5FD" w14:textId="77777777" w:rsidR="003602E0" w:rsidRPr="00F06A90" w:rsidRDefault="003602E0" w:rsidP="006A74E0">
            <w:pPr>
              <w:rPr>
                <w:rFonts w:cs="Arial"/>
              </w:rPr>
            </w:pPr>
          </w:p>
          <w:p w14:paraId="25F9E45F" w14:textId="77777777" w:rsidR="003602E0" w:rsidRPr="00DB2FA1" w:rsidRDefault="003602E0" w:rsidP="006A74E0">
            <w:pPr>
              <w:pStyle w:val="ListParagraph"/>
              <w:autoSpaceDE w:val="0"/>
              <w:autoSpaceDN w:val="0"/>
              <w:adjustRightInd w:val="0"/>
              <w:ind w:left="360"/>
              <w:rPr>
                <w:rFonts w:cs="Arial"/>
                <w:b/>
              </w:rPr>
            </w:pPr>
          </w:p>
        </w:tc>
      </w:tr>
    </w:tbl>
    <w:p w14:paraId="6087355A" w14:textId="77777777" w:rsidR="003602E0" w:rsidRDefault="003602E0" w:rsidP="00A73992"/>
    <w:sectPr w:rsidR="003602E0" w:rsidSect="00AD26BE">
      <w:footerReference w:type="default" r:id="rId13"/>
      <w:pgSz w:w="11906" w:h="16838"/>
      <w:pgMar w:top="1418" w:right="170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A9DDD" w14:textId="77777777" w:rsidR="00815961" w:rsidRDefault="00815961">
      <w:r>
        <w:separator/>
      </w:r>
    </w:p>
  </w:endnote>
  <w:endnote w:type="continuationSeparator" w:id="0">
    <w:p w14:paraId="67007172" w14:textId="77777777" w:rsidR="00815961" w:rsidRDefault="0081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7E4DF8" w14:paraId="66DD8BED" w14:textId="77777777" w:rsidTr="007E4DF8">
      <w:tc>
        <w:tcPr>
          <w:tcW w:w="4388" w:type="dxa"/>
        </w:tcPr>
        <w:p w14:paraId="3831C2B1" w14:textId="5CD61AF5" w:rsidR="007E4DF8" w:rsidRPr="007E4DF8" w:rsidRDefault="00AF14B1" w:rsidP="00071E7F">
          <w:pPr>
            <w:pStyle w:val="Footer"/>
            <w:rPr>
              <w:color w:val="FF0000"/>
            </w:rPr>
          </w:pPr>
          <w:r>
            <w:rPr>
              <w:color w:val="FF0000"/>
            </w:rPr>
            <w:t>SQ/itt_2991</w:t>
          </w:r>
          <w:r w:rsidR="00071E7F">
            <w:rPr>
              <w:color w:val="FF0000"/>
            </w:rPr>
            <w:t>9</w:t>
          </w:r>
          <w:r>
            <w:rPr>
              <w:color w:val="FF0000"/>
            </w:rPr>
            <w:t>/2</w:t>
          </w:r>
          <w:r w:rsidR="00071E7F">
            <w:rPr>
              <w:color w:val="FF0000"/>
            </w:rPr>
            <w:t>1</w:t>
          </w:r>
          <w:r>
            <w:rPr>
              <w:color w:val="FF0000"/>
            </w:rPr>
            <w:t>-003/</w:t>
          </w:r>
          <w:r w:rsidR="00071E7F">
            <w:rPr>
              <w:color w:val="FF0000"/>
            </w:rPr>
            <w:t>Dec</w:t>
          </w:r>
          <w:r>
            <w:rPr>
              <w:color w:val="FF0000"/>
            </w:rPr>
            <w:t>ember 2015</w:t>
          </w:r>
        </w:p>
      </w:tc>
      <w:tc>
        <w:tcPr>
          <w:tcW w:w="4389" w:type="dxa"/>
        </w:tcPr>
        <w:p w14:paraId="6806C5C2" w14:textId="77777777" w:rsidR="007E4DF8" w:rsidRDefault="00815961">
          <w:pPr>
            <w:pStyle w:val="Footer"/>
          </w:pPr>
        </w:p>
      </w:tc>
    </w:tr>
    <w:tr w:rsidR="007E4DF8" w14:paraId="7B4C0DB8" w14:textId="77777777" w:rsidTr="007E4DF8">
      <w:tc>
        <w:tcPr>
          <w:tcW w:w="4388" w:type="dxa"/>
        </w:tcPr>
        <w:p w14:paraId="5C4DE4E1" w14:textId="77777777" w:rsidR="007E4DF8" w:rsidRDefault="00815961" w:rsidP="0077608D">
          <w:pPr>
            <w:pStyle w:val="Footer"/>
          </w:pPr>
        </w:p>
      </w:tc>
      <w:tc>
        <w:tcPr>
          <w:tcW w:w="4389" w:type="dxa"/>
        </w:tcPr>
        <w:p w14:paraId="33526727" w14:textId="77777777" w:rsidR="007E4DF8" w:rsidRPr="007E4DF8" w:rsidRDefault="00815961" w:rsidP="007E4DF8">
          <w:pPr>
            <w:pStyle w:val="Footer"/>
            <w:jc w:val="right"/>
            <w:rPr>
              <w:sz w:val="16"/>
              <w:szCs w:val="16"/>
            </w:rPr>
          </w:pPr>
        </w:p>
      </w:tc>
    </w:tr>
  </w:tbl>
  <w:p w14:paraId="2FB741C8" w14:textId="77777777" w:rsidR="007E4DF8" w:rsidRDefault="00815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27AFE" w14:textId="77777777" w:rsidR="00815961" w:rsidRDefault="00815961">
      <w:r>
        <w:separator/>
      </w:r>
    </w:p>
  </w:footnote>
  <w:footnote w:type="continuationSeparator" w:id="0">
    <w:p w14:paraId="19C40080" w14:textId="77777777" w:rsidR="00815961" w:rsidRDefault="00815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2A3"/>
    <w:multiLevelType w:val="multilevel"/>
    <w:tmpl w:val="0526FD8A"/>
    <w:name w:val="items4"/>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rPr>
        <w:b/>
      </w:rPr>
    </w:lvl>
    <w:lvl w:ilvl="2">
      <w:start w:val="1"/>
      <w:numFmt w:val="none"/>
      <w:pStyle w:val="Heading3"/>
      <w:lvlText w:val=""/>
      <w:lvlJc w:val="left"/>
      <w:pPr>
        <w:tabs>
          <w:tab w:val="num" w:pos="0"/>
        </w:tabs>
        <w:ind w:left="0" w:firstLine="0"/>
      </w:pPr>
      <w:rPr>
        <w:b/>
      </w:rPr>
    </w:lvl>
    <w:lvl w:ilvl="3">
      <w:start w:val="1"/>
      <w:numFmt w:val="decimal"/>
      <w:lvlRestart w:val="0"/>
      <w:pStyle w:val="numberedparagraph"/>
      <w:lvlText w:val="%4"/>
      <w:lvlJc w:val="left"/>
      <w:pPr>
        <w:tabs>
          <w:tab w:val="num" w:pos="567"/>
        </w:tabs>
        <w:ind w:left="567" w:hanging="567"/>
      </w:pPr>
    </w:lvl>
    <w:lvl w:ilvl="4">
      <w:start w:val="1"/>
      <w:numFmt w:val="lowerLetter"/>
      <w:pStyle w:val="letteredlist"/>
      <w:lvlText w:val="%5"/>
      <w:lvlJc w:val="left"/>
      <w:pPr>
        <w:tabs>
          <w:tab w:val="num" w:pos="964"/>
        </w:tabs>
        <w:ind w:left="964" w:hanging="397"/>
      </w:pPr>
      <w:rPr>
        <w:b w:val="0"/>
      </w:r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 w15:restartNumberingAfterBreak="0">
    <w:nsid w:val="15E22855"/>
    <w:multiLevelType w:val="hybridMultilevel"/>
    <w:tmpl w:val="DF7411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F261EB1"/>
    <w:multiLevelType w:val="hybridMultilevel"/>
    <w:tmpl w:val="1DCA5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701BF5"/>
    <w:multiLevelType w:val="hybridMultilevel"/>
    <w:tmpl w:val="D242C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EA3A8A"/>
    <w:multiLevelType w:val="hybridMultilevel"/>
    <w:tmpl w:val="EFF2A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B61FC4"/>
    <w:multiLevelType w:val="multilevel"/>
    <w:tmpl w:val="7904FE84"/>
    <w:lvl w:ilvl="0">
      <w:start w:val="1"/>
      <w:numFmt w:val="none"/>
      <w:lvlText w:val="%1"/>
      <w:lvlJc w:val="left"/>
      <w:pPr>
        <w:tabs>
          <w:tab w:val="num" w:pos="567"/>
        </w:tabs>
        <w:ind w:left="567" w:hanging="567"/>
      </w:pPr>
      <w:rPr>
        <w:rFonts w:ascii="Arial" w:hAnsi="Arial" w:hint="default"/>
      </w:rPr>
    </w:lvl>
    <w:lvl w:ilvl="1">
      <w:start w:val="1"/>
      <w:numFmt w:val="none"/>
      <w:suff w:val="nothing"/>
      <w:lvlText w:val="%2."/>
      <w:lvlJc w:val="left"/>
      <w:pPr>
        <w:ind w:left="567" w:hanging="567"/>
      </w:pPr>
      <w:rPr>
        <w:rFonts w:ascii="Arial" w:hAnsi="Arial" w:hint="default"/>
        <w:sz w:val="22"/>
      </w:rPr>
    </w:lvl>
    <w:lvl w:ilvl="2">
      <w:start w:val="1"/>
      <w:numFmt w:val="none"/>
      <w:lvlRestart w:val="1"/>
      <w:lvlText w:val=""/>
      <w:lvlJc w:val="left"/>
      <w:pPr>
        <w:tabs>
          <w:tab w:val="num" w:pos="851"/>
        </w:tabs>
        <w:ind w:left="851" w:hanging="851"/>
      </w:pPr>
      <w:rPr>
        <w:rFonts w:ascii="Arial" w:hAnsi="Arial" w:hint="default"/>
      </w:rPr>
    </w:lvl>
    <w:lvl w:ilvl="3">
      <w:start w:val="1"/>
      <w:numFmt w:val="none"/>
      <w:lvlRestart w:val="1"/>
      <w:lvlText w:val="%4"/>
      <w:lvlJc w:val="left"/>
      <w:pPr>
        <w:tabs>
          <w:tab w:val="num" w:pos="964"/>
        </w:tabs>
        <w:ind w:left="964" w:hanging="397"/>
      </w:pPr>
      <w:rPr>
        <w:rFonts w:ascii="Arial" w:hAnsi="Arial" w:hint="default"/>
      </w:rPr>
    </w:lvl>
    <w:lvl w:ilvl="4">
      <w:start w:val="1"/>
      <w:numFmt w:val="none"/>
      <w:pStyle w:val="paragraph"/>
      <w:suff w:val="nothing"/>
      <w:lvlText w:val="%1"/>
      <w:lvlJc w:val="left"/>
      <w:pPr>
        <w:ind w:left="0" w:firstLine="0"/>
      </w:pPr>
      <w:rPr>
        <w:rFonts w:hint="default"/>
      </w:rPr>
    </w:lvl>
    <w:lvl w:ilvl="5">
      <w:start w:val="1"/>
      <w:numFmt w:val="lowerLetter"/>
      <w:pStyle w:val="letteredList0"/>
      <w:lvlText w:val="%1%6."/>
      <w:lvlJc w:val="left"/>
      <w:pPr>
        <w:tabs>
          <w:tab w:val="num" w:pos="567"/>
        </w:tabs>
        <w:ind w:left="567" w:hanging="567"/>
      </w:pPr>
      <w:rPr>
        <w:rFonts w:ascii="Arial" w:hAnsi="Arial" w:hint="default"/>
        <w:sz w:val="22"/>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6" w15:restartNumberingAfterBreak="0">
    <w:nsid w:val="68195FEC"/>
    <w:multiLevelType w:val="hybridMultilevel"/>
    <w:tmpl w:val="3E047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CC413B"/>
    <w:multiLevelType w:val="hybridMultilevel"/>
    <w:tmpl w:val="0CF21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5"/>
  </w:num>
  <w:num w:numId="4">
    <w:abstractNumId w:val="6"/>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z4i2EO9g2ujVh6lx0fy2IeQVmeym4j8XE+rTnvAWbZtFaCd+dxiDjuD8ZvcKVwgz/U0ujfyGxfkJM8odtWtA==" w:salt="ilOZixgn/Fd9U4HCE3bU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BE"/>
    <w:rsid w:val="00071E7F"/>
    <w:rsid w:val="000F2DA4"/>
    <w:rsid w:val="001C0857"/>
    <w:rsid w:val="002920CE"/>
    <w:rsid w:val="00334D9B"/>
    <w:rsid w:val="003602E0"/>
    <w:rsid w:val="003843BC"/>
    <w:rsid w:val="0038767B"/>
    <w:rsid w:val="003C42EE"/>
    <w:rsid w:val="0040016B"/>
    <w:rsid w:val="00424F21"/>
    <w:rsid w:val="00517C48"/>
    <w:rsid w:val="00540386"/>
    <w:rsid w:val="005D0E85"/>
    <w:rsid w:val="006554CF"/>
    <w:rsid w:val="006669B1"/>
    <w:rsid w:val="00716E58"/>
    <w:rsid w:val="00772E5A"/>
    <w:rsid w:val="00815961"/>
    <w:rsid w:val="008247B7"/>
    <w:rsid w:val="009724A5"/>
    <w:rsid w:val="00A73992"/>
    <w:rsid w:val="00AD26BE"/>
    <w:rsid w:val="00AF14B1"/>
    <w:rsid w:val="00B22F0F"/>
    <w:rsid w:val="00BB31C6"/>
    <w:rsid w:val="00C61980"/>
    <w:rsid w:val="00C8755C"/>
    <w:rsid w:val="00C95C5A"/>
    <w:rsid w:val="00CE2003"/>
    <w:rsid w:val="00CE4ED2"/>
    <w:rsid w:val="00CE703B"/>
    <w:rsid w:val="00D31D63"/>
    <w:rsid w:val="00D847D4"/>
    <w:rsid w:val="00E51E13"/>
    <w:rsid w:val="00E527D8"/>
    <w:rsid w:val="00F52A32"/>
    <w:rsid w:val="00FF1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4BB7"/>
  <w15:chartTrackingRefBased/>
  <w15:docId w15:val="{B6EDA7A3-7471-4B73-9DC2-736A9FEB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BE"/>
    <w:pPr>
      <w:spacing w:after="0" w:line="240" w:lineRule="auto"/>
    </w:pPr>
    <w:rPr>
      <w:rFonts w:ascii="Arial" w:eastAsia="Times New Roman" w:hAnsi="Arial" w:cs="Times New Roman"/>
      <w:sz w:val="24"/>
      <w:szCs w:val="24"/>
    </w:rPr>
  </w:style>
  <w:style w:type="paragraph" w:styleId="Heading1">
    <w:name w:val="heading 1"/>
    <w:basedOn w:val="Normal"/>
    <w:next w:val="numberedparagraph"/>
    <w:link w:val="Heading1Char"/>
    <w:uiPriority w:val="99"/>
    <w:qFormat/>
    <w:rsid w:val="000F2DA4"/>
    <w:pPr>
      <w:keepNext/>
      <w:numPr>
        <w:numId w:val="1"/>
      </w:numPr>
      <w:spacing w:before="240" w:after="80"/>
      <w:outlineLvl w:val="0"/>
    </w:pPr>
    <w:rPr>
      <w:rFonts w:cs="Arial"/>
      <w:b/>
      <w:bCs/>
      <w:kern w:val="32"/>
      <w:sz w:val="36"/>
      <w:szCs w:val="32"/>
    </w:rPr>
  </w:style>
  <w:style w:type="paragraph" w:styleId="Heading2">
    <w:name w:val="heading 2"/>
    <w:basedOn w:val="Normal"/>
    <w:next w:val="numberedparagraph"/>
    <w:link w:val="Heading2Char"/>
    <w:uiPriority w:val="99"/>
    <w:qFormat/>
    <w:rsid w:val="000F2DA4"/>
    <w:pPr>
      <w:keepNext/>
      <w:numPr>
        <w:ilvl w:val="1"/>
        <w:numId w:val="1"/>
      </w:numPr>
      <w:spacing w:before="120" w:after="80"/>
      <w:outlineLvl w:val="1"/>
    </w:pPr>
    <w:rPr>
      <w:rFonts w:cs="Arial"/>
      <w:b/>
      <w:bCs/>
      <w:iCs/>
      <w:sz w:val="28"/>
      <w:szCs w:val="28"/>
    </w:rPr>
  </w:style>
  <w:style w:type="paragraph" w:styleId="Heading3">
    <w:name w:val="heading 3"/>
    <w:basedOn w:val="Normal"/>
    <w:next w:val="numberedparagraph"/>
    <w:link w:val="Heading3Char"/>
    <w:uiPriority w:val="99"/>
    <w:qFormat/>
    <w:rsid w:val="000F2DA4"/>
    <w:pPr>
      <w:keepNext/>
      <w:numPr>
        <w:ilvl w:val="2"/>
        <w:numId w:val="1"/>
      </w:numPr>
      <w:spacing w:before="120" w:after="8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6BE"/>
    <w:pPr>
      <w:tabs>
        <w:tab w:val="center" w:pos="4153"/>
        <w:tab w:val="right" w:pos="8306"/>
      </w:tabs>
      <w:spacing w:after="60"/>
    </w:pPr>
    <w:rPr>
      <w:sz w:val="20"/>
    </w:rPr>
  </w:style>
  <w:style w:type="character" w:customStyle="1" w:styleId="FooterChar">
    <w:name w:val="Footer Char"/>
    <w:basedOn w:val="DefaultParagraphFont"/>
    <w:link w:val="Footer"/>
    <w:rsid w:val="00AD26BE"/>
    <w:rPr>
      <w:rFonts w:ascii="Arial" w:eastAsia="Times New Roman" w:hAnsi="Arial" w:cs="Times New Roman"/>
      <w:sz w:val="20"/>
      <w:szCs w:val="24"/>
    </w:rPr>
  </w:style>
  <w:style w:type="table" w:styleId="TableGrid">
    <w:name w:val="Table Grid"/>
    <w:basedOn w:val="TableNormal"/>
    <w:uiPriority w:val="39"/>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D26B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2DA4"/>
    <w:rPr>
      <w:rFonts w:ascii="Arial" w:eastAsia="Times New Roman" w:hAnsi="Arial" w:cs="Arial"/>
      <w:b/>
      <w:bCs/>
      <w:kern w:val="32"/>
      <w:sz w:val="36"/>
      <w:szCs w:val="32"/>
    </w:rPr>
  </w:style>
  <w:style w:type="character" w:customStyle="1" w:styleId="Heading2Char">
    <w:name w:val="Heading 2 Char"/>
    <w:basedOn w:val="DefaultParagraphFont"/>
    <w:link w:val="Heading2"/>
    <w:uiPriority w:val="99"/>
    <w:rsid w:val="000F2DA4"/>
    <w:rPr>
      <w:rFonts w:ascii="Arial" w:eastAsia="Times New Roman" w:hAnsi="Arial" w:cs="Arial"/>
      <w:b/>
      <w:bCs/>
      <w:iCs/>
      <w:sz w:val="28"/>
      <w:szCs w:val="28"/>
    </w:rPr>
  </w:style>
  <w:style w:type="character" w:customStyle="1" w:styleId="Heading3Char">
    <w:name w:val="Heading 3 Char"/>
    <w:basedOn w:val="DefaultParagraphFont"/>
    <w:link w:val="Heading3"/>
    <w:uiPriority w:val="99"/>
    <w:rsid w:val="000F2DA4"/>
    <w:rPr>
      <w:rFonts w:ascii="Arial" w:eastAsia="Times New Roman" w:hAnsi="Arial" w:cs="Arial"/>
      <w:b/>
      <w:bCs/>
      <w:sz w:val="24"/>
      <w:szCs w:val="26"/>
    </w:rPr>
  </w:style>
  <w:style w:type="paragraph" w:customStyle="1" w:styleId="numberedparagraph">
    <w:name w:val="numbered paragraph"/>
    <w:basedOn w:val="Normal"/>
    <w:uiPriority w:val="99"/>
    <w:rsid w:val="000F2DA4"/>
    <w:pPr>
      <w:numPr>
        <w:ilvl w:val="3"/>
        <w:numId w:val="1"/>
      </w:numPr>
      <w:spacing w:before="120" w:after="120"/>
    </w:pPr>
    <w:rPr>
      <w:rFonts w:cs="Arial"/>
    </w:rPr>
  </w:style>
  <w:style w:type="paragraph" w:customStyle="1" w:styleId="letteredlist">
    <w:name w:val="lettered list"/>
    <w:basedOn w:val="Normal"/>
    <w:uiPriority w:val="99"/>
    <w:rsid w:val="000F2DA4"/>
    <w:pPr>
      <w:numPr>
        <w:ilvl w:val="4"/>
        <w:numId w:val="1"/>
      </w:numPr>
      <w:spacing w:after="60"/>
    </w:pPr>
    <w:rPr>
      <w:rFonts w:cs="Arial"/>
    </w:rPr>
  </w:style>
  <w:style w:type="paragraph" w:styleId="NoSpacing">
    <w:name w:val="No Spacing"/>
    <w:uiPriority w:val="1"/>
    <w:qFormat/>
    <w:rsid w:val="000F2DA4"/>
    <w:pPr>
      <w:spacing w:after="0" w:line="240" w:lineRule="auto"/>
    </w:pPr>
    <w:rPr>
      <w:rFonts w:ascii="Arial" w:eastAsia="Times New Roman" w:hAnsi="Arial" w:cs="Times New Roman"/>
      <w:sz w:val="24"/>
      <w:szCs w:val="24"/>
    </w:rPr>
  </w:style>
  <w:style w:type="paragraph" w:styleId="ListParagraph">
    <w:name w:val="List Paragraph"/>
    <w:aliases w:val="Numbered List,List Paragraph1"/>
    <w:basedOn w:val="Normal"/>
    <w:link w:val="ListParagraphChar"/>
    <w:qFormat/>
    <w:rsid w:val="00E51E13"/>
    <w:pPr>
      <w:ind w:left="720"/>
      <w:contextualSpacing/>
    </w:pPr>
    <w:rPr>
      <w:rFonts w:ascii="Univers 55" w:hAnsi="Univers 55"/>
      <w:sz w:val="22"/>
      <w:szCs w:val="20"/>
    </w:rPr>
  </w:style>
  <w:style w:type="paragraph" w:customStyle="1" w:styleId="letteredList0">
    <w:name w:val="letteredList"/>
    <w:basedOn w:val="Normal"/>
    <w:rsid w:val="00E51E13"/>
    <w:pPr>
      <w:numPr>
        <w:ilvl w:val="5"/>
        <w:numId w:val="3"/>
      </w:numPr>
      <w:spacing w:after="60"/>
    </w:pPr>
  </w:style>
  <w:style w:type="paragraph" w:customStyle="1" w:styleId="paragraph">
    <w:name w:val="paragraph"/>
    <w:basedOn w:val="Normal"/>
    <w:rsid w:val="00E51E13"/>
    <w:pPr>
      <w:numPr>
        <w:ilvl w:val="4"/>
        <w:numId w:val="3"/>
      </w:numPr>
      <w:spacing w:after="120"/>
      <w:outlineLvl w:val="4"/>
    </w:pPr>
  </w:style>
  <w:style w:type="paragraph" w:styleId="NormalWeb">
    <w:name w:val="Normal (Web)"/>
    <w:basedOn w:val="Normal"/>
    <w:uiPriority w:val="99"/>
    <w:unhideWhenUsed/>
    <w:rsid w:val="00C8755C"/>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AF14B1"/>
    <w:pPr>
      <w:tabs>
        <w:tab w:val="center" w:pos="4513"/>
        <w:tab w:val="right" w:pos="9026"/>
      </w:tabs>
    </w:pPr>
  </w:style>
  <w:style w:type="character" w:customStyle="1" w:styleId="HeaderChar">
    <w:name w:val="Header Char"/>
    <w:basedOn w:val="DefaultParagraphFont"/>
    <w:link w:val="Header"/>
    <w:uiPriority w:val="99"/>
    <w:rsid w:val="00AF14B1"/>
    <w:rPr>
      <w:rFonts w:ascii="Arial" w:eastAsia="Times New Roman" w:hAnsi="Arial" w:cs="Times New Roman"/>
      <w:sz w:val="24"/>
      <w:szCs w:val="24"/>
    </w:rPr>
  </w:style>
  <w:style w:type="character" w:styleId="Hyperlink">
    <w:name w:val="Hyperlink"/>
    <w:basedOn w:val="DefaultParagraphFont"/>
    <w:rsid w:val="003602E0"/>
    <w:rPr>
      <w:rFonts w:ascii="Arial" w:hAnsi="Arial"/>
      <w:color w:val="0000FF"/>
      <w:sz w:val="22"/>
      <w:szCs w:val="22"/>
      <w:u w:val="single"/>
    </w:rPr>
  </w:style>
  <w:style w:type="paragraph" w:customStyle="1" w:styleId="SpecificationHeading">
    <w:name w:val="Specification Heading"/>
    <w:basedOn w:val="Normal"/>
    <w:autoRedefine/>
    <w:uiPriority w:val="99"/>
    <w:rsid w:val="003602E0"/>
    <w:pPr>
      <w:keepNext/>
      <w:keepLines/>
      <w:spacing w:before="120" w:after="60"/>
    </w:pPr>
    <w:rPr>
      <w:rFonts w:cs="Arial"/>
      <w:b/>
      <w:color w:val="000000"/>
    </w:rPr>
  </w:style>
  <w:style w:type="paragraph" w:styleId="BodyText">
    <w:name w:val="Body Text"/>
    <w:basedOn w:val="Normal"/>
    <w:link w:val="BodyTextChar"/>
    <w:uiPriority w:val="99"/>
    <w:rsid w:val="003602E0"/>
    <w:pPr>
      <w:spacing w:after="120"/>
    </w:pPr>
    <w:rPr>
      <w:rFonts w:ascii="Times New Roman" w:hAnsi="Times New Roman"/>
      <w:lang w:eastAsia="en-GB"/>
    </w:rPr>
  </w:style>
  <w:style w:type="character" w:customStyle="1" w:styleId="BodyTextChar">
    <w:name w:val="Body Text Char"/>
    <w:basedOn w:val="DefaultParagraphFont"/>
    <w:link w:val="BodyText"/>
    <w:uiPriority w:val="99"/>
    <w:rsid w:val="003602E0"/>
    <w:rPr>
      <w:rFonts w:ascii="Times New Roman" w:eastAsia="Times New Roman" w:hAnsi="Times New Roman" w:cs="Times New Roman"/>
      <w:sz w:val="24"/>
      <w:szCs w:val="24"/>
      <w:lang w:eastAsia="en-GB"/>
    </w:rPr>
  </w:style>
  <w:style w:type="character" w:customStyle="1" w:styleId="ListParagraphChar">
    <w:name w:val="List Paragraph Char"/>
    <w:aliases w:val="Numbered List Char,List Paragraph1 Char"/>
    <w:link w:val="ListParagraph"/>
    <w:locked/>
    <w:rsid w:val="003602E0"/>
    <w:rPr>
      <w:rFonts w:ascii="Univers 55" w:eastAsia="Times New Roman" w:hAnsi="Univers 55" w:cs="Times New Roman"/>
      <w:szCs w:val="20"/>
    </w:rPr>
  </w:style>
  <w:style w:type="character" w:customStyle="1" w:styleId="normaltextrun">
    <w:name w:val="normaltextrun"/>
    <w:basedOn w:val="DefaultParagraphFont"/>
    <w:rsid w:val="003602E0"/>
  </w:style>
  <w:style w:type="paragraph" w:customStyle="1" w:styleId="paragraph1">
    <w:name w:val="paragraph1"/>
    <w:basedOn w:val="Normal"/>
    <w:rsid w:val="003602E0"/>
    <w:rPr>
      <w:rFonts w:ascii="Times New Roman" w:hAnsi="Times New Roman"/>
      <w:lang w:eastAsia="en-GB"/>
    </w:rPr>
  </w:style>
  <w:style w:type="character" w:customStyle="1" w:styleId="eop">
    <w:name w:val="eop"/>
    <w:basedOn w:val="DefaultParagraphFont"/>
    <w:rsid w:val="0036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1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european-structural-and-investment-funds-programme-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CB3F4636D4F4E81116011AB3CE51C" ma:contentTypeVersion="2" ma:contentTypeDescription="Create a new document." ma:contentTypeScope="" ma:versionID="cb7936e3a1f9b5794d8b500596b26311">
  <xsd:schema xmlns:xsd="http://www.w3.org/2001/XMLSchema" xmlns:xs="http://www.w3.org/2001/XMLSchema" xmlns:p="http://schemas.microsoft.com/office/2006/metadata/properties" xmlns:ns2="57662250-88eb-4feb-ad90-0853014cc4f8" targetNamespace="http://schemas.microsoft.com/office/2006/metadata/properties" ma:root="true" ma:fieldsID="19b323539fad755bbd2b622f33284adb" ns2:_="">
    <xsd:import namespace="57662250-88eb-4feb-ad90-0853014cc4f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62250-88eb-4feb-ad90-0853014cc4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2BEB75-DF2A-4B9E-AA03-868C93B2BBEB}">
  <ds:schemaRefs>
    <ds:schemaRef ds:uri="http://schemas.microsoft.com/sharepoint/v3/contenttype/forms"/>
  </ds:schemaRefs>
</ds:datastoreItem>
</file>

<file path=customXml/itemProps2.xml><?xml version="1.0" encoding="utf-8"?>
<ds:datastoreItem xmlns:ds="http://schemas.openxmlformats.org/officeDocument/2006/customXml" ds:itemID="{3DA91A50-FF60-4A55-AA69-159AABD83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F2079-5A61-4BDA-A275-DC2FE4F9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62250-88eb-4feb-ad90-0853014cc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3524</Words>
  <Characters>20090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Lee</dc:creator>
  <cp:keywords/>
  <dc:description/>
  <cp:lastModifiedBy>Brian Williams</cp:lastModifiedBy>
  <cp:revision>4</cp:revision>
  <dcterms:created xsi:type="dcterms:W3CDTF">2015-12-11T12:42:00Z</dcterms:created>
  <dcterms:modified xsi:type="dcterms:W3CDTF">2015-12-11T13:02:00Z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0x010100AB5CB3F4636D4F4E81116011AB3CE51C</vt:lpwstr>
  </property>
</Properties>
</file>