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2F6A4" w14:textId="792EA04C" w:rsidR="00DF3DB1" w:rsidRPr="00CA38DD" w:rsidRDefault="00CA38DD" w:rsidP="00CA38DD">
      <w:pPr>
        <w:tabs>
          <w:tab w:val="left" w:pos="2977"/>
        </w:tabs>
        <w:spacing w:after="1320"/>
        <w:ind w:right="98"/>
        <w:jc w:val="center"/>
        <w:rPr>
          <w:rFonts w:cs="Arial"/>
          <w:b/>
          <w:color w:val="000000"/>
          <w:sz w:val="52"/>
          <w:szCs w:val="52"/>
        </w:rPr>
      </w:pPr>
      <w:bookmarkStart w:id="0" w:name="_Hlk151618425"/>
      <w:bookmarkStart w:id="1" w:name="_Hlk153549978"/>
      <w:r w:rsidRPr="00CA38DD">
        <w:rPr>
          <w:b/>
          <w:bCs/>
        </w:rPr>
        <w:t>C1123a</w:t>
      </w:r>
      <w:bookmarkEnd w:id="0"/>
      <w:r>
        <w:rPr>
          <w:b/>
          <w:sz w:val="20"/>
          <w:szCs w:val="20"/>
        </w:rPr>
        <w:t xml:space="preserve"> </w:t>
      </w:r>
      <w:r w:rsidR="002F1AE5" w:rsidRPr="00584D53">
        <w:rPr>
          <w:b/>
          <w:sz w:val="20"/>
          <w:szCs w:val="20"/>
        </w:rPr>
        <w:t>Query Log</w:t>
      </w:r>
      <w:r w:rsidR="00C73014" w:rsidRPr="00584D53">
        <w:rPr>
          <w:b/>
          <w:sz w:val="20"/>
          <w:szCs w:val="20"/>
        </w:rPr>
        <w:t xml:space="preserve"> as at </w:t>
      </w:r>
      <w:r w:rsidR="00CE4700">
        <w:rPr>
          <w:b/>
          <w:sz w:val="20"/>
          <w:szCs w:val="20"/>
        </w:rPr>
        <w:t xml:space="preserve">12pm on </w:t>
      </w:r>
      <w:r>
        <w:rPr>
          <w:b/>
          <w:sz w:val="20"/>
          <w:szCs w:val="20"/>
        </w:rPr>
        <w:t>1</w:t>
      </w:r>
      <w:r w:rsidR="0080100E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>/12/23</w:t>
      </w:r>
    </w:p>
    <w:p w14:paraId="3AA3EB94" w14:textId="5325077D" w:rsidR="001A3C19" w:rsidRPr="0080100E" w:rsidRDefault="002F1AE5" w:rsidP="00B43096">
      <w:pPr>
        <w:rPr>
          <w:rFonts w:ascii="Calibri" w:hAnsi="Calibri" w:cs="Calibri"/>
          <w:sz w:val="20"/>
          <w:szCs w:val="20"/>
        </w:rPr>
      </w:pPr>
      <w:r w:rsidRPr="0080100E">
        <w:rPr>
          <w:rFonts w:ascii="Calibri" w:hAnsi="Calibri" w:cs="Calibri"/>
          <w:sz w:val="20"/>
          <w:szCs w:val="20"/>
        </w:rPr>
        <w:t>This log captures any</w:t>
      </w:r>
      <w:r w:rsidR="001A3C19" w:rsidRPr="0080100E">
        <w:rPr>
          <w:rFonts w:ascii="Calibri" w:hAnsi="Calibri" w:cs="Calibri"/>
          <w:sz w:val="20"/>
          <w:szCs w:val="20"/>
        </w:rPr>
        <w:t xml:space="preserve"> requests for information or clarification regarding this project</w:t>
      </w:r>
      <w:r w:rsidRPr="0080100E">
        <w:rPr>
          <w:rFonts w:ascii="Calibri" w:hAnsi="Calibri" w:cs="Calibri"/>
          <w:sz w:val="20"/>
          <w:szCs w:val="20"/>
        </w:rPr>
        <w:t xml:space="preserve"> received by</w:t>
      </w:r>
      <w:r w:rsidR="00C73014" w:rsidRPr="0080100E">
        <w:rPr>
          <w:rFonts w:ascii="Calibri" w:hAnsi="Calibri" w:cs="Calibri"/>
          <w:sz w:val="20"/>
          <w:szCs w:val="20"/>
        </w:rPr>
        <w:t xml:space="preserve"> London Councils</w:t>
      </w:r>
      <w:r w:rsidR="001A3C19" w:rsidRPr="0080100E">
        <w:rPr>
          <w:rFonts w:ascii="Calibri" w:hAnsi="Calibri" w:cs="Calibri"/>
          <w:sz w:val="20"/>
          <w:szCs w:val="20"/>
        </w:rPr>
        <w:t>.</w:t>
      </w:r>
    </w:p>
    <w:p w14:paraId="3D9163D5" w14:textId="77777777" w:rsidR="001A3C19" w:rsidRPr="0080100E" w:rsidRDefault="001A3C19" w:rsidP="00B43096">
      <w:pPr>
        <w:rPr>
          <w:rFonts w:ascii="Calibri" w:hAnsi="Calibri" w:cs="Calibri"/>
          <w:sz w:val="20"/>
          <w:szCs w:val="20"/>
        </w:rPr>
      </w:pPr>
    </w:p>
    <w:p w14:paraId="0DAFBEC5" w14:textId="58D48AE7" w:rsidR="00B43096" w:rsidRPr="0080100E" w:rsidRDefault="001A3C19" w:rsidP="00B43096">
      <w:pPr>
        <w:rPr>
          <w:rFonts w:ascii="Calibri" w:hAnsi="Calibri" w:cs="Calibri"/>
          <w:sz w:val="20"/>
          <w:szCs w:val="20"/>
        </w:rPr>
      </w:pPr>
      <w:r w:rsidRPr="0080100E">
        <w:rPr>
          <w:rFonts w:ascii="Calibri" w:hAnsi="Calibri" w:cs="Calibri"/>
          <w:sz w:val="20"/>
          <w:szCs w:val="20"/>
        </w:rPr>
        <w:t xml:space="preserve">In line with the explanation provided in the </w:t>
      </w:r>
      <w:r w:rsidR="00B32B59" w:rsidRPr="0080100E">
        <w:rPr>
          <w:rFonts w:ascii="Calibri" w:hAnsi="Calibri" w:cs="Calibri"/>
          <w:sz w:val="20"/>
          <w:szCs w:val="20"/>
        </w:rPr>
        <w:t xml:space="preserve">ITQ document, further information requested about the project will be copied to other </w:t>
      </w:r>
      <w:r w:rsidR="00B43096" w:rsidRPr="0080100E">
        <w:rPr>
          <w:rFonts w:ascii="Calibri" w:hAnsi="Calibri" w:cs="Calibri"/>
          <w:sz w:val="20"/>
          <w:szCs w:val="20"/>
        </w:rPr>
        <w:t xml:space="preserve">organisations bidding (though will not identify the originator of the enquiry) through </w:t>
      </w:r>
      <w:r w:rsidR="00F716C0" w:rsidRPr="0080100E">
        <w:rPr>
          <w:rFonts w:ascii="Calibri" w:hAnsi="Calibri" w:cs="Calibri"/>
          <w:sz w:val="20"/>
          <w:szCs w:val="20"/>
        </w:rPr>
        <w:t xml:space="preserve">this document </w:t>
      </w:r>
      <w:r w:rsidR="00C73014" w:rsidRPr="0080100E">
        <w:rPr>
          <w:rFonts w:ascii="Calibri" w:hAnsi="Calibri" w:cs="Calibri"/>
          <w:sz w:val="20"/>
          <w:szCs w:val="20"/>
        </w:rPr>
        <w:t>emailed to bidders who have confirmed interest in submitting a proposal</w:t>
      </w:r>
      <w:r w:rsidR="00B43096" w:rsidRPr="0080100E">
        <w:rPr>
          <w:rFonts w:ascii="Calibri" w:hAnsi="Calibri" w:cs="Calibri"/>
          <w:sz w:val="20"/>
          <w:szCs w:val="20"/>
        </w:rPr>
        <w:t xml:space="preserve">. </w:t>
      </w:r>
    </w:p>
    <w:p w14:paraId="2A363D9F" w14:textId="77777777" w:rsidR="00F716C0" w:rsidRPr="0080100E" w:rsidRDefault="00F716C0" w:rsidP="00B43096">
      <w:pPr>
        <w:rPr>
          <w:rFonts w:ascii="Calibri" w:hAnsi="Calibri" w:cs="Calibri"/>
          <w:sz w:val="20"/>
          <w:szCs w:val="20"/>
        </w:rPr>
      </w:pPr>
    </w:p>
    <w:p w14:paraId="7DE6BD1F" w14:textId="05473538" w:rsidR="00F716C0" w:rsidRPr="0080100E" w:rsidRDefault="00F716C0" w:rsidP="00B43096">
      <w:pPr>
        <w:rPr>
          <w:rFonts w:ascii="Calibri" w:hAnsi="Calibri" w:cs="Calibri"/>
          <w:sz w:val="20"/>
          <w:szCs w:val="20"/>
        </w:rPr>
      </w:pPr>
      <w:r w:rsidRPr="0080100E">
        <w:rPr>
          <w:rFonts w:ascii="Calibri" w:hAnsi="Calibri" w:cs="Calibri"/>
          <w:b/>
          <w:sz w:val="20"/>
          <w:szCs w:val="20"/>
        </w:rPr>
        <w:t xml:space="preserve">NB: This document will be updated as and when enquiries come through, so bidders </w:t>
      </w:r>
      <w:r w:rsidR="002F1AE5" w:rsidRPr="0080100E">
        <w:rPr>
          <w:rFonts w:ascii="Calibri" w:hAnsi="Calibri" w:cs="Calibri"/>
          <w:b/>
          <w:sz w:val="20"/>
          <w:szCs w:val="20"/>
        </w:rPr>
        <w:t xml:space="preserve">will </w:t>
      </w:r>
      <w:r w:rsidR="00C73014" w:rsidRPr="0080100E">
        <w:rPr>
          <w:rFonts w:ascii="Calibri" w:hAnsi="Calibri" w:cs="Calibri"/>
          <w:b/>
          <w:sz w:val="20"/>
          <w:szCs w:val="20"/>
        </w:rPr>
        <w:t xml:space="preserve">be </w:t>
      </w:r>
      <w:r w:rsidR="002F1AE5" w:rsidRPr="0080100E">
        <w:rPr>
          <w:rFonts w:ascii="Calibri" w:hAnsi="Calibri" w:cs="Calibri"/>
          <w:b/>
          <w:sz w:val="20"/>
          <w:szCs w:val="20"/>
        </w:rPr>
        <w:t>sent the updated version with</w:t>
      </w:r>
      <w:r w:rsidRPr="0080100E">
        <w:rPr>
          <w:rFonts w:ascii="Calibri" w:hAnsi="Calibri" w:cs="Calibri"/>
          <w:b/>
          <w:sz w:val="20"/>
          <w:szCs w:val="20"/>
        </w:rPr>
        <w:t xml:space="preserve"> any further information.</w:t>
      </w:r>
      <w:r w:rsidR="008D071B" w:rsidRPr="0080100E">
        <w:rPr>
          <w:rFonts w:ascii="Calibri" w:hAnsi="Calibri" w:cs="Calibri"/>
          <w:b/>
          <w:sz w:val="20"/>
          <w:szCs w:val="20"/>
        </w:rPr>
        <w:t xml:space="preserve"> The deadline for submitting queries is</w:t>
      </w:r>
      <w:r w:rsidR="00CA38DD" w:rsidRPr="0080100E">
        <w:rPr>
          <w:rFonts w:ascii="Calibri" w:eastAsia="Calibri" w:hAnsi="Calibri" w:cs="Calibri"/>
          <w:bCs/>
          <w:sz w:val="22"/>
          <w:szCs w:val="22"/>
        </w:rPr>
        <w:t xml:space="preserve"> </w:t>
      </w:r>
      <w:r w:rsidR="00CA38DD" w:rsidRPr="0080100E">
        <w:rPr>
          <w:rFonts w:ascii="Calibri" w:eastAsia="Calibri" w:hAnsi="Calibri" w:cs="Calibri"/>
          <w:b/>
          <w:sz w:val="22"/>
          <w:szCs w:val="22"/>
        </w:rPr>
        <w:t>20</w:t>
      </w:r>
      <w:r w:rsidR="00CA38DD" w:rsidRPr="0080100E">
        <w:rPr>
          <w:rFonts w:ascii="Calibri" w:eastAsia="Calibri" w:hAnsi="Calibri" w:cs="Calibri"/>
          <w:b/>
          <w:sz w:val="22"/>
          <w:szCs w:val="22"/>
          <w:vertAlign w:val="superscript"/>
        </w:rPr>
        <w:t>th</w:t>
      </w:r>
      <w:r w:rsidR="00CA38DD" w:rsidRPr="0080100E">
        <w:rPr>
          <w:rFonts w:ascii="Calibri" w:eastAsia="Calibri" w:hAnsi="Calibri" w:cs="Calibri"/>
          <w:b/>
          <w:sz w:val="22"/>
          <w:szCs w:val="22"/>
        </w:rPr>
        <w:t xml:space="preserve"> December 2023</w:t>
      </w:r>
      <w:r w:rsidR="00584D53" w:rsidRPr="0080100E">
        <w:rPr>
          <w:rFonts w:ascii="Calibri" w:hAnsi="Calibri" w:cs="Calibri"/>
          <w:b/>
          <w:sz w:val="20"/>
          <w:szCs w:val="20"/>
          <w:u w:val="single"/>
        </w:rPr>
        <w:t>.</w:t>
      </w:r>
      <w:r w:rsidR="00B36DBE" w:rsidRPr="0080100E">
        <w:rPr>
          <w:rFonts w:ascii="Calibri" w:hAnsi="Calibri" w:cs="Calibri"/>
          <w:b/>
          <w:sz w:val="20"/>
          <w:szCs w:val="20"/>
        </w:rPr>
        <w:t xml:space="preserve"> Any</w:t>
      </w:r>
      <w:r w:rsidR="008D071B" w:rsidRPr="0080100E">
        <w:rPr>
          <w:rFonts w:ascii="Calibri" w:hAnsi="Calibri" w:cs="Calibri"/>
          <w:b/>
          <w:sz w:val="20"/>
          <w:szCs w:val="20"/>
        </w:rPr>
        <w:t xml:space="preserve"> queries received after this will </w:t>
      </w:r>
      <w:r w:rsidR="008D071B" w:rsidRPr="0080100E">
        <w:rPr>
          <w:rFonts w:ascii="Calibri" w:hAnsi="Calibri" w:cs="Calibri"/>
          <w:b/>
          <w:i/>
          <w:iCs/>
          <w:sz w:val="20"/>
          <w:szCs w:val="20"/>
        </w:rPr>
        <w:t>not</w:t>
      </w:r>
      <w:r w:rsidR="008D071B" w:rsidRPr="0080100E">
        <w:rPr>
          <w:rFonts w:ascii="Calibri" w:hAnsi="Calibri" w:cs="Calibri"/>
          <w:b/>
          <w:sz w:val="20"/>
          <w:szCs w:val="20"/>
        </w:rPr>
        <w:t xml:space="preserve"> be answered.</w:t>
      </w:r>
    </w:p>
    <w:p w14:paraId="17F24F97" w14:textId="77777777" w:rsidR="003778D8" w:rsidRPr="0080100E" w:rsidRDefault="00B43096" w:rsidP="00B43096">
      <w:pPr>
        <w:rPr>
          <w:rFonts w:ascii="Calibri" w:hAnsi="Calibri" w:cs="Calibri"/>
          <w:sz w:val="22"/>
          <w:szCs w:val="22"/>
        </w:rPr>
      </w:pPr>
      <w:r w:rsidRPr="0080100E">
        <w:rPr>
          <w:rFonts w:ascii="Calibri" w:hAnsi="Calibri" w:cs="Calibri"/>
          <w:sz w:val="22"/>
          <w:szCs w:val="22"/>
        </w:rPr>
        <w:t xml:space="preserve">    </w:t>
      </w:r>
    </w:p>
    <w:tbl>
      <w:tblPr>
        <w:tblStyle w:val="TableProfessional"/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61"/>
        <w:gridCol w:w="5535"/>
      </w:tblGrid>
      <w:tr w:rsidR="003778D8" w:rsidRPr="0080100E" w14:paraId="695042BF" w14:textId="77777777" w:rsidTr="008E49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3"/>
          <w:tblHeader/>
        </w:trPr>
        <w:tc>
          <w:tcPr>
            <w:tcW w:w="2761" w:type="dxa"/>
            <w:shd w:val="clear" w:color="auto" w:fill="CC99FF"/>
            <w:vAlign w:val="center"/>
          </w:tcPr>
          <w:p w14:paraId="45E41B1D" w14:textId="77777777" w:rsidR="003778D8" w:rsidRPr="0080100E" w:rsidRDefault="003778D8" w:rsidP="003778D8">
            <w:pPr>
              <w:jc w:val="center"/>
              <w:rPr>
                <w:rFonts w:ascii="Calibri" w:hAnsi="Calibri" w:cs="Calibri"/>
                <w:color w:val="FFFFFF" w:themeColor="background1"/>
                <w:sz w:val="20"/>
                <w:szCs w:val="20"/>
              </w:rPr>
            </w:pPr>
            <w:r w:rsidRPr="0080100E">
              <w:rPr>
                <w:rFonts w:ascii="Calibri" w:hAnsi="Calibri" w:cs="Calibri"/>
                <w:color w:val="FFFFFF" w:themeColor="background1"/>
                <w:sz w:val="20"/>
                <w:szCs w:val="20"/>
              </w:rPr>
              <w:t>Question</w:t>
            </w:r>
          </w:p>
        </w:tc>
        <w:tc>
          <w:tcPr>
            <w:tcW w:w="5535" w:type="dxa"/>
            <w:shd w:val="clear" w:color="auto" w:fill="CC99FF"/>
            <w:vAlign w:val="center"/>
          </w:tcPr>
          <w:p w14:paraId="5AF0F768" w14:textId="77777777" w:rsidR="003778D8" w:rsidRPr="0080100E" w:rsidRDefault="003778D8" w:rsidP="003778D8">
            <w:pPr>
              <w:jc w:val="center"/>
              <w:rPr>
                <w:rFonts w:ascii="Calibri" w:hAnsi="Calibri" w:cs="Calibri"/>
                <w:color w:val="FFFFFF" w:themeColor="background1"/>
                <w:sz w:val="20"/>
                <w:szCs w:val="20"/>
              </w:rPr>
            </w:pPr>
            <w:r w:rsidRPr="0080100E">
              <w:rPr>
                <w:rFonts w:ascii="Calibri" w:hAnsi="Calibri" w:cs="Calibri"/>
                <w:color w:val="FFFFFF" w:themeColor="background1"/>
                <w:sz w:val="20"/>
                <w:szCs w:val="20"/>
              </w:rPr>
              <w:t>Response</w:t>
            </w:r>
          </w:p>
        </w:tc>
      </w:tr>
      <w:tr w:rsidR="003778D8" w:rsidRPr="0080100E" w14:paraId="6AE23EB0" w14:textId="77777777" w:rsidTr="008E4903">
        <w:trPr>
          <w:trHeight w:val="1918"/>
        </w:trPr>
        <w:tc>
          <w:tcPr>
            <w:tcW w:w="2761" w:type="dxa"/>
            <w:vAlign w:val="center"/>
          </w:tcPr>
          <w:p w14:paraId="4C1679E1" w14:textId="538C936A" w:rsidR="00CA38DD" w:rsidRPr="0080100E" w:rsidRDefault="00CA38DD" w:rsidP="00CA38DD">
            <w:pPr>
              <w:shd w:val="clear" w:color="auto" w:fill="FFFFFF"/>
              <w:rPr>
                <w:rFonts w:ascii="Calibri" w:hAnsi="Calibri" w:cs="Calibri"/>
                <w:color w:val="242424"/>
                <w:sz w:val="20"/>
                <w:szCs w:val="20"/>
              </w:rPr>
            </w:pPr>
            <w:r w:rsidRPr="0080100E">
              <w:rPr>
                <w:rFonts w:ascii="Calibri" w:hAnsi="Calibri" w:cs="Calibri"/>
                <w:color w:val="242424"/>
                <w:sz w:val="20"/>
                <w:szCs w:val="20"/>
              </w:rPr>
              <w:t>Section 3 point 4 “Economic and Financial Standing” refers to thresholds for turnover – please can you confirm if there is a turnover threshold, and if there, is what that value is?</w:t>
            </w:r>
          </w:p>
          <w:p w14:paraId="471D7DCA" w14:textId="154E9C16" w:rsidR="00864044" w:rsidRPr="0080100E" w:rsidRDefault="00864044" w:rsidP="00CA38D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535" w:type="dxa"/>
            <w:vAlign w:val="center"/>
          </w:tcPr>
          <w:p w14:paraId="7818EAD9" w14:textId="3291F795" w:rsidR="00CA38DD" w:rsidRPr="0080100E" w:rsidRDefault="00CA38DD" w:rsidP="00CA38DD">
            <w:pPr>
              <w:spacing w:before="100" w:beforeAutospacing="1" w:after="100" w:afterAutospacing="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0100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There is no specific threshold for turnover but all Tenderers will be subject to </w:t>
            </w:r>
            <w:r w:rsidR="001C600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 </w:t>
            </w:r>
            <w:r w:rsidRPr="0080100E">
              <w:rPr>
                <w:rFonts w:ascii="Calibri" w:hAnsi="Calibri" w:cs="Calibri"/>
                <w:color w:val="000000"/>
                <w:sz w:val="20"/>
                <w:szCs w:val="20"/>
              </w:rPr>
              <w:t>credit check prior to contract.</w:t>
            </w:r>
          </w:p>
          <w:p w14:paraId="3FFD1382" w14:textId="0FC6EE9B" w:rsidR="00481F93" w:rsidRPr="0080100E" w:rsidRDefault="00481F93" w:rsidP="00CA38D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A38DD" w:rsidRPr="0080100E" w14:paraId="1D3B612E" w14:textId="77777777" w:rsidTr="008E4903">
        <w:trPr>
          <w:trHeight w:val="1918"/>
        </w:trPr>
        <w:tc>
          <w:tcPr>
            <w:tcW w:w="2761" w:type="dxa"/>
            <w:vAlign w:val="center"/>
          </w:tcPr>
          <w:p w14:paraId="2E980F7B" w14:textId="77777777" w:rsidR="00CA38DD" w:rsidRPr="0080100E" w:rsidRDefault="00CA38DD" w:rsidP="00CA38DD">
            <w:pPr>
              <w:shd w:val="clear" w:color="auto" w:fill="FFFFFF"/>
              <w:rPr>
                <w:rFonts w:ascii="Calibri" w:hAnsi="Calibri" w:cs="Calibri"/>
                <w:color w:val="242424"/>
                <w:sz w:val="20"/>
                <w:szCs w:val="20"/>
              </w:rPr>
            </w:pPr>
            <w:r w:rsidRPr="0080100E">
              <w:rPr>
                <w:rFonts w:ascii="Calibri" w:hAnsi="Calibri" w:cs="Calibri"/>
                <w:color w:val="242424"/>
                <w:sz w:val="20"/>
                <w:szCs w:val="20"/>
              </w:rPr>
              <w:t>We note that you are looking for a 3-4 month programme with a minimum 4 face to face sessions. Is there an expected number of teaching/coaching/one-to one hours expected. For example, can we expect participants to attend a seminar one day a week for 6 weeks? If so, what are the maximum number of weeks they can attend sessions at 1 per week?</w:t>
            </w:r>
          </w:p>
          <w:p w14:paraId="3730042D" w14:textId="77777777" w:rsidR="00CA38DD" w:rsidRPr="0080100E" w:rsidRDefault="00CA38DD" w:rsidP="00CA38DD">
            <w:pPr>
              <w:shd w:val="clear" w:color="auto" w:fill="FFFFFF"/>
              <w:rPr>
                <w:rFonts w:ascii="Calibri" w:hAnsi="Calibri" w:cs="Calibri"/>
                <w:color w:val="242424"/>
                <w:sz w:val="20"/>
                <w:szCs w:val="20"/>
              </w:rPr>
            </w:pPr>
          </w:p>
        </w:tc>
        <w:tc>
          <w:tcPr>
            <w:tcW w:w="5535" w:type="dxa"/>
            <w:vAlign w:val="center"/>
          </w:tcPr>
          <w:p w14:paraId="481D0AFD" w14:textId="4D2D4FCB" w:rsidR="00CA38DD" w:rsidRPr="0080100E" w:rsidRDefault="00CA38DD" w:rsidP="00CA38DD">
            <w:pPr>
              <w:spacing w:before="100" w:beforeAutospacing="1" w:after="100" w:afterAutospacing="1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0100E">
              <w:rPr>
                <w:rFonts w:ascii="Calibri" w:hAnsi="Calibri" w:cs="Calibri"/>
                <w:color w:val="000000"/>
                <w:sz w:val="20"/>
                <w:szCs w:val="20"/>
              </w:rPr>
              <w:t>There are no set expectations beyond those in the specification but bids will be assessed against the defined criteria and response to questions.</w:t>
            </w:r>
          </w:p>
        </w:tc>
      </w:tr>
      <w:tr w:rsidR="00CA38DD" w:rsidRPr="0080100E" w14:paraId="2D698BDD" w14:textId="77777777" w:rsidTr="008E4903">
        <w:trPr>
          <w:trHeight w:val="1918"/>
        </w:trPr>
        <w:tc>
          <w:tcPr>
            <w:tcW w:w="2761" w:type="dxa"/>
            <w:vAlign w:val="center"/>
          </w:tcPr>
          <w:p w14:paraId="38EECE15" w14:textId="77777777" w:rsidR="00CA38DD" w:rsidRPr="0080100E" w:rsidRDefault="00CA38DD" w:rsidP="00CA38DD">
            <w:pPr>
              <w:shd w:val="clear" w:color="auto" w:fill="FFFFFF"/>
              <w:rPr>
                <w:rFonts w:ascii="Calibri" w:hAnsi="Calibri" w:cs="Calibri"/>
                <w:color w:val="242424"/>
                <w:sz w:val="20"/>
                <w:szCs w:val="20"/>
              </w:rPr>
            </w:pPr>
            <w:r w:rsidRPr="0080100E">
              <w:rPr>
                <w:rFonts w:ascii="Calibri" w:hAnsi="Calibri" w:cs="Calibri"/>
                <w:color w:val="242424"/>
                <w:sz w:val="20"/>
                <w:szCs w:val="20"/>
              </w:rPr>
              <w:t>If you are not using a tender portal with the option to “opt in” how will you be circulating all the clarification responses?</w:t>
            </w:r>
          </w:p>
          <w:p w14:paraId="134C8D16" w14:textId="77777777" w:rsidR="00CA38DD" w:rsidRPr="0080100E" w:rsidRDefault="00CA38DD" w:rsidP="00CA38DD">
            <w:pPr>
              <w:shd w:val="clear" w:color="auto" w:fill="FFFFFF"/>
              <w:rPr>
                <w:rFonts w:ascii="Calibri" w:hAnsi="Calibri" w:cs="Calibri"/>
                <w:color w:val="242424"/>
                <w:sz w:val="20"/>
                <w:szCs w:val="20"/>
              </w:rPr>
            </w:pPr>
          </w:p>
        </w:tc>
        <w:tc>
          <w:tcPr>
            <w:tcW w:w="5535" w:type="dxa"/>
            <w:vAlign w:val="center"/>
          </w:tcPr>
          <w:p w14:paraId="51C45B0C" w14:textId="0B71AA48" w:rsidR="00CA38DD" w:rsidRDefault="00846DD2" w:rsidP="00CA38DD">
            <w:pPr>
              <w:spacing w:before="100" w:beforeAutospacing="1" w:after="100" w:afterAutospacing="1"/>
              <w:rPr>
                <w:rFonts w:ascii="Calibri" w:hAnsi="Calibri" w:cs="Calibri"/>
                <w:color w:val="242424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color w:val="242424"/>
                <w:sz w:val="20"/>
                <w:szCs w:val="20"/>
                <w:shd w:val="clear" w:color="auto" w:fill="FFFFFF"/>
              </w:rPr>
              <w:t>All</w:t>
            </w:r>
            <w:r w:rsidR="00CA38DD" w:rsidRPr="0080100E">
              <w:rPr>
                <w:rFonts w:ascii="Calibri" w:hAnsi="Calibri" w:cs="Calibri"/>
                <w:color w:val="242424"/>
                <w:sz w:val="20"/>
                <w:szCs w:val="20"/>
                <w:shd w:val="clear" w:color="auto" w:fill="FFFFFF"/>
              </w:rPr>
              <w:t xml:space="preserve"> clarification responses will be uploaded via a tender log on to the Contracts Finders website link</w:t>
            </w:r>
            <w:r w:rsidR="00F12510">
              <w:rPr>
                <w:rFonts w:ascii="Calibri" w:hAnsi="Calibri" w:cs="Calibri"/>
                <w:color w:val="242424"/>
                <w:sz w:val="20"/>
                <w:szCs w:val="20"/>
                <w:shd w:val="clear" w:color="auto" w:fill="FFFFFF"/>
              </w:rPr>
              <w:t xml:space="preserve"> within one working day of queries being received where possible.</w:t>
            </w:r>
          </w:p>
          <w:p w14:paraId="2A2490BC" w14:textId="6E762417" w:rsidR="00F12510" w:rsidRPr="0080100E" w:rsidRDefault="00BA1CCE" w:rsidP="00CA38DD">
            <w:pPr>
              <w:spacing w:before="100" w:beforeAutospacing="1" w:after="100" w:afterAutospacing="1"/>
              <w:rPr>
                <w:rFonts w:ascii="Calibri" w:hAnsi="Calibri" w:cs="Calibri"/>
                <w:color w:val="242424"/>
                <w:sz w:val="20"/>
                <w:szCs w:val="20"/>
              </w:rPr>
            </w:pPr>
            <w:r>
              <w:rPr>
                <w:rFonts w:ascii="Calibri" w:hAnsi="Calibri" w:cs="Calibri"/>
                <w:color w:val="242424"/>
                <w:sz w:val="20"/>
                <w:szCs w:val="20"/>
              </w:rPr>
              <w:t xml:space="preserve">The office will be closed over the Christmas and new year period and queries </w:t>
            </w:r>
            <w:r w:rsidR="00FE4BD0">
              <w:rPr>
                <w:rFonts w:ascii="Calibri" w:hAnsi="Calibri" w:cs="Calibri"/>
                <w:color w:val="242424"/>
                <w:sz w:val="20"/>
                <w:szCs w:val="20"/>
              </w:rPr>
              <w:t>will not be responded to until</w:t>
            </w:r>
            <w:r w:rsidR="00772160">
              <w:rPr>
                <w:rFonts w:ascii="Calibri" w:hAnsi="Calibri" w:cs="Calibri"/>
                <w:color w:val="242424"/>
                <w:sz w:val="20"/>
                <w:szCs w:val="20"/>
              </w:rPr>
              <w:t xml:space="preserve"> 2</w:t>
            </w:r>
            <w:r w:rsidR="00772160" w:rsidRPr="00772160">
              <w:rPr>
                <w:rFonts w:ascii="Calibri" w:hAnsi="Calibri" w:cs="Calibri"/>
                <w:color w:val="242424"/>
                <w:sz w:val="20"/>
                <w:szCs w:val="20"/>
                <w:vertAlign w:val="superscript"/>
              </w:rPr>
              <w:t>nd</w:t>
            </w:r>
            <w:r w:rsidR="00772160">
              <w:rPr>
                <w:rFonts w:ascii="Calibri" w:hAnsi="Calibri" w:cs="Calibri"/>
                <w:color w:val="242424"/>
                <w:sz w:val="20"/>
                <w:szCs w:val="20"/>
              </w:rPr>
              <w:t xml:space="preserve"> </w:t>
            </w:r>
            <w:r w:rsidR="00FE4BD0">
              <w:rPr>
                <w:rFonts w:ascii="Calibri" w:hAnsi="Calibri" w:cs="Calibri"/>
                <w:color w:val="242424"/>
                <w:sz w:val="20"/>
                <w:szCs w:val="20"/>
              </w:rPr>
              <w:t xml:space="preserve"> January onwards. </w:t>
            </w:r>
          </w:p>
          <w:p w14:paraId="7ACD34A5" w14:textId="77777777" w:rsidR="00CA38DD" w:rsidRPr="0080100E" w:rsidRDefault="00CA38DD" w:rsidP="00CA38DD">
            <w:pPr>
              <w:spacing w:before="100" w:beforeAutospacing="1" w:after="100" w:afterAutospacing="1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bookmarkEnd w:id="1"/>
    </w:tbl>
    <w:p w14:paraId="12C57281" w14:textId="77777777" w:rsidR="003778D8" w:rsidRPr="0080100E" w:rsidRDefault="003778D8" w:rsidP="00B43096">
      <w:pPr>
        <w:rPr>
          <w:rFonts w:ascii="Calibri" w:hAnsi="Calibri" w:cs="Calibri"/>
          <w:sz w:val="22"/>
          <w:szCs w:val="22"/>
        </w:rPr>
      </w:pPr>
    </w:p>
    <w:sectPr w:rsidR="003778D8" w:rsidRPr="0080100E" w:rsidSect="002217FD">
      <w:footerReference w:type="even" r:id="rId10"/>
      <w:footerReference w:type="default" r:id="rId11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D9581" w14:textId="77777777" w:rsidR="00D609C2" w:rsidRDefault="00D609C2">
      <w:r>
        <w:separator/>
      </w:r>
    </w:p>
  </w:endnote>
  <w:endnote w:type="continuationSeparator" w:id="0">
    <w:p w14:paraId="06EE3CB7" w14:textId="77777777" w:rsidR="00D609C2" w:rsidRDefault="00D60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65D9A" w14:textId="77777777" w:rsidR="002217FD" w:rsidRDefault="002217FD" w:rsidP="0044349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918A48" w14:textId="77777777" w:rsidR="002217FD" w:rsidRDefault="002217FD" w:rsidP="002217F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4C2A3" w14:textId="77777777" w:rsidR="002217FD" w:rsidRDefault="002217FD" w:rsidP="0044349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A5963">
      <w:rPr>
        <w:rStyle w:val="PageNumber"/>
        <w:noProof/>
      </w:rPr>
      <w:t>2</w:t>
    </w:r>
    <w:r>
      <w:rPr>
        <w:rStyle w:val="PageNumber"/>
      </w:rPr>
      <w:fldChar w:fldCharType="end"/>
    </w:r>
  </w:p>
  <w:p w14:paraId="0F6BBD16" w14:textId="77777777" w:rsidR="002217FD" w:rsidRDefault="002217FD" w:rsidP="002217F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0A7A7" w14:textId="77777777" w:rsidR="00D609C2" w:rsidRDefault="00D609C2">
      <w:r>
        <w:separator/>
      </w:r>
    </w:p>
  </w:footnote>
  <w:footnote w:type="continuationSeparator" w:id="0">
    <w:p w14:paraId="53D5B3FD" w14:textId="77777777" w:rsidR="00D609C2" w:rsidRDefault="00D609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86B95"/>
    <w:multiLevelType w:val="multilevel"/>
    <w:tmpl w:val="0D5CE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BD28D3"/>
    <w:multiLevelType w:val="multilevel"/>
    <w:tmpl w:val="E0BE6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282103"/>
    <w:multiLevelType w:val="multilevel"/>
    <w:tmpl w:val="2DC65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859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64892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515856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8D8"/>
    <w:rsid w:val="00013A5E"/>
    <w:rsid w:val="0001544E"/>
    <w:rsid w:val="00017507"/>
    <w:rsid w:val="000429E6"/>
    <w:rsid w:val="00043736"/>
    <w:rsid w:val="00057767"/>
    <w:rsid w:val="00060E11"/>
    <w:rsid w:val="000918D0"/>
    <w:rsid w:val="00094F57"/>
    <w:rsid w:val="000C3BA5"/>
    <w:rsid w:val="000D17B3"/>
    <w:rsid w:val="000D475E"/>
    <w:rsid w:val="000D5E41"/>
    <w:rsid w:val="000E4F15"/>
    <w:rsid w:val="000F3DA8"/>
    <w:rsid w:val="0011288D"/>
    <w:rsid w:val="00115657"/>
    <w:rsid w:val="0013384D"/>
    <w:rsid w:val="00136129"/>
    <w:rsid w:val="00141DF9"/>
    <w:rsid w:val="00156BB0"/>
    <w:rsid w:val="00184427"/>
    <w:rsid w:val="001975CE"/>
    <w:rsid w:val="001A3C19"/>
    <w:rsid w:val="001C37D5"/>
    <w:rsid w:val="001C6002"/>
    <w:rsid w:val="001D397A"/>
    <w:rsid w:val="001D55DC"/>
    <w:rsid w:val="002205B5"/>
    <w:rsid w:val="002217FD"/>
    <w:rsid w:val="00225024"/>
    <w:rsid w:val="00227816"/>
    <w:rsid w:val="00231111"/>
    <w:rsid w:val="0024282C"/>
    <w:rsid w:val="00247EE1"/>
    <w:rsid w:val="00250181"/>
    <w:rsid w:val="002618D0"/>
    <w:rsid w:val="00263EA5"/>
    <w:rsid w:val="0027462A"/>
    <w:rsid w:val="002815D3"/>
    <w:rsid w:val="0028765F"/>
    <w:rsid w:val="00290E4F"/>
    <w:rsid w:val="00290F5A"/>
    <w:rsid w:val="002A1788"/>
    <w:rsid w:val="002A52C3"/>
    <w:rsid w:val="002B1D44"/>
    <w:rsid w:val="002D4EAD"/>
    <w:rsid w:val="002F1AE5"/>
    <w:rsid w:val="00324FCC"/>
    <w:rsid w:val="003323F8"/>
    <w:rsid w:val="00346DCC"/>
    <w:rsid w:val="00367139"/>
    <w:rsid w:val="00372001"/>
    <w:rsid w:val="003778D8"/>
    <w:rsid w:val="00377945"/>
    <w:rsid w:val="003A5D6D"/>
    <w:rsid w:val="003D486D"/>
    <w:rsid w:val="003F0C00"/>
    <w:rsid w:val="003F2060"/>
    <w:rsid w:val="0041491F"/>
    <w:rsid w:val="00416B5C"/>
    <w:rsid w:val="004318C3"/>
    <w:rsid w:val="0044349A"/>
    <w:rsid w:val="0044599F"/>
    <w:rsid w:val="0046027C"/>
    <w:rsid w:val="00461AC8"/>
    <w:rsid w:val="004631B9"/>
    <w:rsid w:val="0046489F"/>
    <w:rsid w:val="00471206"/>
    <w:rsid w:val="00480ACE"/>
    <w:rsid w:val="00481F93"/>
    <w:rsid w:val="00491013"/>
    <w:rsid w:val="004A1F76"/>
    <w:rsid w:val="004C0207"/>
    <w:rsid w:val="004C33F3"/>
    <w:rsid w:val="004D7BE1"/>
    <w:rsid w:val="004E2BBB"/>
    <w:rsid w:val="004E76AF"/>
    <w:rsid w:val="00503145"/>
    <w:rsid w:val="00510992"/>
    <w:rsid w:val="005164ED"/>
    <w:rsid w:val="005214F2"/>
    <w:rsid w:val="00532AE5"/>
    <w:rsid w:val="00533D33"/>
    <w:rsid w:val="00551616"/>
    <w:rsid w:val="005712A6"/>
    <w:rsid w:val="00582CB3"/>
    <w:rsid w:val="00582F38"/>
    <w:rsid w:val="00584D53"/>
    <w:rsid w:val="00592247"/>
    <w:rsid w:val="005A56C8"/>
    <w:rsid w:val="005A5C7F"/>
    <w:rsid w:val="005C4368"/>
    <w:rsid w:val="005C4956"/>
    <w:rsid w:val="005E3B29"/>
    <w:rsid w:val="005E3C45"/>
    <w:rsid w:val="005E5087"/>
    <w:rsid w:val="005F35C6"/>
    <w:rsid w:val="006016C4"/>
    <w:rsid w:val="006059D2"/>
    <w:rsid w:val="0063596D"/>
    <w:rsid w:val="0064430A"/>
    <w:rsid w:val="00652398"/>
    <w:rsid w:val="00657778"/>
    <w:rsid w:val="006649B8"/>
    <w:rsid w:val="006711E6"/>
    <w:rsid w:val="00683110"/>
    <w:rsid w:val="00690F36"/>
    <w:rsid w:val="00692047"/>
    <w:rsid w:val="006A0AA8"/>
    <w:rsid w:val="006A282B"/>
    <w:rsid w:val="006A68CC"/>
    <w:rsid w:val="006B3916"/>
    <w:rsid w:val="006C29CA"/>
    <w:rsid w:val="006D52BF"/>
    <w:rsid w:val="006E356E"/>
    <w:rsid w:val="007027D5"/>
    <w:rsid w:val="00714674"/>
    <w:rsid w:val="00715713"/>
    <w:rsid w:val="0072071C"/>
    <w:rsid w:val="00753926"/>
    <w:rsid w:val="00760DA1"/>
    <w:rsid w:val="00765C40"/>
    <w:rsid w:val="00772160"/>
    <w:rsid w:val="00787123"/>
    <w:rsid w:val="00797547"/>
    <w:rsid w:val="00797949"/>
    <w:rsid w:val="007C26F7"/>
    <w:rsid w:val="007E7118"/>
    <w:rsid w:val="0080100E"/>
    <w:rsid w:val="00821C3B"/>
    <w:rsid w:val="00827F1F"/>
    <w:rsid w:val="0083795B"/>
    <w:rsid w:val="008402D5"/>
    <w:rsid w:val="008436F1"/>
    <w:rsid w:val="00846DD2"/>
    <w:rsid w:val="00863B64"/>
    <w:rsid w:val="00864044"/>
    <w:rsid w:val="00872732"/>
    <w:rsid w:val="00873665"/>
    <w:rsid w:val="00884396"/>
    <w:rsid w:val="008B383F"/>
    <w:rsid w:val="008C7F3E"/>
    <w:rsid w:val="008D071B"/>
    <w:rsid w:val="008E4903"/>
    <w:rsid w:val="0090213C"/>
    <w:rsid w:val="00906F56"/>
    <w:rsid w:val="00911F31"/>
    <w:rsid w:val="009232CD"/>
    <w:rsid w:val="00932E83"/>
    <w:rsid w:val="00936691"/>
    <w:rsid w:val="0094058D"/>
    <w:rsid w:val="00943760"/>
    <w:rsid w:val="00947156"/>
    <w:rsid w:val="0096626C"/>
    <w:rsid w:val="00976450"/>
    <w:rsid w:val="00994E70"/>
    <w:rsid w:val="009A38FD"/>
    <w:rsid w:val="009B38F7"/>
    <w:rsid w:val="009B659D"/>
    <w:rsid w:val="009C7295"/>
    <w:rsid w:val="009D12ED"/>
    <w:rsid w:val="009D1315"/>
    <w:rsid w:val="009D714A"/>
    <w:rsid w:val="00A1047C"/>
    <w:rsid w:val="00A16B9F"/>
    <w:rsid w:val="00A278EA"/>
    <w:rsid w:val="00A52571"/>
    <w:rsid w:val="00A5784C"/>
    <w:rsid w:val="00A7189C"/>
    <w:rsid w:val="00A90509"/>
    <w:rsid w:val="00AA457F"/>
    <w:rsid w:val="00AD0CA3"/>
    <w:rsid w:val="00B072F5"/>
    <w:rsid w:val="00B32B59"/>
    <w:rsid w:val="00B36DBE"/>
    <w:rsid w:val="00B37609"/>
    <w:rsid w:val="00B43096"/>
    <w:rsid w:val="00B54D9D"/>
    <w:rsid w:val="00B57896"/>
    <w:rsid w:val="00B62BD1"/>
    <w:rsid w:val="00B85FCC"/>
    <w:rsid w:val="00B96F4E"/>
    <w:rsid w:val="00B97773"/>
    <w:rsid w:val="00BA1CCE"/>
    <w:rsid w:val="00BB2E7A"/>
    <w:rsid w:val="00BC7FC0"/>
    <w:rsid w:val="00BE463D"/>
    <w:rsid w:val="00BF43D4"/>
    <w:rsid w:val="00C0141C"/>
    <w:rsid w:val="00C416F5"/>
    <w:rsid w:val="00C55CA2"/>
    <w:rsid w:val="00C57A9B"/>
    <w:rsid w:val="00C73014"/>
    <w:rsid w:val="00C82F19"/>
    <w:rsid w:val="00C875E9"/>
    <w:rsid w:val="00C931B6"/>
    <w:rsid w:val="00CA38DD"/>
    <w:rsid w:val="00CA65D7"/>
    <w:rsid w:val="00CB22C3"/>
    <w:rsid w:val="00CB4B40"/>
    <w:rsid w:val="00CC658D"/>
    <w:rsid w:val="00CE181D"/>
    <w:rsid w:val="00CE4700"/>
    <w:rsid w:val="00CE6158"/>
    <w:rsid w:val="00CE76DB"/>
    <w:rsid w:val="00D04213"/>
    <w:rsid w:val="00D118A0"/>
    <w:rsid w:val="00D32F43"/>
    <w:rsid w:val="00D4102A"/>
    <w:rsid w:val="00D46326"/>
    <w:rsid w:val="00D52305"/>
    <w:rsid w:val="00D609C2"/>
    <w:rsid w:val="00D62A3C"/>
    <w:rsid w:val="00D86DAC"/>
    <w:rsid w:val="00D91AF5"/>
    <w:rsid w:val="00D926AC"/>
    <w:rsid w:val="00DA40EA"/>
    <w:rsid w:val="00DF0C28"/>
    <w:rsid w:val="00DF3AA7"/>
    <w:rsid w:val="00DF3DB1"/>
    <w:rsid w:val="00E03DE5"/>
    <w:rsid w:val="00E07C1E"/>
    <w:rsid w:val="00E36B06"/>
    <w:rsid w:val="00E36C67"/>
    <w:rsid w:val="00E405B6"/>
    <w:rsid w:val="00E54D17"/>
    <w:rsid w:val="00E65A5B"/>
    <w:rsid w:val="00E71F34"/>
    <w:rsid w:val="00E7215E"/>
    <w:rsid w:val="00E81D6E"/>
    <w:rsid w:val="00E85577"/>
    <w:rsid w:val="00E8575F"/>
    <w:rsid w:val="00E92BF5"/>
    <w:rsid w:val="00EA46B5"/>
    <w:rsid w:val="00EA5963"/>
    <w:rsid w:val="00ED308B"/>
    <w:rsid w:val="00ED31A3"/>
    <w:rsid w:val="00ED6676"/>
    <w:rsid w:val="00F03DFF"/>
    <w:rsid w:val="00F07285"/>
    <w:rsid w:val="00F12510"/>
    <w:rsid w:val="00F251EE"/>
    <w:rsid w:val="00F55A77"/>
    <w:rsid w:val="00F608D6"/>
    <w:rsid w:val="00F716C0"/>
    <w:rsid w:val="00F932FF"/>
    <w:rsid w:val="00FC7DFC"/>
    <w:rsid w:val="00FE4BD0"/>
    <w:rsid w:val="00FE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6CF6A6"/>
  <w15:chartTrackingRefBased/>
  <w15:docId w15:val="{7BF258CC-5AC3-46A1-8C01-9F211AAFE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autoRedefine/>
    <w:semiHidden/>
    <w:rsid w:val="00250181"/>
    <w:rPr>
      <w:sz w:val="20"/>
      <w:szCs w:val="20"/>
    </w:rPr>
  </w:style>
  <w:style w:type="table" w:styleId="TableGrid">
    <w:name w:val="Table Grid"/>
    <w:basedOn w:val="TableNormal"/>
    <w:rsid w:val="003778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3778D8"/>
    <w:rPr>
      <w:color w:val="0000FF"/>
      <w:u w:val="single"/>
    </w:rPr>
  </w:style>
  <w:style w:type="table" w:styleId="TableProfessional">
    <w:name w:val="Table Professional"/>
    <w:basedOn w:val="TableNormal"/>
    <w:rsid w:val="003778D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CommentReference">
    <w:name w:val="annotation reference"/>
    <w:basedOn w:val="DefaultParagraphFont"/>
    <w:semiHidden/>
    <w:rsid w:val="006D52BF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6D52BF"/>
    <w:rPr>
      <w:b/>
      <w:bCs/>
    </w:rPr>
  </w:style>
  <w:style w:type="paragraph" w:styleId="BalloonText">
    <w:name w:val="Balloon Text"/>
    <w:basedOn w:val="Normal"/>
    <w:semiHidden/>
    <w:rsid w:val="006D52BF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2217F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217FD"/>
  </w:style>
  <w:style w:type="paragraph" w:customStyle="1" w:styleId="xmsonormal">
    <w:name w:val="x_msonormal"/>
    <w:basedOn w:val="Normal"/>
    <w:rsid w:val="008E4903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4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B3D40B20EFFE4DB90A54E4E11AF294" ma:contentTypeVersion="9" ma:contentTypeDescription="Create a new document." ma:contentTypeScope="" ma:versionID="6d581598858f4748b72b3502f6835741">
  <xsd:schema xmlns:xsd="http://www.w3.org/2001/XMLSchema" xmlns:xs="http://www.w3.org/2001/XMLSchema" xmlns:p="http://schemas.microsoft.com/office/2006/metadata/properties" xmlns:ns3="02f7b28e-ff2a-499d-9827-e2a15dfbb2ea" targetNamespace="http://schemas.microsoft.com/office/2006/metadata/properties" ma:root="true" ma:fieldsID="f30e07d9302aa058d6476553674b461e" ns3:_="">
    <xsd:import namespace="02f7b28e-ff2a-499d-9827-e2a15dfbb2e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7b28e-ff2a-499d-9827-e2a15dfbb2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3C2C82-05B1-48AA-A0E2-C84851EBD3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CC9C898-A6EA-4EB5-8DE2-46085EDAD2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BF13CC-B06E-4765-9BA0-32B0E251B6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f7b28e-ff2a-499d-9827-e2a15dfbb2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1641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Frequently Asked Questions</vt:lpstr>
    </vt:vector>
  </TitlesOfParts>
  <Company>London Councils</Company>
  <LinksUpToDate>false</LinksUpToDate>
  <CharactersWithSpaces>1962</CharactersWithSpaces>
  <SharedDoc>false</SharedDoc>
  <HLinks>
    <vt:vector size="6" baseType="variant">
      <vt:variant>
        <vt:i4>3997736</vt:i4>
      </vt:variant>
      <vt:variant>
        <vt:i4>0</vt:i4>
      </vt:variant>
      <vt:variant>
        <vt:i4>0</vt:i4>
      </vt:variant>
      <vt:variant>
        <vt:i4>5</vt:i4>
      </vt:variant>
      <vt:variant>
        <vt:lpwstr>http://www.supply2.gov.uk/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Frequently Asked Questions</dc:title>
  <dc:subject/>
  <dc:creator>Sima Maqbool</dc:creator>
  <cp:keywords/>
  <dc:description/>
  <cp:lastModifiedBy>Richard Merrington</cp:lastModifiedBy>
  <cp:revision>2</cp:revision>
  <dcterms:created xsi:type="dcterms:W3CDTF">2024-01-02T14:15:00Z</dcterms:created>
  <dcterms:modified xsi:type="dcterms:W3CDTF">2024-01-02T14:15:00Z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0x01010078B3D40B20EFFE4DB90A54E4E11AF294</vt:lpwstr>
  </property>
</Properties>
</file>