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0D84" w14:textId="77777777" w:rsidR="00430CB8" w:rsidRDefault="00430CB8" w:rsidP="00430CB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</w:p>
    <w:p w14:paraId="19535992" w14:textId="47672325" w:rsidR="00430CB8" w:rsidRDefault="00430CB8" w:rsidP="00430CB8">
      <w:pPr>
        <w:tabs>
          <w:tab w:val="left" w:pos="-720"/>
        </w:tabs>
        <w:suppressAutoHyphens/>
        <w:rPr>
          <w:rFonts w:cs="Arial"/>
          <w:b/>
          <w:spacing w:val="-3"/>
          <w:sz w:val="40"/>
          <w:szCs w:val="40"/>
        </w:rPr>
      </w:pPr>
      <w:r w:rsidRPr="000B6AA1">
        <w:rPr>
          <w:rFonts w:cs="Arial"/>
          <w:noProof/>
          <w:sz w:val="22"/>
          <w:szCs w:val="22"/>
          <w:lang w:eastAsia="en-GB"/>
        </w:rPr>
        <w:drawing>
          <wp:inline distT="0" distB="0" distL="0" distR="0" wp14:anchorId="5ABC2E30" wp14:editId="1E35C7ED">
            <wp:extent cx="1478756" cy="514350"/>
            <wp:effectExtent l="0" t="0" r="762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073A6.9AE5EF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56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4639" w14:textId="77777777" w:rsidR="00430CB8" w:rsidRDefault="00430CB8" w:rsidP="00430CB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</w:p>
    <w:p w14:paraId="3987D45B" w14:textId="77777777" w:rsidR="00430CB8" w:rsidRDefault="00430CB8" w:rsidP="00430CB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</w:p>
    <w:p w14:paraId="3DAC104D" w14:textId="77777777" w:rsidR="00430CB8" w:rsidRDefault="00430CB8" w:rsidP="00430CB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</w:p>
    <w:p w14:paraId="4EC52E67" w14:textId="0ECB85CC" w:rsidR="00430CB8" w:rsidRPr="000B6AA1" w:rsidRDefault="009870A8" w:rsidP="00430CB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40"/>
          <w:szCs w:val="40"/>
        </w:rPr>
      </w:pPr>
      <w:r>
        <w:rPr>
          <w:rFonts w:cs="Arial"/>
          <w:b/>
          <w:spacing w:val="-3"/>
          <w:sz w:val="40"/>
          <w:szCs w:val="40"/>
        </w:rPr>
        <w:t xml:space="preserve">National </w:t>
      </w:r>
      <w:r w:rsidR="00430CB8" w:rsidRPr="000B6AA1">
        <w:rPr>
          <w:rFonts w:cs="Arial"/>
          <w:b/>
          <w:spacing w:val="-3"/>
          <w:sz w:val="40"/>
          <w:szCs w:val="40"/>
        </w:rPr>
        <w:t>Highways Limited</w:t>
      </w:r>
    </w:p>
    <w:p w14:paraId="7D91F271" w14:textId="77777777" w:rsidR="00430CB8" w:rsidRPr="000B6AA1" w:rsidRDefault="00430CB8" w:rsidP="00430CB8">
      <w:pPr>
        <w:pStyle w:val="Header"/>
        <w:tabs>
          <w:tab w:val="clear" w:pos="4153"/>
          <w:tab w:val="clear" w:pos="8306"/>
        </w:tabs>
        <w:rPr>
          <w:rFonts w:cs="Arial"/>
          <w:sz w:val="40"/>
          <w:szCs w:val="40"/>
        </w:rPr>
      </w:pPr>
    </w:p>
    <w:p w14:paraId="630ECEC3" w14:textId="77777777" w:rsidR="00430CB8" w:rsidRPr="000B6AA1" w:rsidRDefault="00430CB8" w:rsidP="00430CB8">
      <w:pPr>
        <w:rPr>
          <w:rFonts w:cs="Arial"/>
          <w:sz w:val="40"/>
          <w:szCs w:val="40"/>
        </w:rPr>
      </w:pPr>
    </w:p>
    <w:p w14:paraId="4A1EF677" w14:textId="77777777" w:rsidR="00430CB8" w:rsidRPr="000B6AA1" w:rsidRDefault="00430CB8" w:rsidP="00430CB8">
      <w:pPr>
        <w:rPr>
          <w:rFonts w:cs="Arial"/>
          <w:sz w:val="40"/>
          <w:szCs w:val="40"/>
        </w:rPr>
      </w:pPr>
    </w:p>
    <w:p w14:paraId="138912A7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</w:p>
    <w:p w14:paraId="0C9D3CE1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</w:p>
    <w:p w14:paraId="07353DA9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  <w:r w:rsidRPr="000B6AA1">
        <w:rPr>
          <w:rFonts w:cs="Arial"/>
          <w:b/>
          <w:sz w:val="40"/>
          <w:szCs w:val="40"/>
        </w:rPr>
        <w:t>Scope</w:t>
      </w:r>
    </w:p>
    <w:p w14:paraId="208B3F88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</w:p>
    <w:p w14:paraId="191114A8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  <w:r w:rsidRPr="000B6AA1">
        <w:rPr>
          <w:rFonts w:cs="Arial"/>
          <w:b/>
          <w:sz w:val="40"/>
          <w:szCs w:val="40"/>
        </w:rPr>
        <w:t xml:space="preserve">People Strategy  </w:t>
      </w:r>
    </w:p>
    <w:p w14:paraId="3F52391D" w14:textId="77777777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</w:p>
    <w:p w14:paraId="5065DD55" w14:textId="016320E6" w:rsidR="00430CB8" w:rsidRPr="000B6AA1" w:rsidRDefault="00430CB8" w:rsidP="00430CB8">
      <w:pPr>
        <w:jc w:val="center"/>
        <w:rPr>
          <w:rFonts w:cs="Arial"/>
          <w:b/>
          <w:sz w:val="40"/>
          <w:szCs w:val="40"/>
        </w:rPr>
      </w:pPr>
      <w:r w:rsidRPr="000B6AA1">
        <w:rPr>
          <w:rFonts w:cs="Arial"/>
          <w:b/>
          <w:sz w:val="40"/>
          <w:szCs w:val="40"/>
        </w:rPr>
        <w:t>Annex 0</w:t>
      </w:r>
      <w:r w:rsidR="001C3D2D">
        <w:rPr>
          <w:rFonts w:cs="Arial"/>
          <w:b/>
          <w:sz w:val="40"/>
          <w:szCs w:val="40"/>
        </w:rPr>
        <w:t>5</w:t>
      </w:r>
    </w:p>
    <w:p w14:paraId="6EE8F0E0" w14:textId="77777777" w:rsidR="00430CB8" w:rsidRPr="00D14A76" w:rsidRDefault="00430CB8" w:rsidP="00430CB8">
      <w:pPr>
        <w:jc w:val="center"/>
        <w:rPr>
          <w:rFonts w:cs="Arial"/>
          <w:b/>
          <w:sz w:val="22"/>
          <w:szCs w:val="22"/>
        </w:rPr>
      </w:pPr>
    </w:p>
    <w:p w14:paraId="500BC1F8" w14:textId="77777777" w:rsidR="004973AE" w:rsidRDefault="004973AE"/>
    <w:p w14:paraId="6E1D1BE9" w14:textId="77777777" w:rsidR="004973AE" w:rsidRDefault="004973AE"/>
    <w:p w14:paraId="6DC4AB29" w14:textId="77777777" w:rsidR="004973AE" w:rsidRDefault="004973AE"/>
    <w:p w14:paraId="72E4853B" w14:textId="77777777" w:rsidR="00430CB8" w:rsidRDefault="00430CB8" w:rsidP="00D36F71">
      <w:r>
        <w:br w:type="page"/>
      </w:r>
    </w:p>
    <w:p w14:paraId="4F20472E" w14:textId="77777777" w:rsidR="00430CB8" w:rsidRPr="000B6AA1" w:rsidRDefault="00430CB8" w:rsidP="00430CB8">
      <w:pPr>
        <w:spacing w:before="240"/>
        <w:jc w:val="center"/>
        <w:rPr>
          <w:rFonts w:cs="Arial"/>
          <w:b/>
          <w:sz w:val="22"/>
          <w:szCs w:val="22"/>
        </w:rPr>
      </w:pPr>
      <w:r w:rsidRPr="000B6AA1">
        <w:rPr>
          <w:rFonts w:cs="Arial"/>
          <w:b/>
          <w:sz w:val="22"/>
          <w:szCs w:val="22"/>
        </w:rPr>
        <w:lastRenderedPageBreak/>
        <w:t>CONTENTS AMENDMENT SHEET</w:t>
      </w:r>
    </w:p>
    <w:p w14:paraId="245786DB" w14:textId="77777777" w:rsidR="00430CB8" w:rsidRPr="000B6AA1" w:rsidRDefault="00430CB8" w:rsidP="00430CB8">
      <w:pPr>
        <w:spacing w:before="240"/>
        <w:jc w:val="center"/>
        <w:rPr>
          <w:rFonts w:cs="Arial"/>
          <w:b/>
          <w:sz w:val="22"/>
          <w:szCs w:val="22"/>
        </w:rPr>
      </w:pPr>
    </w:p>
    <w:p w14:paraId="4CDD3C8D" w14:textId="77777777" w:rsidR="00430CB8" w:rsidRPr="000B6AA1" w:rsidRDefault="00430CB8" w:rsidP="00430CB8">
      <w:pPr>
        <w:pStyle w:val="Header"/>
        <w:tabs>
          <w:tab w:val="clear" w:pos="4153"/>
          <w:tab w:val="clear" w:pos="8306"/>
        </w:tabs>
        <w:rPr>
          <w:rFonts w:cs="Arial"/>
          <w:sz w:val="22"/>
          <w:szCs w:val="22"/>
        </w:rPr>
      </w:pPr>
    </w:p>
    <w:tbl>
      <w:tblPr>
        <w:tblW w:w="8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88"/>
        <w:gridCol w:w="3969"/>
        <w:gridCol w:w="963"/>
        <w:gridCol w:w="1432"/>
      </w:tblGrid>
      <w:tr w:rsidR="00430CB8" w:rsidRPr="000B6AA1" w14:paraId="142311A2" w14:textId="77777777" w:rsidTr="00AB2A3D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68C184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Issue</w:t>
            </w:r>
            <w:r w:rsidRPr="000B6AA1">
              <w:rPr>
                <w:rFonts w:eastAsia="Calibri" w:cs="Arial"/>
                <w:b/>
                <w:sz w:val="22"/>
                <w:szCs w:val="22"/>
              </w:rPr>
              <w:t>. No.</w:t>
            </w:r>
          </w:p>
        </w:tc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D4CC0D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0B6AA1">
              <w:rPr>
                <w:rFonts w:eastAsia="Calibri" w:cs="Arial"/>
                <w:b/>
                <w:sz w:val="22"/>
                <w:szCs w:val="22"/>
              </w:rPr>
              <w:t>Revision No.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A50C87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0B6AA1">
              <w:rPr>
                <w:rFonts w:eastAsia="Calibri" w:cs="Arial"/>
                <w:b/>
                <w:sz w:val="22"/>
                <w:szCs w:val="22"/>
              </w:rPr>
              <w:t>Amendments</w:t>
            </w:r>
          </w:p>
        </w:tc>
        <w:tc>
          <w:tcPr>
            <w:tcW w:w="9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DE6FFB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0B6AA1">
              <w:rPr>
                <w:rFonts w:eastAsia="Calibri" w:cs="Arial"/>
                <w:b/>
                <w:sz w:val="22"/>
                <w:szCs w:val="22"/>
              </w:rPr>
              <w:t>Initials</w:t>
            </w:r>
          </w:p>
        </w:tc>
        <w:tc>
          <w:tcPr>
            <w:tcW w:w="14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7AE15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0B6AA1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430CB8" w:rsidRPr="000B6AA1" w14:paraId="6865ACFB" w14:textId="77777777" w:rsidTr="00AB2A3D">
        <w:trPr>
          <w:jc w:val="center"/>
        </w:trPr>
        <w:tc>
          <w:tcPr>
            <w:tcW w:w="1080" w:type="dxa"/>
            <w:tcBorders>
              <w:top w:val="double" w:sz="4" w:space="0" w:color="auto"/>
            </w:tcBorders>
          </w:tcPr>
          <w:p w14:paraId="20683D95" w14:textId="5346F72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</w:tcPr>
          <w:p w14:paraId="5A0F4CC7" w14:textId="3DB13B91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18014B5B" w14:textId="10FC64BC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double" w:sz="4" w:space="0" w:color="auto"/>
            </w:tcBorders>
          </w:tcPr>
          <w:p w14:paraId="04B4AC77" w14:textId="6970370A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</w:tcPr>
          <w:p w14:paraId="224912DF" w14:textId="06C90923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747415B8" w14:textId="77777777" w:rsidTr="00AB2A3D">
        <w:trPr>
          <w:jc w:val="center"/>
        </w:trPr>
        <w:tc>
          <w:tcPr>
            <w:tcW w:w="1080" w:type="dxa"/>
          </w:tcPr>
          <w:p w14:paraId="1FAA0D5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9CDF175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B4FA35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55EFA1E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65226B1D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42DA4394" w14:textId="77777777" w:rsidTr="00AB2A3D">
        <w:trPr>
          <w:jc w:val="center"/>
        </w:trPr>
        <w:tc>
          <w:tcPr>
            <w:tcW w:w="1080" w:type="dxa"/>
          </w:tcPr>
          <w:p w14:paraId="24721A0C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85E0EE8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B6EBE3C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4284E97A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7FFDB37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7B02C6E5" w14:textId="77777777" w:rsidTr="00AB2A3D">
        <w:trPr>
          <w:jc w:val="center"/>
        </w:trPr>
        <w:tc>
          <w:tcPr>
            <w:tcW w:w="1080" w:type="dxa"/>
          </w:tcPr>
          <w:p w14:paraId="4A5F67E5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4921A1F2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4E8E04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22AB05C6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16093A00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69188B9C" w14:textId="77777777" w:rsidTr="00AB2A3D">
        <w:trPr>
          <w:jc w:val="center"/>
        </w:trPr>
        <w:tc>
          <w:tcPr>
            <w:tcW w:w="1080" w:type="dxa"/>
          </w:tcPr>
          <w:p w14:paraId="34954889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E0C87A9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1BD3AB5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382033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5DC1A660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0D459640" w14:textId="77777777" w:rsidTr="00AB2A3D">
        <w:trPr>
          <w:jc w:val="center"/>
        </w:trPr>
        <w:tc>
          <w:tcPr>
            <w:tcW w:w="1080" w:type="dxa"/>
          </w:tcPr>
          <w:p w14:paraId="6DB0DE99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3558883F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6FABAF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71A2765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41665131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4AA794D5" w14:textId="77777777" w:rsidTr="00AB2A3D">
        <w:trPr>
          <w:jc w:val="center"/>
        </w:trPr>
        <w:tc>
          <w:tcPr>
            <w:tcW w:w="1080" w:type="dxa"/>
          </w:tcPr>
          <w:p w14:paraId="41A1D9BC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792ADBE2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425E17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19209543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120AFD64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430CB8" w:rsidRPr="000B6AA1" w14:paraId="32128C41" w14:textId="77777777" w:rsidTr="00AB2A3D">
        <w:trPr>
          <w:jc w:val="center"/>
        </w:trPr>
        <w:tc>
          <w:tcPr>
            <w:tcW w:w="1080" w:type="dxa"/>
          </w:tcPr>
          <w:p w14:paraId="1A058F5D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6259B069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5D18CE1" w14:textId="77777777" w:rsidR="00430CB8" w:rsidRPr="000B6AA1" w:rsidRDefault="00430CB8" w:rsidP="00AB2A3D">
            <w:pPr>
              <w:spacing w:before="120" w:after="120"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73165A51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1432" w:type="dxa"/>
          </w:tcPr>
          <w:p w14:paraId="3B93D9AD" w14:textId="77777777" w:rsidR="00430CB8" w:rsidRPr="000B6AA1" w:rsidRDefault="00430CB8" w:rsidP="00AB2A3D">
            <w:pPr>
              <w:spacing w:before="120" w:after="120" w:line="276" w:lineRule="auto"/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148918EF" w14:textId="60AEE283" w:rsidR="003E2F15" w:rsidRPr="00093D7A" w:rsidRDefault="00F155A4" w:rsidP="00D36F71">
      <w:pPr>
        <w:rPr>
          <w:lang w:val="en-US"/>
        </w:rPr>
      </w:pPr>
      <w:r w:rsidRPr="00093D7A">
        <w:br w:type="page"/>
      </w:r>
    </w:p>
    <w:p w14:paraId="6A8E4DAE" w14:textId="77777777" w:rsidR="00F155A4" w:rsidRPr="00093D7A" w:rsidRDefault="00F155A4" w:rsidP="00F155A4">
      <w:pPr>
        <w:pStyle w:val="Heading1"/>
      </w:pPr>
      <w:bookmarkStart w:id="0" w:name="_Toc531170439"/>
      <w:bookmarkStart w:id="1" w:name="_Toc49332335"/>
      <w:bookmarkStart w:id="2" w:name="_Toc463269862"/>
      <w:bookmarkStart w:id="3" w:name="_Toc463018927"/>
      <w:bookmarkStart w:id="4" w:name="_Ref462386374"/>
      <w:r w:rsidRPr="00093D7A">
        <w:lastRenderedPageBreak/>
        <w:t>Additional Guidance</w:t>
      </w:r>
      <w:bookmarkEnd w:id="0"/>
      <w:bookmarkEnd w:id="1"/>
      <w:r w:rsidRPr="00093D7A">
        <w:t xml:space="preserve"> </w:t>
      </w:r>
    </w:p>
    <w:p w14:paraId="704709A3" w14:textId="5365021A" w:rsidR="00F155A4" w:rsidRPr="00093D7A" w:rsidRDefault="00F155A4" w:rsidP="000E0C14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This guidance has been prepared to assist </w:t>
      </w:r>
      <w:r w:rsidR="008E5137" w:rsidRPr="00093D7A">
        <w:rPr>
          <w:rFonts w:cs="Arial"/>
          <w:sz w:val="22"/>
          <w:szCs w:val="22"/>
        </w:rPr>
        <w:t xml:space="preserve">the </w:t>
      </w:r>
      <w:r w:rsidR="008E5137" w:rsidRPr="00093D7A">
        <w:rPr>
          <w:rFonts w:cs="Arial"/>
          <w:i/>
          <w:sz w:val="22"/>
          <w:szCs w:val="22"/>
        </w:rPr>
        <w:t>Client</w:t>
      </w:r>
      <w:r w:rsidR="00531A88" w:rsidRPr="00093D7A">
        <w:rPr>
          <w:rFonts w:cs="Arial"/>
          <w:sz w:val="22"/>
          <w:szCs w:val="22"/>
        </w:rPr>
        <w:t xml:space="preserve"> and its </w:t>
      </w:r>
      <w:r w:rsidR="008E5137" w:rsidRPr="00093D7A">
        <w:rPr>
          <w:rFonts w:cs="Arial"/>
          <w:sz w:val="22"/>
          <w:szCs w:val="22"/>
        </w:rPr>
        <w:t>s</w:t>
      </w:r>
      <w:r w:rsidR="00531A88" w:rsidRPr="00093D7A">
        <w:rPr>
          <w:rFonts w:cs="Arial"/>
          <w:sz w:val="22"/>
          <w:szCs w:val="22"/>
        </w:rPr>
        <w:t xml:space="preserve">upply </w:t>
      </w:r>
      <w:r w:rsidR="008E5137" w:rsidRPr="00093D7A">
        <w:rPr>
          <w:rFonts w:cs="Arial"/>
          <w:sz w:val="22"/>
          <w:szCs w:val="22"/>
        </w:rPr>
        <w:t>c</w:t>
      </w:r>
      <w:r w:rsidR="00531A88" w:rsidRPr="00093D7A">
        <w:rPr>
          <w:rFonts w:cs="Arial"/>
          <w:sz w:val="22"/>
          <w:szCs w:val="22"/>
        </w:rPr>
        <w:t xml:space="preserve">hain </w:t>
      </w:r>
      <w:r w:rsidR="00F023C3" w:rsidRPr="00093D7A">
        <w:rPr>
          <w:rFonts w:cs="Arial"/>
          <w:sz w:val="22"/>
          <w:szCs w:val="22"/>
        </w:rPr>
        <w:t xml:space="preserve">(at any stage of remoteness from the </w:t>
      </w:r>
      <w:r w:rsidR="00F023C3" w:rsidRPr="00093D7A">
        <w:rPr>
          <w:rFonts w:cs="Arial"/>
          <w:i/>
          <w:sz w:val="22"/>
          <w:szCs w:val="22"/>
        </w:rPr>
        <w:t>Client</w:t>
      </w:r>
      <w:r w:rsidR="00F023C3" w:rsidRPr="00093D7A">
        <w:rPr>
          <w:rFonts w:cs="Arial"/>
          <w:sz w:val="22"/>
          <w:szCs w:val="22"/>
        </w:rPr>
        <w:t xml:space="preserve">) </w:t>
      </w:r>
      <w:r w:rsidR="00531A88" w:rsidRPr="00093D7A">
        <w:rPr>
          <w:rFonts w:cs="Arial"/>
          <w:sz w:val="22"/>
          <w:szCs w:val="22"/>
        </w:rPr>
        <w:t>as</w:t>
      </w:r>
      <w:r w:rsidRPr="00093D7A">
        <w:rPr>
          <w:rFonts w:cs="Arial"/>
          <w:sz w:val="22"/>
          <w:szCs w:val="22"/>
        </w:rPr>
        <w:t xml:space="preserve"> users of </w:t>
      </w:r>
      <w:r w:rsidR="002072E5" w:rsidRPr="00093D7A">
        <w:rPr>
          <w:rFonts w:cs="Arial"/>
          <w:sz w:val="22"/>
          <w:szCs w:val="22"/>
        </w:rPr>
        <w:t>the Inclusion Action Plan</w:t>
      </w:r>
      <w:r w:rsidR="00414357" w:rsidRPr="00093D7A">
        <w:rPr>
          <w:rFonts w:cs="Arial"/>
          <w:sz w:val="22"/>
          <w:szCs w:val="22"/>
        </w:rPr>
        <w:t xml:space="preserve"> (IAP)</w:t>
      </w:r>
      <w:r w:rsidR="002072E5" w:rsidRPr="00093D7A">
        <w:rPr>
          <w:rFonts w:cs="Arial"/>
          <w:sz w:val="22"/>
          <w:szCs w:val="22"/>
        </w:rPr>
        <w:t>.</w:t>
      </w:r>
    </w:p>
    <w:p w14:paraId="7049B4F6" w14:textId="77777777" w:rsidR="00F155A4" w:rsidRPr="00093D7A" w:rsidRDefault="00F155A4" w:rsidP="000E0C14">
      <w:pPr>
        <w:jc w:val="both"/>
        <w:rPr>
          <w:rFonts w:cs="Arial"/>
          <w:sz w:val="22"/>
          <w:szCs w:val="22"/>
        </w:rPr>
      </w:pPr>
    </w:p>
    <w:p w14:paraId="56B04038" w14:textId="5E42E18C" w:rsidR="00F155A4" w:rsidRPr="00093D7A" w:rsidRDefault="00F155A4" w:rsidP="000E0C14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The guidance explain</w:t>
      </w:r>
      <w:r w:rsidR="00531A88" w:rsidRPr="00093D7A">
        <w:rPr>
          <w:rFonts w:cs="Arial"/>
          <w:sz w:val="22"/>
          <w:szCs w:val="22"/>
        </w:rPr>
        <w:t>s</w:t>
      </w:r>
      <w:r w:rsidRPr="00093D7A">
        <w:rPr>
          <w:rFonts w:cs="Arial"/>
          <w:sz w:val="22"/>
          <w:szCs w:val="22"/>
        </w:rPr>
        <w:t xml:space="preserve"> the wider context of the </w:t>
      </w:r>
      <w:r w:rsidR="00414357" w:rsidRPr="00093D7A">
        <w:rPr>
          <w:rFonts w:cs="Arial"/>
          <w:sz w:val="22"/>
          <w:szCs w:val="22"/>
        </w:rPr>
        <w:t xml:space="preserve">IAP </w:t>
      </w:r>
      <w:r w:rsidR="00531A88" w:rsidRPr="00093D7A">
        <w:rPr>
          <w:rFonts w:cs="Arial"/>
          <w:sz w:val="22"/>
          <w:szCs w:val="22"/>
        </w:rPr>
        <w:t>and</w:t>
      </w:r>
      <w:r w:rsidRPr="00093D7A">
        <w:rPr>
          <w:rFonts w:cs="Arial"/>
          <w:sz w:val="22"/>
          <w:szCs w:val="22"/>
        </w:rPr>
        <w:t xml:space="preserve"> its use</w:t>
      </w:r>
      <w:r w:rsidR="00531A88" w:rsidRPr="00093D7A">
        <w:rPr>
          <w:rFonts w:cs="Arial"/>
          <w:sz w:val="22"/>
          <w:szCs w:val="22"/>
        </w:rPr>
        <w:t xml:space="preserve">, including further information from the </w:t>
      </w:r>
      <w:r w:rsidR="00F023C3" w:rsidRPr="00093D7A">
        <w:rPr>
          <w:rFonts w:cs="Arial"/>
          <w:i/>
          <w:sz w:val="22"/>
          <w:szCs w:val="22"/>
        </w:rPr>
        <w:t>Client’s</w:t>
      </w:r>
      <w:r w:rsidR="00F023C3" w:rsidRPr="00093D7A">
        <w:rPr>
          <w:rFonts w:cs="Arial"/>
          <w:sz w:val="22"/>
          <w:szCs w:val="22"/>
        </w:rPr>
        <w:t xml:space="preserve"> </w:t>
      </w:r>
      <w:r w:rsidR="00531A88" w:rsidRPr="00093D7A">
        <w:rPr>
          <w:rFonts w:cs="Arial"/>
          <w:sz w:val="22"/>
          <w:szCs w:val="22"/>
        </w:rPr>
        <w:t xml:space="preserve">subject matter expert. </w:t>
      </w:r>
    </w:p>
    <w:p w14:paraId="429C921D" w14:textId="77777777" w:rsidR="00F155A4" w:rsidRPr="00093D7A" w:rsidRDefault="00F155A4" w:rsidP="000E0C14">
      <w:pPr>
        <w:jc w:val="both"/>
        <w:rPr>
          <w:rFonts w:cs="Arial"/>
          <w:sz w:val="22"/>
          <w:szCs w:val="22"/>
        </w:rPr>
      </w:pPr>
    </w:p>
    <w:p w14:paraId="511759B1" w14:textId="77777777" w:rsidR="00F155A4" w:rsidRPr="00093D7A" w:rsidRDefault="00F155A4">
      <w:pPr>
        <w:rPr>
          <w:rFonts w:cs="Arial"/>
        </w:rPr>
      </w:pPr>
      <w:r w:rsidRPr="00093D7A">
        <w:rPr>
          <w:rFonts w:cs="Arial"/>
        </w:rPr>
        <w:br w:type="page"/>
      </w:r>
    </w:p>
    <w:p w14:paraId="07D8C075" w14:textId="77777777" w:rsidR="00F155A4" w:rsidRPr="00093D7A" w:rsidRDefault="00F155A4" w:rsidP="00F155A4">
      <w:pPr>
        <w:rPr>
          <w:rFonts w:cs="Arial"/>
        </w:rPr>
      </w:pPr>
    </w:p>
    <w:bookmarkEnd w:id="4" w:displacedByCustomXml="next"/>
    <w:bookmarkEnd w:id="3" w:displacedByCustomXml="next"/>
    <w:bookmarkEnd w:id="2" w:displacedByCustomXml="next"/>
    <w:sdt>
      <w:sdtPr>
        <w:rPr>
          <w:b/>
          <w:bCs/>
        </w:rPr>
        <w:id w:val="437176901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215C0439" w14:textId="77777777" w:rsidR="001D2862" w:rsidRPr="00093D7A" w:rsidRDefault="00F155A4" w:rsidP="00F155A4">
          <w:pPr>
            <w:rPr>
              <w:rFonts w:cs="Arial"/>
              <w:color w:val="000000" w:themeColor="text1"/>
              <w:sz w:val="40"/>
              <w:szCs w:val="40"/>
            </w:rPr>
          </w:pPr>
          <w:r w:rsidRPr="00093D7A">
            <w:rPr>
              <w:b/>
              <w:bCs/>
              <w:sz w:val="40"/>
              <w:szCs w:val="40"/>
            </w:rPr>
            <w:t>Contents</w:t>
          </w:r>
        </w:p>
        <w:p w14:paraId="589AEE15" w14:textId="73D50CCF" w:rsidR="005A5899" w:rsidRPr="002E4AB7" w:rsidRDefault="001D2862" w:rsidP="005A589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 w:rsidRPr="00093D7A">
            <w:fldChar w:fldCharType="begin"/>
          </w:r>
          <w:r w:rsidRPr="00093D7A">
            <w:instrText xml:space="preserve"> TOC \o "1-3" \h \z \u </w:instrText>
          </w:r>
          <w:r w:rsidRPr="00093D7A">
            <w:fldChar w:fldCharType="separate"/>
          </w:r>
          <w:hyperlink w:anchor="_Toc49332335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Additional Guidance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_Toc49332335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2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AAC8128" w14:textId="07BE9C34" w:rsidR="005A5899" w:rsidRPr="002E4AB7" w:rsidRDefault="00E55518" w:rsidP="005A589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332336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Measure Overview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_Toc49332336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4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E3BA17" w14:textId="5534CDE7" w:rsidR="005A5899" w:rsidRPr="002E4AB7" w:rsidRDefault="00E55518">
          <w:pPr>
            <w:pStyle w:val="TO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332337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Introduction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_Toc49332337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4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66E708" w14:textId="2648DE41" w:rsidR="005A5899" w:rsidRPr="002E4AB7" w:rsidRDefault="00E55518">
          <w:pPr>
            <w:pStyle w:val="TO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332338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Intended Outcomes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_Toc49332338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4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BA2692" w14:textId="4EE04721" w:rsidR="005A5899" w:rsidRPr="002E4AB7" w:rsidRDefault="00E55518">
          <w:pPr>
            <w:pStyle w:val="TO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332339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Methodology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_Toc49332339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4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66BB3B" w14:textId="2694E738" w:rsidR="005A5899" w:rsidRPr="002E4AB7" w:rsidRDefault="00E55518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eastAsia="en-GB"/>
            </w:rPr>
          </w:pPr>
          <w:hyperlink w:anchor="_Toc49332340" w:history="1">
            <w:r w:rsidR="005A5899" w:rsidRPr="002E4AB7">
              <w:rPr>
                <w:rStyle w:val="Hyperlink"/>
                <w:noProof/>
                <w:sz w:val="22"/>
                <w:szCs w:val="22"/>
              </w:rPr>
              <w:t>Inclusion Action Plan</w:t>
            </w:r>
            <w:r w:rsidR="005A5899" w:rsidRPr="002E4AB7">
              <w:rPr>
                <w:noProof/>
                <w:webHidden/>
                <w:sz w:val="22"/>
                <w:szCs w:val="22"/>
              </w:rPr>
              <w:tab/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2"/>
              </w:rPr>
              <w:instrText xml:space="preserve"> PAGEREF _Toc49332340 \h </w:instrText>
            </w:r>
            <w:r w:rsidR="005A5899" w:rsidRPr="002E4AB7">
              <w:rPr>
                <w:noProof/>
                <w:webHidden/>
                <w:sz w:val="22"/>
                <w:szCs w:val="22"/>
              </w:rPr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2"/>
              </w:rPr>
              <w:t>8</w:t>
            </w:r>
            <w:r w:rsidR="005A5899" w:rsidRPr="002E4AB7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299A95" w14:textId="759A8A2C" w:rsidR="005A5899" w:rsidRPr="00093D7A" w:rsidRDefault="00E55518">
          <w:pPr>
            <w:pStyle w:val="TOC3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49332341" w:history="1">
            <w:r w:rsidR="005A5899" w:rsidRPr="00093D7A">
              <w:rPr>
                <w:rStyle w:val="Hyperlink"/>
                <w:noProof/>
              </w:rPr>
              <w:t>Scope and Methodology</w:t>
            </w:r>
            <w:r w:rsidR="005A5899" w:rsidRPr="00093D7A">
              <w:rPr>
                <w:noProof/>
                <w:webHidden/>
              </w:rPr>
              <w:tab/>
            </w:r>
            <w:r w:rsidR="005A5899" w:rsidRPr="00093D7A">
              <w:rPr>
                <w:noProof/>
                <w:webHidden/>
              </w:rPr>
              <w:fldChar w:fldCharType="begin"/>
            </w:r>
            <w:r w:rsidR="005A5899" w:rsidRPr="00093D7A">
              <w:rPr>
                <w:noProof/>
                <w:webHidden/>
              </w:rPr>
              <w:instrText xml:space="preserve"> PAGEREF _Toc49332341 \h </w:instrText>
            </w:r>
            <w:r w:rsidR="005A5899" w:rsidRPr="00093D7A">
              <w:rPr>
                <w:noProof/>
                <w:webHidden/>
              </w:rPr>
            </w:r>
            <w:r w:rsidR="005A5899" w:rsidRPr="00093D7A">
              <w:rPr>
                <w:noProof/>
                <w:webHidden/>
              </w:rPr>
              <w:fldChar w:fldCharType="separate"/>
            </w:r>
            <w:r w:rsidR="00F023C3" w:rsidRPr="00093D7A">
              <w:rPr>
                <w:noProof/>
                <w:webHidden/>
              </w:rPr>
              <w:t>8</w:t>
            </w:r>
            <w:r w:rsidR="005A5899" w:rsidRPr="00093D7A">
              <w:rPr>
                <w:noProof/>
                <w:webHidden/>
              </w:rPr>
              <w:fldChar w:fldCharType="end"/>
            </w:r>
          </w:hyperlink>
        </w:p>
        <w:p w14:paraId="3E1BF8EE" w14:textId="13F8254B" w:rsidR="005A5899" w:rsidRPr="002E4AB7" w:rsidRDefault="00E55518" w:rsidP="005A5899">
          <w:pPr>
            <w:pStyle w:val="TOC1"/>
            <w:rPr>
              <w:rFonts w:asciiTheme="minorHAnsi" w:eastAsiaTheme="minorEastAsia" w:hAnsiTheme="minorHAnsi" w:cstheme="minorBidi"/>
              <w:noProof/>
              <w:sz w:val="18"/>
              <w:szCs w:val="18"/>
              <w:lang w:eastAsia="en-GB"/>
            </w:rPr>
          </w:pPr>
          <w:hyperlink w:anchor="_Toc49332342" w:history="1">
            <w:r w:rsidR="005A5899" w:rsidRPr="002E4AB7">
              <w:rPr>
                <w:rStyle w:val="Hyperlink"/>
                <w:noProof/>
                <w:sz w:val="22"/>
                <w:szCs w:val="20"/>
              </w:rPr>
              <w:t>Inclusion Action Plan Template</w:t>
            </w:r>
            <w:r w:rsidR="005A5899" w:rsidRPr="002E4AB7">
              <w:rPr>
                <w:noProof/>
                <w:webHidden/>
                <w:sz w:val="22"/>
                <w:szCs w:val="20"/>
              </w:rPr>
              <w:tab/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0"/>
              </w:rPr>
              <w:instrText xml:space="preserve"> PAGEREF _Toc49332342 \h </w:instrText>
            </w:r>
            <w:r w:rsidR="005A5899" w:rsidRPr="002E4AB7">
              <w:rPr>
                <w:noProof/>
                <w:webHidden/>
                <w:sz w:val="22"/>
                <w:szCs w:val="20"/>
              </w:rPr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0"/>
              </w:rPr>
              <w:t>9</w:t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5229A225" w14:textId="65E55C0B" w:rsidR="005A5899" w:rsidRPr="002E4AB7" w:rsidRDefault="00E55518" w:rsidP="005A5899">
          <w:pPr>
            <w:pStyle w:val="TOC1"/>
            <w:rPr>
              <w:rFonts w:asciiTheme="minorHAnsi" w:eastAsiaTheme="minorEastAsia" w:hAnsiTheme="minorHAnsi" w:cstheme="minorBidi"/>
              <w:noProof/>
              <w:sz w:val="18"/>
              <w:szCs w:val="18"/>
              <w:lang w:eastAsia="en-GB"/>
            </w:rPr>
          </w:pPr>
          <w:hyperlink w:anchor="_Toc49332343" w:history="1">
            <w:r w:rsidR="005A5899" w:rsidRPr="002E4AB7">
              <w:rPr>
                <w:rStyle w:val="Hyperlink"/>
                <w:noProof/>
                <w:sz w:val="22"/>
                <w:szCs w:val="20"/>
              </w:rPr>
              <w:t>Inclusion Action Plan Scores</w:t>
            </w:r>
            <w:r w:rsidR="005A5899" w:rsidRPr="002E4AB7">
              <w:rPr>
                <w:noProof/>
                <w:webHidden/>
                <w:sz w:val="22"/>
                <w:szCs w:val="20"/>
              </w:rPr>
              <w:tab/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begin"/>
            </w:r>
            <w:r w:rsidR="005A5899" w:rsidRPr="002E4AB7">
              <w:rPr>
                <w:noProof/>
                <w:webHidden/>
                <w:sz w:val="22"/>
                <w:szCs w:val="20"/>
              </w:rPr>
              <w:instrText xml:space="preserve"> PAGEREF _Toc49332343 \h </w:instrText>
            </w:r>
            <w:r w:rsidR="005A5899" w:rsidRPr="002E4AB7">
              <w:rPr>
                <w:noProof/>
                <w:webHidden/>
                <w:sz w:val="22"/>
                <w:szCs w:val="20"/>
              </w:rPr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separate"/>
            </w:r>
            <w:r w:rsidR="00F023C3" w:rsidRPr="002E4AB7">
              <w:rPr>
                <w:noProof/>
                <w:webHidden/>
                <w:sz w:val="22"/>
                <w:szCs w:val="20"/>
              </w:rPr>
              <w:t>11</w:t>
            </w:r>
            <w:r w:rsidR="005A5899" w:rsidRPr="002E4AB7">
              <w:rPr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278C76A2" w14:textId="72CAE8A2" w:rsidR="001D2862" w:rsidRPr="00093D7A" w:rsidRDefault="001D2862" w:rsidP="00F155A4">
          <w:pPr>
            <w:pStyle w:val="TOC3"/>
            <w:tabs>
              <w:tab w:val="right" w:leader="dot" w:pos="9736"/>
            </w:tabs>
          </w:pPr>
          <w:r w:rsidRPr="00093D7A">
            <w:rPr>
              <w:b/>
              <w:bCs/>
              <w:noProof/>
            </w:rPr>
            <w:fldChar w:fldCharType="end"/>
          </w:r>
        </w:p>
      </w:sdtContent>
    </w:sdt>
    <w:p w14:paraId="52AFDC86" w14:textId="77777777" w:rsidR="00F155A4" w:rsidRPr="00093D7A" w:rsidRDefault="00F155A4">
      <w:r w:rsidRPr="00093D7A">
        <w:br w:type="page"/>
      </w:r>
    </w:p>
    <w:p w14:paraId="3FABD8F2" w14:textId="757C75B3" w:rsidR="009D12C4" w:rsidRPr="00093D7A" w:rsidRDefault="00474226" w:rsidP="009D12C4">
      <w:pPr>
        <w:pStyle w:val="Heading1"/>
      </w:pPr>
      <w:bookmarkStart w:id="5" w:name="_Toc49332336"/>
      <w:r w:rsidRPr="00093D7A">
        <w:lastRenderedPageBreak/>
        <w:t xml:space="preserve">Measure </w:t>
      </w:r>
      <w:r w:rsidR="001D2862" w:rsidRPr="00093D7A">
        <w:t>Overview</w:t>
      </w:r>
      <w:bookmarkEnd w:id="5"/>
    </w:p>
    <w:p w14:paraId="3EAE94B4" w14:textId="12D4E2D4" w:rsidR="009D12C4" w:rsidRPr="002E4AB7" w:rsidRDefault="009D12C4" w:rsidP="00276BAD">
      <w:pPr>
        <w:pStyle w:val="Heading3"/>
        <w:jc w:val="both"/>
        <w:rPr>
          <w:sz w:val="22"/>
          <w:szCs w:val="22"/>
        </w:rPr>
      </w:pPr>
      <w:bookmarkStart w:id="6" w:name="_Toc49332337"/>
      <w:r w:rsidRPr="002E4AB7">
        <w:rPr>
          <w:sz w:val="22"/>
          <w:szCs w:val="22"/>
        </w:rPr>
        <w:t>Introduction</w:t>
      </w:r>
      <w:bookmarkEnd w:id="6"/>
    </w:p>
    <w:p w14:paraId="4A8BA098" w14:textId="2C621B6E" w:rsidR="00127CA7" w:rsidRPr="002E4AB7" w:rsidRDefault="008E5137" w:rsidP="00D414A7">
      <w:pPr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 xml:space="preserve">The </w:t>
      </w:r>
      <w:r w:rsidRPr="002E4AB7">
        <w:rPr>
          <w:rFonts w:cs="Arial"/>
          <w:i/>
          <w:sz w:val="22"/>
          <w:szCs w:val="22"/>
        </w:rPr>
        <w:t>Client</w:t>
      </w:r>
      <w:r w:rsidR="00D03A34" w:rsidRPr="002E4AB7">
        <w:rPr>
          <w:rFonts w:cs="Arial"/>
          <w:sz w:val="22"/>
          <w:szCs w:val="22"/>
        </w:rPr>
        <w:t xml:space="preserve"> i</w:t>
      </w:r>
      <w:r w:rsidR="00127CA7" w:rsidRPr="002E4AB7">
        <w:rPr>
          <w:rFonts w:cs="Arial"/>
          <w:sz w:val="22"/>
          <w:szCs w:val="22"/>
        </w:rPr>
        <w:t>s determined</w:t>
      </w:r>
      <w:r w:rsidRPr="002E4AB7">
        <w:rPr>
          <w:rFonts w:cs="Arial"/>
          <w:sz w:val="22"/>
          <w:szCs w:val="22"/>
        </w:rPr>
        <w:t>,</w:t>
      </w:r>
      <w:r w:rsidR="00127CA7" w:rsidRPr="002E4AB7">
        <w:rPr>
          <w:rFonts w:cs="Arial"/>
          <w:sz w:val="22"/>
          <w:szCs w:val="22"/>
        </w:rPr>
        <w:t xml:space="preserve"> for busines</w:t>
      </w:r>
      <w:r w:rsidR="004B730D" w:rsidRPr="002E4AB7">
        <w:rPr>
          <w:rFonts w:cs="Arial"/>
          <w:sz w:val="22"/>
          <w:szCs w:val="22"/>
        </w:rPr>
        <w:t xml:space="preserve">s, legal and ethical reasons, </w:t>
      </w:r>
      <w:r w:rsidR="00885EF7" w:rsidRPr="002E4AB7">
        <w:rPr>
          <w:rFonts w:cs="Arial"/>
          <w:sz w:val="22"/>
          <w:szCs w:val="22"/>
        </w:rPr>
        <w:t>to increase</w:t>
      </w:r>
      <w:r w:rsidR="00127CA7" w:rsidRPr="002E4AB7">
        <w:rPr>
          <w:rFonts w:cs="Arial"/>
          <w:sz w:val="22"/>
          <w:szCs w:val="22"/>
        </w:rPr>
        <w:t xml:space="preserve"> its </w:t>
      </w:r>
      <w:r w:rsidR="00531A88" w:rsidRPr="002E4AB7">
        <w:rPr>
          <w:rFonts w:cs="Arial"/>
          <w:sz w:val="22"/>
          <w:szCs w:val="22"/>
        </w:rPr>
        <w:t>equality, diversity and inclusion</w:t>
      </w:r>
      <w:r w:rsidRPr="002E4AB7">
        <w:rPr>
          <w:rFonts w:cs="Arial"/>
          <w:sz w:val="22"/>
          <w:szCs w:val="22"/>
        </w:rPr>
        <w:t xml:space="preserve"> (EDI)</w:t>
      </w:r>
      <w:r w:rsidR="000E0C14" w:rsidRPr="002E4AB7">
        <w:rPr>
          <w:rFonts w:cs="Arial"/>
          <w:sz w:val="22"/>
          <w:szCs w:val="22"/>
        </w:rPr>
        <w:t xml:space="preserve"> provisions</w:t>
      </w:r>
      <w:r w:rsidR="00531A88" w:rsidRPr="002E4AB7">
        <w:rPr>
          <w:rFonts w:cs="Arial"/>
          <w:sz w:val="22"/>
          <w:szCs w:val="22"/>
        </w:rPr>
        <w:t xml:space="preserve"> </w:t>
      </w:r>
      <w:r w:rsidR="002C1954" w:rsidRPr="002E4AB7">
        <w:rPr>
          <w:rFonts w:cs="Arial"/>
          <w:sz w:val="22"/>
          <w:szCs w:val="22"/>
        </w:rPr>
        <w:t>in all areas of its business</w:t>
      </w:r>
      <w:r w:rsidR="00531A88" w:rsidRPr="002E4AB7">
        <w:rPr>
          <w:rFonts w:cs="Arial"/>
          <w:sz w:val="22"/>
          <w:szCs w:val="22"/>
        </w:rPr>
        <w:t>.</w:t>
      </w:r>
      <w:r w:rsidR="00885EF7" w:rsidRPr="002E4AB7">
        <w:rPr>
          <w:rFonts w:cs="Arial"/>
          <w:sz w:val="22"/>
          <w:szCs w:val="22"/>
        </w:rPr>
        <w:t xml:space="preserve"> </w:t>
      </w:r>
      <w:r w:rsidR="00127CA7" w:rsidRPr="002E4AB7">
        <w:rPr>
          <w:rFonts w:cs="Arial"/>
          <w:sz w:val="22"/>
          <w:szCs w:val="22"/>
        </w:rPr>
        <w:t xml:space="preserve">See </w:t>
      </w:r>
      <w:r w:rsidRPr="002E4AB7">
        <w:rPr>
          <w:rFonts w:cs="Arial"/>
          <w:sz w:val="22"/>
          <w:szCs w:val="22"/>
        </w:rPr>
        <w:t>“</w:t>
      </w:r>
      <w:r w:rsidR="00127CA7" w:rsidRPr="002E4AB7">
        <w:rPr>
          <w:rFonts w:cs="Arial"/>
          <w:sz w:val="22"/>
          <w:szCs w:val="22"/>
        </w:rPr>
        <w:t>Highways England’s Public Sector</w:t>
      </w:r>
      <w:r w:rsidR="00210EA1" w:rsidRPr="002E4AB7">
        <w:rPr>
          <w:rFonts w:cs="Arial"/>
          <w:sz w:val="22"/>
          <w:szCs w:val="22"/>
        </w:rPr>
        <w:t xml:space="preserve"> Equality Duty</w:t>
      </w:r>
      <w:r w:rsidRPr="002E4AB7">
        <w:rPr>
          <w:rFonts w:cs="Arial"/>
          <w:sz w:val="22"/>
          <w:szCs w:val="22"/>
        </w:rPr>
        <w:t>”</w:t>
      </w:r>
      <w:r w:rsidR="00127CA7" w:rsidRPr="002E4AB7">
        <w:rPr>
          <w:rFonts w:cs="Arial"/>
          <w:sz w:val="22"/>
          <w:szCs w:val="22"/>
        </w:rPr>
        <w:t xml:space="preserve"> </w:t>
      </w:r>
      <w:r w:rsidR="00521B04" w:rsidRPr="002E4AB7">
        <w:rPr>
          <w:rFonts w:cs="Arial"/>
          <w:sz w:val="22"/>
          <w:szCs w:val="22"/>
        </w:rPr>
        <w:t xml:space="preserve">(see link in </w:t>
      </w:r>
      <w:r w:rsidR="00521B04" w:rsidRPr="002E4AB7">
        <w:rPr>
          <w:rFonts w:cs="Arial"/>
          <w:b/>
          <w:sz w:val="22"/>
          <w:szCs w:val="22"/>
        </w:rPr>
        <w:t>Annex 02</w:t>
      </w:r>
      <w:r w:rsidR="00521B04" w:rsidRPr="002E4AB7">
        <w:rPr>
          <w:rFonts w:cs="Arial"/>
          <w:sz w:val="22"/>
          <w:szCs w:val="22"/>
        </w:rPr>
        <w:t xml:space="preserve">) </w:t>
      </w:r>
      <w:r w:rsidR="00A540BC" w:rsidRPr="002E4AB7">
        <w:rPr>
          <w:rFonts w:cs="Arial"/>
          <w:sz w:val="22"/>
          <w:szCs w:val="22"/>
        </w:rPr>
        <w:t xml:space="preserve">which </w:t>
      </w:r>
      <w:r w:rsidR="00F06FA0" w:rsidRPr="002E4AB7">
        <w:rPr>
          <w:rFonts w:cs="Arial"/>
          <w:sz w:val="22"/>
          <w:szCs w:val="22"/>
        </w:rPr>
        <w:t xml:space="preserve">sets out </w:t>
      </w:r>
      <w:r w:rsidRPr="002E4AB7">
        <w:rPr>
          <w:rFonts w:cs="Arial"/>
          <w:sz w:val="22"/>
          <w:szCs w:val="22"/>
        </w:rPr>
        <w:t xml:space="preserve">its </w:t>
      </w:r>
      <w:r w:rsidR="00F06FA0" w:rsidRPr="002E4AB7">
        <w:rPr>
          <w:rFonts w:cs="Arial"/>
          <w:sz w:val="22"/>
          <w:szCs w:val="22"/>
        </w:rPr>
        <w:t>objective</w:t>
      </w:r>
      <w:r w:rsidR="00FD1AA1" w:rsidRPr="002E4AB7">
        <w:rPr>
          <w:rFonts w:cs="Arial"/>
          <w:sz w:val="22"/>
          <w:szCs w:val="22"/>
        </w:rPr>
        <w:t>s</w:t>
      </w:r>
      <w:r w:rsidR="00127CA7" w:rsidRPr="002E4AB7">
        <w:rPr>
          <w:rFonts w:cs="Arial"/>
          <w:sz w:val="22"/>
          <w:szCs w:val="22"/>
        </w:rPr>
        <w:t xml:space="preserve"> for achieving this. </w:t>
      </w:r>
    </w:p>
    <w:p w14:paraId="699CD3F0" w14:textId="68F15484" w:rsidR="009D12C4" w:rsidRPr="002E4AB7" w:rsidRDefault="009D12C4" w:rsidP="00D414A7">
      <w:pPr>
        <w:pStyle w:val="Heading3"/>
        <w:jc w:val="both"/>
        <w:rPr>
          <w:sz w:val="22"/>
          <w:szCs w:val="22"/>
        </w:rPr>
      </w:pPr>
      <w:bookmarkStart w:id="7" w:name="_Toc49332338"/>
      <w:r w:rsidRPr="002E4AB7">
        <w:rPr>
          <w:sz w:val="22"/>
          <w:szCs w:val="22"/>
        </w:rPr>
        <w:t>Intended Outcome</w:t>
      </w:r>
      <w:r w:rsidR="005B3FF7" w:rsidRPr="002E4AB7">
        <w:rPr>
          <w:sz w:val="22"/>
          <w:szCs w:val="22"/>
        </w:rPr>
        <w:t>s</w:t>
      </w:r>
      <w:bookmarkEnd w:id="7"/>
    </w:p>
    <w:p w14:paraId="407B8D88" w14:textId="40F1FFB6" w:rsidR="005B3FF7" w:rsidRPr="002E4AB7" w:rsidRDefault="005B3FF7" w:rsidP="00D414A7">
      <w:pPr>
        <w:jc w:val="both"/>
        <w:rPr>
          <w:rFonts w:cs="Arial"/>
          <w:color w:val="000000" w:themeColor="text1"/>
          <w:sz w:val="22"/>
          <w:szCs w:val="22"/>
        </w:rPr>
      </w:pPr>
      <w:r w:rsidRPr="002E4AB7">
        <w:rPr>
          <w:rFonts w:cs="Arial"/>
          <w:color w:val="000000" w:themeColor="text1"/>
          <w:sz w:val="22"/>
          <w:szCs w:val="22"/>
        </w:rPr>
        <w:t xml:space="preserve">The intent of this </w:t>
      </w:r>
      <w:r w:rsidR="00754C64" w:rsidRPr="002E4AB7">
        <w:rPr>
          <w:rFonts w:cs="Arial"/>
          <w:color w:val="000000" w:themeColor="text1"/>
          <w:sz w:val="22"/>
          <w:szCs w:val="22"/>
        </w:rPr>
        <w:t>m</w:t>
      </w:r>
      <w:r w:rsidRPr="002E4AB7">
        <w:rPr>
          <w:rFonts w:cs="Arial"/>
          <w:color w:val="000000" w:themeColor="text1"/>
          <w:sz w:val="22"/>
          <w:szCs w:val="22"/>
        </w:rPr>
        <w:t xml:space="preserve">easure is to </w:t>
      </w:r>
      <w:r w:rsidR="00531A88" w:rsidRPr="002E4AB7">
        <w:rPr>
          <w:rFonts w:cs="Arial"/>
          <w:color w:val="000000" w:themeColor="text1"/>
          <w:sz w:val="22"/>
          <w:szCs w:val="22"/>
        </w:rPr>
        <w:t>improve</w:t>
      </w:r>
      <w:r w:rsidRPr="002E4AB7">
        <w:rPr>
          <w:rFonts w:cs="Arial"/>
          <w:color w:val="000000" w:themeColor="text1"/>
          <w:sz w:val="22"/>
          <w:szCs w:val="22"/>
        </w:rPr>
        <w:t xml:space="preserve"> </w:t>
      </w:r>
      <w:r w:rsidR="008E5137" w:rsidRPr="002E4AB7">
        <w:rPr>
          <w:rFonts w:cs="Arial"/>
          <w:color w:val="000000" w:themeColor="text1"/>
          <w:sz w:val="22"/>
          <w:szCs w:val="22"/>
        </w:rPr>
        <w:t xml:space="preserve">equality, </w:t>
      </w:r>
      <w:r w:rsidRPr="002E4AB7">
        <w:rPr>
          <w:rFonts w:cs="Arial"/>
          <w:color w:val="000000" w:themeColor="text1"/>
          <w:sz w:val="22"/>
          <w:szCs w:val="22"/>
        </w:rPr>
        <w:t xml:space="preserve">inclusion and diversity, leading to </w:t>
      </w:r>
      <w:r w:rsidR="00730873" w:rsidRPr="002E4AB7">
        <w:rPr>
          <w:rFonts w:cs="Arial"/>
          <w:color w:val="000000" w:themeColor="text1"/>
          <w:sz w:val="22"/>
          <w:szCs w:val="22"/>
        </w:rPr>
        <w:t>better</w:t>
      </w:r>
      <w:r w:rsidR="00730873" w:rsidRPr="002E4AB7" w:rsidDel="00730873">
        <w:rPr>
          <w:rFonts w:cs="Arial"/>
          <w:color w:val="000000" w:themeColor="text1"/>
          <w:sz w:val="22"/>
          <w:szCs w:val="22"/>
        </w:rPr>
        <w:t xml:space="preserve"> </w:t>
      </w:r>
      <w:r w:rsidR="00531A88" w:rsidRPr="002E4AB7">
        <w:rPr>
          <w:rFonts w:cs="Arial"/>
          <w:color w:val="000000" w:themeColor="text1"/>
          <w:sz w:val="22"/>
          <w:szCs w:val="22"/>
        </w:rPr>
        <w:t>experience</w:t>
      </w:r>
      <w:r w:rsidR="002C1954" w:rsidRPr="002E4AB7">
        <w:rPr>
          <w:rFonts w:cs="Arial"/>
          <w:color w:val="000000" w:themeColor="text1"/>
          <w:sz w:val="22"/>
          <w:szCs w:val="22"/>
        </w:rPr>
        <w:t>s</w:t>
      </w:r>
      <w:r w:rsidRPr="002E4AB7">
        <w:rPr>
          <w:rFonts w:cs="Arial"/>
          <w:color w:val="000000" w:themeColor="text1"/>
          <w:sz w:val="22"/>
          <w:szCs w:val="22"/>
        </w:rPr>
        <w:t xml:space="preserve"> </w:t>
      </w:r>
      <w:r w:rsidR="002C1954" w:rsidRPr="002E4AB7">
        <w:rPr>
          <w:rFonts w:cs="Arial"/>
          <w:color w:val="000000" w:themeColor="text1"/>
          <w:sz w:val="22"/>
          <w:szCs w:val="22"/>
        </w:rPr>
        <w:t>for</w:t>
      </w:r>
      <w:r w:rsidRPr="002E4AB7">
        <w:rPr>
          <w:rFonts w:cs="Arial"/>
          <w:color w:val="000000" w:themeColor="text1"/>
          <w:sz w:val="22"/>
          <w:szCs w:val="22"/>
        </w:rPr>
        <w:t xml:space="preserve"> the workforce and </w:t>
      </w:r>
      <w:r w:rsidR="00730873" w:rsidRPr="002E4AB7">
        <w:rPr>
          <w:rFonts w:cs="Arial"/>
          <w:color w:val="000000" w:themeColor="text1"/>
          <w:sz w:val="22"/>
          <w:szCs w:val="22"/>
        </w:rPr>
        <w:t>delivery of</w:t>
      </w:r>
      <w:r w:rsidR="00FD1AA1" w:rsidRPr="002E4AB7">
        <w:rPr>
          <w:rFonts w:cs="Arial"/>
          <w:color w:val="000000" w:themeColor="text1"/>
          <w:sz w:val="22"/>
          <w:szCs w:val="22"/>
        </w:rPr>
        <w:t xml:space="preserve"> a</w:t>
      </w:r>
      <w:r w:rsidR="00730873" w:rsidRPr="002E4AB7">
        <w:rPr>
          <w:rFonts w:cs="Arial"/>
          <w:color w:val="000000" w:themeColor="text1"/>
          <w:sz w:val="22"/>
          <w:szCs w:val="22"/>
        </w:rPr>
        <w:t xml:space="preserve"> </w:t>
      </w:r>
      <w:r w:rsidR="002C1954" w:rsidRPr="002E4AB7">
        <w:rPr>
          <w:rFonts w:cs="Arial"/>
          <w:color w:val="000000" w:themeColor="text1"/>
          <w:sz w:val="22"/>
          <w:szCs w:val="22"/>
        </w:rPr>
        <w:t>better-quality</w:t>
      </w:r>
      <w:r w:rsidRPr="002E4AB7">
        <w:rPr>
          <w:rFonts w:cs="Arial"/>
          <w:color w:val="000000" w:themeColor="text1"/>
          <w:sz w:val="22"/>
          <w:szCs w:val="22"/>
        </w:rPr>
        <w:t xml:space="preserve"> service to </w:t>
      </w:r>
      <w:r w:rsidR="008E5137" w:rsidRPr="002E4AB7">
        <w:rPr>
          <w:rFonts w:cs="Arial"/>
          <w:color w:val="000000" w:themeColor="text1"/>
          <w:sz w:val="22"/>
          <w:szCs w:val="22"/>
        </w:rPr>
        <w:t xml:space="preserve">the </w:t>
      </w:r>
      <w:r w:rsidR="008E5137" w:rsidRPr="002E4AB7">
        <w:rPr>
          <w:rFonts w:cs="Arial"/>
          <w:i/>
          <w:color w:val="000000" w:themeColor="text1"/>
          <w:sz w:val="22"/>
          <w:szCs w:val="22"/>
        </w:rPr>
        <w:t>Client’s</w:t>
      </w:r>
      <w:r w:rsidR="008E5137" w:rsidRPr="002E4AB7">
        <w:rPr>
          <w:rFonts w:cs="Arial"/>
          <w:color w:val="000000" w:themeColor="text1"/>
          <w:sz w:val="22"/>
          <w:szCs w:val="22"/>
        </w:rPr>
        <w:t xml:space="preserve"> </w:t>
      </w:r>
      <w:r w:rsidRPr="002E4AB7">
        <w:rPr>
          <w:rFonts w:cs="Arial"/>
          <w:color w:val="000000" w:themeColor="text1"/>
          <w:sz w:val="22"/>
          <w:szCs w:val="22"/>
        </w:rPr>
        <w:t>diverse customers and communities.</w:t>
      </w:r>
    </w:p>
    <w:p w14:paraId="5EF17119" w14:textId="77777777" w:rsidR="005B3FF7" w:rsidRPr="002E4AB7" w:rsidRDefault="005B3FF7" w:rsidP="00D414A7">
      <w:pPr>
        <w:jc w:val="both"/>
        <w:rPr>
          <w:rFonts w:cs="Arial"/>
          <w:color w:val="000000" w:themeColor="text1"/>
          <w:sz w:val="22"/>
          <w:szCs w:val="22"/>
        </w:rPr>
      </w:pPr>
    </w:p>
    <w:p w14:paraId="6F8CABFD" w14:textId="3F086622" w:rsidR="009D12C4" w:rsidRPr="002E4AB7" w:rsidRDefault="005B3FF7" w:rsidP="00D414A7">
      <w:pPr>
        <w:tabs>
          <w:tab w:val="left" w:pos="5610"/>
        </w:tabs>
        <w:jc w:val="both"/>
        <w:rPr>
          <w:rFonts w:cs="Arial"/>
          <w:color w:val="000000" w:themeColor="text1"/>
          <w:sz w:val="22"/>
          <w:szCs w:val="22"/>
        </w:rPr>
      </w:pPr>
      <w:r w:rsidRPr="002E4AB7">
        <w:rPr>
          <w:rFonts w:cs="Arial"/>
          <w:color w:val="000000" w:themeColor="text1"/>
          <w:sz w:val="22"/>
          <w:szCs w:val="22"/>
        </w:rPr>
        <w:t xml:space="preserve">This will enable </w:t>
      </w:r>
      <w:r w:rsidR="008E5137" w:rsidRPr="002E4AB7">
        <w:rPr>
          <w:rFonts w:cs="Arial"/>
          <w:color w:val="000000" w:themeColor="text1"/>
          <w:sz w:val="22"/>
          <w:szCs w:val="22"/>
        </w:rPr>
        <w:t xml:space="preserve">the </w:t>
      </w:r>
      <w:r w:rsidR="008E5137" w:rsidRPr="002E4AB7">
        <w:rPr>
          <w:rFonts w:cs="Arial"/>
          <w:i/>
          <w:color w:val="000000" w:themeColor="text1"/>
          <w:sz w:val="22"/>
          <w:szCs w:val="22"/>
        </w:rPr>
        <w:t>Client</w:t>
      </w:r>
      <w:r w:rsidRPr="002E4AB7">
        <w:rPr>
          <w:rFonts w:cs="Arial"/>
          <w:color w:val="000000" w:themeColor="text1"/>
          <w:sz w:val="22"/>
          <w:szCs w:val="22"/>
        </w:rPr>
        <w:t xml:space="preserve"> and its supply chain to </w:t>
      </w:r>
      <w:r w:rsidR="00C75738" w:rsidRPr="002E4AB7">
        <w:rPr>
          <w:rFonts w:cs="Arial"/>
          <w:color w:val="000000" w:themeColor="text1"/>
          <w:sz w:val="22"/>
          <w:szCs w:val="22"/>
        </w:rPr>
        <w:t xml:space="preserve">identify and </w:t>
      </w:r>
      <w:r w:rsidR="00BF275F" w:rsidRPr="002E4AB7">
        <w:rPr>
          <w:rFonts w:cs="Arial"/>
          <w:color w:val="000000" w:themeColor="text1"/>
          <w:sz w:val="22"/>
          <w:szCs w:val="22"/>
        </w:rPr>
        <w:t>deliver</w:t>
      </w:r>
      <w:r w:rsidR="00C75738" w:rsidRPr="002E4AB7">
        <w:rPr>
          <w:rFonts w:cs="Arial"/>
          <w:color w:val="000000" w:themeColor="text1"/>
          <w:sz w:val="22"/>
          <w:szCs w:val="22"/>
        </w:rPr>
        <w:t xml:space="preserve"> opportunities</w:t>
      </w:r>
      <w:r w:rsidR="002C1954" w:rsidRPr="002E4AB7">
        <w:rPr>
          <w:rFonts w:cs="Arial"/>
          <w:sz w:val="22"/>
          <w:szCs w:val="22"/>
        </w:rPr>
        <w:t xml:space="preserve"> to </w:t>
      </w:r>
      <w:r w:rsidR="00BF275F" w:rsidRPr="002E4AB7">
        <w:rPr>
          <w:rFonts w:cs="Arial"/>
          <w:sz w:val="22"/>
          <w:szCs w:val="22"/>
        </w:rPr>
        <w:t>make a difference</w:t>
      </w:r>
      <w:r w:rsidR="00BF275F" w:rsidRPr="002E4AB7">
        <w:rPr>
          <w:rFonts w:cs="Arial"/>
          <w:color w:val="000000" w:themeColor="text1"/>
          <w:sz w:val="22"/>
          <w:szCs w:val="22"/>
        </w:rPr>
        <w:t xml:space="preserve"> in </w:t>
      </w:r>
      <w:r w:rsidR="002C1954" w:rsidRPr="002E4AB7">
        <w:rPr>
          <w:rFonts w:cs="Arial"/>
          <w:color w:val="000000" w:themeColor="text1"/>
          <w:sz w:val="22"/>
          <w:szCs w:val="22"/>
        </w:rPr>
        <w:t xml:space="preserve">the </w:t>
      </w:r>
      <w:r w:rsidR="00BF275F" w:rsidRPr="002E4AB7">
        <w:rPr>
          <w:rFonts w:cs="Arial"/>
          <w:sz w:val="22"/>
          <w:szCs w:val="22"/>
        </w:rPr>
        <w:t>three priority performance areas</w:t>
      </w:r>
      <w:r w:rsidR="00FD1AA1" w:rsidRPr="002E4AB7">
        <w:rPr>
          <w:rFonts w:cs="Arial"/>
          <w:sz w:val="22"/>
          <w:szCs w:val="22"/>
        </w:rPr>
        <w:t xml:space="preserve"> to</w:t>
      </w:r>
    </w:p>
    <w:p w14:paraId="02AEF5EF" w14:textId="445A664A" w:rsidR="00500828" w:rsidRPr="002E4AB7" w:rsidRDefault="00500828" w:rsidP="00D414A7">
      <w:pPr>
        <w:pStyle w:val="ListParagraph"/>
        <w:numPr>
          <w:ilvl w:val="0"/>
          <w:numId w:val="10"/>
        </w:numPr>
        <w:tabs>
          <w:tab w:val="left" w:pos="5610"/>
        </w:tabs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>create</w:t>
      </w:r>
      <w:r w:rsidR="00FD1AA1" w:rsidRPr="002E4AB7">
        <w:rPr>
          <w:rFonts w:cs="Arial"/>
          <w:sz w:val="22"/>
          <w:szCs w:val="22"/>
        </w:rPr>
        <w:t xml:space="preserve"> an </w:t>
      </w:r>
      <w:r w:rsidRPr="002E4AB7">
        <w:rPr>
          <w:rFonts w:cs="Arial"/>
          <w:sz w:val="22"/>
          <w:szCs w:val="22"/>
        </w:rPr>
        <w:t>inclusive working culture, practices and environment that enable everyone to perform to their full potential</w:t>
      </w:r>
      <w:r w:rsidR="008E5137" w:rsidRPr="002E4AB7">
        <w:rPr>
          <w:rFonts w:cs="Arial"/>
          <w:sz w:val="22"/>
          <w:szCs w:val="22"/>
        </w:rPr>
        <w:t>,</w:t>
      </w:r>
    </w:p>
    <w:p w14:paraId="0D1D9065" w14:textId="02BD1124" w:rsidR="00500828" w:rsidRPr="002E4AB7" w:rsidRDefault="008E5137" w:rsidP="00D414A7">
      <w:pPr>
        <w:pStyle w:val="ListParagraph"/>
        <w:numPr>
          <w:ilvl w:val="0"/>
          <w:numId w:val="10"/>
        </w:numPr>
        <w:tabs>
          <w:tab w:val="left" w:pos="5610"/>
        </w:tabs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>c</w:t>
      </w:r>
      <w:r w:rsidR="00500828" w:rsidRPr="002E4AB7">
        <w:rPr>
          <w:rFonts w:cs="Arial"/>
          <w:sz w:val="22"/>
          <w:szCs w:val="22"/>
        </w:rPr>
        <w:t xml:space="preserve">onsider and </w:t>
      </w:r>
      <w:r w:rsidR="002C1954" w:rsidRPr="002E4AB7">
        <w:rPr>
          <w:rFonts w:cs="Arial"/>
          <w:sz w:val="22"/>
          <w:szCs w:val="22"/>
        </w:rPr>
        <w:t xml:space="preserve">meet </w:t>
      </w:r>
      <w:r w:rsidR="00500828" w:rsidRPr="002E4AB7">
        <w:rPr>
          <w:rFonts w:cs="Arial"/>
          <w:sz w:val="22"/>
          <w:szCs w:val="22"/>
        </w:rPr>
        <w:t>the diverse needs of customers and neighbouring communities at all stages of the framework/ scheme</w:t>
      </w:r>
      <w:r w:rsidRPr="002E4AB7">
        <w:rPr>
          <w:rFonts w:cs="Arial"/>
          <w:sz w:val="22"/>
          <w:szCs w:val="22"/>
        </w:rPr>
        <w:t xml:space="preserve"> and</w:t>
      </w:r>
    </w:p>
    <w:p w14:paraId="42391982" w14:textId="2A474D59" w:rsidR="00D03A34" w:rsidRPr="002E4AB7" w:rsidRDefault="008E5137" w:rsidP="00D414A7">
      <w:pPr>
        <w:pStyle w:val="ListParagraph"/>
        <w:numPr>
          <w:ilvl w:val="0"/>
          <w:numId w:val="10"/>
        </w:numPr>
        <w:tabs>
          <w:tab w:val="left" w:pos="5610"/>
        </w:tabs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>d</w:t>
      </w:r>
      <w:r w:rsidR="00500828" w:rsidRPr="002E4AB7">
        <w:rPr>
          <w:rFonts w:cs="Arial"/>
          <w:sz w:val="22"/>
          <w:szCs w:val="22"/>
        </w:rPr>
        <w:t>evelop wider supply chain capability around EDI</w:t>
      </w:r>
      <w:r w:rsidRPr="002E4AB7">
        <w:rPr>
          <w:rFonts w:cs="Arial"/>
          <w:sz w:val="22"/>
          <w:szCs w:val="22"/>
        </w:rPr>
        <w:t>.</w:t>
      </w:r>
    </w:p>
    <w:p w14:paraId="23945E25" w14:textId="0C6F1CD0" w:rsidR="00390BBD" w:rsidRPr="002E4AB7" w:rsidRDefault="00390BBD" w:rsidP="00D414A7">
      <w:pPr>
        <w:pStyle w:val="Heading3"/>
        <w:jc w:val="both"/>
        <w:rPr>
          <w:sz w:val="22"/>
          <w:szCs w:val="22"/>
        </w:rPr>
      </w:pPr>
      <w:bookmarkStart w:id="8" w:name="_Toc49332339"/>
      <w:r w:rsidRPr="002E4AB7">
        <w:rPr>
          <w:sz w:val="22"/>
          <w:szCs w:val="22"/>
        </w:rPr>
        <w:t>Methodology</w:t>
      </w:r>
      <w:bookmarkEnd w:id="8"/>
    </w:p>
    <w:p w14:paraId="0DEC7867" w14:textId="49FC6653" w:rsidR="00D06CCC" w:rsidRPr="002E4AB7" w:rsidRDefault="008328C7" w:rsidP="00D414A7">
      <w:pPr>
        <w:jc w:val="both"/>
        <w:rPr>
          <w:rFonts w:cs="Arial"/>
          <w:sz w:val="22"/>
          <w:szCs w:val="22"/>
          <w:lang w:eastAsia="en-GB"/>
        </w:rPr>
      </w:pPr>
      <w:r w:rsidRPr="002E4AB7">
        <w:rPr>
          <w:rFonts w:cs="Arial"/>
          <w:sz w:val="22"/>
          <w:szCs w:val="22"/>
          <w:lang w:eastAsia="en-GB"/>
        </w:rPr>
        <w:t>T</w:t>
      </w:r>
      <w:r w:rsidR="002C1954" w:rsidRPr="002E4AB7">
        <w:rPr>
          <w:rFonts w:cs="Arial"/>
          <w:sz w:val="22"/>
          <w:szCs w:val="22"/>
          <w:lang w:eastAsia="en-GB"/>
        </w:rPr>
        <w:t xml:space="preserve">he </w:t>
      </w:r>
      <w:r w:rsidR="00D14A76" w:rsidRPr="002E4AB7">
        <w:rPr>
          <w:rFonts w:cs="Arial"/>
          <w:i/>
          <w:sz w:val="22"/>
          <w:szCs w:val="22"/>
          <w:lang w:eastAsia="en-GB"/>
        </w:rPr>
        <w:t>Consultant</w:t>
      </w:r>
      <w:r w:rsidR="002C1954" w:rsidRPr="002E4AB7">
        <w:rPr>
          <w:rFonts w:cs="Arial"/>
          <w:sz w:val="22"/>
          <w:szCs w:val="22"/>
          <w:lang w:eastAsia="en-GB"/>
        </w:rPr>
        <w:t xml:space="preserve"> </w:t>
      </w:r>
      <w:r w:rsidR="00DC0A60" w:rsidRPr="002E4AB7">
        <w:rPr>
          <w:rFonts w:cs="Arial"/>
          <w:sz w:val="22"/>
          <w:szCs w:val="22"/>
          <w:lang w:eastAsia="en-GB"/>
        </w:rPr>
        <w:t>gather</w:t>
      </w:r>
      <w:r w:rsidR="00FD1AA1" w:rsidRPr="002E4AB7">
        <w:rPr>
          <w:rFonts w:cs="Arial"/>
          <w:sz w:val="22"/>
          <w:szCs w:val="22"/>
          <w:lang w:eastAsia="en-GB"/>
        </w:rPr>
        <w:t>s</w:t>
      </w:r>
      <w:r w:rsidR="00DC0A60" w:rsidRPr="002E4AB7">
        <w:rPr>
          <w:rFonts w:cs="Arial"/>
          <w:sz w:val="22"/>
          <w:szCs w:val="22"/>
          <w:lang w:eastAsia="en-GB"/>
        </w:rPr>
        <w:t xml:space="preserve"> intelligence and </w:t>
      </w:r>
      <w:r w:rsidR="00D06CCC" w:rsidRPr="002E4AB7">
        <w:rPr>
          <w:rFonts w:cs="Arial"/>
          <w:sz w:val="22"/>
          <w:szCs w:val="22"/>
          <w:lang w:eastAsia="en-GB"/>
        </w:rPr>
        <w:t>evidence</w:t>
      </w:r>
      <w:r w:rsidR="002C1954" w:rsidRPr="002E4AB7">
        <w:rPr>
          <w:rFonts w:cs="Arial"/>
          <w:sz w:val="22"/>
          <w:szCs w:val="22"/>
          <w:lang w:eastAsia="en-GB"/>
        </w:rPr>
        <w:t xml:space="preserve"> to identify opportunities</w:t>
      </w:r>
    </w:p>
    <w:p w14:paraId="43D3BB6B" w14:textId="012D1F2D" w:rsidR="0029745E" w:rsidRPr="002E4AB7" w:rsidRDefault="00390BBD" w:rsidP="00D414A7">
      <w:pPr>
        <w:pStyle w:val="ListParagraph"/>
        <w:numPr>
          <w:ilvl w:val="0"/>
          <w:numId w:val="6"/>
        </w:numPr>
        <w:jc w:val="both"/>
        <w:rPr>
          <w:rFonts w:cs="Arial"/>
          <w:sz w:val="22"/>
          <w:szCs w:val="22"/>
          <w:lang w:eastAsia="en-GB"/>
        </w:rPr>
      </w:pPr>
      <w:r w:rsidRPr="002E4AB7">
        <w:rPr>
          <w:rFonts w:cs="Arial"/>
          <w:sz w:val="22"/>
          <w:szCs w:val="22"/>
          <w:lang w:eastAsia="en-GB"/>
        </w:rPr>
        <w:t>to</w:t>
      </w:r>
      <w:r w:rsidR="003277EC" w:rsidRPr="002E4AB7">
        <w:rPr>
          <w:rFonts w:cs="Arial"/>
          <w:sz w:val="22"/>
          <w:szCs w:val="22"/>
          <w:lang w:eastAsia="en-GB"/>
        </w:rPr>
        <w:t xml:space="preserve"> create an inclusive working culture and develop a </w:t>
      </w:r>
      <w:r w:rsidR="002A22C8" w:rsidRPr="002E4AB7">
        <w:rPr>
          <w:rFonts w:cs="Arial"/>
          <w:sz w:val="22"/>
          <w:szCs w:val="22"/>
          <w:lang w:eastAsia="en-GB"/>
        </w:rPr>
        <w:t>diverse workforce</w:t>
      </w:r>
      <w:r w:rsidR="00FD1AA1" w:rsidRPr="002E4AB7">
        <w:rPr>
          <w:rFonts w:cs="Arial"/>
          <w:sz w:val="22"/>
          <w:szCs w:val="22"/>
          <w:lang w:eastAsia="en-GB"/>
        </w:rPr>
        <w:t>,</w:t>
      </w:r>
    </w:p>
    <w:p w14:paraId="2CC9D3F6" w14:textId="2DE9128E" w:rsidR="00D06CCC" w:rsidRPr="002E4AB7" w:rsidRDefault="00D06CCC" w:rsidP="00D414A7">
      <w:pPr>
        <w:pStyle w:val="ListParagraph"/>
        <w:numPr>
          <w:ilvl w:val="0"/>
          <w:numId w:val="6"/>
        </w:numPr>
        <w:jc w:val="both"/>
        <w:rPr>
          <w:rFonts w:cs="Arial"/>
          <w:sz w:val="22"/>
          <w:szCs w:val="22"/>
          <w:lang w:eastAsia="en-GB"/>
        </w:rPr>
      </w:pPr>
      <w:r w:rsidRPr="002E4AB7">
        <w:rPr>
          <w:rFonts w:cs="Arial"/>
          <w:sz w:val="22"/>
          <w:szCs w:val="22"/>
          <w:lang w:eastAsia="en-GB"/>
        </w:rPr>
        <w:t xml:space="preserve">to deliver a more socially sensitive </w:t>
      </w:r>
      <w:r w:rsidR="007256B7" w:rsidRPr="002E4AB7">
        <w:rPr>
          <w:rFonts w:cs="Arial"/>
          <w:sz w:val="22"/>
          <w:szCs w:val="22"/>
          <w:lang w:eastAsia="en-GB"/>
        </w:rPr>
        <w:t xml:space="preserve">and responsive </w:t>
      </w:r>
      <w:r w:rsidR="00276BAD" w:rsidRPr="002E4AB7">
        <w:rPr>
          <w:rFonts w:cs="Arial"/>
          <w:sz w:val="22"/>
          <w:szCs w:val="22"/>
          <w:lang w:eastAsia="en-GB"/>
        </w:rPr>
        <w:t>s</w:t>
      </w:r>
      <w:r w:rsidR="004E4180" w:rsidRPr="002E4AB7">
        <w:rPr>
          <w:rFonts w:cs="Arial"/>
          <w:sz w:val="22"/>
          <w:szCs w:val="22"/>
          <w:lang w:eastAsia="en-GB"/>
        </w:rPr>
        <w:t xml:space="preserve">trategic </w:t>
      </w:r>
      <w:r w:rsidR="00276BAD" w:rsidRPr="002E4AB7">
        <w:rPr>
          <w:rFonts w:cs="Arial"/>
          <w:sz w:val="22"/>
          <w:szCs w:val="22"/>
          <w:lang w:eastAsia="en-GB"/>
        </w:rPr>
        <w:t>r</w:t>
      </w:r>
      <w:r w:rsidR="004E4180" w:rsidRPr="002E4AB7">
        <w:rPr>
          <w:rFonts w:cs="Arial"/>
          <w:sz w:val="22"/>
          <w:szCs w:val="22"/>
          <w:lang w:eastAsia="en-GB"/>
        </w:rPr>
        <w:t xml:space="preserve">oad </w:t>
      </w:r>
      <w:r w:rsidR="00276BAD" w:rsidRPr="002E4AB7">
        <w:rPr>
          <w:rFonts w:cs="Arial"/>
          <w:sz w:val="22"/>
          <w:szCs w:val="22"/>
          <w:lang w:eastAsia="en-GB"/>
        </w:rPr>
        <w:t>n</w:t>
      </w:r>
      <w:r w:rsidR="004E4180" w:rsidRPr="002E4AB7">
        <w:rPr>
          <w:rFonts w:cs="Arial"/>
          <w:sz w:val="22"/>
          <w:szCs w:val="22"/>
          <w:lang w:eastAsia="en-GB"/>
        </w:rPr>
        <w:t>etwork</w:t>
      </w:r>
      <w:r w:rsidRPr="002E4AB7">
        <w:rPr>
          <w:rFonts w:cs="Arial"/>
          <w:sz w:val="22"/>
          <w:szCs w:val="22"/>
          <w:lang w:eastAsia="en-GB"/>
        </w:rPr>
        <w:t xml:space="preserve"> and be a better neighbour to communities impacted by the contract</w:t>
      </w:r>
      <w:r w:rsidR="00276BAD" w:rsidRPr="002E4AB7">
        <w:rPr>
          <w:rFonts w:cs="Arial"/>
          <w:sz w:val="22"/>
          <w:szCs w:val="22"/>
          <w:lang w:eastAsia="en-GB"/>
        </w:rPr>
        <w:t xml:space="preserve">, </w:t>
      </w:r>
      <w:r w:rsidR="00414357" w:rsidRPr="002E4AB7">
        <w:rPr>
          <w:rFonts w:cs="Arial"/>
          <w:sz w:val="22"/>
          <w:szCs w:val="22"/>
          <w:lang w:eastAsia="en-GB"/>
        </w:rPr>
        <w:t>in particular</w:t>
      </w:r>
      <w:r w:rsidRPr="002E4AB7">
        <w:rPr>
          <w:rFonts w:cs="Arial"/>
          <w:sz w:val="22"/>
          <w:szCs w:val="22"/>
          <w:lang w:eastAsia="en-GB"/>
        </w:rPr>
        <w:t xml:space="preserve"> those who are vulnerable </w:t>
      </w:r>
      <w:r w:rsidR="005A74BC" w:rsidRPr="002E4AB7">
        <w:rPr>
          <w:rFonts w:cs="Arial"/>
          <w:sz w:val="22"/>
          <w:szCs w:val="22"/>
          <w:lang w:eastAsia="en-GB"/>
        </w:rPr>
        <w:t>because of</w:t>
      </w:r>
      <w:r w:rsidRPr="002E4AB7">
        <w:rPr>
          <w:rFonts w:cs="Arial"/>
          <w:sz w:val="22"/>
          <w:szCs w:val="22"/>
          <w:lang w:eastAsia="en-GB"/>
        </w:rPr>
        <w:t xml:space="preserve"> a protected characteristic</w:t>
      </w:r>
      <w:r w:rsidR="00276BAD" w:rsidRPr="002E4AB7">
        <w:rPr>
          <w:rFonts w:cs="Arial"/>
          <w:sz w:val="22"/>
          <w:szCs w:val="22"/>
          <w:lang w:eastAsia="en-GB"/>
        </w:rPr>
        <w:t xml:space="preserve"> and</w:t>
      </w:r>
    </w:p>
    <w:p w14:paraId="55D540E9" w14:textId="61798CED" w:rsidR="00DE117E" w:rsidRPr="002E4AB7" w:rsidRDefault="00276BAD" w:rsidP="00D414A7">
      <w:pPr>
        <w:pStyle w:val="ListParagraph"/>
        <w:numPr>
          <w:ilvl w:val="0"/>
          <w:numId w:val="6"/>
        </w:numPr>
        <w:jc w:val="both"/>
        <w:rPr>
          <w:rFonts w:cs="Arial"/>
          <w:sz w:val="22"/>
          <w:szCs w:val="22"/>
          <w:lang w:eastAsia="en-GB"/>
        </w:rPr>
      </w:pPr>
      <w:r w:rsidRPr="002E4AB7">
        <w:rPr>
          <w:rFonts w:cs="Arial"/>
          <w:sz w:val="22"/>
          <w:szCs w:val="22"/>
          <w:lang w:eastAsia="en-GB"/>
        </w:rPr>
        <w:t>o</w:t>
      </w:r>
      <w:r w:rsidR="00D06CCC" w:rsidRPr="002E4AB7">
        <w:rPr>
          <w:rFonts w:cs="Arial"/>
          <w:sz w:val="22"/>
          <w:szCs w:val="22"/>
          <w:lang w:eastAsia="en-GB"/>
        </w:rPr>
        <w:t xml:space="preserve">n </w:t>
      </w:r>
      <w:r w:rsidR="00500828" w:rsidRPr="002E4AB7">
        <w:rPr>
          <w:rFonts w:cs="Arial"/>
          <w:sz w:val="22"/>
          <w:szCs w:val="22"/>
          <w:lang w:eastAsia="en-GB"/>
        </w:rPr>
        <w:t xml:space="preserve">how EDI is </w:t>
      </w:r>
      <w:r w:rsidR="00D06CCC" w:rsidRPr="002E4AB7">
        <w:rPr>
          <w:rFonts w:cs="Arial"/>
          <w:sz w:val="22"/>
          <w:szCs w:val="22"/>
          <w:lang w:eastAsia="en-GB"/>
        </w:rPr>
        <w:t>govern</w:t>
      </w:r>
      <w:r w:rsidR="00500828" w:rsidRPr="002E4AB7">
        <w:rPr>
          <w:rFonts w:cs="Arial"/>
          <w:sz w:val="22"/>
          <w:szCs w:val="22"/>
          <w:lang w:eastAsia="en-GB"/>
        </w:rPr>
        <w:t>ed</w:t>
      </w:r>
      <w:r w:rsidR="00D06CCC" w:rsidRPr="002E4AB7">
        <w:rPr>
          <w:rFonts w:cs="Arial"/>
          <w:sz w:val="22"/>
          <w:szCs w:val="22"/>
          <w:lang w:eastAsia="en-GB"/>
        </w:rPr>
        <w:t xml:space="preserve"> including the supply chain that demonstrates how progress is being measured and monitored.  </w:t>
      </w:r>
    </w:p>
    <w:p w14:paraId="7127FB7D" w14:textId="77777777" w:rsidR="0045276C" w:rsidRPr="002E4AB7" w:rsidRDefault="0045276C" w:rsidP="00D414A7">
      <w:pPr>
        <w:jc w:val="both"/>
        <w:rPr>
          <w:rFonts w:cs="Arial"/>
          <w:color w:val="000000" w:themeColor="text1"/>
          <w:sz w:val="22"/>
          <w:szCs w:val="22"/>
        </w:rPr>
      </w:pPr>
    </w:p>
    <w:p w14:paraId="25E7EA3D" w14:textId="73FE3A33" w:rsidR="0045276C" w:rsidRPr="002E4AB7" w:rsidRDefault="0045276C" w:rsidP="00D414A7">
      <w:pPr>
        <w:jc w:val="both"/>
        <w:rPr>
          <w:rFonts w:cs="Arial"/>
          <w:color w:val="000000" w:themeColor="text1"/>
          <w:sz w:val="22"/>
          <w:szCs w:val="22"/>
        </w:rPr>
      </w:pPr>
      <w:r w:rsidRPr="002E4AB7">
        <w:rPr>
          <w:rFonts w:cs="Arial"/>
          <w:color w:val="000000" w:themeColor="text1"/>
          <w:sz w:val="22"/>
          <w:szCs w:val="22"/>
        </w:rPr>
        <w:t xml:space="preserve">This intelligence </w:t>
      </w:r>
      <w:r w:rsidR="00C55FB1" w:rsidRPr="002E4AB7">
        <w:rPr>
          <w:rFonts w:cs="Arial"/>
          <w:color w:val="000000" w:themeColor="text1"/>
          <w:sz w:val="22"/>
          <w:szCs w:val="22"/>
        </w:rPr>
        <w:t xml:space="preserve">and evidence </w:t>
      </w:r>
      <w:r w:rsidRPr="002E4AB7">
        <w:rPr>
          <w:rFonts w:cs="Arial"/>
          <w:color w:val="000000" w:themeColor="text1"/>
          <w:sz w:val="22"/>
          <w:szCs w:val="22"/>
        </w:rPr>
        <w:t xml:space="preserve">should be </w:t>
      </w:r>
      <w:r w:rsidR="00500828" w:rsidRPr="002E4AB7">
        <w:rPr>
          <w:rFonts w:cs="Arial"/>
          <w:color w:val="000000" w:themeColor="text1"/>
          <w:sz w:val="22"/>
          <w:szCs w:val="22"/>
        </w:rPr>
        <w:t xml:space="preserve">used </w:t>
      </w:r>
      <w:r w:rsidR="00354A5A" w:rsidRPr="002E4AB7">
        <w:rPr>
          <w:rFonts w:cs="Arial"/>
          <w:color w:val="000000" w:themeColor="text1"/>
          <w:sz w:val="22"/>
          <w:szCs w:val="22"/>
        </w:rPr>
        <w:t xml:space="preserve">to identify the current position </w:t>
      </w:r>
      <w:r w:rsidRPr="002E4AB7">
        <w:rPr>
          <w:rFonts w:cs="Arial"/>
          <w:color w:val="000000" w:themeColor="text1"/>
          <w:sz w:val="22"/>
          <w:szCs w:val="22"/>
        </w:rPr>
        <w:t>in</w:t>
      </w:r>
      <w:r w:rsidR="00212283" w:rsidRPr="002E4AB7">
        <w:rPr>
          <w:rFonts w:cs="Arial"/>
          <w:color w:val="000000" w:themeColor="text1"/>
          <w:sz w:val="22"/>
          <w:szCs w:val="22"/>
        </w:rPr>
        <w:t xml:space="preserve"> the </w:t>
      </w:r>
      <w:r w:rsidR="00414357" w:rsidRPr="002E4AB7">
        <w:rPr>
          <w:rFonts w:cs="Arial"/>
          <w:color w:val="000000" w:themeColor="text1"/>
          <w:sz w:val="22"/>
          <w:szCs w:val="22"/>
        </w:rPr>
        <w:t>IAP</w:t>
      </w:r>
      <w:r w:rsidR="009246EE" w:rsidRPr="002E4AB7">
        <w:rPr>
          <w:rFonts w:cs="Arial"/>
          <w:color w:val="000000" w:themeColor="text1"/>
          <w:sz w:val="22"/>
          <w:szCs w:val="22"/>
        </w:rPr>
        <w:t>.</w:t>
      </w:r>
    </w:p>
    <w:p w14:paraId="4D11FB81" w14:textId="77777777" w:rsidR="00CA7AD4" w:rsidRPr="002E4AB7" w:rsidRDefault="00CA7AD4" w:rsidP="00D414A7">
      <w:pPr>
        <w:jc w:val="both"/>
        <w:rPr>
          <w:rFonts w:cs="Arial"/>
          <w:color w:val="000000" w:themeColor="text1"/>
          <w:sz w:val="22"/>
          <w:szCs w:val="22"/>
        </w:rPr>
      </w:pPr>
    </w:p>
    <w:p w14:paraId="45EA596E" w14:textId="47011BE2" w:rsidR="00DE117E" w:rsidRPr="002E4AB7" w:rsidRDefault="00C55FB1" w:rsidP="00D414A7">
      <w:pPr>
        <w:jc w:val="both"/>
        <w:rPr>
          <w:rFonts w:cs="Arial"/>
          <w:sz w:val="22"/>
          <w:szCs w:val="22"/>
          <w:lang w:eastAsia="en-GB"/>
        </w:rPr>
      </w:pPr>
      <w:r w:rsidRPr="002E4AB7">
        <w:rPr>
          <w:rFonts w:cs="Arial"/>
          <w:sz w:val="22"/>
          <w:szCs w:val="22"/>
          <w:lang w:eastAsia="en-GB"/>
        </w:rPr>
        <w:t>E</w:t>
      </w:r>
      <w:r w:rsidR="007F5AC1" w:rsidRPr="002E4AB7">
        <w:rPr>
          <w:rFonts w:cs="Arial"/>
          <w:sz w:val="22"/>
          <w:szCs w:val="22"/>
          <w:lang w:eastAsia="en-GB"/>
        </w:rPr>
        <w:t>xamples</w:t>
      </w:r>
      <w:r w:rsidR="00DE117E" w:rsidRPr="002E4AB7">
        <w:rPr>
          <w:rFonts w:cs="Arial"/>
          <w:sz w:val="22"/>
          <w:szCs w:val="22"/>
          <w:lang w:eastAsia="en-GB"/>
        </w:rPr>
        <w:t xml:space="preserve"> of </w:t>
      </w:r>
      <w:r w:rsidR="00276BAD" w:rsidRPr="002E4AB7">
        <w:rPr>
          <w:rFonts w:cs="Arial"/>
          <w:sz w:val="22"/>
          <w:szCs w:val="22"/>
          <w:lang w:eastAsia="en-GB"/>
        </w:rPr>
        <w:t>g</w:t>
      </w:r>
      <w:r w:rsidR="00DE117E" w:rsidRPr="002E4AB7">
        <w:rPr>
          <w:rFonts w:cs="Arial"/>
          <w:sz w:val="22"/>
          <w:szCs w:val="22"/>
          <w:lang w:eastAsia="en-GB"/>
        </w:rPr>
        <w:t xml:space="preserve">ood and </w:t>
      </w:r>
      <w:r w:rsidR="00276BAD" w:rsidRPr="002E4AB7">
        <w:rPr>
          <w:rFonts w:cs="Arial"/>
          <w:sz w:val="22"/>
          <w:szCs w:val="22"/>
          <w:lang w:eastAsia="en-GB"/>
        </w:rPr>
        <w:t>r</w:t>
      </w:r>
      <w:r w:rsidR="00DE117E" w:rsidRPr="002E4AB7">
        <w:rPr>
          <w:rFonts w:cs="Arial"/>
          <w:sz w:val="22"/>
          <w:szCs w:val="22"/>
          <w:lang w:eastAsia="en-GB"/>
        </w:rPr>
        <w:t xml:space="preserve">obust </w:t>
      </w:r>
      <w:r w:rsidRPr="002E4AB7">
        <w:rPr>
          <w:rFonts w:cs="Arial"/>
          <w:sz w:val="22"/>
          <w:szCs w:val="22"/>
          <w:lang w:eastAsia="en-GB"/>
        </w:rPr>
        <w:t xml:space="preserve">evidence and </w:t>
      </w:r>
      <w:r w:rsidR="00316240" w:rsidRPr="002E4AB7">
        <w:rPr>
          <w:rFonts w:cs="Arial"/>
          <w:sz w:val="22"/>
          <w:szCs w:val="22"/>
          <w:lang w:eastAsia="en-GB"/>
        </w:rPr>
        <w:t>action</w:t>
      </w:r>
      <w:r w:rsidR="00466C4B" w:rsidRPr="002E4AB7">
        <w:rPr>
          <w:rFonts w:cs="Arial"/>
          <w:sz w:val="22"/>
          <w:szCs w:val="22"/>
          <w:lang w:eastAsia="en-GB"/>
        </w:rPr>
        <w:t xml:space="preserve">s </w:t>
      </w:r>
      <w:r w:rsidR="00CA7AD4" w:rsidRPr="002E4AB7">
        <w:rPr>
          <w:rFonts w:cs="Arial"/>
          <w:sz w:val="22"/>
          <w:szCs w:val="22"/>
          <w:lang w:eastAsia="en-GB"/>
        </w:rPr>
        <w:t xml:space="preserve">are given within the </w:t>
      </w:r>
      <w:r w:rsidR="00276BAD" w:rsidRPr="002E4AB7">
        <w:rPr>
          <w:rFonts w:cs="Arial"/>
          <w:sz w:val="22"/>
          <w:szCs w:val="22"/>
          <w:lang w:eastAsia="en-GB"/>
        </w:rPr>
        <w:t>“P</w:t>
      </w:r>
      <w:r w:rsidR="008328C7" w:rsidRPr="002E4AB7">
        <w:rPr>
          <w:rFonts w:cs="Arial"/>
          <w:sz w:val="22"/>
          <w:szCs w:val="22"/>
          <w:lang w:eastAsia="en-GB"/>
        </w:rPr>
        <w:t>otential sources of evidence</w:t>
      </w:r>
      <w:r w:rsidR="00276BAD" w:rsidRPr="002E4AB7">
        <w:rPr>
          <w:rFonts w:cs="Arial"/>
          <w:sz w:val="22"/>
          <w:szCs w:val="22"/>
          <w:lang w:eastAsia="en-GB"/>
        </w:rPr>
        <w:t xml:space="preserve"> and activity”</w:t>
      </w:r>
      <w:r w:rsidR="00CA7AD4" w:rsidRPr="002E4AB7">
        <w:rPr>
          <w:rFonts w:cs="Arial"/>
          <w:sz w:val="22"/>
          <w:szCs w:val="22"/>
          <w:lang w:eastAsia="en-GB"/>
        </w:rPr>
        <w:t xml:space="preserve"> pages</w:t>
      </w:r>
      <w:r w:rsidR="00255906" w:rsidRPr="002E4AB7">
        <w:rPr>
          <w:rFonts w:cs="Arial"/>
          <w:sz w:val="22"/>
          <w:szCs w:val="22"/>
          <w:lang w:eastAsia="en-GB"/>
        </w:rPr>
        <w:t xml:space="preserve"> overleaf</w:t>
      </w:r>
      <w:r w:rsidR="00DE117E" w:rsidRPr="002E4AB7">
        <w:rPr>
          <w:rFonts w:cs="Arial"/>
          <w:sz w:val="22"/>
          <w:szCs w:val="22"/>
          <w:lang w:eastAsia="en-GB"/>
        </w:rPr>
        <w:t>.</w:t>
      </w:r>
    </w:p>
    <w:p w14:paraId="4A75BB6F" w14:textId="77777777" w:rsidR="00B74B50" w:rsidRPr="002E4AB7" w:rsidRDefault="00B74B50" w:rsidP="00D414A7">
      <w:pPr>
        <w:jc w:val="both"/>
        <w:rPr>
          <w:rFonts w:cs="Arial"/>
          <w:sz w:val="22"/>
          <w:szCs w:val="22"/>
        </w:rPr>
      </w:pPr>
    </w:p>
    <w:p w14:paraId="21A46F70" w14:textId="3F8C9C19" w:rsidR="00390BBD" w:rsidRPr="002E4AB7" w:rsidRDefault="00390BBD" w:rsidP="00D41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 xml:space="preserve">Within 3 months </w:t>
      </w:r>
      <w:r w:rsidR="00C55FB1" w:rsidRPr="002E4AB7">
        <w:rPr>
          <w:rFonts w:cs="Arial"/>
          <w:sz w:val="22"/>
          <w:szCs w:val="22"/>
        </w:rPr>
        <w:t>from the commencement of the contract</w:t>
      </w:r>
      <w:r w:rsidR="008328C7" w:rsidRPr="002E4AB7">
        <w:rPr>
          <w:rFonts w:cs="Arial"/>
          <w:sz w:val="22"/>
          <w:szCs w:val="22"/>
        </w:rPr>
        <w:t xml:space="preserve"> or acceptance on to the framework</w:t>
      </w:r>
      <w:r w:rsidR="00C55FB1" w:rsidRPr="002E4AB7">
        <w:rPr>
          <w:rFonts w:cs="Arial"/>
          <w:sz w:val="22"/>
          <w:szCs w:val="22"/>
        </w:rPr>
        <w:t xml:space="preserve">, </w:t>
      </w:r>
      <w:r w:rsidRPr="002E4AB7">
        <w:rPr>
          <w:rFonts w:cs="Arial"/>
          <w:sz w:val="22"/>
          <w:szCs w:val="22"/>
        </w:rPr>
        <w:t xml:space="preserve">the </w:t>
      </w:r>
      <w:r w:rsidR="00D14A76" w:rsidRPr="002E4AB7">
        <w:rPr>
          <w:rFonts w:cs="Arial"/>
          <w:i/>
          <w:sz w:val="22"/>
          <w:szCs w:val="22"/>
        </w:rPr>
        <w:t>Consultant</w:t>
      </w:r>
      <w:r w:rsidR="00276BAD" w:rsidRPr="002E4AB7">
        <w:rPr>
          <w:rFonts w:cs="Arial"/>
          <w:sz w:val="22"/>
          <w:szCs w:val="22"/>
        </w:rPr>
        <w:t xml:space="preserve"> </w:t>
      </w:r>
    </w:p>
    <w:p w14:paraId="3C53D48F" w14:textId="58BE584E" w:rsidR="00390BBD" w:rsidRPr="002E4AB7" w:rsidRDefault="00390BBD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2E4AB7">
        <w:rPr>
          <w:rFonts w:cs="Arial"/>
          <w:sz w:val="22"/>
          <w:szCs w:val="22"/>
        </w:rPr>
        <w:t>gathe</w:t>
      </w:r>
      <w:r w:rsidR="00414357" w:rsidRPr="002E4AB7">
        <w:rPr>
          <w:rFonts w:cs="Arial"/>
          <w:sz w:val="22"/>
          <w:szCs w:val="22"/>
        </w:rPr>
        <w:t>rs</w:t>
      </w:r>
      <w:r w:rsidRPr="002E4AB7">
        <w:rPr>
          <w:rFonts w:cs="Arial"/>
          <w:sz w:val="22"/>
          <w:szCs w:val="22"/>
        </w:rPr>
        <w:t xml:space="preserve"> baseline intelligence</w:t>
      </w:r>
      <w:r w:rsidR="00276BAD" w:rsidRPr="002E4AB7">
        <w:rPr>
          <w:rFonts w:cs="Arial"/>
          <w:sz w:val="22"/>
          <w:szCs w:val="22"/>
        </w:rPr>
        <w:t>,</w:t>
      </w:r>
    </w:p>
    <w:p w14:paraId="770E469D" w14:textId="194E8579" w:rsidR="00CA7AD4" w:rsidRPr="002E4AB7" w:rsidRDefault="00390BBD" w:rsidP="00D414A7">
      <w:pPr>
        <w:numPr>
          <w:ilvl w:val="0"/>
          <w:numId w:val="5"/>
        </w:numPr>
        <w:jc w:val="both"/>
        <w:rPr>
          <w:sz w:val="22"/>
          <w:szCs w:val="22"/>
        </w:rPr>
      </w:pPr>
      <w:r w:rsidRPr="002E4AB7">
        <w:rPr>
          <w:rFonts w:cs="Arial"/>
          <w:sz w:val="22"/>
          <w:szCs w:val="22"/>
        </w:rPr>
        <w:t>analyse</w:t>
      </w:r>
      <w:r w:rsidR="00414357" w:rsidRPr="002E4AB7">
        <w:rPr>
          <w:rFonts w:cs="Arial"/>
          <w:sz w:val="22"/>
          <w:szCs w:val="22"/>
        </w:rPr>
        <w:t>s</w:t>
      </w:r>
      <w:r w:rsidRPr="002E4AB7">
        <w:rPr>
          <w:rFonts w:cs="Arial"/>
          <w:sz w:val="22"/>
          <w:szCs w:val="22"/>
        </w:rPr>
        <w:t xml:space="preserve"> this intelligence to identify </w:t>
      </w:r>
      <w:bookmarkStart w:id="9" w:name="_Toc463269866"/>
      <w:r w:rsidR="00500828" w:rsidRPr="002E4AB7">
        <w:rPr>
          <w:rFonts w:cs="Arial"/>
          <w:sz w:val="22"/>
          <w:szCs w:val="22"/>
        </w:rPr>
        <w:t>actions</w:t>
      </w:r>
      <w:r w:rsidR="00276BAD" w:rsidRPr="002E4AB7">
        <w:rPr>
          <w:rFonts w:cs="Arial"/>
          <w:sz w:val="22"/>
          <w:szCs w:val="22"/>
        </w:rPr>
        <w:t xml:space="preserve"> and</w:t>
      </w:r>
      <w:r w:rsidR="00500828" w:rsidRPr="002E4AB7">
        <w:rPr>
          <w:rFonts w:cs="Arial"/>
          <w:sz w:val="22"/>
          <w:szCs w:val="22"/>
        </w:rPr>
        <w:t xml:space="preserve"> </w:t>
      </w:r>
    </w:p>
    <w:p w14:paraId="79B7FEFA" w14:textId="1680A5A4" w:rsidR="003E4F41" w:rsidRPr="002E4AB7" w:rsidRDefault="00CA7AD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2E4AB7">
        <w:rPr>
          <w:sz w:val="22"/>
          <w:szCs w:val="22"/>
        </w:rPr>
        <w:t>develop</w:t>
      </w:r>
      <w:r w:rsidR="00414357" w:rsidRPr="002E4AB7">
        <w:rPr>
          <w:sz w:val="22"/>
          <w:szCs w:val="22"/>
        </w:rPr>
        <w:t>s</w:t>
      </w:r>
      <w:r w:rsidRPr="002E4AB7">
        <w:rPr>
          <w:sz w:val="22"/>
          <w:szCs w:val="22"/>
        </w:rPr>
        <w:t xml:space="preserve"> an </w:t>
      </w:r>
      <w:r w:rsidR="00114E56" w:rsidRPr="002E4AB7">
        <w:rPr>
          <w:sz w:val="22"/>
          <w:szCs w:val="22"/>
        </w:rPr>
        <w:t xml:space="preserve">evidence based </w:t>
      </w:r>
      <w:r w:rsidR="00414357" w:rsidRPr="002E4AB7">
        <w:rPr>
          <w:sz w:val="22"/>
          <w:szCs w:val="22"/>
        </w:rPr>
        <w:t>IAP</w:t>
      </w:r>
      <w:r w:rsidR="00276BAD" w:rsidRPr="002E4AB7">
        <w:rPr>
          <w:sz w:val="22"/>
          <w:szCs w:val="22"/>
        </w:rPr>
        <w:t>.</w:t>
      </w:r>
      <w:r w:rsidRPr="002E4AB7">
        <w:rPr>
          <w:sz w:val="22"/>
          <w:szCs w:val="22"/>
        </w:rPr>
        <w:t xml:space="preserve"> </w:t>
      </w:r>
      <w:bookmarkEnd w:id="9"/>
    </w:p>
    <w:p w14:paraId="5FA5F179" w14:textId="77777777" w:rsidR="003E4F41" w:rsidRPr="00093D7A" w:rsidRDefault="003E4F41" w:rsidP="00276BAD">
      <w:pPr>
        <w:jc w:val="both"/>
        <w:rPr>
          <w:rFonts w:cs="Arial"/>
          <w:sz w:val="28"/>
          <w:szCs w:val="28"/>
        </w:rPr>
        <w:sectPr w:rsidR="003E4F41" w:rsidRPr="00093D7A" w:rsidSect="007E08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7C2D9694" w14:textId="77777777" w:rsidR="00127CA7" w:rsidRPr="00093D7A" w:rsidRDefault="00127CA7" w:rsidP="00127CA7">
      <w:pPr>
        <w:rPr>
          <w:rFonts w:cs="Arial"/>
        </w:rPr>
      </w:pPr>
    </w:p>
    <w:p w14:paraId="7BF6B3FB" w14:textId="77777777" w:rsidR="00614CB6" w:rsidRPr="00093D7A" w:rsidRDefault="00614CB6" w:rsidP="00614CB6">
      <w:pPr>
        <w:jc w:val="center"/>
        <w:rPr>
          <w:rFonts w:cs="Arial"/>
          <w:b/>
          <w:sz w:val="28"/>
          <w:szCs w:val="28"/>
        </w:rPr>
      </w:pPr>
      <w:r w:rsidRPr="00093D7A">
        <w:rPr>
          <w:rFonts w:cs="Arial"/>
          <w:b/>
          <w:sz w:val="28"/>
          <w:szCs w:val="28"/>
        </w:rPr>
        <w:t>Potential sources of evidence and activity</w:t>
      </w:r>
    </w:p>
    <w:p w14:paraId="4263AD14" w14:textId="77777777" w:rsidR="003E4F41" w:rsidRPr="00093D7A" w:rsidRDefault="00115E4B" w:rsidP="00127CA7">
      <w:pPr>
        <w:rPr>
          <w:rFonts w:cs="Arial"/>
          <w:b/>
        </w:rPr>
      </w:pPr>
      <w:r w:rsidRPr="00093D7A">
        <w:rPr>
          <w:rFonts w:cs="Arial"/>
          <w:b/>
        </w:rPr>
        <w:t xml:space="preserve"> </w:t>
      </w:r>
    </w:p>
    <w:tbl>
      <w:tblPr>
        <w:tblStyle w:val="TableGrid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100"/>
        <w:gridCol w:w="2134"/>
        <w:gridCol w:w="4673"/>
        <w:gridCol w:w="3893"/>
        <w:gridCol w:w="3772"/>
      </w:tblGrid>
      <w:tr w:rsidR="00E86F38" w:rsidRPr="00093D7A" w14:paraId="765ADACF" w14:textId="77777777" w:rsidTr="00D414A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ACB7" w14:textId="77777777" w:rsidR="00E86F38" w:rsidRPr="00093D7A" w:rsidRDefault="00E86F38">
            <w:pPr>
              <w:rPr>
                <w:rFonts w:cs="Arial"/>
                <w:b/>
                <w:sz w:val="22"/>
                <w:szCs w:val="22"/>
              </w:rPr>
            </w:pPr>
            <w:r w:rsidRPr="00093D7A">
              <w:rPr>
                <w:rFonts w:cs="Arial"/>
                <w:b/>
                <w:sz w:val="22"/>
                <w:szCs w:val="22"/>
              </w:rPr>
              <w:t>CPF score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90CC" w14:textId="77777777" w:rsidR="00E86F38" w:rsidRPr="00093D7A" w:rsidRDefault="00E86F38">
            <w:pPr>
              <w:rPr>
                <w:rFonts w:cs="Arial"/>
                <w:b/>
                <w:sz w:val="22"/>
                <w:szCs w:val="22"/>
              </w:rPr>
            </w:pPr>
            <w:r w:rsidRPr="00093D7A">
              <w:rPr>
                <w:rFonts w:cs="Arial"/>
                <w:b/>
                <w:sz w:val="22"/>
                <w:szCs w:val="22"/>
              </w:rPr>
              <w:t xml:space="preserve">CPF score guidance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AF3" w14:textId="77777777" w:rsidR="00E86F38" w:rsidRPr="00093D7A" w:rsidRDefault="00E86F38">
            <w:pPr>
              <w:rPr>
                <w:rFonts w:cs="Arial"/>
                <w:b/>
                <w:sz w:val="22"/>
                <w:szCs w:val="22"/>
              </w:rPr>
            </w:pPr>
            <w:r w:rsidRPr="00093D7A">
              <w:rPr>
                <w:rFonts w:cs="Arial"/>
                <w:b/>
                <w:sz w:val="22"/>
                <w:szCs w:val="22"/>
              </w:rPr>
              <w:t>Working culture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3F87" w14:textId="77777777" w:rsidR="00E86F38" w:rsidRPr="00093D7A" w:rsidRDefault="00E86F38">
            <w:pPr>
              <w:rPr>
                <w:rFonts w:cs="Arial"/>
                <w:b/>
                <w:sz w:val="22"/>
                <w:szCs w:val="22"/>
              </w:rPr>
            </w:pPr>
            <w:r w:rsidRPr="00093D7A">
              <w:rPr>
                <w:rFonts w:cs="Arial"/>
                <w:b/>
                <w:sz w:val="22"/>
                <w:szCs w:val="22"/>
              </w:rPr>
              <w:t>Customer and community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12D" w14:textId="77777777" w:rsidR="00E86F38" w:rsidRPr="00093D7A" w:rsidRDefault="00E86F38">
            <w:pPr>
              <w:rPr>
                <w:rFonts w:cs="Arial"/>
                <w:b/>
                <w:sz w:val="22"/>
                <w:szCs w:val="22"/>
              </w:rPr>
            </w:pPr>
            <w:r w:rsidRPr="00093D7A">
              <w:rPr>
                <w:rFonts w:cs="Arial"/>
                <w:b/>
                <w:sz w:val="22"/>
                <w:szCs w:val="22"/>
              </w:rPr>
              <w:t>Governance</w:t>
            </w:r>
          </w:p>
        </w:tc>
      </w:tr>
      <w:tr w:rsidR="004D2602" w:rsidRPr="00093D7A" w14:paraId="2454FCE2" w14:textId="77777777" w:rsidTr="00D414A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31A3" w14:textId="77777777" w:rsidR="004D2602" w:rsidRPr="00093D7A" w:rsidRDefault="004D2602" w:rsidP="004D2602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E633" w14:textId="1D0CAFF3" w:rsidR="004D2602" w:rsidRPr="00093D7A" w:rsidRDefault="00DD6536" w:rsidP="004D2602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An intelligence based </w:t>
            </w:r>
            <w:r w:rsidR="00B91EA5" w:rsidRPr="00093D7A">
              <w:rPr>
                <w:rFonts w:cs="Arial"/>
                <w:sz w:val="22"/>
                <w:szCs w:val="22"/>
              </w:rPr>
              <w:t>IAP</w:t>
            </w:r>
            <w:r w:rsidRPr="00093D7A">
              <w:rPr>
                <w:rFonts w:cs="Arial"/>
                <w:sz w:val="22"/>
                <w:szCs w:val="22"/>
              </w:rPr>
              <w:t xml:space="preserve"> is in place which is being fully implemented and up to date.</w:t>
            </w:r>
          </w:p>
        </w:tc>
        <w:tc>
          <w:tcPr>
            <w:tcW w:w="1500" w:type="pct"/>
          </w:tcPr>
          <w:p w14:paraId="0328FDE9" w14:textId="0AC6BDCB" w:rsidR="004D2602" w:rsidRPr="00093D7A" w:rsidRDefault="004D2602" w:rsidP="004D2602">
            <w:p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Evidence of</w:t>
            </w:r>
          </w:p>
          <w:p w14:paraId="56A17CC7" w14:textId="3F16FAA7" w:rsidR="004D2602" w:rsidRPr="00093D7A" w:rsidRDefault="00276BAD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4D2602" w:rsidRPr="00093D7A">
              <w:rPr>
                <w:rFonts w:cs="Arial"/>
                <w:sz w:val="22"/>
                <w:szCs w:val="22"/>
              </w:rPr>
              <w:t>onitoring use of/ outcomes in relation to H</w:t>
            </w:r>
            <w:r w:rsidRPr="00093D7A">
              <w:rPr>
                <w:rFonts w:cs="Arial"/>
                <w:sz w:val="22"/>
                <w:szCs w:val="22"/>
              </w:rPr>
              <w:t xml:space="preserve">uman </w:t>
            </w:r>
            <w:r w:rsidR="004D2602" w:rsidRPr="00093D7A">
              <w:rPr>
                <w:rFonts w:cs="Arial"/>
                <w:sz w:val="22"/>
                <w:szCs w:val="22"/>
              </w:rPr>
              <w:t>R</w:t>
            </w:r>
            <w:r w:rsidRPr="00093D7A">
              <w:rPr>
                <w:rFonts w:cs="Arial"/>
                <w:sz w:val="22"/>
                <w:szCs w:val="22"/>
              </w:rPr>
              <w:t>esources (HR)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polic</w:t>
            </w:r>
            <w:r w:rsidRPr="00093D7A">
              <w:rPr>
                <w:rFonts w:cs="Arial"/>
                <w:sz w:val="22"/>
                <w:szCs w:val="22"/>
              </w:rPr>
              <w:t>ies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and procedures e.g. bullying/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  <w:r w:rsidR="004D2602" w:rsidRPr="00093D7A">
              <w:rPr>
                <w:rFonts w:cs="Arial"/>
                <w:sz w:val="22"/>
                <w:szCs w:val="22"/>
              </w:rPr>
              <w:t>harassment, grievance etc.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0C3CD3C9" w14:textId="6F9AA578" w:rsidR="004D2602" w:rsidRPr="00093D7A" w:rsidRDefault="00276BAD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</w:t>
            </w:r>
            <w:r w:rsidR="004D2602" w:rsidRPr="00093D7A">
              <w:rPr>
                <w:rFonts w:cs="Arial"/>
                <w:sz w:val="22"/>
                <w:szCs w:val="22"/>
              </w:rPr>
              <w:t>easonable adjustments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1495894F" w14:textId="1ACACD67" w:rsidR="004D2602" w:rsidRPr="00093D7A" w:rsidRDefault="00276BAD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w</w:t>
            </w:r>
            <w:r w:rsidR="004D2602" w:rsidRPr="00093D7A">
              <w:rPr>
                <w:rFonts w:cs="Arial"/>
                <w:sz w:val="22"/>
                <w:szCs w:val="22"/>
              </w:rPr>
              <w:t>ellbeing initiatives</w:t>
            </w:r>
            <w:r w:rsidRPr="00093D7A">
              <w:rPr>
                <w:rFonts w:cs="Arial"/>
                <w:sz w:val="22"/>
                <w:szCs w:val="22"/>
              </w:rPr>
              <w:t>,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47C15385" w14:textId="1DB56C37" w:rsidR="004D2602" w:rsidRPr="00093D7A" w:rsidRDefault="00276BAD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use of </w:t>
            </w:r>
            <w:r w:rsidR="004D2602" w:rsidRPr="00093D7A">
              <w:rPr>
                <w:rFonts w:cs="Arial"/>
                <w:sz w:val="22"/>
                <w:szCs w:val="22"/>
              </w:rPr>
              <w:t>P</w:t>
            </w:r>
            <w:r w:rsidRPr="00093D7A">
              <w:rPr>
                <w:rFonts w:cs="Arial"/>
                <w:sz w:val="22"/>
                <w:szCs w:val="22"/>
              </w:rPr>
              <w:t xml:space="preserve">erformance </w:t>
            </w:r>
            <w:r w:rsidR="004D2602" w:rsidRPr="00093D7A">
              <w:rPr>
                <w:rFonts w:cs="Arial"/>
                <w:sz w:val="22"/>
                <w:szCs w:val="22"/>
              </w:rPr>
              <w:t>D</w:t>
            </w:r>
            <w:r w:rsidRPr="00093D7A">
              <w:rPr>
                <w:rFonts w:cs="Arial"/>
                <w:sz w:val="22"/>
                <w:szCs w:val="22"/>
              </w:rPr>
              <w:t xml:space="preserve">evelopment </w:t>
            </w:r>
            <w:r w:rsidR="004D2602" w:rsidRPr="00093D7A">
              <w:rPr>
                <w:rFonts w:cs="Arial"/>
                <w:sz w:val="22"/>
                <w:szCs w:val="22"/>
              </w:rPr>
              <w:t>P</w:t>
            </w:r>
            <w:r w:rsidRPr="00093D7A">
              <w:rPr>
                <w:rFonts w:cs="Arial"/>
                <w:sz w:val="22"/>
                <w:szCs w:val="22"/>
              </w:rPr>
              <w:t>lan</w:t>
            </w:r>
            <w:r w:rsidR="00511225" w:rsidRPr="00093D7A">
              <w:rPr>
                <w:rFonts w:cs="Arial"/>
                <w:sz w:val="22"/>
                <w:szCs w:val="22"/>
              </w:rPr>
              <w:t>s</w:t>
            </w:r>
            <w:r w:rsidRPr="00093D7A">
              <w:rPr>
                <w:rFonts w:cs="Arial"/>
                <w:sz w:val="22"/>
                <w:szCs w:val="22"/>
              </w:rPr>
              <w:t xml:space="preserve"> (PDP)</w:t>
            </w:r>
            <w:r w:rsidR="004D2602" w:rsidRPr="00093D7A">
              <w:rPr>
                <w:rFonts w:cs="Arial"/>
                <w:sz w:val="22"/>
                <w:szCs w:val="22"/>
              </w:rPr>
              <w:t>/ appraisals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5EADFB84" w14:textId="5AEFC4DB" w:rsidR="004D2602" w:rsidRPr="00093D7A" w:rsidRDefault="004D2602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EDI training for all </w:t>
            </w:r>
            <w:r w:rsidR="00511225" w:rsidRPr="00093D7A">
              <w:rPr>
                <w:rFonts w:cs="Arial"/>
                <w:sz w:val="22"/>
                <w:szCs w:val="22"/>
              </w:rPr>
              <w:t>S</w:t>
            </w:r>
            <w:r w:rsidRPr="00093D7A">
              <w:rPr>
                <w:rFonts w:cs="Arial"/>
                <w:sz w:val="22"/>
                <w:szCs w:val="22"/>
              </w:rPr>
              <w:t xml:space="preserve">taff, </w:t>
            </w:r>
          </w:p>
          <w:p w14:paraId="5396EDDD" w14:textId="3B5FF6C7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a</w:t>
            </w:r>
            <w:r w:rsidR="004D2602" w:rsidRPr="00093D7A">
              <w:rPr>
                <w:rFonts w:cs="Arial"/>
                <w:sz w:val="22"/>
                <w:szCs w:val="22"/>
              </w:rPr>
              <w:t>ctive promotion of flexible/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agile working, </w:t>
            </w:r>
          </w:p>
          <w:p w14:paraId="60301B3D" w14:textId="77777777" w:rsidR="004D2602" w:rsidRPr="00093D7A" w:rsidRDefault="004D2602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Staff networks, </w:t>
            </w:r>
          </w:p>
          <w:p w14:paraId="3091D8D7" w14:textId="4CF44FD9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</w:t>
            </w:r>
            <w:r w:rsidR="004D2602" w:rsidRPr="00093D7A">
              <w:rPr>
                <w:rFonts w:cs="Arial"/>
                <w:sz w:val="22"/>
                <w:szCs w:val="22"/>
              </w:rPr>
              <w:t>ange of accessible learning in place</w:t>
            </w:r>
            <w:r w:rsidRPr="00093D7A">
              <w:rPr>
                <w:rFonts w:cs="Arial"/>
                <w:sz w:val="22"/>
                <w:szCs w:val="22"/>
              </w:rPr>
              <w:t>,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6638763D" w14:textId="2568A323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t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alent management/ developing </w:t>
            </w:r>
            <w:r w:rsidRPr="00093D7A">
              <w:rPr>
                <w:rFonts w:cs="Arial"/>
                <w:sz w:val="22"/>
                <w:szCs w:val="22"/>
              </w:rPr>
              <w:t>S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taff e.g. mentoring and coaching schemes and the impact of these, </w:t>
            </w:r>
          </w:p>
          <w:p w14:paraId="1F1CDC9A" w14:textId="597C7205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s</w:t>
            </w:r>
            <w:r w:rsidR="004D2602" w:rsidRPr="00093D7A">
              <w:rPr>
                <w:rFonts w:cs="Arial"/>
                <w:sz w:val="22"/>
                <w:szCs w:val="22"/>
              </w:rPr>
              <w:t>upport for those on career breaks and returners</w:t>
            </w:r>
            <w:r w:rsidRPr="00093D7A">
              <w:rPr>
                <w:rFonts w:cs="Arial"/>
                <w:sz w:val="22"/>
                <w:szCs w:val="22"/>
              </w:rPr>
              <w:t xml:space="preserve"> and </w:t>
            </w:r>
          </w:p>
          <w:p w14:paraId="3147BCA3" w14:textId="26B73E2B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a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nnual workforce and </w:t>
            </w:r>
            <w:r w:rsidRPr="00093D7A">
              <w:rPr>
                <w:rFonts w:cs="Arial"/>
                <w:sz w:val="22"/>
                <w:szCs w:val="22"/>
              </w:rPr>
              <w:t>S</w:t>
            </w:r>
            <w:r w:rsidR="004D2602" w:rsidRPr="00093D7A">
              <w:rPr>
                <w:rFonts w:cs="Arial"/>
                <w:sz w:val="22"/>
                <w:szCs w:val="22"/>
              </w:rPr>
              <w:t>taff engagement data analysis and review with actions taken and outcomes arising out of these.</w:t>
            </w:r>
          </w:p>
        </w:tc>
        <w:tc>
          <w:tcPr>
            <w:tcW w:w="1250" w:type="pct"/>
          </w:tcPr>
          <w:p w14:paraId="281C9800" w14:textId="5ED8BBE1" w:rsidR="004D2602" w:rsidRPr="00093D7A" w:rsidRDefault="004D2602" w:rsidP="004D2602">
            <w:p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Evidence of</w:t>
            </w:r>
          </w:p>
          <w:p w14:paraId="6C000938" w14:textId="66880002" w:rsidR="004D2602" w:rsidRPr="00093D7A" w:rsidRDefault="00511225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d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isaggregation of data against protected characteristics/ affected groups. Actions identified to address negative impacts (as found in </w:t>
            </w:r>
            <w:r w:rsidR="00414357" w:rsidRPr="00093D7A">
              <w:rPr>
                <w:rFonts w:cs="Arial"/>
                <w:sz w:val="22"/>
                <w:szCs w:val="22"/>
              </w:rPr>
              <w:t>the Equality Impact Assessment (</w:t>
            </w:r>
            <w:r w:rsidR="004D2602" w:rsidRPr="00093D7A">
              <w:rPr>
                <w:rFonts w:cs="Arial"/>
                <w:sz w:val="22"/>
                <w:szCs w:val="22"/>
              </w:rPr>
              <w:t>EQIA</w:t>
            </w:r>
            <w:r w:rsidR="00414357" w:rsidRPr="00093D7A">
              <w:rPr>
                <w:rFonts w:cs="Arial"/>
                <w:sz w:val="22"/>
                <w:szCs w:val="22"/>
              </w:rPr>
              <w:t>)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and </w:t>
            </w:r>
            <w:r w:rsidR="00906782" w:rsidRPr="00093D7A">
              <w:rPr>
                <w:rFonts w:cs="Arial"/>
                <w:sz w:val="22"/>
                <w:szCs w:val="22"/>
              </w:rPr>
              <w:t>the Equality, Diversity and Inclusion Tool (</w:t>
            </w:r>
            <w:r w:rsidR="004D2602" w:rsidRPr="00093D7A">
              <w:rPr>
                <w:rFonts w:cs="Arial"/>
                <w:sz w:val="22"/>
                <w:szCs w:val="22"/>
              </w:rPr>
              <w:t>EDIT)</w:t>
            </w:r>
            <w:r w:rsidR="00F023C3" w:rsidRPr="00093D7A">
              <w:rPr>
                <w:rFonts w:cs="Arial"/>
                <w:sz w:val="22"/>
                <w:szCs w:val="22"/>
              </w:rPr>
              <w:t xml:space="preserve"> where applicable</w:t>
            </w:r>
            <w:r w:rsidR="00906782" w:rsidRPr="00093D7A">
              <w:rPr>
                <w:rFonts w:cs="Arial"/>
                <w:sz w:val="22"/>
                <w:szCs w:val="22"/>
              </w:rPr>
              <w:t>)</w:t>
            </w:r>
            <w:r w:rsidR="0062215A" w:rsidRPr="00093D7A">
              <w:rPr>
                <w:rFonts w:cs="Arial"/>
                <w:sz w:val="22"/>
                <w:szCs w:val="22"/>
              </w:rPr>
              <w:t>,</w:t>
            </w:r>
          </w:p>
          <w:p w14:paraId="586EA5A6" w14:textId="506B7FC3" w:rsidR="004D2602" w:rsidRPr="00093D7A" w:rsidRDefault="0062215A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</w:t>
            </w:r>
            <w:r w:rsidR="004D2602" w:rsidRPr="00093D7A">
              <w:rPr>
                <w:rFonts w:cs="Arial"/>
                <w:sz w:val="22"/>
                <w:szCs w:val="22"/>
              </w:rPr>
              <w:t>se of diverse and accessible communication channels and monitoring the satisfaction and effectiveness of these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27D5B855" w14:textId="7C253048" w:rsidR="004D2602" w:rsidRPr="00093D7A" w:rsidRDefault="0062215A" w:rsidP="004D2602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</w:t>
            </w:r>
            <w:r w:rsidR="004D2602" w:rsidRPr="00093D7A">
              <w:rPr>
                <w:rFonts w:cs="Arial"/>
                <w:sz w:val="22"/>
                <w:szCs w:val="22"/>
              </w:rPr>
              <w:t>se of diverse and accessible engagement activities and monitoring the satisfaction and effectiveness of these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4D0D655A" w14:textId="38A589DD" w:rsidR="004D2602" w:rsidRPr="00093D7A" w:rsidRDefault="0062215A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f</w:t>
            </w:r>
            <w:r w:rsidR="004D2602" w:rsidRPr="00093D7A">
              <w:rPr>
                <w:rFonts w:cs="Arial"/>
                <w:sz w:val="22"/>
                <w:szCs w:val="22"/>
              </w:rPr>
              <w:t>ace to face liaison with voluntary sector and minority groups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15F60AAF" w14:textId="41A6A260" w:rsidR="004D2602" w:rsidRPr="00093D7A" w:rsidRDefault="004D2602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Staff training on understanding diverse needs</w:t>
            </w:r>
            <w:r w:rsidR="0062215A" w:rsidRPr="00093D7A">
              <w:rPr>
                <w:rFonts w:cs="Arial"/>
                <w:sz w:val="22"/>
                <w:szCs w:val="22"/>
              </w:rPr>
              <w:t xml:space="preserve"> and </w:t>
            </w:r>
          </w:p>
          <w:p w14:paraId="1B049F03" w14:textId="30B01478" w:rsidR="004D2602" w:rsidRPr="00093D7A" w:rsidRDefault="0062215A" w:rsidP="004D2602">
            <w:pPr>
              <w:numPr>
                <w:ilvl w:val="0"/>
                <w:numId w:val="7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f</w:t>
            </w:r>
            <w:r w:rsidR="004D2602" w:rsidRPr="00093D7A">
              <w:rPr>
                <w:rFonts w:cs="Arial"/>
                <w:sz w:val="22"/>
                <w:szCs w:val="22"/>
              </w:rPr>
              <w:t>eedback to consultees.</w:t>
            </w:r>
          </w:p>
        </w:tc>
        <w:tc>
          <w:tcPr>
            <w:tcW w:w="1211" w:type="pct"/>
          </w:tcPr>
          <w:p w14:paraId="1B54FBDA" w14:textId="6E0E0008" w:rsidR="004D2602" w:rsidRPr="00093D7A" w:rsidRDefault="004D2602" w:rsidP="004D2602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Evidence of</w:t>
            </w:r>
          </w:p>
          <w:p w14:paraId="264E91CB" w14:textId="2A2414D7" w:rsidR="004D2602" w:rsidRPr="00093D7A" w:rsidRDefault="00D61170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l</w:t>
            </w:r>
            <w:r w:rsidR="004D2602" w:rsidRPr="00093D7A">
              <w:rPr>
                <w:rFonts w:cs="Arial"/>
                <w:sz w:val="22"/>
                <w:szCs w:val="22"/>
              </w:rPr>
              <w:t>eadership and governance meetings where EDI</w:t>
            </w:r>
            <w:r w:rsidRPr="00093D7A">
              <w:rPr>
                <w:rFonts w:cs="Arial"/>
                <w:sz w:val="22"/>
                <w:szCs w:val="22"/>
              </w:rPr>
              <w:t xml:space="preserve"> is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discussed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2F3BEA0B" w14:textId="4CC41DE7" w:rsidR="004D2602" w:rsidRPr="00093D7A" w:rsidRDefault="00D61170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p</w:t>
            </w:r>
            <w:r w:rsidR="004D2602" w:rsidRPr="00093D7A">
              <w:rPr>
                <w:rFonts w:cs="Arial"/>
                <w:sz w:val="22"/>
                <w:szCs w:val="22"/>
              </w:rPr>
              <w:t>ublic commitment to and leadership accountability for EDI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288E84E9" w14:textId="1ABBF31F" w:rsidR="004D2602" w:rsidRPr="00093D7A" w:rsidRDefault="004D2602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EDI strategy with actions and outcomes</w:t>
            </w:r>
            <w:r w:rsidR="00D61170" w:rsidRPr="00093D7A">
              <w:rPr>
                <w:rFonts w:cs="Arial"/>
                <w:sz w:val="22"/>
                <w:szCs w:val="22"/>
              </w:rPr>
              <w:t xml:space="preserve">, 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7E8D9B1C" w14:textId="376ABBB0" w:rsidR="004D2602" w:rsidRPr="00093D7A" w:rsidRDefault="004D2602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reporting structure</w:t>
            </w:r>
            <w:r w:rsidR="00D61170" w:rsidRPr="00093D7A">
              <w:rPr>
                <w:rFonts w:cs="Arial"/>
                <w:sz w:val="22"/>
                <w:szCs w:val="22"/>
              </w:rPr>
              <w:t>,</w:t>
            </w:r>
          </w:p>
          <w:p w14:paraId="1984716B" w14:textId="14AF1719" w:rsidR="004D2602" w:rsidRPr="00093D7A" w:rsidRDefault="004D2602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EDI K</w:t>
            </w:r>
            <w:r w:rsidR="00B91EA5" w:rsidRPr="00093D7A">
              <w:rPr>
                <w:rFonts w:cs="Arial"/>
                <w:sz w:val="22"/>
                <w:szCs w:val="22"/>
              </w:rPr>
              <w:t xml:space="preserve">ey </w:t>
            </w:r>
            <w:r w:rsidRPr="00093D7A">
              <w:rPr>
                <w:rFonts w:cs="Arial"/>
                <w:sz w:val="22"/>
                <w:szCs w:val="22"/>
              </w:rPr>
              <w:t>P</w:t>
            </w:r>
            <w:r w:rsidR="00B91EA5" w:rsidRPr="00093D7A">
              <w:rPr>
                <w:rFonts w:cs="Arial"/>
                <w:sz w:val="22"/>
                <w:szCs w:val="22"/>
              </w:rPr>
              <w:t xml:space="preserve">erformance </w:t>
            </w:r>
            <w:r w:rsidRPr="00093D7A">
              <w:rPr>
                <w:rFonts w:cs="Arial"/>
                <w:sz w:val="22"/>
                <w:szCs w:val="22"/>
              </w:rPr>
              <w:t>I</w:t>
            </w:r>
            <w:r w:rsidR="00B91EA5" w:rsidRPr="00093D7A">
              <w:rPr>
                <w:rFonts w:cs="Arial"/>
                <w:sz w:val="22"/>
                <w:szCs w:val="22"/>
              </w:rPr>
              <w:t>ndicator</w:t>
            </w:r>
            <w:r w:rsidRPr="00093D7A">
              <w:rPr>
                <w:rFonts w:cs="Arial"/>
                <w:sz w:val="22"/>
                <w:szCs w:val="22"/>
              </w:rPr>
              <w:t>s</w:t>
            </w:r>
            <w:r w:rsidR="00B91EA5" w:rsidRPr="00093D7A">
              <w:rPr>
                <w:rFonts w:cs="Arial"/>
                <w:sz w:val="22"/>
                <w:szCs w:val="22"/>
              </w:rPr>
              <w:t xml:space="preserve"> (KPIs)</w:t>
            </w:r>
            <w:r w:rsidRPr="00093D7A">
              <w:rPr>
                <w:rFonts w:cs="Arial"/>
                <w:sz w:val="22"/>
                <w:szCs w:val="22"/>
              </w:rPr>
              <w:t xml:space="preserve"> and monitoring of progress</w:t>
            </w:r>
            <w:r w:rsidR="00B91EA5" w:rsidRPr="00093D7A">
              <w:rPr>
                <w:rFonts w:cs="Arial"/>
                <w:sz w:val="22"/>
                <w:szCs w:val="22"/>
              </w:rPr>
              <w:t>.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08FFCD3F" w14:textId="0B05DDED" w:rsidR="004D2602" w:rsidRPr="00093D7A" w:rsidRDefault="00B91EA5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p</w:t>
            </w:r>
            <w:r w:rsidR="004D2602" w:rsidRPr="00093D7A">
              <w:rPr>
                <w:rFonts w:cs="Arial"/>
                <w:sz w:val="22"/>
                <w:szCs w:val="22"/>
              </w:rPr>
              <w:t>rocurement processes include EDI</w:t>
            </w:r>
            <w:r w:rsidRPr="00093D7A">
              <w:rPr>
                <w:rFonts w:cs="Arial"/>
                <w:sz w:val="22"/>
                <w:szCs w:val="22"/>
              </w:rPr>
              <w:t>,</w:t>
            </w:r>
            <w:r w:rsidR="004D2602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5871A647" w14:textId="7DA4F70F" w:rsidR="004D2602" w:rsidRPr="00093D7A" w:rsidRDefault="00D14A76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Consultant</w:t>
            </w:r>
            <w:r w:rsidR="00B91EA5" w:rsidRPr="00093D7A">
              <w:rPr>
                <w:rFonts w:cs="Arial"/>
                <w:sz w:val="22"/>
                <w:szCs w:val="22"/>
              </w:rPr>
              <w:t xml:space="preserve"> </w:t>
            </w:r>
            <w:r w:rsidR="004D2602" w:rsidRPr="00093D7A">
              <w:rPr>
                <w:rFonts w:cs="Arial"/>
                <w:sz w:val="22"/>
                <w:szCs w:val="22"/>
              </w:rPr>
              <w:t>meetings where EDI is discussed</w:t>
            </w:r>
            <w:r w:rsidR="00B91EA5" w:rsidRPr="00093D7A">
              <w:rPr>
                <w:rFonts w:cs="Arial"/>
                <w:sz w:val="22"/>
                <w:szCs w:val="22"/>
              </w:rPr>
              <w:t>,</w:t>
            </w:r>
          </w:p>
          <w:p w14:paraId="1B04DB12" w14:textId="20E2026B" w:rsidR="004D2602" w:rsidRPr="00093D7A" w:rsidRDefault="004D2602" w:rsidP="004D2602">
            <w:pPr>
              <w:numPr>
                <w:ilvl w:val="0"/>
                <w:numId w:val="8"/>
              </w:numPr>
              <w:contextualSpacing/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EDI development initiatives for supply chain and how they are supporting </w:t>
            </w:r>
            <w:r w:rsidR="00B91EA5" w:rsidRPr="00093D7A">
              <w:rPr>
                <w:rFonts w:cs="Arial"/>
                <w:sz w:val="22"/>
                <w:szCs w:val="22"/>
              </w:rPr>
              <w:t xml:space="preserve">the </w:t>
            </w:r>
            <w:r w:rsidR="00B91EA5" w:rsidRPr="00093D7A">
              <w:rPr>
                <w:rFonts w:cs="Arial"/>
                <w:i/>
                <w:sz w:val="22"/>
                <w:szCs w:val="22"/>
              </w:rPr>
              <w:t>Client</w:t>
            </w:r>
            <w:r w:rsidRPr="00093D7A">
              <w:rPr>
                <w:rFonts w:cs="Arial"/>
                <w:sz w:val="22"/>
                <w:szCs w:val="22"/>
              </w:rPr>
              <w:t xml:space="preserve"> in meeting its EDI </w:t>
            </w:r>
            <w:r w:rsidR="00B91EA5" w:rsidRPr="00093D7A">
              <w:rPr>
                <w:rFonts w:cs="Arial"/>
                <w:sz w:val="22"/>
                <w:szCs w:val="22"/>
              </w:rPr>
              <w:t>objectives</w:t>
            </w:r>
            <w:r w:rsidRPr="00093D7A">
              <w:rPr>
                <w:rFonts w:cs="Arial"/>
                <w:sz w:val="22"/>
                <w:szCs w:val="22"/>
              </w:rPr>
              <w:t>.</w:t>
            </w:r>
          </w:p>
        </w:tc>
      </w:tr>
      <w:tr w:rsidR="00E86F38" w:rsidRPr="00093D7A" w14:paraId="6EE18D7C" w14:textId="77777777" w:rsidTr="00D414A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E8B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8 </w:t>
            </w:r>
          </w:p>
          <w:p w14:paraId="324A4F89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67DA0A1E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32C30873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7F27FEA9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3C61A643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09341E67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2F7F0287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3690B5DB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689D70F7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7B03AED6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5757324A" w14:textId="0E72C97F" w:rsidR="00E86F38" w:rsidRPr="00093D7A" w:rsidRDefault="00E86F38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61C" w14:textId="38681EEA" w:rsidR="00E86F38" w:rsidRPr="00093D7A" w:rsidRDefault="00E86F38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 xml:space="preserve">There is evidence that ongoing actions arising from </w:t>
            </w:r>
            <w:r w:rsidRPr="00093D7A">
              <w:rPr>
                <w:rFonts w:cs="Arial"/>
                <w:sz w:val="22"/>
                <w:szCs w:val="22"/>
              </w:rPr>
              <w:lastRenderedPageBreak/>
              <w:t xml:space="preserve">the </w:t>
            </w:r>
            <w:r w:rsidR="00B91EA5" w:rsidRPr="00093D7A">
              <w:rPr>
                <w:rFonts w:cs="Arial"/>
                <w:sz w:val="22"/>
                <w:szCs w:val="22"/>
              </w:rPr>
              <w:t>IAP</w:t>
            </w:r>
            <w:r w:rsidRPr="00093D7A">
              <w:rPr>
                <w:rFonts w:cs="Arial"/>
                <w:sz w:val="22"/>
                <w:szCs w:val="22"/>
              </w:rPr>
              <w:t xml:space="preserve"> are driving change and making a difference.</w:t>
            </w:r>
          </w:p>
          <w:p w14:paraId="438FE939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02F2FC83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3ECDE809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7C4B6ED2" w14:textId="77777777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  <w:p w14:paraId="74E75F0E" w14:textId="367A602A" w:rsidR="00E86F38" w:rsidRPr="00093D7A" w:rsidRDefault="00E86F3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F74C" w14:textId="4023C0FA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6B368429" w14:textId="6F95A9B8" w:rsidR="00E86F38" w:rsidRPr="00093D7A" w:rsidRDefault="00380DCC" w:rsidP="00E86F38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</w:t>
            </w:r>
            <w:r w:rsidR="00E86F38" w:rsidRPr="00093D7A">
              <w:rPr>
                <w:rFonts w:cs="Arial"/>
                <w:sz w:val="22"/>
                <w:szCs w:val="22"/>
              </w:rPr>
              <w:t>mployment policies have EDI woven through them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2578FE46" w14:textId="17BF41E4" w:rsidR="00E86F38" w:rsidRPr="00093D7A" w:rsidRDefault="00380DCC" w:rsidP="00E86F38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ngagement survey findings </w:t>
            </w:r>
            <w:r w:rsidRPr="00093D7A">
              <w:rPr>
                <w:rFonts w:cs="Arial"/>
                <w:sz w:val="22"/>
                <w:szCs w:val="22"/>
              </w:rPr>
              <w:t xml:space="preserve">are </w:t>
            </w:r>
            <w:r w:rsidR="00E86F38" w:rsidRPr="00093D7A">
              <w:rPr>
                <w:rFonts w:cs="Arial"/>
                <w:sz w:val="22"/>
                <w:szCs w:val="22"/>
              </w:rPr>
              <w:t>broken down into the protected characteristics and actions aris</w:t>
            </w:r>
            <w:r w:rsidRPr="00093D7A">
              <w:rPr>
                <w:rFonts w:cs="Arial"/>
                <w:sz w:val="22"/>
                <w:szCs w:val="22"/>
              </w:rPr>
              <w:t>e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out of results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</w:p>
          <w:p w14:paraId="2DBF9421" w14:textId="4F5978E3" w:rsidR="00E86F38" w:rsidRPr="00093D7A" w:rsidRDefault="00E86F38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Staff networks </w:t>
            </w:r>
            <w:r w:rsidR="00380DCC" w:rsidRPr="00093D7A">
              <w:rPr>
                <w:rFonts w:cs="Arial"/>
                <w:sz w:val="22"/>
                <w:szCs w:val="22"/>
              </w:rPr>
              <w:t xml:space="preserve">are </w:t>
            </w:r>
            <w:r w:rsidRPr="00093D7A">
              <w:rPr>
                <w:rFonts w:cs="Arial"/>
                <w:sz w:val="22"/>
                <w:szCs w:val="22"/>
              </w:rPr>
              <w:t>empowered and driving change</w:t>
            </w:r>
            <w:r w:rsidR="00380DCC" w:rsidRPr="00093D7A">
              <w:rPr>
                <w:rFonts w:cs="Arial"/>
                <w:sz w:val="22"/>
                <w:szCs w:val="22"/>
              </w:rPr>
              <w:t xml:space="preserve">, 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29A28185" w14:textId="55CFFEA4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E86F38" w:rsidRPr="00093D7A">
              <w:rPr>
                <w:rFonts w:cs="Arial"/>
                <w:sz w:val="22"/>
                <w:szCs w:val="22"/>
              </w:rPr>
              <w:t>easurement of the effectiveness of EDI training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5A4F8263" w14:textId="784A4F6F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E86F38" w:rsidRPr="00093D7A">
              <w:rPr>
                <w:rFonts w:cs="Arial"/>
                <w:sz w:val="22"/>
                <w:szCs w:val="22"/>
              </w:rPr>
              <w:t>onitoring of flexible/ part time working</w:t>
            </w:r>
            <w:r w:rsidRPr="00093D7A">
              <w:rPr>
                <w:rFonts w:cs="Arial"/>
                <w:sz w:val="22"/>
                <w:szCs w:val="22"/>
              </w:rPr>
              <w:t>,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3749FD36" w14:textId="1A513128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a</w:t>
            </w:r>
            <w:r w:rsidR="00E86F38" w:rsidRPr="00093D7A">
              <w:rPr>
                <w:rFonts w:cs="Arial"/>
                <w:sz w:val="22"/>
                <w:szCs w:val="22"/>
              </w:rPr>
              <w:t>nalysis of exit data and actions in place to address issues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2C83D404" w14:textId="60F9A3DB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</w:t>
            </w:r>
            <w:r w:rsidR="00E86F38" w:rsidRPr="00093D7A">
              <w:rPr>
                <w:rFonts w:cs="Arial"/>
                <w:sz w:val="22"/>
                <w:szCs w:val="22"/>
              </w:rPr>
              <w:t>xamples of collaboration and sharing of good practice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5869574C" w14:textId="509852C9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E86F38" w:rsidRPr="00093D7A">
              <w:rPr>
                <w:rFonts w:cs="Arial"/>
                <w:sz w:val="22"/>
                <w:szCs w:val="22"/>
              </w:rPr>
              <w:t>onitoring of training for effectiveness</w:t>
            </w:r>
            <w:r w:rsidRPr="00093D7A">
              <w:rPr>
                <w:rFonts w:cs="Arial"/>
                <w:sz w:val="22"/>
                <w:szCs w:val="22"/>
              </w:rPr>
              <w:t xml:space="preserve">, </w:t>
            </w:r>
          </w:p>
          <w:p w14:paraId="5C46E124" w14:textId="64CEB069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obust analysis in relation to things such as pay and grading, promotions, </w:t>
            </w:r>
            <w:r w:rsidRPr="00093D7A">
              <w:rPr>
                <w:rFonts w:cs="Arial"/>
                <w:sz w:val="22"/>
                <w:szCs w:val="22"/>
              </w:rPr>
              <w:t>learning and development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and exit data including breaking data down against the protected characteristics</w:t>
            </w:r>
            <w:r w:rsidRPr="00093D7A">
              <w:rPr>
                <w:rFonts w:cs="Arial"/>
                <w:sz w:val="22"/>
                <w:szCs w:val="22"/>
              </w:rPr>
              <w:t xml:space="preserve"> and</w:t>
            </w:r>
          </w:p>
          <w:p w14:paraId="2637F673" w14:textId="6852ABD2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</w:t>
            </w:r>
            <w:r w:rsidR="00E86F38" w:rsidRPr="00093D7A">
              <w:rPr>
                <w:rFonts w:cs="Arial"/>
                <w:sz w:val="22"/>
                <w:szCs w:val="22"/>
              </w:rPr>
              <w:t>ses data to drive strategy and actions taken to address any issues.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522C" w14:textId="4BA6083E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4BF6617C" w14:textId="02AF6005" w:rsidR="00E86F38" w:rsidRPr="00093D7A" w:rsidRDefault="00E86F38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use of other data e.g. public health, trip attractors</w:t>
            </w:r>
            <w:r w:rsidR="00380DCC" w:rsidRPr="00093D7A">
              <w:rPr>
                <w:rFonts w:cs="Arial"/>
                <w:sz w:val="22"/>
                <w:szCs w:val="22"/>
              </w:rPr>
              <w:t xml:space="preserve"> and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  <w:r w:rsidRPr="00093D7A">
              <w:rPr>
                <w:rFonts w:cs="Arial"/>
                <w:sz w:val="22"/>
                <w:szCs w:val="22"/>
              </w:rPr>
              <w:lastRenderedPageBreak/>
              <w:t>labour market to inform actions</w:t>
            </w:r>
            <w:r w:rsidR="00380DCC" w:rsidRPr="00093D7A">
              <w:rPr>
                <w:rFonts w:cs="Arial"/>
                <w:sz w:val="22"/>
                <w:szCs w:val="22"/>
              </w:rPr>
              <w:t>,</w:t>
            </w:r>
          </w:p>
          <w:p w14:paraId="4606A55E" w14:textId="07A7A5E9" w:rsidR="00E86F38" w:rsidRPr="00093D7A" w:rsidRDefault="00E86F38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the involvement of diverse groups</w:t>
            </w:r>
            <w:r w:rsidR="00380DCC" w:rsidRPr="00093D7A">
              <w:rPr>
                <w:rFonts w:cs="Arial"/>
                <w:sz w:val="22"/>
                <w:szCs w:val="22"/>
              </w:rPr>
              <w:t>,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0802E064" w14:textId="2099EBEF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E86F38" w:rsidRPr="00093D7A">
              <w:rPr>
                <w:rFonts w:cs="Arial"/>
                <w:sz w:val="22"/>
                <w:szCs w:val="22"/>
              </w:rPr>
              <w:t>onitoring the satisfaction with and effectiveness of communication channels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71671C9D" w14:textId="41244193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</w:t>
            </w:r>
            <w:r w:rsidR="00E86F38" w:rsidRPr="00093D7A">
              <w:rPr>
                <w:rFonts w:cs="Arial"/>
                <w:sz w:val="22"/>
                <w:szCs w:val="22"/>
              </w:rPr>
              <w:t>vidence of shared learning</w:t>
            </w:r>
            <w:r w:rsidRPr="00093D7A">
              <w:rPr>
                <w:rFonts w:cs="Arial"/>
                <w:sz w:val="22"/>
                <w:szCs w:val="22"/>
              </w:rPr>
              <w:t>,</w:t>
            </w:r>
          </w:p>
          <w:p w14:paraId="1BC1AD65" w14:textId="444F00A4" w:rsidR="00E86F38" w:rsidRPr="00093D7A" w:rsidRDefault="00E86F38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cycle of direct and regular contact with diverse groups and review of the effectiveness/ satisfaction of these activities</w:t>
            </w:r>
            <w:r w:rsidR="00380DCC" w:rsidRPr="00093D7A">
              <w:rPr>
                <w:rFonts w:cs="Arial"/>
                <w:sz w:val="22"/>
                <w:szCs w:val="22"/>
              </w:rPr>
              <w:t>,</w:t>
            </w:r>
          </w:p>
          <w:p w14:paraId="7025C6FE" w14:textId="1C4CE845" w:rsidR="00E86F38" w:rsidRPr="00093D7A" w:rsidRDefault="00380DCC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l</w:t>
            </w:r>
            <w:r w:rsidR="00E86F38" w:rsidRPr="00093D7A">
              <w:rPr>
                <w:rFonts w:cs="Arial"/>
                <w:sz w:val="22"/>
                <w:szCs w:val="22"/>
              </w:rPr>
              <w:t>earning shared across peers and down</w:t>
            </w:r>
            <w:r w:rsidRPr="00093D7A">
              <w:rPr>
                <w:rFonts w:cs="Arial"/>
                <w:sz w:val="22"/>
                <w:szCs w:val="22"/>
              </w:rPr>
              <w:t xml:space="preserve"> the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supply chain</w:t>
            </w:r>
            <w:r w:rsidRPr="00093D7A">
              <w:rPr>
                <w:rFonts w:cs="Arial"/>
                <w:sz w:val="22"/>
                <w:szCs w:val="22"/>
              </w:rPr>
              <w:t xml:space="preserve"> and</w:t>
            </w:r>
          </w:p>
          <w:p w14:paraId="744FED2A" w14:textId="2FCE2539" w:rsidR="00E86F38" w:rsidRPr="00093D7A" w:rsidRDefault="00E86F38" w:rsidP="00E86F38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legacy arrangements.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170" w14:textId="6E99A44B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394A5DDE" w14:textId="7033DB1F" w:rsidR="00E86F38" w:rsidRPr="00093D7A" w:rsidRDefault="00E86F38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 xml:space="preserve">collaboration across </w:t>
            </w:r>
            <w:r w:rsidR="00380DCC" w:rsidRPr="00093D7A">
              <w:rPr>
                <w:rFonts w:cs="Arial"/>
                <w:sz w:val="22"/>
                <w:szCs w:val="22"/>
              </w:rPr>
              <w:t xml:space="preserve">the </w:t>
            </w:r>
            <w:r w:rsidRPr="00093D7A">
              <w:rPr>
                <w:rFonts w:cs="Arial"/>
                <w:sz w:val="22"/>
                <w:szCs w:val="22"/>
              </w:rPr>
              <w:t>supply chain in delivering EDI objectives and actions</w:t>
            </w:r>
            <w:r w:rsidR="00380DCC" w:rsidRPr="00093D7A">
              <w:rPr>
                <w:rFonts w:cs="Arial"/>
                <w:sz w:val="22"/>
                <w:szCs w:val="22"/>
              </w:rPr>
              <w:t>,</w:t>
            </w:r>
            <w:r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74FFDFFE" w14:textId="57032C50" w:rsidR="00E86F38" w:rsidRPr="00093D7A" w:rsidRDefault="00E86F38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outcomes achieved</w:t>
            </w:r>
            <w:r w:rsidR="00380DCC" w:rsidRPr="00093D7A">
              <w:rPr>
                <w:rFonts w:cs="Arial"/>
                <w:sz w:val="22"/>
                <w:szCs w:val="22"/>
              </w:rPr>
              <w:t>,</w:t>
            </w:r>
          </w:p>
          <w:p w14:paraId="17410504" w14:textId="4FF37807" w:rsidR="00E86F38" w:rsidRPr="00093D7A" w:rsidRDefault="00380DCC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b</w:t>
            </w:r>
            <w:r w:rsidR="00E86F38" w:rsidRPr="00093D7A">
              <w:rPr>
                <w:rFonts w:cs="Arial"/>
                <w:sz w:val="22"/>
                <w:szCs w:val="22"/>
              </w:rPr>
              <w:t>enchmarking EDI activity against comparable organisations</w:t>
            </w:r>
            <w:r w:rsidR="00D7688C" w:rsidRPr="00093D7A">
              <w:rPr>
                <w:rFonts w:cs="Arial"/>
                <w:sz w:val="22"/>
                <w:szCs w:val="22"/>
              </w:rPr>
              <w:t xml:space="preserve"> where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progress is measured</w:t>
            </w:r>
            <w:r w:rsidR="00D7688C" w:rsidRPr="00093D7A">
              <w:rPr>
                <w:rFonts w:cs="Arial"/>
                <w:sz w:val="22"/>
                <w:szCs w:val="22"/>
              </w:rPr>
              <w:t>,</w:t>
            </w:r>
          </w:p>
          <w:p w14:paraId="346A3A1A" w14:textId="0D7A8DD4" w:rsidR="00E86F38" w:rsidRPr="00093D7A" w:rsidRDefault="00D7688C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m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onitoring across </w:t>
            </w:r>
            <w:r w:rsidRPr="00093D7A">
              <w:rPr>
                <w:rFonts w:cs="Arial"/>
                <w:sz w:val="22"/>
                <w:szCs w:val="22"/>
              </w:rPr>
              <w:t xml:space="preserve">the </w:t>
            </w:r>
            <w:r w:rsidR="00E86F38" w:rsidRPr="00093D7A">
              <w:rPr>
                <w:rFonts w:cs="Arial"/>
                <w:sz w:val="22"/>
                <w:szCs w:val="22"/>
              </w:rPr>
              <w:t>supply chain</w:t>
            </w:r>
            <w:r w:rsidRPr="00093D7A">
              <w:rPr>
                <w:rFonts w:cs="Arial"/>
                <w:sz w:val="22"/>
                <w:szCs w:val="22"/>
              </w:rPr>
              <w:t>,</w:t>
            </w:r>
            <w:r w:rsidR="00E86F38" w:rsidRPr="00093D7A">
              <w:rPr>
                <w:rFonts w:cs="Arial"/>
                <w:sz w:val="22"/>
                <w:szCs w:val="22"/>
              </w:rPr>
              <w:t xml:space="preserve"> </w:t>
            </w:r>
          </w:p>
          <w:p w14:paraId="6A43D481" w14:textId="50A0D1C0" w:rsidR="00E86F38" w:rsidRPr="00093D7A" w:rsidRDefault="00E86F38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EDI KPIs for </w:t>
            </w:r>
            <w:r w:rsidR="00D7688C" w:rsidRPr="00093D7A">
              <w:rPr>
                <w:rFonts w:cs="Arial"/>
                <w:sz w:val="22"/>
                <w:szCs w:val="22"/>
              </w:rPr>
              <w:t xml:space="preserve">the </w:t>
            </w:r>
            <w:r w:rsidRPr="00093D7A">
              <w:rPr>
                <w:rFonts w:cs="Arial"/>
                <w:sz w:val="22"/>
                <w:szCs w:val="22"/>
              </w:rPr>
              <w:t>supply chain</w:t>
            </w:r>
            <w:r w:rsidR="00D7688C" w:rsidRPr="00093D7A">
              <w:rPr>
                <w:rFonts w:cs="Arial"/>
                <w:sz w:val="22"/>
                <w:szCs w:val="22"/>
              </w:rPr>
              <w:t xml:space="preserve"> where it uses its</w:t>
            </w:r>
            <w:r w:rsidRPr="00093D7A">
              <w:rPr>
                <w:rFonts w:cs="Arial"/>
                <w:sz w:val="22"/>
                <w:szCs w:val="22"/>
              </w:rPr>
              <w:t xml:space="preserve"> own data to drive improvements for change in their businesses</w:t>
            </w:r>
            <w:r w:rsidR="00D7688C" w:rsidRPr="00093D7A">
              <w:rPr>
                <w:rFonts w:cs="Arial"/>
                <w:sz w:val="22"/>
                <w:szCs w:val="22"/>
              </w:rPr>
              <w:t xml:space="preserve"> and</w:t>
            </w:r>
          </w:p>
          <w:p w14:paraId="473C49A1" w14:textId="449B93A2" w:rsidR="00E86F38" w:rsidRPr="00093D7A" w:rsidRDefault="00D7688C" w:rsidP="00E86F38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</w:t>
            </w:r>
            <w:r w:rsidR="00E86F38" w:rsidRPr="00093D7A">
              <w:rPr>
                <w:rFonts w:cs="Arial"/>
                <w:sz w:val="22"/>
                <w:szCs w:val="22"/>
              </w:rPr>
              <w:t>ewards for difference made.</w:t>
            </w:r>
          </w:p>
        </w:tc>
      </w:tr>
      <w:tr w:rsidR="00C05E3F" w:rsidRPr="00093D7A" w14:paraId="2C1A9052" w14:textId="77777777" w:rsidTr="00D414A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A16D" w14:textId="1E290383" w:rsidR="00C05E3F" w:rsidRPr="00093D7A" w:rsidRDefault="00C05E3F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6A1" w14:textId="658E9AC5" w:rsidR="00C05E3F" w:rsidRPr="00093D7A" w:rsidDel="00B91EA5" w:rsidRDefault="00C05E3F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There is evidence of actions driving change and making a </w:t>
            </w:r>
            <w:r w:rsidR="00D513FB" w:rsidRPr="00093D7A">
              <w:rPr>
                <w:rFonts w:cs="Arial"/>
                <w:sz w:val="22"/>
                <w:szCs w:val="22"/>
              </w:rPr>
              <w:t xml:space="preserve">quantifiable </w:t>
            </w:r>
            <w:r w:rsidRPr="00093D7A">
              <w:rPr>
                <w:rFonts w:cs="Arial"/>
                <w:sz w:val="22"/>
                <w:szCs w:val="22"/>
              </w:rPr>
              <w:t xml:space="preserve">difference and that this good practice is being shared across the </w:t>
            </w:r>
            <w:r w:rsidRPr="00093D7A">
              <w:rPr>
                <w:rFonts w:cs="Arial"/>
                <w:sz w:val="22"/>
                <w:szCs w:val="22"/>
              </w:rPr>
              <w:lastRenderedPageBreak/>
              <w:t>business and down the supply chain (where applicable)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915" w14:textId="75638AE6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0CB4C2DC" w14:textId="0CC8D8A7" w:rsidR="00C05E3F" w:rsidRPr="00093D7A" w:rsidRDefault="00C05E3F" w:rsidP="00C05E3F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employment policies have EDI woven through them,</w:t>
            </w:r>
          </w:p>
          <w:p w14:paraId="0DA42806" w14:textId="77777777" w:rsidR="00C05E3F" w:rsidRPr="00093D7A" w:rsidRDefault="00C05E3F" w:rsidP="00C05E3F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engagement survey findings are broken down into the protected characteristics and actions arise out of results, </w:t>
            </w:r>
          </w:p>
          <w:p w14:paraId="6DA02733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Staff networks are empowered and driving change,  </w:t>
            </w:r>
          </w:p>
          <w:p w14:paraId="340CB222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 xml:space="preserve">measurement of the effectiveness of EDI training,  </w:t>
            </w:r>
          </w:p>
          <w:p w14:paraId="661A9DB0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monitoring of flexible/ part time working, </w:t>
            </w:r>
          </w:p>
          <w:p w14:paraId="262052E3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analysis of exit data and actions in place to address issues,  </w:t>
            </w:r>
          </w:p>
          <w:p w14:paraId="4118A229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examples of collaboration and sharing of good practice,  </w:t>
            </w:r>
          </w:p>
          <w:p w14:paraId="6911D49C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monitoring of training for effectiveness, </w:t>
            </w:r>
          </w:p>
          <w:p w14:paraId="6C165D14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robust analysis in relation to things such as pay and grading, promotions, learning and development and exit data including breaking data down against the protected characteristics and</w:t>
            </w:r>
          </w:p>
          <w:p w14:paraId="303AF28F" w14:textId="77777777" w:rsidR="00C05E3F" w:rsidRPr="00093D7A" w:rsidRDefault="00C05E3F" w:rsidP="00C05E3F">
            <w:pPr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uses data to drive strategy and actions taken to address any issues.</w:t>
            </w:r>
          </w:p>
          <w:p w14:paraId="521904C5" w14:textId="36F6AC40" w:rsidR="00D414A7" w:rsidRPr="00093D7A" w:rsidRDefault="00D414A7" w:rsidP="00D414A7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2A85" w14:textId="487082B1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1C26B225" w14:textId="1E203BAD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use of other data e.g. public health, trip attractors and labour market to inform actions,</w:t>
            </w:r>
          </w:p>
          <w:p w14:paraId="138CE878" w14:textId="4637DB03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the involvement of diverse groups, </w:t>
            </w:r>
          </w:p>
          <w:p w14:paraId="1FBF11D2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monitoring the satisfaction with and effectiveness of communication channels,</w:t>
            </w:r>
          </w:p>
          <w:p w14:paraId="001B710C" w14:textId="63E10B13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shared learning,</w:t>
            </w:r>
          </w:p>
          <w:p w14:paraId="37CC7EF9" w14:textId="3AC4F842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cycle of direct and regular contact with diverse groups and review of the effectiveness/ satisfaction of these activities,</w:t>
            </w:r>
          </w:p>
          <w:p w14:paraId="3B2FF757" w14:textId="77777777" w:rsidR="00C05E3F" w:rsidRPr="00093D7A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learning shared across peers and down the supply chain and</w:t>
            </w:r>
          </w:p>
          <w:p w14:paraId="24D8E1F2" w14:textId="52A45861" w:rsidR="00C05E3F" w:rsidRPr="00093D7A" w:rsidDel="00380DCC" w:rsidRDefault="00C05E3F" w:rsidP="00C05E3F">
            <w:pPr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legacy arrangements.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BA1" w14:textId="5B6DB062" w:rsidR="00D414A7" w:rsidRPr="00093D7A" w:rsidRDefault="00D414A7" w:rsidP="00D414A7">
            <w:p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>Evidence of</w:t>
            </w:r>
          </w:p>
          <w:p w14:paraId="67EFAED4" w14:textId="48DCF1B7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 xml:space="preserve">collaboration across the supply chain in delivering EDI objectives and actions, </w:t>
            </w:r>
          </w:p>
          <w:p w14:paraId="7112E9D5" w14:textId="13C76F22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outcomes achieved,</w:t>
            </w:r>
          </w:p>
          <w:p w14:paraId="7DA18304" w14:textId="77777777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benchmarking EDI activity against comparable organisations where progress is measured,</w:t>
            </w:r>
          </w:p>
          <w:p w14:paraId="382C2D5C" w14:textId="77777777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lastRenderedPageBreak/>
              <w:t xml:space="preserve">monitoring across the supply chain, </w:t>
            </w:r>
          </w:p>
          <w:p w14:paraId="11D4F479" w14:textId="77777777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EDI KPIs for the supply chain where it uses its own data to drive improvements for change in their businesses and</w:t>
            </w:r>
          </w:p>
          <w:p w14:paraId="2F60B55D" w14:textId="31B37576" w:rsidR="00C05E3F" w:rsidRPr="00093D7A" w:rsidRDefault="00C05E3F" w:rsidP="00C05E3F">
            <w:pPr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093D7A">
              <w:rPr>
                <w:rFonts w:cs="Arial"/>
                <w:sz w:val="22"/>
                <w:szCs w:val="22"/>
              </w:rPr>
              <w:t>rewards for difference made.</w:t>
            </w:r>
          </w:p>
        </w:tc>
      </w:tr>
    </w:tbl>
    <w:p w14:paraId="5DFDD2BE" w14:textId="77777777" w:rsidR="00127CA7" w:rsidRPr="00093D7A" w:rsidRDefault="00127CA7" w:rsidP="00127CA7">
      <w:pPr>
        <w:ind w:firstLine="720"/>
        <w:rPr>
          <w:rFonts w:cs="Arial"/>
        </w:rPr>
        <w:sectPr w:rsidR="00127CA7" w:rsidRPr="00093D7A" w:rsidSect="002F38BE">
          <w:pgSz w:w="16838" w:h="11906" w:orient="landscape"/>
          <w:pgMar w:top="720" w:right="536" w:bottom="720" w:left="720" w:header="708" w:footer="708" w:gutter="0"/>
          <w:cols w:space="708"/>
          <w:docGrid w:linePitch="360"/>
        </w:sectPr>
      </w:pPr>
    </w:p>
    <w:p w14:paraId="6D8AB73C" w14:textId="5FD60419" w:rsidR="00783D29" w:rsidRPr="00093D7A" w:rsidRDefault="00466C4B" w:rsidP="00783D29">
      <w:pPr>
        <w:pStyle w:val="Heading2"/>
      </w:pPr>
      <w:bookmarkStart w:id="11" w:name="_Toc49332340"/>
      <w:r w:rsidRPr="00093D7A">
        <w:lastRenderedPageBreak/>
        <w:t>I</w:t>
      </w:r>
      <w:r w:rsidR="00783D29" w:rsidRPr="00093D7A">
        <w:t>nclusion Action Plan</w:t>
      </w:r>
      <w:bookmarkEnd w:id="11"/>
    </w:p>
    <w:p w14:paraId="7DA46E6E" w14:textId="77777777" w:rsidR="00783D29" w:rsidRPr="00093D7A" w:rsidRDefault="00783D29" w:rsidP="00783D29">
      <w:pPr>
        <w:rPr>
          <w:rFonts w:cs="Arial"/>
        </w:rPr>
      </w:pPr>
    </w:p>
    <w:p w14:paraId="282D790F" w14:textId="59D55DAA" w:rsidR="00390BBD" w:rsidRPr="00093D7A" w:rsidRDefault="00390BBD" w:rsidP="00390BBD">
      <w:pPr>
        <w:pStyle w:val="Heading3"/>
      </w:pPr>
      <w:bookmarkStart w:id="12" w:name="_Toc49332341"/>
      <w:r w:rsidRPr="00093D7A">
        <w:t>Scope and Methodology</w:t>
      </w:r>
      <w:bookmarkEnd w:id="12"/>
    </w:p>
    <w:p w14:paraId="7389FB1B" w14:textId="77777777" w:rsidR="00A70DDC" w:rsidRPr="00093D7A" w:rsidRDefault="00A70DDC" w:rsidP="00783D29">
      <w:pPr>
        <w:rPr>
          <w:rFonts w:cs="Arial"/>
        </w:rPr>
      </w:pPr>
    </w:p>
    <w:p w14:paraId="5D8BFC82" w14:textId="1F7B825F" w:rsidR="005A5899" w:rsidRPr="00093D7A" w:rsidRDefault="00DF3AE0" w:rsidP="00D414A7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Throughout the life of the contract an evidence-based </w:t>
      </w:r>
      <w:r w:rsidR="00D7688C" w:rsidRPr="00093D7A">
        <w:rPr>
          <w:rFonts w:cs="Arial"/>
          <w:sz w:val="22"/>
          <w:szCs w:val="22"/>
        </w:rPr>
        <w:t>IAP</w:t>
      </w:r>
      <w:r w:rsidRPr="00093D7A">
        <w:rPr>
          <w:rFonts w:cs="Arial"/>
          <w:sz w:val="22"/>
          <w:szCs w:val="22"/>
        </w:rPr>
        <w:t xml:space="preserve"> is developed</w:t>
      </w:r>
      <w:r w:rsidR="002556B7" w:rsidRPr="00093D7A">
        <w:rPr>
          <w:rFonts w:cs="Arial"/>
          <w:sz w:val="22"/>
          <w:szCs w:val="22"/>
        </w:rPr>
        <w:t>.</w:t>
      </w:r>
      <w:r w:rsidRPr="00093D7A">
        <w:rPr>
          <w:rFonts w:cs="Arial"/>
          <w:sz w:val="22"/>
          <w:szCs w:val="22"/>
        </w:rPr>
        <w:t xml:space="preserve"> </w:t>
      </w:r>
    </w:p>
    <w:p w14:paraId="56C3AE0F" w14:textId="77777777" w:rsidR="005A5899" w:rsidRPr="00093D7A" w:rsidRDefault="005A5899" w:rsidP="00D414A7">
      <w:pPr>
        <w:jc w:val="both"/>
        <w:rPr>
          <w:rFonts w:cs="Arial"/>
          <w:sz w:val="22"/>
          <w:szCs w:val="22"/>
        </w:rPr>
      </w:pPr>
    </w:p>
    <w:p w14:paraId="0F731FAA" w14:textId="60454C27" w:rsidR="00D81F61" w:rsidRPr="00093D7A" w:rsidRDefault="00D81F61" w:rsidP="00D414A7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This</w:t>
      </w:r>
      <w:r w:rsidR="00DF3AE0" w:rsidRPr="00093D7A">
        <w:rPr>
          <w:rFonts w:cs="Arial"/>
          <w:sz w:val="22"/>
          <w:szCs w:val="22"/>
        </w:rPr>
        <w:t xml:space="preserve"> will include steps and actions to </w:t>
      </w:r>
    </w:p>
    <w:p w14:paraId="4E92831D" w14:textId="5D87659C" w:rsidR="00D81F61" w:rsidRPr="00093D7A" w:rsidRDefault="00DF3AE0" w:rsidP="00D414A7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create a working environment that enables </w:t>
      </w:r>
      <w:r w:rsidR="00D7688C" w:rsidRPr="00093D7A">
        <w:rPr>
          <w:rFonts w:cs="Arial"/>
          <w:sz w:val="22"/>
          <w:szCs w:val="22"/>
        </w:rPr>
        <w:t xml:space="preserve">Staff </w:t>
      </w:r>
      <w:r w:rsidRPr="00093D7A">
        <w:rPr>
          <w:rFonts w:cs="Arial"/>
          <w:sz w:val="22"/>
          <w:szCs w:val="22"/>
        </w:rPr>
        <w:t>to perform to their full potential,</w:t>
      </w:r>
    </w:p>
    <w:p w14:paraId="65BCDEE0" w14:textId="72CB83AB" w:rsidR="00D81F61" w:rsidRPr="00093D7A" w:rsidRDefault="00DF3AE0" w:rsidP="00D414A7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retain a greater diversity of talent in the sector</w:t>
      </w:r>
      <w:r w:rsidR="00D7688C" w:rsidRPr="00093D7A">
        <w:rPr>
          <w:rFonts w:cs="Arial"/>
          <w:sz w:val="22"/>
          <w:szCs w:val="22"/>
        </w:rPr>
        <w:t>,</w:t>
      </w:r>
      <w:r w:rsidRPr="00093D7A">
        <w:rPr>
          <w:rFonts w:cs="Arial"/>
          <w:sz w:val="22"/>
          <w:szCs w:val="22"/>
        </w:rPr>
        <w:t xml:space="preserve"> </w:t>
      </w:r>
    </w:p>
    <w:p w14:paraId="19BF346F" w14:textId="7665F858" w:rsidR="00D81F61" w:rsidRPr="00093D7A" w:rsidRDefault="00DF3AE0" w:rsidP="00D414A7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deliver a more socially sensitive </w:t>
      </w:r>
      <w:r w:rsidR="00D7688C" w:rsidRPr="00093D7A">
        <w:rPr>
          <w:rFonts w:cs="Arial"/>
          <w:sz w:val="22"/>
          <w:szCs w:val="22"/>
        </w:rPr>
        <w:t>s</w:t>
      </w:r>
      <w:r w:rsidR="002C1954" w:rsidRPr="00093D7A">
        <w:rPr>
          <w:rFonts w:cs="Arial"/>
          <w:sz w:val="22"/>
          <w:szCs w:val="22"/>
        </w:rPr>
        <w:t xml:space="preserve">trategic </w:t>
      </w:r>
      <w:r w:rsidR="00D7688C" w:rsidRPr="00093D7A">
        <w:rPr>
          <w:rFonts w:cs="Arial"/>
          <w:sz w:val="22"/>
          <w:szCs w:val="22"/>
        </w:rPr>
        <w:t>r</w:t>
      </w:r>
      <w:r w:rsidR="002C1954" w:rsidRPr="00093D7A">
        <w:rPr>
          <w:rFonts w:cs="Arial"/>
          <w:sz w:val="22"/>
          <w:szCs w:val="22"/>
        </w:rPr>
        <w:t xml:space="preserve">oad </w:t>
      </w:r>
      <w:r w:rsidR="00D7688C" w:rsidRPr="00093D7A">
        <w:rPr>
          <w:rFonts w:cs="Arial"/>
          <w:sz w:val="22"/>
          <w:szCs w:val="22"/>
        </w:rPr>
        <w:t xml:space="preserve">network </w:t>
      </w:r>
      <w:r w:rsidRPr="00093D7A">
        <w:rPr>
          <w:rFonts w:cs="Arial"/>
          <w:sz w:val="22"/>
          <w:szCs w:val="22"/>
        </w:rPr>
        <w:t xml:space="preserve">that is a better neighbour to diverse groups and neighbouring communities impacted by the contract. </w:t>
      </w:r>
      <w:r w:rsidR="00D0092C" w:rsidRPr="00093D7A">
        <w:rPr>
          <w:rFonts w:cs="Arial"/>
          <w:sz w:val="22"/>
          <w:szCs w:val="22"/>
        </w:rPr>
        <w:t xml:space="preserve">Paying </w:t>
      </w:r>
      <w:r w:rsidR="002C1954" w:rsidRPr="00093D7A">
        <w:rPr>
          <w:rFonts w:cs="Arial"/>
          <w:sz w:val="22"/>
          <w:szCs w:val="22"/>
        </w:rPr>
        <w:t>attention</w:t>
      </w:r>
      <w:r w:rsidR="00D0092C" w:rsidRPr="00093D7A">
        <w:rPr>
          <w:rFonts w:cs="Arial"/>
          <w:sz w:val="22"/>
          <w:szCs w:val="22"/>
        </w:rPr>
        <w:t xml:space="preserve"> to those who have protected characteristics</w:t>
      </w:r>
      <w:r w:rsidR="002C1954" w:rsidRPr="00093D7A">
        <w:rPr>
          <w:rFonts w:cs="Arial"/>
          <w:sz w:val="22"/>
          <w:szCs w:val="22"/>
        </w:rPr>
        <w:t xml:space="preserve"> as outlined in the Equality Act 2010</w:t>
      </w:r>
      <w:r w:rsidR="00D7688C" w:rsidRPr="00093D7A">
        <w:rPr>
          <w:rFonts w:cs="Arial"/>
          <w:sz w:val="22"/>
          <w:szCs w:val="22"/>
        </w:rPr>
        <w:t xml:space="preserve"> and</w:t>
      </w:r>
      <w:r w:rsidR="00D0092C" w:rsidRPr="00093D7A">
        <w:rPr>
          <w:rFonts w:cs="Arial"/>
          <w:sz w:val="22"/>
          <w:szCs w:val="22"/>
        </w:rPr>
        <w:t xml:space="preserve"> </w:t>
      </w:r>
    </w:p>
    <w:p w14:paraId="574B3FDE" w14:textId="6EBC5576" w:rsidR="00DF3AE0" w:rsidRPr="00093D7A" w:rsidRDefault="00DF3AE0" w:rsidP="00D414A7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</w:rPr>
        <w:t>monitoring and measurement of the difference made</w:t>
      </w:r>
      <w:r w:rsidR="00D81F61" w:rsidRPr="00093D7A">
        <w:rPr>
          <w:sz w:val="22"/>
          <w:szCs w:val="22"/>
        </w:rPr>
        <w:t xml:space="preserve"> </w:t>
      </w:r>
      <w:r w:rsidR="00D81F61" w:rsidRPr="00093D7A">
        <w:rPr>
          <w:rFonts w:cs="Arial"/>
          <w:sz w:val="22"/>
          <w:szCs w:val="22"/>
        </w:rPr>
        <w:t>including clear governance and accountability</w:t>
      </w:r>
      <w:r w:rsidR="002072E5" w:rsidRPr="00093D7A">
        <w:rPr>
          <w:rFonts w:cs="Arial"/>
          <w:sz w:val="22"/>
          <w:szCs w:val="22"/>
        </w:rPr>
        <w:t xml:space="preserve"> for </w:t>
      </w:r>
      <w:r w:rsidR="00694420" w:rsidRPr="00093D7A">
        <w:rPr>
          <w:rFonts w:cs="Arial"/>
          <w:sz w:val="22"/>
          <w:szCs w:val="22"/>
        </w:rPr>
        <w:t xml:space="preserve">the </w:t>
      </w:r>
      <w:r w:rsidR="00D14A76">
        <w:rPr>
          <w:rFonts w:cs="Arial"/>
          <w:i/>
          <w:sz w:val="22"/>
          <w:szCs w:val="22"/>
        </w:rPr>
        <w:t>Consultant</w:t>
      </w:r>
      <w:r w:rsidR="00694420" w:rsidRPr="00093D7A">
        <w:rPr>
          <w:rFonts w:cs="Arial"/>
          <w:i/>
          <w:sz w:val="22"/>
          <w:szCs w:val="22"/>
        </w:rPr>
        <w:t>’s</w:t>
      </w:r>
      <w:r w:rsidR="00694420" w:rsidRPr="00093D7A">
        <w:rPr>
          <w:rFonts w:cs="Arial"/>
          <w:sz w:val="22"/>
          <w:szCs w:val="22"/>
        </w:rPr>
        <w:t xml:space="preserve"> own </w:t>
      </w:r>
      <w:r w:rsidR="002072E5" w:rsidRPr="00093D7A">
        <w:rPr>
          <w:rFonts w:cs="Arial"/>
          <w:sz w:val="22"/>
          <w:szCs w:val="22"/>
        </w:rPr>
        <w:t xml:space="preserve">company and </w:t>
      </w:r>
      <w:r w:rsidR="00694420" w:rsidRPr="00093D7A">
        <w:rPr>
          <w:rFonts w:cs="Arial"/>
          <w:sz w:val="22"/>
          <w:szCs w:val="22"/>
        </w:rPr>
        <w:t xml:space="preserve">its </w:t>
      </w:r>
      <w:r w:rsidR="002072E5" w:rsidRPr="00093D7A">
        <w:rPr>
          <w:rFonts w:cs="Arial"/>
          <w:sz w:val="22"/>
          <w:szCs w:val="22"/>
        </w:rPr>
        <w:t>supply chain</w:t>
      </w:r>
      <w:r w:rsidR="00694420" w:rsidRPr="00093D7A">
        <w:rPr>
          <w:rFonts w:cs="Arial"/>
          <w:sz w:val="22"/>
          <w:szCs w:val="22"/>
        </w:rPr>
        <w:t>.</w:t>
      </w:r>
    </w:p>
    <w:p w14:paraId="418BA047" w14:textId="1C8B358F" w:rsidR="00694420" w:rsidRPr="00093D7A" w:rsidRDefault="00694420" w:rsidP="00D414A7">
      <w:pPr>
        <w:jc w:val="both"/>
        <w:rPr>
          <w:rFonts w:cs="Arial"/>
          <w:sz w:val="22"/>
          <w:szCs w:val="22"/>
        </w:rPr>
      </w:pPr>
    </w:p>
    <w:p w14:paraId="7CDE14AA" w14:textId="7A344017" w:rsidR="004352AC" w:rsidRPr="00093D7A" w:rsidRDefault="004352AC" w:rsidP="00D414A7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The </w:t>
      </w:r>
      <w:r w:rsidR="00923FB7" w:rsidRPr="00093D7A">
        <w:rPr>
          <w:rFonts w:cs="Arial"/>
          <w:sz w:val="22"/>
          <w:szCs w:val="22"/>
        </w:rPr>
        <w:t>IAP</w:t>
      </w:r>
      <w:r w:rsidRPr="00093D7A">
        <w:rPr>
          <w:rFonts w:cs="Arial"/>
          <w:sz w:val="22"/>
          <w:szCs w:val="22"/>
        </w:rPr>
        <w:t xml:space="preserve"> must be in place within the first 3 months of the contract. </w:t>
      </w:r>
    </w:p>
    <w:p w14:paraId="6ECBC8F9" w14:textId="77777777" w:rsidR="004352AC" w:rsidRPr="00093D7A" w:rsidRDefault="004352AC" w:rsidP="00D414A7">
      <w:pPr>
        <w:jc w:val="both"/>
        <w:rPr>
          <w:rFonts w:cs="Arial"/>
          <w:sz w:val="22"/>
          <w:szCs w:val="22"/>
          <w:lang w:eastAsia="en-GB"/>
        </w:rPr>
      </w:pPr>
    </w:p>
    <w:p w14:paraId="1AE9E52E" w14:textId="39B61C3E" w:rsidR="004352AC" w:rsidRPr="00093D7A" w:rsidRDefault="004352AC" w:rsidP="00D414A7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The IAP relate</w:t>
      </w:r>
      <w:r w:rsidR="00694420" w:rsidRPr="00093D7A">
        <w:rPr>
          <w:rFonts w:cs="Arial"/>
          <w:sz w:val="22"/>
          <w:szCs w:val="22"/>
        </w:rPr>
        <w:t>s</w:t>
      </w:r>
      <w:r w:rsidRPr="00093D7A">
        <w:rPr>
          <w:rFonts w:cs="Arial"/>
          <w:sz w:val="22"/>
          <w:szCs w:val="22"/>
        </w:rPr>
        <w:t xml:space="preserve"> specifically to the</w:t>
      </w:r>
      <w:r w:rsidR="00694420" w:rsidRPr="00093D7A">
        <w:rPr>
          <w:rFonts w:cs="Arial"/>
          <w:sz w:val="22"/>
          <w:szCs w:val="22"/>
        </w:rPr>
        <w:t xml:space="preserve"> </w:t>
      </w:r>
      <w:r w:rsidR="00EC1EA9">
        <w:rPr>
          <w:rFonts w:cs="Arial"/>
          <w:sz w:val="22"/>
          <w:szCs w:val="22"/>
        </w:rPr>
        <w:t xml:space="preserve">contract </w:t>
      </w:r>
      <w:r w:rsidR="0019369F" w:rsidRPr="00093D7A">
        <w:rPr>
          <w:rFonts w:cs="Arial"/>
          <w:sz w:val="22"/>
          <w:szCs w:val="22"/>
        </w:rPr>
        <w:t xml:space="preserve">and </w:t>
      </w:r>
      <w:r w:rsidR="00694420" w:rsidRPr="00093D7A">
        <w:rPr>
          <w:rFonts w:cs="Arial"/>
          <w:sz w:val="22"/>
          <w:szCs w:val="22"/>
        </w:rPr>
        <w:t xml:space="preserve">is </w:t>
      </w:r>
      <w:r w:rsidR="0019369F" w:rsidRPr="00093D7A">
        <w:rPr>
          <w:rFonts w:cs="Arial"/>
          <w:sz w:val="22"/>
          <w:szCs w:val="22"/>
        </w:rPr>
        <w:t>based on intelligence gathered</w:t>
      </w:r>
      <w:r w:rsidR="00694420" w:rsidRPr="00093D7A">
        <w:rPr>
          <w:rFonts w:cs="Arial"/>
          <w:sz w:val="22"/>
          <w:szCs w:val="22"/>
        </w:rPr>
        <w:t>.</w:t>
      </w:r>
    </w:p>
    <w:p w14:paraId="1A09DEC5" w14:textId="77777777" w:rsidR="004352AC" w:rsidRPr="00093D7A" w:rsidRDefault="004352AC" w:rsidP="00D414A7">
      <w:pPr>
        <w:jc w:val="both"/>
        <w:rPr>
          <w:rFonts w:cs="Arial"/>
          <w:sz w:val="22"/>
          <w:szCs w:val="22"/>
          <w:lang w:eastAsia="en-GB"/>
        </w:rPr>
      </w:pPr>
    </w:p>
    <w:p w14:paraId="07B3E2DE" w14:textId="53F6CA79" w:rsidR="004409D8" w:rsidRPr="00093D7A" w:rsidRDefault="00694420" w:rsidP="00D414A7">
      <w:p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>The</w:t>
      </w:r>
      <w:r w:rsidR="004409D8" w:rsidRPr="00093D7A">
        <w:rPr>
          <w:rFonts w:cs="Arial"/>
          <w:sz w:val="22"/>
          <w:szCs w:val="22"/>
          <w:lang w:eastAsia="en-GB"/>
        </w:rPr>
        <w:t xml:space="preserve"> template IAP is provided </w:t>
      </w:r>
      <w:r w:rsidRPr="00093D7A">
        <w:rPr>
          <w:rFonts w:cs="Arial"/>
          <w:sz w:val="22"/>
          <w:szCs w:val="22"/>
          <w:lang w:eastAsia="en-GB"/>
        </w:rPr>
        <w:t>below</w:t>
      </w:r>
      <w:r w:rsidR="004409D8" w:rsidRPr="00093D7A">
        <w:rPr>
          <w:rFonts w:cs="Arial"/>
          <w:sz w:val="22"/>
          <w:szCs w:val="22"/>
          <w:lang w:eastAsia="en-GB"/>
        </w:rPr>
        <w:t>.</w:t>
      </w:r>
    </w:p>
    <w:p w14:paraId="1B131413" w14:textId="77777777" w:rsidR="004409D8" w:rsidRPr="00093D7A" w:rsidRDefault="004409D8" w:rsidP="00D414A7">
      <w:pPr>
        <w:jc w:val="both"/>
        <w:rPr>
          <w:rFonts w:cs="Arial"/>
          <w:sz w:val="22"/>
          <w:szCs w:val="22"/>
        </w:rPr>
      </w:pPr>
    </w:p>
    <w:p w14:paraId="45F5E3EF" w14:textId="0E85EB1A" w:rsidR="004409D8" w:rsidRPr="00093D7A" w:rsidRDefault="004409D8" w:rsidP="00D414A7">
      <w:p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 xml:space="preserve">The total IAP length should not exceed </w:t>
      </w:r>
      <w:r w:rsidR="008328C7" w:rsidRPr="00093D7A">
        <w:rPr>
          <w:rFonts w:cs="Arial"/>
          <w:sz w:val="22"/>
          <w:szCs w:val="22"/>
        </w:rPr>
        <w:t>20</w:t>
      </w:r>
      <w:r w:rsidRPr="00093D7A">
        <w:rPr>
          <w:rFonts w:cs="Arial"/>
          <w:sz w:val="22"/>
          <w:szCs w:val="22"/>
        </w:rPr>
        <w:t xml:space="preserve"> pages</w:t>
      </w:r>
      <w:r w:rsidR="00D81F61" w:rsidRPr="00093D7A">
        <w:rPr>
          <w:rFonts w:cs="Arial"/>
          <w:sz w:val="22"/>
          <w:szCs w:val="22"/>
        </w:rPr>
        <w:t>.</w:t>
      </w:r>
    </w:p>
    <w:p w14:paraId="05362929" w14:textId="77777777" w:rsidR="004409D8" w:rsidRPr="00093D7A" w:rsidRDefault="004409D8" w:rsidP="00D414A7">
      <w:pPr>
        <w:jc w:val="both"/>
        <w:rPr>
          <w:rFonts w:cs="Arial"/>
          <w:sz w:val="22"/>
          <w:szCs w:val="22"/>
          <w:lang w:eastAsia="en-GB"/>
        </w:rPr>
      </w:pPr>
    </w:p>
    <w:p w14:paraId="5B95D72A" w14:textId="02A25C71" w:rsidR="00CE4B74" w:rsidRPr="00093D7A" w:rsidRDefault="00390BBD" w:rsidP="00D414A7">
      <w:p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>The IAP actions</w:t>
      </w:r>
    </w:p>
    <w:p w14:paraId="276114D6" w14:textId="7090491C" w:rsidR="00CE4B74" w:rsidRPr="00093D7A" w:rsidRDefault="00390BBD" w:rsidP="00D414A7">
      <w:pPr>
        <w:pStyle w:val="ListParagraph"/>
        <w:numPr>
          <w:ilvl w:val="0"/>
          <w:numId w:val="17"/>
        </w:num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 xml:space="preserve">have clear ownership at </w:t>
      </w:r>
      <w:r w:rsidR="00CE4B74" w:rsidRPr="00093D7A">
        <w:rPr>
          <w:rFonts w:cs="Arial"/>
          <w:sz w:val="22"/>
          <w:szCs w:val="22"/>
          <w:lang w:eastAsia="en-GB"/>
        </w:rPr>
        <w:t xml:space="preserve">the </w:t>
      </w:r>
      <w:r w:rsidRPr="00093D7A">
        <w:rPr>
          <w:rFonts w:cs="Arial"/>
          <w:sz w:val="22"/>
          <w:szCs w:val="22"/>
          <w:lang w:eastAsia="en-GB"/>
        </w:rPr>
        <w:t xml:space="preserve">appropriate level, </w:t>
      </w:r>
    </w:p>
    <w:p w14:paraId="54283356" w14:textId="6A519D39" w:rsidR="00CE4B74" w:rsidRPr="00093D7A" w:rsidRDefault="00390BBD" w:rsidP="00D414A7">
      <w:pPr>
        <w:pStyle w:val="ListParagraph"/>
        <w:numPr>
          <w:ilvl w:val="0"/>
          <w:numId w:val="17"/>
        </w:num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>are monitored regularly</w:t>
      </w:r>
      <w:r w:rsidR="00CE4B74" w:rsidRPr="00093D7A">
        <w:rPr>
          <w:rFonts w:cs="Arial"/>
          <w:sz w:val="22"/>
          <w:szCs w:val="22"/>
          <w:lang w:eastAsia="en-GB"/>
        </w:rPr>
        <w:t xml:space="preserve"> and </w:t>
      </w:r>
    </w:p>
    <w:p w14:paraId="6A33775D" w14:textId="58097CD5" w:rsidR="00CE4B74" w:rsidRPr="00093D7A" w:rsidRDefault="00CE4B74" w:rsidP="00D414A7">
      <w:pPr>
        <w:pStyle w:val="ListParagraph"/>
        <w:numPr>
          <w:ilvl w:val="0"/>
          <w:numId w:val="17"/>
        </w:num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>further actions are</w:t>
      </w:r>
      <w:r w:rsidR="00390BBD" w:rsidRPr="00093D7A">
        <w:rPr>
          <w:rFonts w:cs="Arial"/>
          <w:sz w:val="22"/>
          <w:szCs w:val="22"/>
          <w:lang w:eastAsia="en-GB"/>
        </w:rPr>
        <w:t xml:space="preserve"> taken to ensure progress and to evolve the plan in light of new intellige</w:t>
      </w:r>
      <w:r w:rsidR="004B38C0" w:rsidRPr="00093D7A">
        <w:rPr>
          <w:rFonts w:cs="Arial"/>
          <w:sz w:val="22"/>
          <w:szCs w:val="22"/>
          <w:lang w:eastAsia="en-GB"/>
        </w:rPr>
        <w:t xml:space="preserve">nce/ evidence </w:t>
      </w:r>
      <w:r w:rsidR="008B268F" w:rsidRPr="00093D7A">
        <w:rPr>
          <w:rFonts w:cs="Arial"/>
          <w:sz w:val="22"/>
          <w:szCs w:val="22"/>
          <w:lang w:eastAsia="en-GB"/>
        </w:rPr>
        <w:t>gathered.</w:t>
      </w:r>
      <w:r w:rsidR="004409D8" w:rsidRPr="00093D7A">
        <w:rPr>
          <w:rFonts w:cs="Arial"/>
          <w:sz w:val="22"/>
          <w:szCs w:val="22"/>
          <w:lang w:eastAsia="en-GB"/>
        </w:rPr>
        <w:t xml:space="preserve"> </w:t>
      </w:r>
    </w:p>
    <w:p w14:paraId="74601DFF" w14:textId="77777777" w:rsidR="00CE4B74" w:rsidRPr="00093D7A" w:rsidRDefault="00CE4B74" w:rsidP="00D414A7">
      <w:pPr>
        <w:ind w:left="60"/>
        <w:jc w:val="both"/>
        <w:rPr>
          <w:rFonts w:cs="Arial"/>
          <w:sz w:val="22"/>
          <w:szCs w:val="22"/>
          <w:lang w:eastAsia="en-GB"/>
        </w:rPr>
      </w:pPr>
    </w:p>
    <w:p w14:paraId="09D5BB80" w14:textId="7F06CB25" w:rsidR="008B268F" w:rsidRPr="00093D7A" w:rsidRDefault="004409D8" w:rsidP="00D414A7">
      <w:pPr>
        <w:ind w:left="60"/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>The IAP needs</w:t>
      </w:r>
      <w:r w:rsidR="008B268F" w:rsidRPr="00093D7A">
        <w:rPr>
          <w:rFonts w:cs="Arial"/>
          <w:sz w:val="22"/>
          <w:szCs w:val="22"/>
          <w:lang w:eastAsia="en-GB"/>
        </w:rPr>
        <w:t xml:space="preserve"> to include</w:t>
      </w:r>
    </w:p>
    <w:p w14:paraId="6786DA6A" w14:textId="6978C399" w:rsidR="008B268F" w:rsidRPr="00093D7A" w:rsidRDefault="00CE4B7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t</w:t>
      </w:r>
      <w:r w:rsidR="008B268F" w:rsidRPr="00093D7A">
        <w:rPr>
          <w:rFonts w:cs="Arial"/>
          <w:sz w:val="22"/>
          <w:szCs w:val="22"/>
        </w:rPr>
        <w:t xml:space="preserve">he objectives – what </w:t>
      </w:r>
      <w:r w:rsidRPr="00093D7A">
        <w:rPr>
          <w:rFonts w:cs="Arial"/>
          <w:sz w:val="22"/>
          <w:szCs w:val="22"/>
        </w:rPr>
        <w:t xml:space="preserve">the </w:t>
      </w:r>
      <w:r w:rsidR="00D14A76">
        <w:rPr>
          <w:rFonts w:cs="Arial"/>
          <w:i/>
          <w:sz w:val="22"/>
          <w:szCs w:val="22"/>
        </w:rPr>
        <w:t>Consultant</w:t>
      </w:r>
      <w:r w:rsidRPr="00093D7A">
        <w:rPr>
          <w:rFonts w:cs="Arial"/>
          <w:sz w:val="22"/>
          <w:szCs w:val="22"/>
        </w:rPr>
        <w:t xml:space="preserve"> </w:t>
      </w:r>
      <w:r w:rsidR="008B268F" w:rsidRPr="00093D7A">
        <w:rPr>
          <w:rFonts w:cs="Arial"/>
          <w:sz w:val="22"/>
          <w:szCs w:val="22"/>
        </w:rPr>
        <w:t>want</w:t>
      </w:r>
      <w:r w:rsidRPr="00093D7A">
        <w:rPr>
          <w:rFonts w:cs="Arial"/>
          <w:sz w:val="22"/>
          <w:szCs w:val="22"/>
        </w:rPr>
        <w:t>s</w:t>
      </w:r>
      <w:r w:rsidR="008B268F" w:rsidRPr="00093D7A">
        <w:rPr>
          <w:rFonts w:cs="Arial"/>
          <w:sz w:val="22"/>
          <w:szCs w:val="22"/>
        </w:rPr>
        <w:t xml:space="preserve"> to achieve</w:t>
      </w:r>
      <w:r w:rsidRPr="00093D7A">
        <w:rPr>
          <w:rFonts w:cs="Arial"/>
          <w:sz w:val="22"/>
          <w:szCs w:val="22"/>
        </w:rPr>
        <w:t>,</w:t>
      </w:r>
    </w:p>
    <w:p w14:paraId="3B760833" w14:textId="3FDDD3D3" w:rsidR="008B268F" w:rsidRPr="00093D7A" w:rsidRDefault="00CE4B7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c</w:t>
      </w:r>
      <w:r w:rsidR="00466C4B" w:rsidRPr="00093D7A">
        <w:rPr>
          <w:rFonts w:cs="Arial"/>
          <w:sz w:val="22"/>
          <w:szCs w:val="22"/>
        </w:rPr>
        <w:t>urrent</w:t>
      </w:r>
      <w:r w:rsidR="008B268F" w:rsidRPr="00093D7A">
        <w:rPr>
          <w:rFonts w:cs="Arial"/>
          <w:sz w:val="22"/>
          <w:szCs w:val="22"/>
        </w:rPr>
        <w:t xml:space="preserve"> position - where </w:t>
      </w:r>
      <w:r w:rsidRPr="00093D7A">
        <w:rPr>
          <w:rFonts w:cs="Arial"/>
          <w:sz w:val="22"/>
          <w:szCs w:val="22"/>
        </w:rPr>
        <w:t xml:space="preserve">the </w:t>
      </w:r>
      <w:r w:rsidR="00D14A76">
        <w:rPr>
          <w:rFonts w:cs="Arial"/>
          <w:i/>
          <w:sz w:val="22"/>
          <w:szCs w:val="22"/>
        </w:rPr>
        <w:t>Consultant</w:t>
      </w:r>
      <w:r w:rsidRPr="00093D7A">
        <w:rPr>
          <w:rFonts w:cs="Arial"/>
          <w:sz w:val="22"/>
          <w:szCs w:val="22"/>
        </w:rPr>
        <w:t xml:space="preserve"> is </w:t>
      </w:r>
      <w:r w:rsidR="008B268F" w:rsidRPr="00093D7A">
        <w:rPr>
          <w:rFonts w:cs="Arial"/>
          <w:sz w:val="22"/>
          <w:szCs w:val="22"/>
        </w:rPr>
        <w:t>at the start of the contract</w:t>
      </w:r>
      <w:r w:rsidRPr="00093D7A">
        <w:rPr>
          <w:rFonts w:cs="Arial"/>
          <w:sz w:val="22"/>
          <w:szCs w:val="22"/>
        </w:rPr>
        <w:t>,</w:t>
      </w:r>
    </w:p>
    <w:p w14:paraId="3A255163" w14:textId="687C73CD" w:rsidR="008B268F" w:rsidRPr="00093D7A" w:rsidRDefault="00CE4B7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a</w:t>
      </w:r>
      <w:r w:rsidR="008B268F" w:rsidRPr="00093D7A">
        <w:rPr>
          <w:rFonts w:cs="Arial"/>
          <w:sz w:val="22"/>
          <w:szCs w:val="22"/>
        </w:rPr>
        <w:t>ction/</w:t>
      </w:r>
      <w:r w:rsidRPr="00093D7A">
        <w:rPr>
          <w:rFonts w:cs="Arial"/>
          <w:sz w:val="22"/>
          <w:szCs w:val="22"/>
        </w:rPr>
        <w:t xml:space="preserve"> </w:t>
      </w:r>
      <w:r w:rsidR="008B268F" w:rsidRPr="00093D7A">
        <w:rPr>
          <w:rFonts w:cs="Arial"/>
          <w:sz w:val="22"/>
          <w:szCs w:val="22"/>
        </w:rPr>
        <w:t>task</w:t>
      </w:r>
      <w:r w:rsidR="00466C4B" w:rsidRPr="00093D7A">
        <w:rPr>
          <w:rFonts w:cs="Arial"/>
          <w:sz w:val="22"/>
          <w:szCs w:val="22"/>
        </w:rPr>
        <w:t xml:space="preserve"> to meet requirements</w:t>
      </w:r>
      <w:r w:rsidR="008B268F" w:rsidRPr="00093D7A">
        <w:rPr>
          <w:rFonts w:cs="Arial"/>
          <w:sz w:val="22"/>
          <w:szCs w:val="22"/>
        </w:rPr>
        <w:t xml:space="preserve"> – what </w:t>
      </w:r>
      <w:r w:rsidRPr="00093D7A">
        <w:rPr>
          <w:rFonts w:cs="Arial"/>
          <w:sz w:val="22"/>
          <w:szCs w:val="22"/>
        </w:rPr>
        <w:t xml:space="preserve">the </w:t>
      </w:r>
      <w:r w:rsidR="00D14A76">
        <w:rPr>
          <w:rFonts w:cs="Arial"/>
          <w:i/>
          <w:sz w:val="22"/>
          <w:szCs w:val="22"/>
        </w:rPr>
        <w:t>Consultant</w:t>
      </w:r>
      <w:r w:rsidR="008B268F" w:rsidRPr="00093D7A">
        <w:rPr>
          <w:rFonts w:cs="Arial"/>
          <w:sz w:val="22"/>
          <w:szCs w:val="22"/>
        </w:rPr>
        <w:t xml:space="preserve"> </w:t>
      </w:r>
      <w:r w:rsidRPr="00093D7A">
        <w:rPr>
          <w:rFonts w:cs="Arial"/>
          <w:sz w:val="22"/>
          <w:szCs w:val="22"/>
        </w:rPr>
        <w:t xml:space="preserve">is </w:t>
      </w:r>
      <w:r w:rsidR="008B268F" w:rsidRPr="00093D7A">
        <w:rPr>
          <w:rFonts w:cs="Arial"/>
          <w:sz w:val="22"/>
          <w:szCs w:val="22"/>
        </w:rPr>
        <w:t xml:space="preserve">going to do </w:t>
      </w:r>
      <w:r w:rsidRPr="00093D7A">
        <w:rPr>
          <w:rFonts w:cs="Arial"/>
          <w:sz w:val="22"/>
          <w:szCs w:val="22"/>
        </w:rPr>
        <w:t>to meet its objectives,</w:t>
      </w:r>
    </w:p>
    <w:p w14:paraId="44B01A08" w14:textId="2B5B2B09" w:rsidR="008B268F" w:rsidRPr="00093D7A" w:rsidRDefault="00CE4B7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t</w:t>
      </w:r>
      <w:r w:rsidR="00466C4B" w:rsidRPr="00093D7A">
        <w:rPr>
          <w:rFonts w:cs="Arial"/>
          <w:sz w:val="22"/>
          <w:szCs w:val="22"/>
        </w:rPr>
        <w:t>ime frames</w:t>
      </w:r>
      <w:r w:rsidR="008B268F" w:rsidRPr="00093D7A">
        <w:rPr>
          <w:rFonts w:cs="Arial"/>
          <w:sz w:val="22"/>
          <w:szCs w:val="22"/>
        </w:rPr>
        <w:t xml:space="preserve"> – when </w:t>
      </w:r>
      <w:r w:rsidRPr="00093D7A">
        <w:rPr>
          <w:rFonts w:cs="Arial"/>
          <w:sz w:val="22"/>
          <w:szCs w:val="22"/>
        </w:rPr>
        <w:t xml:space="preserve">the </w:t>
      </w:r>
      <w:r w:rsidR="00D14A76">
        <w:rPr>
          <w:rFonts w:cs="Arial"/>
          <w:i/>
          <w:sz w:val="22"/>
          <w:szCs w:val="22"/>
        </w:rPr>
        <w:t>Consultant</w:t>
      </w:r>
      <w:r w:rsidR="008B268F" w:rsidRPr="00093D7A">
        <w:rPr>
          <w:rFonts w:cs="Arial"/>
          <w:sz w:val="22"/>
          <w:szCs w:val="22"/>
        </w:rPr>
        <w:t xml:space="preserve"> take</w:t>
      </w:r>
      <w:r w:rsidRPr="00093D7A">
        <w:rPr>
          <w:rFonts w:cs="Arial"/>
          <w:sz w:val="22"/>
          <w:szCs w:val="22"/>
        </w:rPr>
        <w:t>s</w:t>
      </w:r>
      <w:r w:rsidR="008B268F" w:rsidRPr="00093D7A">
        <w:rPr>
          <w:rFonts w:cs="Arial"/>
          <w:sz w:val="22"/>
          <w:szCs w:val="22"/>
        </w:rPr>
        <w:t xml:space="preserve"> the action specified above</w:t>
      </w:r>
    </w:p>
    <w:p w14:paraId="32E3814B" w14:textId="66EC7331" w:rsidR="00466C4B" w:rsidRPr="00093D7A" w:rsidRDefault="00CE4B74" w:rsidP="00D414A7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093D7A">
        <w:rPr>
          <w:rFonts w:cs="Arial"/>
          <w:sz w:val="22"/>
          <w:szCs w:val="22"/>
        </w:rPr>
        <w:t>u</w:t>
      </w:r>
      <w:r w:rsidR="00D81F61" w:rsidRPr="00093D7A">
        <w:rPr>
          <w:rFonts w:cs="Arial"/>
          <w:sz w:val="22"/>
          <w:szCs w:val="22"/>
        </w:rPr>
        <w:t>pdate</w:t>
      </w:r>
      <w:r w:rsidR="004711DB" w:rsidRPr="00093D7A">
        <w:rPr>
          <w:rFonts w:cs="Arial"/>
          <w:sz w:val="22"/>
          <w:szCs w:val="22"/>
        </w:rPr>
        <w:t xml:space="preserve"> -</w:t>
      </w:r>
      <w:r w:rsidR="00FE5300" w:rsidRPr="00093D7A">
        <w:rPr>
          <w:rFonts w:cs="Arial"/>
          <w:sz w:val="22"/>
          <w:szCs w:val="22"/>
        </w:rPr>
        <w:t xml:space="preserve"> </w:t>
      </w:r>
      <w:r w:rsidR="004711DB" w:rsidRPr="00093D7A">
        <w:rPr>
          <w:rFonts w:cs="Arial"/>
          <w:sz w:val="22"/>
          <w:szCs w:val="22"/>
        </w:rPr>
        <w:t>t</w:t>
      </w:r>
      <w:r w:rsidR="00BB1366" w:rsidRPr="00093D7A">
        <w:rPr>
          <w:rFonts w:cs="Arial"/>
          <w:sz w:val="22"/>
          <w:szCs w:val="22"/>
        </w:rPr>
        <w:t>o include details of activity during the quarter or</w:t>
      </w:r>
      <w:r w:rsidR="00FE5300" w:rsidRPr="00093D7A">
        <w:rPr>
          <w:rFonts w:cs="Arial"/>
          <w:sz w:val="22"/>
          <w:szCs w:val="22"/>
        </w:rPr>
        <w:t xml:space="preserve"> details of review where there are no specific defined outputs with ongoing actions during the reporting period.</w:t>
      </w:r>
    </w:p>
    <w:p w14:paraId="5CE3F2A9" w14:textId="77777777" w:rsidR="008B268F" w:rsidRPr="00093D7A" w:rsidRDefault="008B268F" w:rsidP="00D414A7">
      <w:pPr>
        <w:shd w:val="clear" w:color="auto" w:fill="FFFFFF" w:themeFill="background1"/>
        <w:ind w:left="360"/>
        <w:jc w:val="both"/>
        <w:rPr>
          <w:rFonts w:cs="Arial"/>
          <w:color w:val="FF0000"/>
          <w:sz w:val="22"/>
          <w:szCs w:val="22"/>
        </w:rPr>
      </w:pPr>
    </w:p>
    <w:p w14:paraId="2FE1241F" w14:textId="761450E3" w:rsidR="00DF5B75" w:rsidRPr="00093D7A" w:rsidRDefault="00390BBD" w:rsidP="00D414A7">
      <w:pPr>
        <w:jc w:val="both"/>
        <w:rPr>
          <w:rFonts w:cs="Arial"/>
          <w:sz w:val="22"/>
          <w:szCs w:val="22"/>
          <w:lang w:eastAsia="en-GB"/>
        </w:rPr>
      </w:pPr>
      <w:r w:rsidRPr="00093D7A">
        <w:rPr>
          <w:rFonts w:cs="Arial"/>
          <w:sz w:val="22"/>
          <w:szCs w:val="22"/>
          <w:lang w:eastAsia="en-GB"/>
        </w:rPr>
        <w:t xml:space="preserve">The impact of the actions is reviewed and good practice that is making a difference </w:t>
      </w:r>
      <w:r w:rsidR="0082027B" w:rsidRPr="00093D7A">
        <w:rPr>
          <w:rFonts w:cs="Arial"/>
          <w:sz w:val="22"/>
          <w:szCs w:val="22"/>
          <w:lang w:eastAsia="en-GB"/>
        </w:rPr>
        <w:t xml:space="preserve">is </w:t>
      </w:r>
      <w:r w:rsidRPr="00093D7A">
        <w:rPr>
          <w:rFonts w:cs="Arial"/>
          <w:sz w:val="22"/>
          <w:szCs w:val="22"/>
          <w:lang w:eastAsia="en-GB"/>
        </w:rPr>
        <w:t xml:space="preserve">shared </w:t>
      </w:r>
      <w:r w:rsidR="0082027B" w:rsidRPr="00093D7A">
        <w:rPr>
          <w:rFonts w:cs="Arial"/>
          <w:sz w:val="22"/>
          <w:szCs w:val="22"/>
          <w:lang w:eastAsia="en-GB"/>
        </w:rPr>
        <w:t>widely</w:t>
      </w:r>
      <w:r w:rsidR="004711DB" w:rsidRPr="00093D7A">
        <w:rPr>
          <w:rFonts w:cs="Arial"/>
          <w:sz w:val="22"/>
          <w:szCs w:val="22"/>
          <w:lang w:eastAsia="en-GB"/>
        </w:rPr>
        <w:t xml:space="preserve"> by the </w:t>
      </w:r>
      <w:r w:rsidR="00D14A76">
        <w:rPr>
          <w:rFonts w:cs="Arial"/>
          <w:i/>
          <w:sz w:val="22"/>
          <w:szCs w:val="22"/>
          <w:lang w:eastAsia="en-GB"/>
        </w:rPr>
        <w:t>Consultant</w:t>
      </w:r>
      <w:r w:rsidR="0082027B" w:rsidRPr="00093D7A">
        <w:rPr>
          <w:rFonts w:cs="Arial"/>
          <w:sz w:val="22"/>
          <w:szCs w:val="22"/>
          <w:lang w:eastAsia="en-GB"/>
        </w:rPr>
        <w:t>.</w:t>
      </w:r>
    </w:p>
    <w:p w14:paraId="6B339439" w14:textId="77777777" w:rsidR="00390BBD" w:rsidRPr="00093D7A" w:rsidRDefault="00390BBD" w:rsidP="00390BBD">
      <w:pPr>
        <w:rPr>
          <w:rFonts w:cs="Arial"/>
        </w:rPr>
        <w:sectPr w:rsidR="00390BBD" w:rsidRPr="00093D7A" w:rsidSect="00B94F3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4CA3C2E" w14:textId="03AA3F98" w:rsidR="00931134" w:rsidRPr="00093D7A" w:rsidRDefault="00AC5AC2" w:rsidP="00A540BC">
      <w:pPr>
        <w:pStyle w:val="Heading1"/>
        <w:rPr>
          <w:sz w:val="32"/>
        </w:rPr>
      </w:pPr>
      <w:bookmarkStart w:id="13" w:name="_Toc49332342"/>
      <w:bookmarkStart w:id="14" w:name="_Toc463452686"/>
      <w:r w:rsidRPr="00093D7A">
        <w:rPr>
          <w:sz w:val="32"/>
        </w:rPr>
        <w:lastRenderedPageBreak/>
        <w:t>Inclusion Action Plan Template</w:t>
      </w:r>
      <w:bookmarkEnd w:id="13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2530"/>
        <w:gridCol w:w="2081"/>
        <w:gridCol w:w="1642"/>
        <w:gridCol w:w="2228"/>
        <w:gridCol w:w="1516"/>
        <w:gridCol w:w="1457"/>
        <w:gridCol w:w="1750"/>
      </w:tblGrid>
      <w:tr w:rsidR="00931134" w:rsidRPr="00093D7A" w14:paraId="531877E0" w14:textId="77777777" w:rsidTr="00D414A7">
        <w:trPr>
          <w:trHeight w:val="563"/>
          <w:jc w:val="center"/>
        </w:trPr>
        <w:tc>
          <w:tcPr>
            <w:tcW w:w="262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D7372B9" w14:textId="77777777" w:rsidR="00931134" w:rsidRPr="00093D7A" w:rsidRDefault="00931134" w:rsidP="00804474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093D7A">
              <w:rPr>
                <w:rFonts w:cs="Arial"/>
                <w:b/>
                <w:bCs/>
                <w:sz w:val="32"/>
                <w:szCs w:val="32"/>
                <w:lang w:eastAsia="en-GB"/>
              </w:rPr>
              <w:t>INCLUSION ACTION PLAN</w:t>
            </w:r>
          </w:p>
        </w:tc>
        <w:tc>
          <w:tcPr>
            <w:tcW w:w="17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104FE05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Reporting Period: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1E55A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31134" w:rsidRPr="00093D7A" w14:paraId="54C1CE85" w14:textId="77777777" w:rsidTr="00D414A7">
        <w:trPr>
          <w:trHeight w:val="635"/>
          <w:jc w:val="center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CBB9F78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Name of Contract: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1A94A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286EE7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Start Date: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407F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B3E4B44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Finish Date:</w:t>
            </w:r>
          </w:p>
        </w:tc>
        <w:tc>
          <w:tcPr>
            <w:tcW w:w="5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1E62" w14:textId="77777777" w:rsidR="00931134" w:rsidRPr="00093D7A" w:rsidRDefault="00931134" w:rsidP="00804474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DCC75A9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Contract Manager:</w:t>
            </w:r>
            <w:r w:rsidRPr="00093D7A">
              <w:rPr>
                <w:rFonts w:cs="Arial"/>
                <w:b/>
                <w:bCs/>
                <w:color w:val="FFFFFF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A8FE" w14:textId="77777777" w:rsidR="00931134" w:rsidRPr="00093D7A" w:rsidRDefault="00931134" w:rsidP="00804474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931134" w:rsidRPr="00093D7A" w14:paraId="29D79494" w14:textId="77777777" w:rsidTr="00D414A7">
        <w:trPr>
          <w:trHeight w:val="375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A1CB1A3" w14:textId="77777777" w:rsidR="00931134" w:rsidRPr="00093D7A" w:rsidRDefault="00931134" w:rsidP="00804474">
            <w:pPr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  <w:r w:rsidRPr="00093D7A">
              <w:rPr>
                <w:rFonts w:cs="Arial"/>
                <w:b/>
                <w:bCs/>
                <w:sz w:val="28"/>
                <w:szCs w:val="28"/>
                <w:lang w:eastAsia="en-GB"/>
              </w:rPr>
              <w:t xml:space="preserve"> INTELLIGENCE</w:t>
            </w:r>
          </w:p>
        </w:tc>
      </w:tr>
      <w:tr w:rsidR="00931134" w:rsidRPr="00093D7A" w14:paraId="18C5071A" w14:textId="77777777" w:rsidTr="00D414A7">
        <w:trPr>
          <w:trHeight w:val="30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E6BCDDA" w14:textId="19F29A8C" w:rsidR="00931134" w:rsidRPr="00093D7A" w:rsidRDefault="00AC5AC2" w:rsidP="000A350B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bookmarkStart w:id="15" w:name="_Hlk22300884"/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Objective</w:t>
            </w:r>
            <w:r w:rsidR="00931134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1: To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create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an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inclusive working culture, practices and environment that enable 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Staff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to perform to their full potential</w:t>
            </w:r>
          </w:p>
        </w:tc>
      </w:tr>
      <w:tr w:rsidR="00931134" w:rsidRPr="00093D7A" w14:paraId="14FA2250" w14:textId="77777777" w:rsidTr="00D414A7">
        <w:trPr>
          <w:trHeight w:val="300"/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9AE414B" w14:textId="5B7B8531" w:rsidR="00931134" w:rsidRPr="00093D7A" w:rsidRDefault="00AC5AC2" w:rsidP="0093113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Objective 2</w:t>
            </w:r>
            <w:r w:rsidR="00931134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: Consider and value the diverse needs of customers and neighbouring communities at all stages of the 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contract/ </w:t>
            </w:r>
            <w:r w:rsidR="00931134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framework</w:t>
            </w:r>
          </w:p>
          <w:p w14:paraId="0D0BB3B7" w14:textId="5B684F59" w:rsidR="00AC5AC2" w:rsidRPr="00093D7A" w:rsidRDefault="00AC5AC2" w:rsidP="0093113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Objective 3: </w:t>
            </w:r>
            <w:r w:rsidR="002072E5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Governance and capability – including how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the </w:t>
            </w:r>
            <w:r w:rsidR="00D14A76">
              <w:rPr>
                <w:rFonts w:cs="Arial"/>
                <w:b/>
                <w:bCs/>
                <w:i/>
                <w:sz w:val="20"/>
                <w:szCs w:val="20"/>
                <w:lang w:eastAsia="en-GB"/>
              </w:rPr>
              <w:t>Consultant</w:t>
            </w:r>
            <w:r w:rsidR="002072E5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d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evelop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wider supply chain capability around EDI</w:t>
            </w:r>
          </w:p>
        </w:tc>
      </w:tr>
      <w:bookmarkEnd w:id="15"/>
      <w:tr w:rsidR="00931134" w:rsidRPr="00093D7A" w14:paraId="78F2F9D0" w14:textId="77777777" w:rsidTr="00D414A7">
        <w:trPr>
          <w:trHeight w:val="1324"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031EB1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Data </w:t>
            </w:r>
          </w:p>
        </w:tc>
        <w:tc>
          <w:tcPr>
            <w:tcW w:w="4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5F05" w14:textId="77777777" w:rsidR="00931134" w:rsidRPr="00093D7A" w:rsidRDefault="00931134" w:rsidP="00804474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931134" w:rsidRPr="00093D7A" w14:paraId="222D3C78" w14:textId="77777777" w:rsidTr="00D414A7">
        <w:trPr>
          <w:trHeight w:val="1324"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686D8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Analysis</w:t>
            </w:r>
          </w:p>
        </w:tc>
        <w:tc>
          <w:tcPr>
            <w:tcW w:w="4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BDB3" w14:textId="77777777" w:rsidR="00931134" w:rsidRPr="00093D7A" w:rsidRDefault="00931134" w:rsidP="00804474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  <w:tr w:rsidR="00931134" w:rsidRPr="00093D7A" w14:paraId="3C112433" w14:textId="77777777" w:rsidTr="00D414A7">
        <w:trPr>
          <w:trHeight w:val="1324"/>
          <w:jc w:val="center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5832A" w14:textId="77777777" w:rsidR="00931134" w:rsidRPr="00093D7A" w:rsidRDefault="00931134" w:rsidP="00804474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Priorities for Action</w:t>
            </w:r>
          </w:p>
        </w:tc>
        <w:tc>
          <w:tcPr>
            <w:tcW w:w="45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A53F" w14:textId="77777777" w:rsidR="00931134" w:rsidRPr="00093D7A" w:rsidRDefault="00931134" w:rsidP="00804474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 </w:t>
            </w:r>
          </w:p>
        </w:tc>
      </w:tr>
    </w:tbl>
    <w:p w14:paraId="27DCF940" w14:textId="77777777" w:rsidR="00931134" w:rsidRPr="00093D7A" w:rsidRDefault="00931134" w:rsidP="00A540BC">
      <w:pPr>
        <w:pStyle w:val="Heading1"/>
        <w:rPr>
          <w:sz w:val="32"/>
        </w:rPr>
      </w:pPr>
    </w:p>
    <w:p w14:paraId="6352CF02" w14:textId="77777777" w:rsidR="00AC5AC2" w:rsidRPr="00093D7A" w:rsidRDefault="00AC5AC2" w:rsidP="00AC5AC2"/>
    <w:bookmarkEnd w:id="14"/>
    <w:p w14:paraId="0E752AC6" w14:textId="77777777" w:rsidR="00127CA7" w:rsidRPr="00093D7A" w:rsidRDefault="00127CA7" w:rsidP="00127CA7">
      <w:pPr>
        <w:rPr>
          <w:rFonts w:cs="Arial"/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2"/>
        <w:gridCol w:w="1552"/>
        <w:gridCol w:w="3127"/>
        <w:gridCol w:w="1223"/>
        <w:gridCol w:w="1376"/>
        <w:gridCol w:w="6158"/>
      </w:tblGrid>
      <w:tr w:rsidR="0055494C" w:rsidRPr="00093D7A" w14:paraId="746CBB02" w14:textId="77777777" w:rsidTr="00D414A7">
        <w:trPr>
          <w:trHeight w:val="5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6A6E0" w14:textId="0E350911" w:rsidR="0055494C" w:rsidRPr="00093D7A" w:rsidRDefault="0055494C" w:rsidP="005A5899">
            <w:pPr>
              <w:jc w:val="both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lastRenderedPageBreak/>
              <w:t xml:space="preserve">Part One – 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W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orking culture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-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outline the steps 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the </w:t>
            </w:r>
            <w:r w:rsidR="00D14A76">
              <w:rPr>
                <w:rFonts w:cs="Arial"/>
                <w:b/>
                <w:bCs/>
                <w:i/>
                <w:sz w:val="20"/>
                <w:szCs w:val="20"/>
                <w:lang w:eastAsia="en-GB"/>
              </w:rPr>
              <w:t>Consultant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take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to create a working environment and culture that enables 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Staff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to perform</w:t>
            </w:r>
          </w:p>
        </w:tc>
      </w:tr>
      <w:tr w:rsidR="0055494C" w:rsidRPr="00093D7A" w14:paraId="78C813E2" w14:textId="77777777" w:rsidTr="00D414A7">
        <w:trPr>
          <w:trHeight w:val="525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F418D" w14:textId="77777777" w:rsidR="0055494C" w:rsidRPr="00093D7A" w:rsidRDefault="0055494C" w:rsidP="006750DE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Objective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928196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Current position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821649" w14:textId="24EB03BB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Action/</w:t>
            </w:r>
            <w:r w:rsidR="004711DB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Task to meet requirements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9DAA3D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 due date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98B716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Person responsible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B48111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Update</w:t>
            </w:r>
          </w:p>
        </w:tc>
      </w:tr>
      <w:tr w:rsidR="0055494C" w:rsidRPr="00093D7A" w14:paraId="7E34B50C" w14:textId="77777777" w:rsidTr="00D414A7">
        <w:trPr>
          <w:trHeight w:val="589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B379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F1DD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7B01" w14:textId="77777777" w:rsidR="0055494C" w:rsidRPr="00093D7A" w:rsidRDefault="0055494C" w:rsidP="0055494C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DFC2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DBD5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69B9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5494C" w:rsidRPr="00093D7A" w14:paraId="346EB95E" w14:textId="77777777" w:rsidTr="00D414A7">
        <w:trPr>
          <w:trHeight w:val="4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4E3C5E" w14:textId="3927AE48" w:rsidR="0055494C" w:rsidRPr="00093D7A" w:rsidRDefault="0055494C" w:rsidP="005A5899">
            <w:pPr>
              <w:jc w:val="both"/>
              <w:rPr>
                <w:b/>
                <w:sz w:val="20"/>
                <w:szCs w:val="20"/>
              </w:rPr>
            </w:pPr>
            <w:r w:rsidRPr="00093D7A">
              <w:rPr>
                <w:b/>
                <w:sz w:val="20"/>
                <w:szCs w:val="20"/>
              </w:rPr>
              <w:t xml:space="preserve">Part two – </w:t>
            </w:r>
            <w:r w:rsidR="004711DB" w:rsidRPr="00093D7A">
              <w:rPr>
                <w:b/>
                <w:sz w:val="20"/>
                <w:szCs w:val="20"/>
              </w:rPr>
              <w:t>C</w:t>
            </w:r>
            <w:r w:rsidRPr="00093D7A">
              <w:rPr>
                <w:b/>
                <w:sz w:val="20"/>
                <w:szCs w:val="20"/>
              </w:rPr>
              <w:t>ustomers/</w:t>
            </w:r>
            <w:r w:rsidR="004711DB" w:rsidRPr="00093D7A">
              <w:rPr>
                <w:b/>
                <w:sz w:val="20"/>
                <w:szCs w:val="20"/>
              </w:rPr>
              <w:t xml:space="preserve"> </w:t>
            </w:r>
            <w:r w:rsidRPr="00093D7A">
              <w:rPr>
                <w:b/>
                <w:sz w:val="20"/>
                <w:szCs w:val="20"/>
              </w:rPr>
              <w:t xml:space="preserve">community – outline the steps </w:t>
            </w:r>
            <w:r w:rsidR="004711DB" w:rsidRPr="00093D7A">
              <w:rPr>
                <w:b/>
                <w:sz w:val="20"/>
                <w:szCs w:val="20"/>
              </w:rPr>
              <w:t xml:space="preserve">the </w:t>
            </w:r>
            <w:r w:rsidR="00D14A76">
              <w:rPr>
                <w:b/>
                <w:i/>
                <w:sz w:val="20"/>
                <w:szCs w:val="20"/>
              </w:rPr>
              <w:t>Consultant</w:t>
            </w:r>
            <w:r w:rsidRPr="00093D7A">
              <w:rPr>
                <w:b/>
                <w:sz w:val="20"/>
                <w:szCs w:val="20"/>
              </w:rPr>
              <w:t xml:space="preserve"> take</w:t>
            </w:r>
            <w:r w:rsidR="004711DB" w:rsidRPr="00093D7A">
              <w:rPr>
                <w:b/>
                <w:sz w:val="20"/>
                <w:szCs w:val="20"/>
              </w:rPr>
              <w:t>s</w:t>
            </w:r>
            <w:r w:rsidRPr="00093D7A">
              <w:rPr>
                <w:b/>
                <w:sz w:val="20"/>
                <w:szCs w:val="20"/>
              </w:rPr>
              <w:t xml:space="preserve"> to genuinely consider the differing needs of customers and neighbouring communities when making decisions throughout the life of the </w:t>
            </w:r>
            <w:r w:rsidR="004711DB" w:rsidRPr="00093D7A">
              <w:rPr>
                <w:b/>
                <w:sz w:val="20"/>
                <w:szCs w:val="20"/>
              </w:rPr>
              <w:t>contract</w:t>
            </w:r>
          </w:p>
        </w:tc>
      </w:tr>
      <w:tr w:rsidR="0055494C" w:rsidRPr="00093D7A" w14:paraId="136407DB" w14:textId="77777777" w:rsidTr="00D414A7">
        <w:trPr>
          <w:trHeight w:val="525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CA0F1C" w14:textId="77777777" w:rsidR="0055494C" w:rsidRPr="00093D7A" w:rsidRDefault="0055494C" w:rsidP="006750DE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Objective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B27558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Current position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C9872" w14:textId="4BEE1B3F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Action/</w:t>
            </w:r>
            <w:r w:rsidR="005A5899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Task to meet requirements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812155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 due date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E8A480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Person responsible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FBAE8C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55494C" w:rsidRPr="00093D7A" w14:paraId="373F7762" w14:textId="77777777" w:rsidTr="00D414A7">
        <w:trPr>
          <w:trHeight w:val="550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0B9C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6293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178" w14:textId="77777777" w:rsidR="0055494C" w:rsidRPr="00093D7A" w:rsidRDefault="0055494C" w:rsidP="0055494C">
            <w:pPr>
              <w:pStyle w:val="ListParagraph"/>
              <w:numPr>
                <w:ilvl w:val="0"/>
                <w:numId w:val="14"/>
              </w:num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F7AF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CC2B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4E0F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5494C" w:rsidRPr="00093D7A" w14:paraId="0BB73C2C" w14:textId="77777777" w:rsidTr="00D414A7">
        <w:trPr>
          <w:trHeight w:val="4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D3AD97" w14:textId="704B97D1" w:rsidR="0055494C" w:rsidRPr="00093D7A" w:rsidRDefault="0055494C" w:rsidP="005A5899">
            <w:pPr>
              <w:jc w:val="both"/>
              <w:rPr>
                <w:b/>
                <w:sz w:val="20"/>
                <w:szCs w:val="20"/>
              </w:rPr>
            </w:pPr>
            <w:r w:rsidRPr="00093D7A">
              <w:rPr>
                <w:b/>
                <w:sz w:val="20"/>
                <w:szCs w:val="20"/>
              </w:rPr>
              <w:t>Part three</w:t>
            </w:r>
            <w:r w:rsidR="004711DB" w:rsidRPr="00093D7A">
              <w:rPr>
                <w:b/>
                <w:sz w:val="20"/>
                <w:szCs w:val="20"/>
              </w:rPr>
              <w:t xml:space="preserve"> </w:t>
            </w:r>
            <w:r w:rsidRPr="00093D7A">
              <w:rPr>
                <w:b/>
                <w:sz w:val="20"/>
                <w:szCs w:val="20"/>
              </w:rPr>
              <w:t xml:space="preserve">- Governance and accountability – describe how </w:t>
            </w:r>
            <w:r w:rsidR="004711DB" w:rsidRPr="00093D7A">
              <w:rPr>
                <w:b/>
                <w:sz w:val="20"/>
                <w:szCs w:val="20"/>
              </w:rPr>
              <w:t xml:space="preserve">the </w:t>
            </w:r>
            <w:r w:rsidR="00D14A76">
              <w:rPr>
                <w:b/>
                <w:i/>
                <w:sz w:val="20"/>
                <w:szCs w:val="20"/>
              </w:rPr>
              <w:t>Consultant</w:t>
            </w:r>
            <w:r w:rsidR="004711DB" w:rsidRPr="00093D7A">
              <w:rPr>
                <w:b/>
                <w:sz w:val="20"/>
                <w:szCs w:val="20"/>
              </w:rPr>
              <w:t xml:space="preserve"> </w:t>
            </w:r>
            <w:r w:rsidRPr="00093D7A">
              <w:rPr>
                <w:b/>
                <w:sz w:val="20"/>
                <w:szCs w:val="20"/>
              </w:rPr>
              <w:t>hold</w:t>
            </w:r>
            <w:r w:rsidR="004711DB" w:rsidRPr="00093D7A">
              <w:rPr>
                <w:b/>
                <w:sz w:val="20"/>
                <w:szCs w:val="20"/>
              </w:rPr>
              <w:t>s</w:t>
            </w:r>
            <w:r w:rsidRPr="00093D7A">
              <w:rPr>
                <w:b/>
                <w:sz w:val="20"/>
                <w:szCs w:val="20"/>
              </w:rPr>
              <w:t xml:space="preserve"> </w:t>
            </w:r>
            <w:r w:rsidR="004711DB" w:rsidRPr="00093D7A">
              <w:rPr>
                <w:b/>
                <w:sz w:val="20"/>
                <w:szCs w:val="20"/>
              </w:rPr>
              <w:t xml:space="preserve">itself </w:t>
            </w:r>
            <w:r w:rsidRPr="00093D7A">
              <w:rPr>
                <w:b/>
                <w:sz w:val="20"/>
                <w:szCs w:val="20"/>
              </w:rPr>
              <w:t xml:space="preserve">and </w:t>
            </w:r>
            <w:r w:rsidR="004711DB" w:rsidRPr="00093D7A">
              <w:rPr>
                <w:b/>
                <w:sz w:val="20"/>
                <w:szCs w:val="20"/>
              </w:rPr>
              <w:t xml:space="preserve">its </w:t>
            </w:r>
            <w:r w:rsidRPr="00093D7A">
              <w:rPr>
                <w:b/>
                <w:sz w:val="20"/>
                <w:szCs w:val="20"/>
              </w:rPr>
              <w:t>supply chain to account in delivering and monitoring the difference made in relation to the above</w:t>
            </w:r>
          </w:p>
        </w:tc>
      </w:tr>
      <w:tr w:rsidR="0055494C" w:rsidRPr="00093D7A" w14:paraId="2C93DF28" w14:textId="77777777" w:rsidTr="00D414A7">
        <w:trPr>
          <w:trHeight w:val="525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8C0DF3" w14:textId="77777777" w:rsidR="0055494C" w:rsidRPr="00093D7A" w:rsidRDefault="0055494C" w:rsidP="006750DE">
            <w:pPr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Objective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FFCBF8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Current position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408E69" w14:textId="7562D9A4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Action/</w:t>
            </w:r>
            <w:r w:rsidR="005A5899"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Task to meet requirements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A41727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Action due date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9182C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Person responsible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C12422" w14:textId="77777777" w:rsidR="0055494C" w:rsidRPr="00093D7A" w:rsidRDefault="0055494C" w:rsidP="006750DE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b/>
                <w:bCs/>
                <w:sz w:val="20"/>
                <w:szCs w:val="20"/>
                <w:lang w:eastAsia="en-GB"/>
              </w:rPr>
              <w:t>Update</w:t>
            </w:r>
          </w:p>
        </w:tc>
      </w:tr>
      <w:tr w:rsidR="0055494C" w:rsidRPr="00093D7A" w14:paraId="5E96E17D" w14:textId="77777777" w:rsidTr="00D414A7">
        <w:trPr>
          <w:trHeight w:val="542"/>
          <w:jc w:val="center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BADA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1550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8EB" w14:textId="77777777" w:rsidR="0055494C" w:rsidRPr="00093D7A" w:rsidRDefault="0055494C" w:rsidP="0055494C">
            <w:pPr>
              <w:pStyle w:val="ListParagraph"/>
              <w:numPr>
                <w:ilvl w:val="0"/>
                <w:numId w:val="15"/>
              </w:num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C475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821D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6290" w14:textId="77777777" w:rsidR="0055494C" w:rsidRPr="00093D7A" w:rsidRDefault="0055494C" w:rsidP="006750DE">
            <w:pPr>
              <w:rPr>
                <w:rFonts w:cs="Arial"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D555492" w14:textId="77777777" w:rsidR="0055494C" w:rsidRPr="00093D7A" w:rsidRDefault="0055494C" w:rsidP="00127CA7">
      <w:pPr>
        <w:rPr>
          <w:rFonts w:cs="Arial"/>
          <w:b/>
          <w:sz w:val="28"/>
          <w:szCs w:val="28"/>
        </w:rPr>
        <w:sectPr w:rsidR="0055494C" w:rsidRPr="00093D7A" w:rsidSect="002742F2">
          <w:pgSz w:w="16838" w:h="11906" w:orient="landscape"/>
          <w:pgMar w:top="851" w:right="1080" w:bottom="851" w:left="1080" w:header="708" w:footer="708" w:gutter="0"/>
          <w:cols w:space="708"/>
          <w:docGrid w:linePitch="360"/>
        </w:sectPr>
      </w:pPr>
    </w:p>
    <w:p w14:paraId="2D9A4EEA" w14:textId="53B155C3" w:rsidR="00127CA7" w:rsidRPr="00093D7A" w:rsidRDefault="001047DC" w:rsidP="002742F2">
      <w:pPr>
        <w:pStyle w:val="Heading1"/>
        <w:rPr>
          <w:sz w:val="32"/>
        </w:rPr>
      </w:pPr>
      <w:bookmarkStart w:id="16" w:name="_Toc49332343"/>
      <w:r w:rsidRPr="00093D7A">
        <w:rPr>
          <w:sz w:val="32"/>
        </w:rPr>
        <w:lastRenderedPageBreak/>
        <w:t>I</w:t>
      </w:r>
      <w:r w:rsidR="00CD3F89" w:rsidRPr="00093D7A">
        <w:rPr>
          <w:sz w:val="32"/>
        </w:rPr>
        <w:t xml:space="preserve">nclusion </w:t>
      </w:r>
      <w:r w:rsidRPr="00093D7A">
        <w:rPr>
          <w:sz w:val="32"/>
        </w:rPr>
        <w:t>A</w:t>
      </w:r>
      <w:r w:rsidR="00CD3F89" w:rsidRPr="00093D7A">
        <w:rPr>
          <w:sz w:val="32"/>
        </w:rPr>
        <w:t xml:space="preserve">ction </w:t>
      </w:r>
      <w:r w:rsidRPr="00093D7A">
        <w:rPr>
          <w:sz w:val="32"/>
        </w:rPr>
        <w:t>P</w:t>
      </w:r>
      <w:r w:rsidR="00CD3F89" w:rsidRPr="00093D7A">
        <w:rPr>
          <w:sz w:val="32"/>
        </w:rPr>
        <w:t>lan</w:t>
      </w:r>
      <w:r w:rsidRPr="00093D7A">
        <w:rPr>
          <w:sz w:val="32"/>
        </w:rPr>
        <w:t xml:space="preserve"> </w:t>
      </w:r>
      <w:r w:rsidR="005A5899" w:rsidRPr="00093D7A">
        <w:rPr>
          <w:sz w:val="32"/>
        </w:rPr>
        <w:t>S</w:t>
      </w:r>
      <w:r w:rsidRPr="00093D7A">
        <w:rPr>
          <w:sz w:val="32"/>
        </w:rPr>
        <w:t>cores</w:t>
      </w:r>
      <w:bookmarkEnd w:id="16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51"/>
        <w:gridCol w:w="5318"/>
        <w:gridCol w:w="6137"/>
        <w:gridCol w:w="1182"/>
      </w:tblGrid>
      <w:tr w:rsidR="002D6096" w:rsidRPr="00093D7A" w14:paraId="3EBF6C4A" w14:textId="77777777" w:rsidTr="00D414A7">
        <w:trPr>
          <w:trHeight w:val="1215"/>
          <w:jc w:val="center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3D233BD" w14:textId="77777777" w:rsidR="002D6096" w:rsidRPr="00093D7A" w:rsidRDefault="002D6096" w:rsidP="002D6096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93D7A">
              <w:rPr>
                <w:rFonts w:cs="Arial"/>
                <w:b/>
                <w:bCs/>
                <w:sz w:val="22"/>
                <w:szCs w:val="22"/>
                <w:lang w:eastAsia="en-GB"/>
              </w:rPr>
              <w:t>Metric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02178D24" w14:textId="77777777" w:rsidR="002D6096" w:rsidRPr="00093D7A" w:rsidRDefault="002D6096" w:rsidP="002D6096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93D7A">
              <w:rPr>
                <w:rFonts w:cs="Arial"/>
                <w:b/>
                <w:bCs/>
                <w:sz w:val="22"/>
                <w:szCs w:val="22"/>
                <w:lang w:eastAsia="en-GB"/>
              </w:rPr>
              <w:t>Scoring Guidance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5C8E4963" w14:textId="77777777" w:rsidR="002D6096" w:rsidRPr="00093D7A" w:rsidRDefault="002D6096" w:rsidP="002D6096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93D7A">
              <w:rPr>
                <w:rFonts w:cs="Arial"/>
                <w:b/>
                <w:bCs/>
                <w:sz w:val="22"/>
                <w:szCs w:val="22"/>
                <w:lang w:eastAsia="en-GB"/>
              </w:rPr>
              <w:t>Additional information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9A2345B" w14:textId="77777777" w:rsidR="002D6096" w:rsidRPr="00093D7A" w:rsidRDefault="002D6096" w:rsidP="002D6096">
            <w:pPr>
              <w:jc w:val="center"/>
              <w:rPr>
                <w:rFonts w:cs="Arial"/>
                <w:b/>
                <w:bCs/>
                <w:sz w:val="22"/>
                <w:szCs w:val="22"/>
                <w:lang w:eastAsia="en-GB"/>
              </w:rPr>
            </w:pPr>
            <w:r w:rsidRPr="00093D7A">
              <w:rPr>
                <w:rFonts w:cs="Arial"/>
                <w:b/>
                <w:bCs/>
                <w:sz w:val="22"/>
                <w:szCs w:val="22"/>
                <w:lang w:eastAsia="en-GB"/>
              </w:rPr>
              <w:t>Score</w:t>
            </w:r>
          </w:p>
        </w:tc>
      </w:tr>
      <w:tr w:rsidR="002D6096" w:rsidRPr="00093D7A" w14:paraId="3EBD4BB7" w14:textId="77777777" w:rsidTr="00D414A7">
        <w:trPr>
          <w:trHeight w:val="510"/>
          <w:jc w:val="center"/>
        </w:trPr>
        <w:tc>
          <w:tcPr>
            <w:tcW w:w="8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8D9FE" w14:textId="009A4726" w:rsidR="00735DDB" w:rsidRPr="00093D7A" w:rsidRDefault="001B29D2" w:rsidP="00DF3AE0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Demonstrate an effective Inclusion Action Plan (IAP) is in place and is continually evolving to meet the requirements of the public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sector equality duty and support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the </w:t>
            </w:r>
            <w:r w:rsidR="00D22379" w:rsidRPr="00093D7A">
              <w:rPr>
                <w:rFonts w:cs="Arial"/>
                <w:i/>
                <w:sz w:val="20"/>
                <w:szCs w:val="20"/>
                <w:lang w:eastAsia="en-GB"/>
              </w:rPr>
              <w:t>Client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 in embedding EDI in all areas of its business.</w:t>
            </w:r>
          </w:p>
          <w:p w14:paraId="50AA1591" w14:textId="5E10C3DE" w:rsidR="002D6096" w:rsidRPr="00093D7A" w:rsidRDefault="002D6096" w:rsidP="00DF3AE0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4ED8" w14:textId="0220850D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No intelligence gathered and no intelligence based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in place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F6EEA" w14:textId="349D0031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No evidence or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provided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9CED48E" w14:textId="77777777" w:rsidR="002D6096" w:rsidRPr="00093D7A" w:rsidRDefault="002D6096" w:rsidP="002D6096">
            <w:pPr>
              <w:jc w:val="center"/>
              <w:rPr>
                <w:rFonts w:cs="Arial"/>
                <w:color w:val="FFFFFF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color w:val="FFFFFF"/>
                <w:sz w:val="20"/>
                <w:szCs w:val="20"/>
                <w:lang w:eastAsia="en-GB"/>
              </w:rPr>
              <w:t>0</w:t>
            </w:r>
          </w:p>
        </w:tc>
      </w:tr>
      <w:tr w:rsidR="002D6096" w:rsidRPr="00093D7A" w14:paraId="7B29341A" w14:textId="77777777" w:rsidTr="00D414A7">
        <w:trPr>
          <w:trHeight w:val="528"/>
          <w:jc w:val="center"/>
        </w:trPr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E762E" w14:textId="77777777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695" w14:textId="26A204CD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Intelligence has not been gathered to identify opportunities but actions and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are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in place to address </w:t>
            </w:r>
            <w:r w:rsidR="00906782" w:rsidRPr="00093D7A">
              <w:rPr>
                <w:rFonts w:cs="Arial"/>
                <w:sz w:val="20"/>
                <w:szCs w:val="20"/>
                <w:lang w:eastAsia="en-GB"/>
              </w:rPr>
              <w:t>the gathering of data and intelligence.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73657" w14:textId="309EF83A" w:rsidR="002D6096" w:rsidRPr="00093D7A" w:rsidRDefault="00D22379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="002D6096" w:rsidRPr="00093D7A">
              <w:rPr>
                <w:rFonts w:cs="Arial"/>
                <w:sz w:val="20"/>
                <w:szCs w:val="20"/>
                <w:lang w:eastAsia="en-GB"/>
              </w:rPr>
              <w:t>being prepared with date of implementation provided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.</w:t>
            </w:r>
            <w:r w:rsidR="002D6096" w:rsidRPr="00093D7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FC9D3E" w14:textId="77777777" w:rsidR="002D6096" w:rsidRPr="00093D7A" w:rsidRDefault="002D6096" w:rsidP="002D6096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2</w:t>
            </w:r>
          </w:p>
        </w:tc>
      </w:tr>
      <w:tr w:rsidR="002D6096" w:rsidRPr="00093D7A" w14:paraId="743B2F92" w14:textId="77777777" w:rsidTr="00D414A7">
        <w:trPr>
          <w:trHeight w:val="1125"/>
          <w:jc w:val="center"/>
        </w:trPr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0CED1" w14:textId="77777777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0E0D" w14:textId="5DA5950C" w:rsidR="002D6096" w:rsidRPr="00093D7A" w:rsidRDefault="00D22379" w:rsidP="002D6096">
            <w:pPr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IAP </w:t>
            </w:r>
            <w:r w:rsidR="002D6096" w:rsidRPr="00093D7A">
              <w:rPr>
                <w:rFonts w:cs="Arial"/>
                <w:color w:val="000000"/>
                <w:sz w:val="20"/>
                <w:szCs w:val="20"/>
                <w:lang w:eastAsia="en-GB"/>
              </w:rPr>
              <w:t>in place but only being partially implemented</w:t>
            </w:r>
            <w:r w:rsidRPr="00093D7A">
              <w:rPr>
                <w:rFonts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F8BD" w14:textId="61947CA3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Intelligence has not been used to identify </w:t>
            </w:r>
            <w:r w:rsidR="0040731A" w:rsidRPr="00093D7A">
              <w:rPr>
                <w:rFonts w:cs="Arial"/>
                <w:sz w:val="20"/>
                <w:szCs w:val="20"/>
                <w:lang w:eastAsia="en-GB"/>
              </w:rPr>
              <w:t>opportunities,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 but actions and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are in place to address this</w:t>
            </w:r>
            <w:r w:rsidR="0040731A" w:rsidRPr="00093D7A">
              <w:rPr>
                <w:rFonts w:cs="Arial"/>
                <w:sz w:val="20"/>
                <w:szCs w:val="20"/>
                <w:lang w:eastAsia="en-GB"/>
              </w:rPr>
              <w:t>. A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ctions are outstanding beyond their target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>date;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 no evidence of review or limited actions being carried out.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E159B5" w14:textId="77777777" w:rsidR="002D6096" w:rsidRPr="00093D7A" w:rsidRDefault="002D6096" w:rsidP="002D6096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4</w:t>
            </w:r>
          </w:p>
        </w:tc>
      </w:tr>
      <w:tr w:rsidR="002D6096" w:rsidRPr="00093D7A" w14:paraId="73EB2475" w14:textId="77777777" w:rsidTr="00D414A7">
        <w:trPr>
          <w:trHeight w:val="975"/>
          <w:jc w:val="center"/>
        </w:trPr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CE46F" w14:textId="77777777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3B7C" w14:textId="426B646D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Intelligence is gathered and analysed to identify opportunities and an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>i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ntelligence based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is in place which is being fully implemented and </w:t>
            </w:r>
            <w:r w:rsidR="008079A0" w:rsidRPr="00093D7A">
              <w:rPr>
                <w:rFonts w:cs="Arial"/>
                <w:sz w:val="20"/>
                <w:szCs w:val="20"/>
                <w:lang w:eastAsia="en-GB"/>
              </w:rPr>
              <w:t>up to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 date. 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D0A1" w14:textId="2CF87ABF" w:rsidR="002D6096" w:rsidRPr="00093D7A" w:rsidRDefault="00D22379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="002D6096" w:rsidRPr="00093D7A">
              <w:rPr>
                <w:rFonts w:cs="Arial"/>
                <w:sz w:val="20"/>
                <w:szCs w:val="20"/>
                <w:lang w:eastAsia="en-GB"/>
              </w:rPr>
              <w:t xml:space="preserve">is linked to priorities for action and being fully implemented. There is </w:t>
            </w:r>
            <w:r w:rsidR="008079A0" w:rsidRPr="00093D7A">
              <w:rPr>
                <w:rFonts w:cs="Arial"/>
                <w:sz w:val="20"/>
                <w:szCs w:val="20"/>
                <w:lang w:eastAsia="en-GB"/>
              </w:rPr>
              <w:t>demonstrable</w:t>
            </w:r>
            <w:r w:rsidR="002D6096" w:rsidRPr="00093D7A">
              <w:rPr>
                <w:rFonts w:cs="Arial"/>
                <w:sz w:val="20"/>
                <w:szCs w:val="20"/>
                <w:lang w:eastAsia="en-GB"/>
              </w:rPr>
              <w:t xml:space="preserve"> activity that shows progress against expected timescales.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425608" w14:textId="77777777" w:rsidR="002D6096" w:rsidRPr="00093D7A" w:rsidRDefault="002D6096" w:rsidP="002D6096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6</w:t>
            </w:r>
          </w:p>
        </w:tc>
      </w:tr>
      <w:tr w:rsidR="002D6096" w:rsidRPr="00093D7A" w14:paraId="6936CC11" w14:textId="77777777" w:rsidTr="00D414A7">
        <w:trPr>
          <w:trHeight w:val="1365"/>
          <w:jc w:val="center"/>
        </w:trPr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28C24" w14:textId="77777777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FE24" w14:textId="7472F544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An intelligence based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is in place and being fully implemented and </w:t>
            </w:r>
            <w:r w:rsidR="00C05E3F" w:rsidRPr="00093D7A">
              <w:rPr>
                <w:rFonts w:cs="Arial"/>
                <w:sz w:val="20"/>
                <w:szCs w:val="20"/>
                <w:lang w:eastAsia="en-GB"/>
              </w:rPr>
              <w:t xml:space="preserve">evidence provided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show the difference being made.  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0ACB5" w14:textId="2286242B" w:rsidR="002D6096" w:rsidRPr="00093D7A" w:rsidRDefault="00C05E3F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IAP and evidence provided are moderated by the </w:t>
            </w:r>
            <w:r w:rsidRPr="00093D7A">
              <w:rPr>
                <w:rFonts w:cs="Arial"/>
                <w:i/>
                <w:sz w:val="20"/>
                <w:szCs w:val="20"/>
                <w:lang w:eastAsia="en-GB"/>
              </w:rPr>
              <w:t>Client’s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 metric assessor to confirm it meets the scoring guidance.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1E5886" w14:textId="77777777" w:rsidR="002D6096" w:rsidRPr="00093D7A" w:rsidRDefault="002D6096" w:rsidP="002D6096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8</w:t>
            </w:r>
          </w:p>
        </w:tc>
      </w:tr>
      <w:tr w:rsidR="002D6096" w:rsidRPr="002D6096" w14:paraId="34DCD3B3" w14:textId="77777777" w:rsidTr="00D414A7">
        <w:trPr>
          <w:trHeight w:val="1404"/>
          <w:jc w:val="center"/>
        </w:trPr>
        <w:tc>
          <w:tcPr>
            <w:tcW w:w="8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3F9BA3" w14:textId="77777777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8E6" w14:textId="0F2641B8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Robust intelligence based 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IAP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is in place and being fully implemented and can show the </w:t>
            </w:r>
            <w:r w:rsidR="007B0F92" w:rsidRPr="00093D7A">
              <w:rPr>
                <w:rFonts w:cs="Arial"/>
                <w:sz w:val="20"/>
                <w:szCs w:val="20"/>
                <w:lang w:eastAsia="en-GB"/>
              </w:rPr>
              <w:t xml:space="preserve">quantifiable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difference </w:t>
            </w:r>
            <w:r w:rsidR="007B0F92" w:rsidRPr="00093D7A">
              <w:rPr>
                <w:rFonts w:cs="Arial"/>
                <w:sz w:val="20"/>
                <w:szCs w:val="20"/>
                <w:lang w:eastAsia="en-GB"/>
              </w:rPr>
              <w:t xml:space="preserve">actions have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made.  Evidence that good practice is being shared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C0C9E" w14:textId="356AE868" w:rsidR="002D6096" w:rsidRPr="00093D7A" w:rsidRDefault="002D6096" w:rsidP="002D6096">
            <w:pPr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Evidence produced shows the </w:t>
            </w:r>
            <w:r w:rsidR="007B0F92" w:rsidRPr="00093D7A">
              <w:rPr>
                <w:rFonts w:cs="Arial"/>
                <w:sz w:val="20"/>
                <w:szCs w:val="20"/>
                <w:lang w:eastAsia="en-GB"/>
              </w:rPr>
              <w:t xml:space="preserve">quantifiable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 xml:space="preserve">difference </w:t>
            </w:r>
            <w:r w:rsidR="007B0F92" w:rsidRPr="00093D7A">
              <w:rPr>
                <w:rFonts w:cs="Arial"/>
                <w:sz w:val="20"/>
                <w:szCs w:val="20"/>
                <w:lang w:eastAsia="en-GB"/>
              </w:rPr>
              <w:t xml:space="preserve">in one of the 3 priority areas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has led to legacy or the development of a case study and/</w:t>
            </w:r>
            <w:r w:rsidR="00D22379" w:rsidRPr="00093D7A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093D7A">
              <w:rPr>
                <w:rFonts w:cs="Arial"/>
                <w:sz w:val="20"/>
                <w:szCs w:val="20"/>
                <w:lang w:eastAsia="en-GB"/>
              </w:rPr>
              <w:t>or good practice being shared widely with peers and down the supply chain</w:t>
            </w:r>
            <w:r w:rsidR="006F0C5D" w:rsidRPr="00093D7A">
              <w:rPr>
                <w:rFonts w:cs="Arial"/>
                <w:sz w:val="20"/>
                <w:szCs w:val="20"/>
                <w:lang w:eastAsia="en-GB"/>
              </w:rPr>
              <w:t>.</w:t>
            </w:r>
            <w:r w:rsidR="006F0C5D" w:rsidRPr="00093D7A">
              <w:t xml:space="preserve"> </w:t>
            </w:r>
            <w:r w:rsidR="00C05E3F" w:rsidRPr="00093D7A">
              <w:rPr>
                <w:rFonts w:cs="Arial"/>
                <w:sz w:val="20"/>
                <w:szCs w:val="20"/>
                <w:lang w:eastAsia="en-GB"/>
              </w:rPr>
              <w:t xml:space="preserve">IAP and evidence provided are moderated by the </w:t>
            </w:r>
            <w:r w:rsidR="00C05E3F" w:rsidRPr="00093D7A">
              <w:rPr>
                <w:rFonts w:cs="Arial"/>
                <w:i/>
                <w:sz w:val="20"/>
                <w:szCs w:val="20"/>
                <w:lang w:eastAsia="en-GB"/>
              </w:rPr>
              <w:t>Client’s</w:t>
            </w:r>
            <w:r w:rsidR="00C05E3F" w:rsidRPr="00093D7A">
              <w:rPr>
                <w:rFonts w:cs="Arial"/>
                <w:sz w:val="20"/>
                <w:szCs w:val="20"/>
                <w:lang w:eastAsia="en-GB"/>
              </w:rPr>
              <w:t xml:space="preserve"> metric assessor to confirm it meets the scoring guidance.</w:t>
            </w:r>
          </w:p>
        </w:tc>
        <w:tc>
          <w:tcPr>
            <w:tcW w:w="3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043D0B08" w14:textId="77777777" w:rsidR="002D6096" w:rsidRPr="002D6096" w:rsidRDefault="002D6096" w:rsidP="002D6096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093D7A">
              <w:rPr>
                <w:rFonts w:cs="Arial"/>
                <w:sz w:val="20"/>
                <w:szCs w:val="20"/>
                <w:lang w:eastAsia="en-GB"/>
              </w:rPr>
              <w:t>10</w:t>
            </w:r>
          </w:p>
        </w:tc>
      </w:tr>
    </w:tbl>
    <w:p w14:paraId="085B4EDC" w14:textId="77777777" w:rsidR="00F155A4" w:rsidRPr="002D6096" w:rsidRDefault="00F155A4" w:rsidP="00B645F0"/>
    <w:sectPr w:rsidR="00F155A4" w:rsidRPr="002D6096" w:rsidSect="00B645F0">
      <w:headerReference w:type="default" r:id="rId18"/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494B" w14:textId="77777777" w:rsidR="00E55518" w:rsidRDefault="00E55518">
      <w:r>
        <w:separator/>
      </w:r>
    </w:p>
  </w:endnote>
  <w:endnote w:type="continuationSeparator" w:id="0">
    <w:p w14:paraId="1F298E95" w14:textId="77777777" w:rsidR="00E55518" w:rsidRDefault="00E5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B36B" w14:textId="77777777" w:rsidR="003F4238" w:rsidRDefault="003F4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0E8B" w14:textId="77777777" w:rsidR="00430CB8" w:rsidRDefault="00430CB8" w:rsidP="00430CB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208B29C" wp14:editId="42B8C7BD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257800" cy="0"/>
              <wp:effectExtent l="0" t="0" r="0" b="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1B967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1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" o:allowincell="f"/>
          </w:pict>
        </mc:Fallback>
      </mc:AlternateContent>
    </w:r>
  </w:p>
  <w:p w14:paraId="373FB4D2" w14:textId="00D69F1E" w:rsidR="00430CB8" w:rsidRPr="003F4238" w:rsidRDefault="00430CB8" w:rsidP="003F4238">
    <w:pPr>
      <w:pStyle w:val="Footer"/>
      <w:rPr>
        <w:rFonts w:cs="Arial"/>
        <w:sz w:val="22"/>
        <w:szCs w:val="22"/>
      </w:rPr>
    </w:pPr>
    <w:r>
      <w:rPr>
        <w:sz w:val="22"/>
        <w:szCs w:val="22"/>
      </w:rPr>
      <w:t xml:space="preserve">Issue </w:t>
    </w:r>
    <w:r w:rsidR="001C3D2D">
      <w:rPr>
        <w:sz w:val="22"/>
        <w:szCs w:val="22"/>
      </w:rPr>
      <w:t>06</w:t>
    </w:r>
    <w:r>
      <w:rPr>
        <w:sz w:val="22"/>
        <w:szCs w:val="22"/>
      </w:rPr>
      <w:t>, Revision 0</w:t>
    </w:r>
    <w:r>
      <w:rPr>
        <w:sz w:val="22"/>
        <w:szCs w:val="22"/>
      </w:rPr>
      <w:tab/>
    </w:r>
    <w:r w:rsidR="003F4238" w:rsidRPr="003F4238">
      <w:rPr>
        <w:rFonts w:cs="Arial"/>
        <w:sz w:val="22"/>
        <w:szCs w:val="22"/>
      </w:rPr>
      <w:t xml:space="preserve">Page </w:t>
    </w:r>
    <w:r w:rsidR="003F4238" w:rsidRPr="003F4238">
      <w:rPr>
        <w:rFonts w:cs="Arial"/>
        <w:sz w:val="22"/>
        <w:szCs w:val="22"/>
      </w:rPr>
      <w:fldChar w:fldCharType="begin"/>
    </w:r>
    <w:r w:rsidR="003F4238" w:rsidRPr="003F4238">
      <w:rPr>
        <w:rFonts w:cs="Arial"/>
        <w:sz w:val="22"/>
        <w:szCs w:val="22"/>
      </w:rPr>
      <w:instrText xml:space="preserve"> PAGE </w:instrText>
    </w:r>
    <w:r w:rsidR="003F4238" w:rsidRPr="003F4238">
      <w:rPr>
        <w:rFonts w:cs="Arial"/>
        <w:sz w:val="22"/>
        <w:szCs w:val="22"/>
      </w:rPr>
      <w:fldChar w:fldCharType="separate"/>
    </w:r>
    <w:r w:rsidR="003F4238" w:rsidRPr="003F4238">
      <w:rPr>
        <w:rFonts w:cs="Arial"/>
        <w:sz w:val="22"/>
        <w:szCs w:val="22"/>
      </w:rPr>
      <w:t>2</w:t>
    </w:r>
    <w:r w:rsidR="003F4238" w:rsidRPr="003F4238">
      <w:rPr>
        <w:rFonts w:cs="Arial"/>
        <w:sz w:val="22"/>
        <w:szCs w:val="22"/>
      </w:rPr>
      <w:fldChar w:fldCharType="end"/>
    </w:r>
    <w:r w:rsidR="003F4238" w:rsidRPr="003F4238">
      <w:rPr>
        <w:rFonts w:cs="Arial"/>
        <w:sz w:val="22"/>
        <w:szCs w:val="22"/>
      </w:rPr>
      <w:t xml:space="preserve"> of </w:t>
    </w:r>
    <w:r w:rsidR="003F4238" w:rsidRPr="003F4238">
      <w:rPr>
        <w:rFonts w:cs="Arial"/>
        <w:sz w:val="22"/>
        <w:szCs w:val="22"/>
      </w:rPr>
      <w:fldChar w:fldCharType="begin"/>
    </w:r>
    <w:r w:rsidR="003F4238" w:rsidRPr="003F4238">
      <w:rPr>
        <w:rFonts w:cs="Arial"/>
        <w:sz w:val="22"/>
        <w:szCs w:val="22"/>
      </w:rPr>
      <w:instrText xml:space="preserve"> NUMPAGES  </w:instrText>
    </w:r>
    <w:r w:rsidR="003F4238" w:rsidRPr="003F4238">
      <w:rPr>
        <w:rFonts w:cs="Arial"/>
        <w:sz w:val="22"/>
        <w:szCs w:val="22"/>
      </w:rPr>
      <w:fldChar w:fldCharType="separate"/>
    </w:r>
    <w:r w:rsidR="003F4238" w:rsidRPr="003F4238">
      <w:rPr>
        <w:rFonts w:cs="Arial"/>
        <w:sz w:val="22"/>
        <w:szCs w:val="22"/>
      </w:rPr>
      <w:t>12</w:t>
    </w:r>
    <w:r w:rsidR="003F4238" w:rsidRPr="003F4238">
      <w:rPr>
        <w:rFonts w:cs="Arial"/>
        <w:noProof/>
        <w:sz w:val="22"/>
        <w:szCs w:val="22"/>
      </w:rPr>
      <w:fldChar w:fldCharType="end"/>
    </w:r>
    <w:r w:rsidR="003F4238">
      <w:rPr>
        <w:sz w:val="22"/>
        <w:szCs w:val="22"/>
      </w:rPr>
      <w:tab/>
    </w:r>
    <w:r w:rsidR="009870A8">
      <w:rPr>
        <w:sz w:val="22"/>
        <w:szCs w:val="22"/>
      </w:rPr>
      <w:t>J</w:t>
    </w:r>
    <w:r w:rsidR="001C3D2D">
      <w:rPr>
        <w:sz w:val="22"/>
        <w:szCs w:val="22"/>
      </w:rPr>
      <w:t>uly</w:t>
    </w:r>
    <w:r w:rsidR="009870A8">
      <w:rPr>
        <w:sz w:val="22"/>
        <w:szCs w:val="22"/>
      </w:rPr>
      <w:t xml:space="preserve"> 2022</w:t>
    </w:r>
  </w:p>
  <w:p w14:paraId="508F2890" w14:textId="2D013FD1" w:rsidR="00F023C3" w:rsidRPr="00430CB8" w:rsidRDefault="00F023C3" w:rsidP="00430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0939" w14:textId="77777777" w:rsidR="00430CB8" w:rsidRDefault="00430CB8" w:rsidP="00430CB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712B48E6" wp14:editId="24989412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52578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AA227" id="Line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1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4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" o:allowincell="f"/>
          </w:pict>
        </mc:Fallback>
      </mc:AlternateContent>
    </w:r>
  </w:p>
  <w:p w14:paraId="59CBA4DD" w14:textId="586F5077" w:rsidR="00430CB8" w:rsidRPr="003F4238" w:rsidRDefault="003F4238" w:rsidP="003F4238">
    <w:pPr>
      <w:pStyle w:val="Footer"/>
      <w:tabs>
        <w:tab w:val="right" w:pos="8364"/>
        <w:tab w:val="right" w:pos="8789"/>
      </w:tabs>
      <w:ind w:right="-29"/>
      <w:rPr>
        <w:rFonts w:cs="Arial"/>
        <w:sz w:val="22"/>
        <w:szCs w:val="22"/>
      </w:rPr>
    </w:pPr>
    <w:r>
      <w:rPr>
        <w:sz w:val="22"/>
        <w:szCs w:val="22"/>
      </w:rPr>
      <w:t>I</w:t>
    </w:r>
    <w:r w:rsidR="00B77E56">
      <w:rPr>
        <w:sz w:val="22"/>
        <w:szCs w:val="22"/>
      </w:rPr>
      <w:t>ssue 0</w:t>
    </w:r>
    <w:r w:rsidR="001C3D2D">
      <w:rPr>
        <w:sz w:val="22"/>
        <w:szCs w:val="22"/>
      </w:rPr>
      <w:t>6</w:t>
    </w:r>
    <w:r w:rsidR="00430CB8">
      <w:rPr>
        <w:sz w:val="22"/>
        <w:szCs w:val="22"/>
      </w:rPr>
      <w:t>, Revision 0</w:t>
    </w:r>
    <w:r w:rsidR="00430CB8">
      <w:rPr>
        <w:sz w:val="22"/>
        <w:szCs w:val="22"/>
      </w:rPr>
      <w:tab/>
    </w:r>
    <w:r w:rsidRPr="003F4238">
      <w:rPr>
        <w:rFonts w:cs="Arial"/>
        <w:sz w:val="22"/>
        <w:szCs w:val="22"/>
      </w:rPr>
      <w:t xml:space="preserve">Page </w:t>
    </w:r>
    <w:r w:rsidRPr="003F4238">
      <w:rPr>
        <w:rFonts w:cs="Arial"/>
        <w:sz w:val="22"/>
        <w:szCs w:val="22"/>
      </w:rPr>
      <w:fldChar w:fldCharType="begin"/>
    </w:r>
    <w:r w:rsidRPr="003F4238">
      <w:rPr>
        <w:rFonts w:cs="Arial"/>
        <w:sz w:val="22"/>
        <w:szCs w:val="22"/>
      </w:rPr>
      <w:instrText xml:space="preserve"> PAGE </w:instrText>
    </w:r>
    <w:r w:rsidRPr="003F4238">
      <w:rPr>
        <w:rFonts w:cs="Arial"/>
        <w:sz w:val="22"/>
        <w:szCs w:val="22"/>
      </w:rPr>
      <w:fldChar w:fldCharType="separate"/>
    </w:r>
    <w:r w:rsidRPr="003F4238">
      <w:rPr>
        <w:rFonts w:cs="Arial"/>
        <w:sz w:val="22"/>
        <w:szCs w:val="22"/>
      </w:rPr>
      <w:t>1</w:t>
    </w:r>
    <w:r w:rsidRPr="003F4238">
      <w:rPr>
        <w:rFonts w:cs="Arial"/>
        <w:sz w:val="22"/>
        <w:szCs w:val="22"/>
      </w:rPr>
      <w:fldChar w:fldCharType="end"/>
    </w:r>
    <w:r w:rsidRPr="003F4238">
      <w:rPr>
        <w:rFonts w:cs="Arial"/>
        <w:sz w:val="22"/>
        <w:szCs w:val="22"/>
      </w:rPr>
      <w:t xml:space="preserve"> of </w:t>
    </w:r>
    <w:r w:rsidRPr="003F4238">
      <w:rPr>
        <w:rFonts w:cs="Arial"/>
        <w:sz w:val="22"/>
        <w:szCs w:val="22"/>
      </w:rPr>
      <w:fldChar w:fldCharType="begin"/>
    </w:r>
    <w:r w:rsidRPr="003F4238">
      <w:rPr>
        <w:rFonts w:cs="Arial"/>
        <w:sz w:val="22"/>
        <w:szCs w:val="22"/>
      </w:rPr>
      <w:instrText xml:space="preserve"> NUMPAGES  </w:instrText>
    </w:r>
    <w:r w:rsidRPr="003F4238">
      <w:rPr>
        <w:rFonts w:cs="Arial"/>
        <w:sz w:val="22"/>
        <w:szCs w:val="22"/>
      </w:rPr>
      <w:fldChar w:fldCharType="separate"/>
    </w:r>
    <w:r w:rsidRPr="003F4238">
      <w:rPr>
        <w:rFonts w:cs="Arial"/>
        <w:sz w:val="22"/>
        <w:szCs w:val="22"/>
      </w:rPr>
      <w:t>12</w:t>
    </w:r>
    <w:r w:rsidRPr="003F4238">
      <w:rPr>
        <w:rFonts w:cs="Arial"/>
        <w:noProof/>
        <w:sz w:val="22"/>
        <w:szCs w:val="22"/>
      </w:rPr>
      <w:fldChar w:fldCharType="end"/>
    </w:r>
    <w:r w:rsidR="00430CB8">
      <w:rPr>
        <w:sz w:val="22"/>
        <w:szCs w:val="22"/>
      </w:rPr>
      <w:tab/>
    </w:r>
    <w:r w:rsidR="009870A8">
      <w:rPr>
        <w:sz w:val="22"/>
        <w:szCs w:val="22"/>
      </w:rPr>
      <w:t>J</w:t>
    </w:r>
    <w:r w:rsidR="001C3D2D">
      <w:rPr>
        <w:sz w:val="22"/>
        <w:szCs w:val="22"/>
      </w:rPr>
      <w:t>ul</w:t>
    </w:r>
    <w:r w:rsidR="009870A8">
      <w:rPr>
        <w:sz w:val="22"/>
        <w:szCs w:val="22"/>
      </w:rPr>
      <w:t>y 2022</w:t>
    </w:r>
    <w:bookmarkStart w:id="10" w:name="_Toc68067372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82E7" w14:textId="77777777" w:rsidR="00E55518" w:rsidRDefault="00E55518">
      <w:r>
        <w:separator/>
      </w:r>
    </w:p>
  </w:footnote>
  <w:footnote w:type="continuationSeparator" w:id="0">
    <w:p w14:paraId="0B9A599D" w14:textId="77777777" w:rsidR="00E55518" w:rsidRDefault="00E5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FAE5" w14:textId="77777777" w:rsidR="003F4238" w:rsidRDefault="003F4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BD79" w14:textId="37525BCE" w:rsidR="00430CB8" w:rsidRPr="00A75EDD" w:rsidRDefault="009870A8" w:rsidP="00430CB8">
    <w:pPr>
      <w:pStyle w:val="Header"/>
      <w:rPr>
        <w:sz w:val="22"/>
      </w:rPr>
    </w:pPr>
    <w:r>
      <w:rPr>
        <w:sz w:val="22"/>
      </w:rPr>
      <w:t xml:space="preserve">National </w:t>
    </w:r>
    <w:r w:rsidR="00430CB8" w:rsidRPr="00A75EDD">
      <w:rPr>
        <w:sz w:val="22"/>
      </w:rPr>
      <w:t xml:space="preserve">Highways </w:t>
    </w:r>
    <w:r w:rsidR="00430CB8">
      <w:rPr>
        <w:sz w:val="22"/>
      </w:rPr>
      <w:t xml:space="preserve">                                                                                              Scope</w:t>
    </w:r>
  </w:p>
  <w:p w14:paraId="1308743F" w14:textId="384FBE53" w:rsidR="00430CB8" w:rsidRDefault="003F4238" w:rsidP="00430CB8">
    <w:pPr>
      <w:pStyle w:val="Header"/>
      <w:rPr>
        <w:sz w:val="22"/>
      </w:rPr>
    </w:pPr>
    <w:r>
      <w:rPr>
        <w:rFonts w:cs="Arial"/>
        <w:sz w:val="22"/>
        <w:szCs w:val="22"/>
        <w:lang w:eastAsia="en-GB"/>
      </w:rPr>
      <w:t xml:space="preserve">NEC4 </w:t>
    </w:r>
    <w:r w:rsidR="00D75032" w:rsidRPr="00B77E56">
      <w:rPr>
        <w:rFonts w:cs="Arial"/>
        <w:sz w:val="22"/>
        <w:szCs w:val="22"/>
        <w:lang w:eastAsia="en-GB"/>
      </w:rPr>
      <w:t>Professional Service</w:t>
    </w:r>
    <w:r w:rsidR="00D75032">
      <w:rPr>
        <w:rFonts w:cs="Arial"/>
        <w:sz w:val="22"/>
        <w:szCs w:val="22"/>
        <w:lang w:eastAsia="en-GB"/>
      </w:rPr>
      <w:t xml:space="preserve"> Short</w:t>
    </w:r>
    <w:r w:rsidR="00D75032" w:rsidRPr="00B77E56">
      <w:rPr>
        <w:rFonts w:cs="Arial"/>
        <w:sz w:val="22"/>
        <w:szCs w:val="22"/>
        <w:lang w:eastAsia="en-GB"/>
      </w:rPr>
      <w:t xml:space="preserve"> Contract      </w:t>
    </w:r>
    <w:r w:rsidR="00D75032" w:rsidRPr="00B77E56">
      <w:rPr>
        <w:sz w:val="22"/>
      </w:rPr>
      <w:t xml:space="preserve">                         </w:t>
    </w:r>
    <w:r w:rsidR="00D75032">
      <w:rPr>
        <w:sz w:val="22"/>
      </w:rPr>
      <w:t xml:space="preserve">                     </w:t>
    </w:r>
    <w:r w:rsidR="00430CB8">
      <w:rPr>
        <w:sz w:val="22"/>
      </w:rPr>
      <w:t>Annex 0</w:t>
    </w:r>
    <w:r w:rsidR="001C3D2D">
      <w:rPr>
        <w:sz w:val="22"/>
      </w:rPr>
      <w:t>5</w:t>
    </w:r>
    <w:r w:rsidR="00430CB8">
      <w:rPr>
        <w:sz w:val="22"/>
      </w:rPr>
      <w:t xml:space="preserve">                    </w:t>
    </w:r>
  </w:p>
  <w:p w14:paraId="46604B96" w14:textId="77777777" w:rsidR="00430CB8" w:rsidRPr="00430CB8" w:rsidRDefault="00430CB8" w:rsidP="00430CB8">
    <w:pPr>
      <w:pStyle w:val="Header"/>
      <w:spacing w:before="60"/>
      <w:jc w:val="right"/>
    </w:pPr>
    <w:r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7409AE5" wp14:editId="0483487E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802BB8" id="Line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Jo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" o:allowincell="f"/>
          </w:pict>
        </mc:Fallback>
      </mc:AlternateContent>
    </w:r>
    <w:r>
      <w:rPr>
        <w:sz w:val="22"/>
      </w:rPr>
      <w:t xml:space="preserve">                   </w:t>
    </w:r>
  </w:p>
  <w:p w14:paraId="168DE3B4" w14:textId="77777777" w:rsidR="00430CB8" w:rsidRDefault="00430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3FF2" w14:textId="0BF65D83" w:rsidR="00430CB8" w:rsidRPr="00A75EDD" w:rsidRDefault="009870A8" w:rsidP="00430CB8">
    <w:pPr>
      <w:pStyle w:val="Header"/>
      <w:rPr>
        <w:sz w:val="22"/>
      </w:rPr>
    </w:pPr>
    <w:r>
      <w:rPr>
        <w:sz w:val="22"/>
      </w:rPr>
      <w:t xml:space="preserve">National </w:t>
    </w:r>
    <w:r w:rsidR="00430CB8" w:rsidRPr="00A75EDD">
      <w:rPr>
        <w:sz w:val="22"/>
      </w:rPr>
      <w:t xml:space="preserve">Highways </w:t>
    </w:r>
    <w:r w:rsidR="00430CB8">
      <w:rPr>
        <w:sz w:val="22"/>
      </w:rPr>
      <w:t xml:space="preserve">                                                                                              Scope</w:t>
    </w:r>
  </w:p>
  <w:p w14:paraId="1B230E2B" w14:textId="54C6192F" w:rsidR="00430CB8" w:rsidRDefault="003F4238" w:rsidP="00430CB8">
    <w:pPr>
      <w:pStyle w:val="Header"/>
      <w:rPr>
        <w:sz w:val="22"/>
      </w:rPr>
    </w:pPr>
    <w:r>
      <w:rPr>
        <w:rFonts w:cs="Arial"/>
        <w:sz w:val="22"/>
        <w:szCs w:val="22"/>
        <w:lang w:eastAsia="en-GB"/>
      </w:rPr>
      <w:t xml:space="preserve">NEC4 </w:t>
    </w:r>
    <w:r w:rsidR="00B77E56" w:rsidRPr="00B77E56">
      <w:rPr>
        <w:rFonts w:cs="Arial"/>
        <w:sz w:val="22"/>
        <w:szCs w:val="22"/>
        <w:lang w:eastAsia="en-GB"/>
      </w:rPr>
      <w:t>Professional Service</w:t>
    </w:r>
    <w:r w:rsidR="006C2845">
      <w:rPr>
        <w:rFonts w:cs="Arial"/>
        <w:sz w:val="22"/>
        <w:szCs w:val="22"/>
        <w:lang w:eastAsia="en-GB"/>
      </w:rPr>
      <w:t xml:space="preserve"> Short</w:t>
    </w:r>
    <w:r w:rsidR="00B77E56" w:rsidRPr="00B77E56">
      <w:rPr>
        <w:rFonts w:cs="Arial"/>
        <w:sz w:val="22"/>
        <w:szCs w:val="22"/>
        <w:lang w:eastAsia="en-GB"/>
      </w:rPr>
      <w:t xml:space="preserve"> Contract</w:t>
    </w:r>
    <w:r w:rsidR="00430CB8" w:rsidRPr="00B77E56">
      <w:rPr>
        <w:rFonts w:cs="Arial"/>
        <w:sz w:val="22"/>
        <w:szCs w:val="22"/>
        <w:lang w:eastAsia="en-GB"/>
      </w:rPr>
      <w:t xml:space="preserve">       </w:t>
    </w:r>
    <w:r w:rsidR="00430CB8" w:rsidRPr="00B77E56">
      <w:rPr>
        <w:sz w:val="22"/>
      </w:rPr>
      <w:t xml:space="preserve">                         </w:t>
    </w:r>
    <w:r w:rsidR="006C2845">
      <w:rPr>
        <w:sz w:val="22"/>
      </w:rPr>
      <w:t xml:space="preserve">                     </w:t>
    </w:r>
    <w:r w:rsidR="00430CB8" w:rsidRPr="00B77E56">
      <w:rPr>
        <w:sz w:val="22"/>
      </w:rPr>
      <w:t xml:space="preserve">Annex </w:t>
    </w:r>
    <w:r w:rsidR="00430CB8">
      <w:rPr>
        <w:sz w:val="22"/>
      </w:rPr>
      <w:t>0</w:t>
    </w:r>
    <w:r w:rsidR="001C3D2D">
      <w:rPr>
        <w:sz w:val="22"/>
      </w:rPr>
      <w:t>5</w:t>
    </w:r>
    <w:r w:rsidR="00430CB8">
      <w:rPr>
        <w:sz w:val="22"/>
      </w:rPr>
      <w:t xml:space="preserve">                    </w:t>
    </w:r>
  </w:p>
  <w:p w14:paraId="5A4D398E" w14:textId="3492DC90" w:rsidR="00F023C3" w:rsidRDefault="00430CB8" w:rsidP="006C2845">
    <w:pPr>
      <w:pStyle w:val="Header"/>
      <w:spacing w:before="60"/>
      <w:jc w:val="center"/>
    </w:pPr>
    <w:r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29568" behindDoc="0" locked="0" layoutInCell="0" allowOverlap="1" wp14:anchorId="6C19ABD6" wp14:editId="2FE21BAB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C176C" id="Line 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zzEQ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" o:allowincell="f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9AD0" w14:textId="50AFB560" w:rsidR="00F023C3" w:rsidRDefault="001C3D2D" w:rsidP="00765A7A">
    <w:pPr>
      <w:pStyle w:val="Header"/>
    </w:pPr>
    <w:r w:rsidRPr="000B6AA1">
      <w:rPr>
        <w:rFonts w:cs="Arial"/>
        <w:noProof/>
        <w:sz w:val="22"/>
        <w:szCs w:val="22"/>
        <w:lang w:eastAsia="en-GB"/>
      </w:rPr>
      <w:drawing>
        <wp:inline distT="0" distB="0" distL="0" distR="0" wp14:anchorId="1A51800D" wp14:editId="7AA2C760">
          <wp:extent cx="1033153" cy="359357"/>
          <wp:effectExtent l="0" t="0" r="0" b="3175"/>
          <wp:docPr id="4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769" cy="36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DEA5E" w14:textId="77777777" w:rsidR="00F023C3" w:rsidRPr="00DE5E18" w:rsidRDefault="00F023C3" w:rsidP="00765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1EC28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6466C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A321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A64F59"/>
    <w:multiLevelType w:val="hybridMultilevel"/>
    <w:tmpl w:val="98A6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0595"/>
    <w:multiLevelType w:val="hybridMultilevel"/>
    <w:tmpl w:val="380A5DF2"/>
    <w:lvl w:ilvl="0" w:tplc="D494E6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EA3698"/>
    <w:multiLevelType w:val="hybridMultilevel"/>
    <w:tmpl w:val="E3D61608"/>
    <w:lvl w:ilvl="0" w:tplc="968296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86EF3"/>
    <w:multiLevelType w:val="hybridMultilevel"/>
    <w:tmpl w:val="4F6E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50841"/>
    <w:multiLevelType w:val="hybridMultilevel"/>
    <w:tmpl w:val="02523F86"/>
    <w:lvl w:ilvl="0" w:tplc="AB36E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4055DC"/>
    <w:multiLevelType w:val="hybridMultilevel"/>
    <w:tmpl w:val="5A841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B1CC7"/>
    <w:multiLevelType w:val="hybridMultilevel"/>
    <w:tmpl w:val="88186A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955A7B"/>
    <w:multiLevelType w:val="hybridMultilevel"/>
    <w:tmpl w:val="76D09278"/>
    <w:lvl w:ilvl="0" w:tplc="A6325B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FEC440A"/>
    <w:multiLevelType w:val="hybridMultilevel"/>
    <w:tmpl w:val="F410C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80CDD"/>
    <w:multiLevelType w:val="multilevel"/>
    <w:tmpl w:val="6B5E6C60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D45662B"/>
    <w:multiLevelType w:val="hybridMultilevel"/>
    <w:tmpl w:val="72C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17B15"/>
    <w:multiLevelType w:val="hybridMultilevel"/>
    <w:tmpl w:val="73589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A2626"/>
    <w:multiLevelType w:val="hybridMultilevel"/>
    <w:tmpl w:val="7726623E"/>
    <w:lvl w:ilvl="0" w:tplc="2FE4C6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88636912">
    <w:abstractNumId w:val="2"/>
  </w:num>
  <w:num w:numId="2" w16cid:durableId="1209760253">
    <w:abstractNumId w:val="1"/>
  </w:num>
  <w:num w:numId="3" w16cid:durableId="1091390242">
    <w:abstractNumId w:val="0"/>
  </w:num>
  <w:num w:numId="4" w16cid:durableId="883098326">
    <w:abstractNumId w:val="12"/>
  </w:num>
  <w:num w:numId="5" w16cid:durableId="487134880">
    <w:abstractNumId w:val="6"/>
  </w:num>
  <w:num w:numId="6" w16cid:durableId="1489714124">
    <w:abstractNumId w:val="5"/>
  </w:num>
  <w:num w:numId="7" w16cid:durableId="1886521505">
    <w:abstractNumId w:val="13"/>
  </w:num>
  <w:num w:numId="8" w16cid:durableId="1271006291">
    <w:abstractNumId w:val="11"/>
  </w:num>
  <w:num w:numId="9" w16cid:durableId="1659116414">
    <w:abstractNumId w:val="8"/>
  </w:num>
  <w:num w:numId="10" w16cid:durableId="1779835157">
    <w:abstractNumId w:val="14"/>
  </w:num>
  <w:num w:numId="11" w16cid:durableId="1136414142">
    <w:abstractNumId w:val="3"/>
  </w:num>
  <w:num w:numId="12" w16cid:durableId="562180890">
    <w:abstractNumId w:val="15"/>
  </w:num>
  <w:num w:numId="13" w16cid:durableId="50613859">
    <w:abstractNumId w:val="10"/>
  </w:num>
  <w:num w:numId="14" w16cid:durableId="1187451715">
    <w:abstractNumId w:val="4"/>
  </w:num>
  <w:num w:numId="15" w16cid:durableId="756630046">
    <w:abstractNumId w:val="7"/>
  </w:num>
  <w:num w:numId="16" w16cid:durableId="2096515159">
    <w:abstractNumId w:val="6"/>
  </w:num>
  <w:num w:numId="17" w16cid:durableId="38090653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47"/>
    <w:rsid w:val="00002557"/>
    <w:rsid w:val="00016E01"/>
    <w:rsid w:val="0001736F"/>
    <w:rsid w:val="000177FD"/>
    <w:rsid w:val="00017CA1"/>
    <w:rsid w:val="00022D9E"/>
    <w:rsid w:val="00024A9E"/>
    <w:rsid w:val="00031CEE"/>
    <w:rsid w:val="00034C2E"/>
    <w:rsid w:val="000350B4"/>
    <w:rsid w:val="00041E30"/>
    <w:rsid w:val="00053C83"/>
    <w:rsid w:val="000652B0"/>
    <w:rsid w:val="00065795"/>
    <w:rsid w:val="00065F1E"/>
    <w:rsid w:val="00066195"/>
    <w:rsid w:val="00070F74"/>
    <w:rsid w:val="00071ED8"/>
    <w:rsid w:val="00073D19"/>
    <w:rsid w:val="00091F74"/>
    <w:rsid w:val="00093D7A"/>
    <w:rsid w:val="000A350B"/>
    <w:rsid w:val="000A6433"/>
    <w:rsid w:val="000A72E9"/>
    <w:rsid w:val="000C11B3"/>
    <w:rsid w:val="000C1F7A"/>
    <w:rsid w:val="000C65C9"/>
    <w:rsid w:val="000D3236"/>
    <w:rsid w:val="000D7D88"/>
    <w:rsid w:val="000E0C14"/>
    <w:rsid w:val="000F2F47"/>
    <w:rsid w:val="000F334B"/>
    <w:rsid w:val="001047DC"/>
    <w:rsid w:val="00105FF4"/>
    <w:rsid w:val="00112AC2"/>
    <w:rsid w:val="00114E56"/>
    <w:rsid w:val="00115E4B"/>
    <w:rsid w:val="00120FE4"/>
    <w:rsid w:val="00121B1D"/>
    <w:rsid w:val="00127CA7"/>
    <w:rsid w:val="00137738"/>
    <w:rsid w:val="0014121B"/>
    <w:rsid w:val="00143D0E"/>
    <w:rsid w:val="00144B6A"/>
    <w:rsid w:val="00146E8E"/>
    <w:rsid w:val="00152B17"/>
    <w:rsid w:val="00155143"/>
    <w:rsid w:val="001604EE"/>
    <w:rsid w:val="00174C6E"/>
    <w:rsid w:val="001770D8"/>
    <w:rsid w:val="00183F20"/>
    <w:rsid w:val="00185688"/>
    <w:rsid w:val="0019369F"/>
    <w:rsid w:val="001A0734"/>
    <w:rsid w:val="001B29D2"/>
    <w:rsid w:val="001B4168"/>
    <w:rsid w:val="001B7304"/>
    <w:rsid w:val="001C22AC"/>
    <w:rsid w:val="001C3C47"/>
    <w:rsid w:val="001C3D2D"/>
    <w:rsid w:val="001C491D"/>
    <w:rsid w:val="001D2862"/>
    <w:rsid w:val="001F25BB"/>
    <w:rsid w:val="001F401D"/>
    <w:rsid w:val="001F64E4"/>
    <w:rsid w:val="002053FB"/>
    <w:rsid w:val="002072E5"/>
    <w:rsid w:val="00210EA1"/>
    <w:rsid w:val="00212283"/>
    <w:rsid w:val="00214288"/>
    <w:rsid w:val="00216A79"/>
    <w:rsid w:val="00222B42"/>
    <w:rsid w:val="00225294"/>
    <w:rsid w:val="00232A97"/>
    <w:rsid w:val="002350B3"/>
    <w:rsid w:val="002468EE"/>
    <w:rsid w:val="00251F2C"/>
    <w:rsid w:val="00253039"/>
    <w:rsid w:val="002556B7"/>
    <w:rsid w:val="00255906"/>
    <w:rsid w:val="00264B60"/>
    <w:rsid w:val="00272F87"/>
    <w:rsid w:val="002742F2"/>
    <w:rsid w:val="00276BAD"/>
    <w:rsid w:val="00277CDE"/>
    <w:rsid w:val="00296E3B"/>
    <w:rsid w:val="0029745E"/>
    <w:rsid w:val="002A22C8"/>
    <w:rsid w:val="002A30CA"/>
    <w:rsid w:val="002A35A5"/>
    <w:rsid w:val="002A5EDB"/>
    <w:rsid w:val="002C0F6F"/>
    <w:rsid w:val="002C1954"/>
    <w:rsid w:val="002D0904"/>
    <w:rsid w:val="002D42FF"/>
    <w:rsid w:val="002D6096"/>
    <w:rsid w:val="002E090A"/>
    <w:rsid w:val="002E4AB7"/>
    <w:rsid w:val="002F29D0"/>
    <w:rsid w:val="002F38BE"/>
    <w:rsid w:val="00302C24"/>
    <w:rsid w:val="0030364C"/>
    <w:rsid w:val="00316240"/>
    <w:rsid w:val="00316959"/>
    <w:rsid w:val="003172E0"/>
    <w:rsid w:val="00322310"/>
    <w:rsid w:val="00325119"/>
    <w:rsid w:val="003251BF"/>
    <w:rsid w:val="003277EC"/>
    <w:rsid w:val="00331624"/>
    <w:rsid w:val="00333D47"/>
    <w:rsid w:val="00334197"/>
    <w:rsid w:val="00345656"/>
    <w:rsid w:val="00354A5A"/>
    <w:rsid w:val="00365AD9"/>
    <w:rsid w:val="00365FA5"/>
    <w:rsid w:val="0036785A"/>
    <w:rsid w:val="00376052"/>
    <w:rsid w:val="00376D4E"/>
    <w:rsid w:val="00376ED7"/>
    <w:rsid w:val="00380A9E"/>
    <w:rsid w:val="00380DCC"/>
    <w:rsid w:val="00390BBD"/>
    <w:rsid w:val="00395C75"/>
    <w:rsid w:val="003A282C"/>
    <w:rsid w:val="003A4417"/>
    <w:rsid w:val="003A54C9"/>
    <w:rsid w:val="003A5D05"/>
    <w:rsid w:val="003B360A"/>
    <w:rsid w:val="003C6EBA"/>
    <w:rsid w:val="003D1870"/>
    <w:rsid w:val="003D1AE0"/>
    <w:rsid w:val="003D71A3"/>
    <w:rsid w:val="003E2F15"/>
    <w:rsid w:val="003E4F41"/>
    <w:rsid w:val="003E673D"/>
    <w:rsid w:val="003F1A0B"/>
    <w:rsid w:val="003F4238"/>
    <w:rsid w:val="00402801"/>
    <w:rsid w:val="0040731A"/>
    <w:rsid w:val="00412B5C"/>
    <w:rsid w:val="0041361A"/>
    <w:rsid w:val="00414357"/>
    <w:rsid w:val="00420541"/>
    <w:rsid w:val="00430CB8"/>
    <w:rsid w:val="00432002"/>
    <w:rsid w:val="00432367"/>
    <w:rsid w:val="004352AC"/>
    <w:rsid w:val="00436A95"/>
    <w:rsid w:val="004409D8"/>
    <w:rsid w:val="00442EB2"/>
    <w:rsid w:val="0045276C"/>
    <w:rsid w:val="00466C4B"/>
    <w:rsid w:val="004711DB"/>
    <w:rsid w:val="00474226"/>
    <w:rsid w:val="00475F41"/>
    <w:rsid w:val="00481F74"/>
    <w:rsid w:val="00483B35"/>
    <w:rsid w:val="00490529"/>
    <w:rsid w:val="004918FE"/>
    <w:rsid w:val="004973AE"/>
    <w:rsid w:val="004B2F57"/>
    <w:rsid w:val="004B38C0"/>
    <w:rsid w:val="004B469A"/>
    <w:rsid w:val="004B730D"/>
    <w:rsid w:val="004C000D"/>
    <w:rsid w:val="004D1E4C"/>
    <w:rsid w:val="004D2602"/>
    <w:rsid w:val="004D4B7B"/>
    <w:rsid w:val="004D705B"/>
    <w:rsid w:val="004D7EEE"/>
    <w:rsid w:val="004E4180"/>
    <w:rsid w:val="004E60CF"/>
    <w:rsid w:val="004F0118"/>
    <w:rsid w:val="004F1024"/>
    <w:rsid w:val="004F2B48"/>
    <w:rsid w:val="004F59C8"/>
    <w:rsid w:val="00500828"/>
    <w:rsid w:val="00503A6A"/>
    <w:rsid w:val="00510D90"/>
    <w:rsid w:val="00511225"/>
    <w:rsid w:val="005148A7"/>
    <w:rsid w:val="00514E10"/>
    <w:rsid w:val="005213EE"/>
    <w:rsid w:val="00521B04"/>
    <w:rsid w:val="00531A88"/>
    <w:rsid w:val="0054755A"/>
    <w:rsid w:val="00553C3A"/>
    <w:rsid w:val="0055494C"/>
    <w:rsid w:val="0056042C"/>
    <w:rsid w:val="00565119"/>
    <w:rsid w:val="005761BF"/>
    <w:rsid w:val="00584956"/>
    <w:rsid w:val="00585CB0"/>
    <w:rsid w:val="00586391"/>
    <w:rsid w:val="0058771E"/>
    <w:rsid w:val="0059351F"/>
    <w:rsid w:val="005A5899"/>
    <w:rsid w:val="005A74BC"/>
    <w:rsid w:val="005B246A"/>
    <w:rsid w:val="005B35DA"/>
    <w:rsid w:val="005B3FF7"/>
    <w:rsid w:val="005B5193"/>
    <w:rsid w:val="005C2800"/>
    <w:rsid w:val="005D2FC2"/>
    <w:rsid w:val="005E3E6F"/>
    <w:rsid w:val="005F3086"/>
    <w:rsid w:val="005F4AC8"/>
    <w:rsid w:val="00610EE0"/>
    <w:rsid w:val="00611926"/>
    <w:rsid w:val="00613599"/>
    <w:rsid w:val="00614CB6"/>
    <w:rsid w:val="00616729"/>
    <w:rsid w:val="00616B5A"/>
    <w:rsid w:val="00617C4F"/>
    <w:rsid w:val="006203D4"/>
    <w:rsid w:val="006203F2"/>
    <w:rsid w:val="0062215A"/>
    <w:rsid w:val="00625360"/>
    <w:rsid w:val="006347A0"/>
    <w:rsid w:val="00653AEB"/>
    <w:rsid w:val="006571C6"/>
    <w:rsid w:val="00661CAB"/>
    <w:rsid w:val="006726B6"/>
    <w:rsid w:val="006740CB"/>
    <w:rsid w:val="006750DE"/>
    <w:rsid w:val="006910E5"/>
    <w:rsid w:val="00694420"/>
    <w:rsid w:val="00696614"/>
    <w:rsid w:val="006A5D38"/>
    <w:rsid w:val="006A7963"/>
    <w:rsid w:val="006C2845"/>
    <w:rsid w:val="006C4645"/>
    <w:rsid w:val="006E2655"/>
    <w:rsid w:val="006E4105"/>
    <w:rsid w:val="006E7273"/>
    <w:rsid w:val="006F0464"/>
    <w:rsid w:val="006F06B4"/>
    <w:rsid w:val="006F0C5C"/>
    <w:rsid w:val="006F0C5D"/>
    <w:rsid w:val="006F412A"/>
    <w:rsid w:val="006F4B61"/>
    <w:rsid w:val="007026F6"/>
    <w:rsid w:val="0070732A"/>
    <w:rsid w:val="00723958"/>
    <w:rsid w:val="007256B7"/>
    <w:rsid w:val="00730873"/>
    <w:rsid w:val="00730A6F"/>
    <w:rsid w:val="00735DDB"/>
    <w:rsid w:val="00742F0D"/>
    <w:rsid w:val="00745A00"/>
    <w:rsid w:val="00750269"/>
    <w:rsid w:val="00750CF5"/>
    <w:rsid w:val="00754C64"/>
    <w:rsid w:val="0075614D"/>
    <w:rsid w:val="00763246"/>
    <w:rsid w:val="00765A7A"/>
    <w:rsid w:val="00772386"/>
    <w:rsid w:val="0077251E"/>
    <w:rsid w:val="007726BF"/>
    <w:rsid w:val="0077482D"/>
    <w:rsid w:val="007756EB"/>
    <w:rsid w:val="00775877"/>
    <w:rsid w:val="00783D29"/>
    <w:rsid w:val="00790ED4"/>
    <w:rsid w:val="007963F6"/>
    <w:rsid w:val="007A0386"/>
    <w:rsid w:val="007A1BB1"/>
    <w:rsid w:val="007A6C68"/>
    <w:rsid w:val="007B0D09"/>
    <w:rsid w:val="007B0F92"/>
    <w:rsid w:val="007B200D"/>
    <w:rsid w:val="007B303E"/>
    <w:rsid w:val="007B4F8D"/>
    <w:rsid w:val="007B54B5"/>
    <w:rsid w:val="007B6B5F"/>
    <w:rsid w:val="007C363F"/>
    <w:rsid w:val="007D5A5F"/>
    <w:rsid w:val="007E08B7"/>
    <w:rsid w:val="007E373E"/>
    <w:rsid w:val="007F1CF7"/>
    <w:rsid w:val="007F5AC1"/>
    <w:rsid w:val="007F68D5"/>
    <w:rsid w:val="00804474"/>
    <w:rsid w:val="00805545"/>
    <w:rsid w:val="008079A0"/>
    <w:rsid w:val="0082027B"/>
    <w:rsid w:val="00825B9E"/>
    <w:rsid w:val="008310A3"/>
    <w:rsid w:val="008328C7"/>
    <w:rsid w:val="00845E52"/>
    <w:rsid w:val="00851BFE"/>
    <w:rsid w:val="00851DC7"/>
    <w:rsid w:val="00865487"/>
    <w:rsid w:val="00877959"/>
    <w:rsid w:val="008855D4"/>
    <w:rsid w:val="00885EF7"/>
    <w:rsid w:val="00887201"/>
    <w:rsid w:val="00894285"/>
    <w:rsid w:val="00896308"/>
    <w:rsid w:val="008A0746"/>
    <w:rsid w:val="008A0A75"/>
    <w:rsid w:val="008A2C1F"/>
    <w:rsid w:val="008A43E6"/>
    <w:rsid w:val="008A4E43"/>
    <w:rsid w:val="008B268F"/>
    <w:rsid w:val="008B4391"/>
    <w:rsid w:val="008D13D2"/>
    <w:rsid w:val="008E03E1"/>
    <w:rsid w:val="008E5137"/>
    <w:rsid w:val="008F2CF4"/>
    <w:rsid w:val="00902ED8"/>
    <w:rsid w:val="0090611F"/>
    <w:rsid w:val="00906782"/>
    <w:rsid w:val="00907AB1"/>
    <w:rsid w:val="00907CEB"/>
    <w:rsid w:val="00911063"/>
    <w:rsid w:val="009149AE"/>
    <w:rsid w:val="00923FB7"/>
    <w:rsid w:val="009246EE"/>
    <w:rsid w:val="00931134"/>
    <w:rsid w:val="009406C1"/>
    <w:rsid w:val="00940766"/>
    <w:rsid w:val="00954795"/>
    <w:rsid w:val="009560F0"/>
    <w:rsid w:val="00956182"/>
    <w:rsid w:val="00966363"/>
    <w:rsid w:val="009702D2"/>
    <w:rsid w:val="0097395A"/>
    <w:rsid w:val="009761D1"/>
    <w:rsid w:val="009762AC"/>
    <w:rsid w:val="009773E5"/>
    <w:rsid w:val="00984E6E"/>
    <w:rsid w:val="009870A8"/>
    <w:rsid w:val="00987A71"/>
    <w:rsid w:val="009918A1"/>
    <w:rsid w:val="0099313B"/>
    <w:rsid w:val="009951B5"/>
    <w:rsid w:val="009A58F6"/>
    <w:rsid w:val="009A5B21"/>
    <w:rsid w:val="009C252A"/>
    <w:rsid w:val="009C51AD"/>
    <w:rsid w:val="009D10E3"/>
    <w:rsid w:val="009D12C4"/>
    <w:rsid w:val="009E605D"/>
    <w:rsid w:val="009E6538"/>
    <w:rsid w:val="00A023C9"/>
    <w:rsid w:val="00A14D4F"/>
    <w:rsid w:val="00A2416A"/>
    <w:rsid w:val="00A30E1D"/>
    <w:rsid w:val="00A36B51"/>
    <w:rsid w:val="00A44E7E"/>
    <w:rsid w:val="00A47973"/>
    <w:rsid w:val="00A51792"/>
    <w:rsid w:val="00A540BC"/>
    <w:rsid w:val="00A55694"/>
    <w:rsid w:val="00A61D4B"/>
    <w:rsid w:val="00A63390"/>
    <w:rsid w:val="00A70DDC"/>
    <w:rsid w:val="00A751A2"/>
    <w:rsid w:val="00A77C22"/>
    <w:rsid w:val="00A807F1"/>
    <w:rsid w:val="00A80A36"/>
    <w:rsid w:val="00A82264"/>
    <w:rsid w:val="00A94BDA"/>
    <w:rsid w:val="00A9525C"/>
    <w:rsid w:val="00A977D0"/>
    <w:rsid w:val="00AA045A"/>
    <w:rsid w:val="00AC03A4"/>
    <w:rsid w:val="00AC39F1"/>
    <w:rsid w:val="00AC4241"/>
    <w:rsid w:val="00AC5AC2"/>
    <w:rsid w:val="00AD08C2"/>
    <w:rsid w:val="00AD1558"/>
    <w:rsid w:val="00AD226E"/>
    <w:rsid w:val="00AD6D27"/>
    <w:rsid w:val="00AE3CEB"/>
    <w:rsid w:val="00AE58D1"/>
    <w:rsid w:val="00AE5B41"/>
    <w:rsid w:val="00AF6532"/>
    <w:rsid w:val="00B13963"/>
    <w:rsid w:val="00B16B69"/>
    <w:rsid w:val="00B25524"/>
    <w:rsid w:val="00B25552"/>
    <w:rsid w:val="00B2566C"/>
    <w:rsid w:val="00B3233D"/>
    <w:rsid w:val="00B36101"/>
    <w:rsid w:val="00B41112"/>
    <w:rsid w:val="00B41DC1"/>
    <w:rsid w:val="00B42363"/>
    <w:rsid w:val="00B55730"/>
    <w:rsid w:val="00B63D13"/>
    <w:rsid w:val="00B645F0"/>
    <w:rsid w:val="00B64E84"/>
    <w:rsid w:val="00B7218C"/>
    <w:rsid w:val="00B74B50"/>
    <w:rsid w:val="00B77E56"/>
    <w:rsid w:val="00B81306"/>
    <w:rsid w:val="00B8661F"/>
    <w:rsid w:val="00B91EA5"/>
    <w:rsid w:val="00B92378"/>
    <w:rsid w:val="00B9432C"/>
    <w:rsid w:val="00B9474F"/>
    <w:rsid w:val="00B94E43"/>
    <w:rsid w:val="00B94F33"/>
    <w:rsid w:val="00BA03DB"/>
    <w:rsid w:val="00BA3A6F"/>
    <w:rsid w:val="00BA5F35"/>
    <w:rsid w:val="00BB1366"/>
    <w:rsid w:val="00BB29BE"/>
    <w:rsid w:val="00BB6313"/>
    <w:rsid w:val="00BC2245"/>
    <w:rsid w:val="00BC6DCF"/>
    <w:rsid w:val="00BD3068"/>
    <w:rsid w:val="00BD359A"/>
    <w:rsid w:val="00BD39F2"/>
    <w:rsid w:val="00BE0436"/>
    <w:rsid w:val="00BE489D"/>
    <w:rsid w:val="00BE4BB6"/>
    <w:rsid w:val="00BF275F"/>
    <w:rsid w:val="00BF4D5A"/>
    <w:rsid w:val="00C05E3F"/>
    <w:rsid w:val="00C07C44"/>
    <w:rsid w:val="00C11D9E"/>
    <w:rsid w:val="00C1546D"/>
    <w:rsid w:val="00C24C10"/>
    <w:rsid w:val="00C35F0F"/>
    <w:rsid w:val="00C36CEA"/>
    <w:rsid w:val="00C44727"/>
    <w:rsid w:val="00C51D5E"/>
    <w:rsid w:val="00C528EB"/>
    <w:rsid w:val="00C53AEA"/>
    <w:rsid w:val="00C55DE8"/>
    <w:rsid w:val="00C55FB1"/>
    <w:rsid w:val="00C6114C"/>
    <w:rsid w:val="00C61BEF"/>
    <w:rsid w:val="00C70733"/>
    <w:rsid w:val="00C75738"/>
    <w:rsid w:val="00C76FBA"/>
    <w:rsid w:val="00C80DDE"/>
    <w:rsid w:val="00C82B9C"/>
    <w:rsid w:val="00C8351B"/>
    <w:rsid w:val="00C84C35"/>
    <w:rsid w:val="00C92476"/>
    <w:rsid w:val="00CA0F98"/>
    <w:rsid w:val="00CA378B"/>
    <w:rsid w:val="00CA5892"/>
    <w:rsid w:val="00CA7AD4"/>
    <w:rsid w:val="00CB40EE"/>
    <w:rsid w:val="00CC01A8"/>
    <w:rsid w:val="00CC4F68"/>
    <w:rsid w:val="00CD3F89"/>
    <w:rsid w:val="00CE3581"/>
    <w:rsid w:val="00CE4B74"/>
    <w:rsid w:val="00CE5FF9"/>
    <w:rsid w:val="00CF2005"/>
    <w:rsid w:val="00CF4D69"/>
    <w:rsid w:val="00D00619"/>
    <w:rsid w:val="00D0092C"/>
    <w:rsid w:val="00D014AB"/>
    <w:rsid w:val="00D03A34"/>
    <w:rsid w:val="00D04F40"/>
    <w:rsid w:val="00D06CCC"/>
    <w:rsid w:val="00D11AEC"/>
    <w:rsid w:val="00D14644"/>
    <w:rsid w:val="00D14A76"/>
    <w:rsid w:val="00D22379"/>
    <w:rsid w:val="00D260B5"/>
    <w:rsid w:val="00D263A2"/>
    <w:rsid w:val="00D273AA"/>
    <w:rsid w:val="00D2795B"/>
    <w:rsid w:val="00D30141"/>
    <w:rsid w:val="00D33369"/>
    <w:rsid w:val="00D352A4"/>
    <w:rsid w:val="00D35BC8"/>
    <w:rsid w:val="00D36F71"/>
    <w:rsid w:val="00D40B2E"/>
    <w:rsid w:val="00D414A7"/>
    <w:rsid w:val="00D513FB"/>
    <w:rsid w:val="00D52DDF"/>
    <w:rsid w:val="00D53123"/>
    <w:rsid w:val="00D551F9"/>
    <w:rsid w:val="00D61170"/>
    <w:rsid w:val="00D62BBA"/>
    <w:rsid w:val="00D658CC"/>
    <w:rsid w:val="00D67C41"/>
    <w:rsid w:val="00D75032"/>
    <w:rsid w:val="00D76392"/>
    <w:rsid w:val="00D7688C"/>
    <w:rsid w:val="00D81F61"/>
    <w:rsid w:val="00D8448B"/>
    <w:rsid w:val="00D866C5"/>
    <w:rsid w:val="00D93F26"/>
    <w:rsid w:val="00DA16EF"/>
    <w:rsid w:val="00DA1D44"/>
    <w:rsid w:val="00DA2EAD"/>
    <w:rsid w:val="00DA3926"/>
    <w:rsid w:val="00DB12D1"/>
    <w:rsid w:val="00DB5331"/>
    <w:rsid w:val="00DB5640"/>
    <w:rsid w:val="00DC0A60"/>
    <w:rsid w:val="00DD05EB"/>
    <w:rsid w:val="00DD06BF"/>
    <w:rsid w:val="00DD5ED5"/>
    <w:rsid w:val="00DD6536"/>
    <w:rsid w:val="00DE117E"/>
    <w:rsid w:val="00DE1D1C"/>
    <w:rsid w:val="00DE48CF"/>
    <w:rsid w:val="00DE5E18"/>
    <w:rsid w:val="00DF2314"/>
    <w:rsid w:val="00DF3AE0"/>
    <w:rsid w:val="00DF4CCC"/>
    <w:rsid w:val="00DF5B75"/>
    <w:rsid w:val="00E01DD4"/>
    <w:rsid w:val="00E063FA"/>
    <w:rsid w:val="00E06CE8"/>
    <w:rsid w:val="00E07596"/>
    <w:rsid w:val="00E10E75"/>
    <w:rsid w:val="00E116E0"/>
    <w:rsid w:val="00E22B80"/>
    <w:rsid w:val="00E232EF"/>
    <w:rsid w:val="00E407B7"/>
    <w:rsid w:val="00E47A2E"/>
    <w:rsid w:val="00E54FA3"/>
    <w:rsid w:val="00E55518"/>
    <w:rsid w:val="00E55A1A"/>
    <w:rsid w:val="00E602E8"/>
    <w:rsid w:val="00E60BDE"/>
    <w:rsid w:val="00E614EC"/>
    <w:rsid w:val="00E66675"/>
    <w:rsid w:val="00E674DC"/>
    <w:rsid w:val="00E67D1D"/>
    <w:rsid w:val="00E702BA"/>
    <w:rsid w:val="00E76C71"/>
    <w:rsid w:val="00E86F38"/>
    <w:rsid w:val="00EA254F"/>
    <w:rsid w:val="00EA55F8"/>
    <w:rsid w:val="00EA6902"/>
    <w:rsid w:val="00EA7BD9"/>
    <w:rsid w:val="00EB6C6C"/>
    <w:rsid w:val="00EC02D9"/>
    <w:rsid w:val="00EC1EA9"/>
    <w:rsid w:val="00EC69C7"/>
    <w:rsid w:val="00ED638A"/>
    <w:rsid w:val="00EF3303"/>
    <w:rsid w:val="00EF5BAE"/>
    <w:rsid w:val="00EF701C"/>
    <w:rsid w:val="00EF718A"/>
    <w:rsid w:val="00F01849"/>
    <w:rsid w:val="00F023C3"/>
    <w:rsid w:val="00F06FA0"/>
    <w:rsid w:val="00F155A4"/>
    <w:rsid w:val="00F17B9D"/>
    <w:rsid w:val="00F269B3"/>
    <w:rsid w:val="00F40300"/>
    <w:rsid w:val="00F4287D"/>
    <w:rsid w:val="00F45B86"/>
    <w:rsid w:val="00F46A3B"/>
    <w:rsid w:val="00F53C16"/>
    <w:rsid w:val="00F705E0"/>
    <w:rsid w:val="00F84F4A"/>
    <w:rsid w:val="00F90AEB"/>
    <w:rsid w:val="00F90BE9"/>
    <w:rsid w:val="00F93D56"/>
    <w:rsid w:val="00F9669C"/>
    <w:rsid w:val="00FA181E"/>
    <w:rsid w:val="00FA2BE8"/>
    <w:rsid w:val="00FA5362"/>
    <w:rsid w:val="00FB6609"/>
    <w:rsid w:val="00FB69AA"/>
    <w:rsid w:val="00FB7102"/>
    <w:rsid w:val="00FD1AA1"/>
    <w:rsid w:val="00FD2497"/>
    <w:rsid w:val="00FD46A7"/>
    <w:rsid w:val="00FD472B"/>
    <w:rsid w:val="00FE5300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13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D4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53C16"/>
    <w:pPr>
      <w:keepNext/>
      <w:spacing w:before="240" w:after="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3B360A"/>
    <w:pPr>
      <w:keepNext/>
      <w:spacing w:before="240" w:after="6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B3233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">
    <w:name w:val="Heading_4"/>
    <w:basedOn w:val="Normal"/>
    <w:rsid w:val="00333D47"/>
    <w:pPr>
      <w:jc w:val="center"/>
    </w:pPr>
    <w:rPr>
      <w:rFonts w:cs="Arial"/>
      <w:b/>
      <w:sz w:val="28"/>
    </w:rPr>
  </w:style>
  <w:style w:type="paragraph" w:customStyle="1" w:styleId="Heading5">
    <w:name w:val="Heading_5"/>
    <w:basedOn w:val="Normal"/>
    <w:rsid w:val="00333D47"/>
    <w:pPr>
      <w:jc w:val="center"/>
    </w:pPr>
    <w:rPr>
      <w:rFonts w:cs="Arial"/>
      <w:b/>
    </w:rPr>
  </w:style>
  <w:style w:type="paragraph" w:styleId="Header">
    <w:name w:val="header"/>
    <w:basedOn w:val="Normal"/>
    <w:link w:val="HeaderChar"/>
    <w:rsid w:val="00E614EC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E614EC"/>
    <w:pPr>
      <w:tabs>
        <w:tab w:val="center" w:pos="4153"/>
        <w:tab w:val="right" w:pos="8306"/>
      </w:tabs>
    </w:pPr>
    <w:rPr>
      <w:sz w:val="20"/>
    </w:rPr>
  </w:style>
  <w:style w:type="paragraph" w:styleId="ListBullet">
    <w:name w:val="List Bullet"/>
    <w:basedOn w:val="Normal"/>
    <w:uiPriority w:val="99"/>
    <w:rsid w:val="00E614EC"/>
    <w:pPr>
      <w:numPr>
        <w:numId w:val="1"/>
      </w:numPr>
    </w:pPr>
  </w:style>
  <w:style w:type="paragraph" w:styleId="ListBullet2">
    <w:name w:val="List Bullet 2"/>
    <w:basedOn w:val="Normal"/>
    <w:rsid w:val="00E614EC"/>
    <w:pPr>
      <w:numPr>
        <w:numId w:val="2"/>
      </w:numPr>
    </w:pPr>
  </w:style>
  <w:style w:type="paragraph" w:styleId="ListBullet3">
    <w:name w:val="List Bullet 3"/>
    <w:basedOn w:val="Normal"/>
    <w:rsid w:val="00E614EC"/>
    <w:pPr>
      <w:numPr>
        <w:numId w:val="3"/>
      </w:numPr>
    </w:pPr>
  </w:style>
  <w:style w:type="character" w:styleId="PageNumber">
    <w:name w:val="page number"/>
    <w:basedOn w:val="DefaultParagraphFont"/>
    <w:rsid w:val="004D705B"/>
  </w:style>
  <w:style w:type="paragraph" w:styleId="TOC1">
    <w:name w:val="toc 1"/>
    <w:basedOn w:val="Normal"/>
    <w:next w:val="Normal"/>
    <w:autoRedefine/>
    <w:uiPriority w:val="39"/>
    <w:rsid w:val="005A5899"/>
    <w:pPr>
      <w:tabs>
        <w:tab w:val="right" w:leader="dot" w:pos="9736"/>
      </w:tabs>
      <w:spacing w:before="36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rsid w:val="000350B4"/>
    <w:pPr>
      <w:spacing w:before="240" w:after="120"/>
      <w:ind w:left="238"/>
    </w:pPr>
    <w:rPr>
      <w:b/>
    </w:rPr>
  </w:style>
  <w:style w:type="table" w:styleId="TableGrid">
    <w:name w:val="Table Grid"/>
    <w:basedOn w:val="TableNormal"/>
    <w:uiPriority w:val="59"/>
    <w:rsid w:val="00D3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36F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6F71"/>
    <w:rPr>
      <w:sz w:val="20"/>
      <w:szCs w:val="20"/>
    </w:rPr>
  </w:style>
  <w:style w:type="character" w:customStyle="1" w:styleId="CommentTextChar">
    <w:name w:val="Comment Text Char"/>
    <w:link w:val="CommentText"/>
    <w:rsid w:val="00D36F71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36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6F71"/>
    <w:rPr>
      <w:rFonts w:ascii="Tahoma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13599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613599"/>
    <w:pPr>
      <w:ind w:left="480"/>
    </w:pPr>
  </w:style>
  <w:style w:type="character" w:styleId="Hyperlink">
    <w:name w:val="Hyperlink"/>
    <w:uiPriority w:val="99"/>
    <w:unhideWhenUsed/>
    <w:rsid w:val="00613599"/>
    <w:rPr>
      <w:color w:val="0000FF"/>
      <w:u w:val="single"/>
    </w:rPr>
  </w:style>
  <w:style w:type="paragraph" w:styleId="ListParagraph">
    <w:name w:val="List Paragraph"/>
    <w:basedOn w:val="Normal"/>
    <w:qFormat/>
    <w:rsid w:val="007502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7C4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eportTitle">
    <w:name w:val="Report Title"/>
    <w:rsid w:val="00E54FA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055"/>
      </w:tabs>
      <w:spacing w:before="60" w:after="60"/>
      <w:jc w:val="center"/>
    </w:pPr>
    <w:rPr>
      <w:rFonts w:ascii="Arial" w:eastAsia="Arial Unicode MS" w:hAnsi="Arial" w:cs="Arial Unicode MS"/>
      <w:color w:val="000000"/>
      <w:sz w:val="40"/>
      <w:szCs w:val="40"/>
      <w:u w:color="000000"/>
      <w:bdr w:val="nil"/>
      <w:lang w:val="en-US" w:eastAsia="en-US"/>
    </w:rPr>
  </w:style>
  <w:style w:type="paragraph" w:styleId="BodyText">
    <w:name w:val="Body Text"/>
    <w:link w:val="BodyTextChar"/>
    <w:rsid w:val="00E54FA3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54FA3"/>
    <w:rPr>
      <w:rFonts w:ascii="Arial" w:eastAsia="Arial" w:hAnsi="Arial" w:cs="Arial"/>
      <w:color w:val="000000"/>
      <w:sz w:val="24"/>
      <w:szCs w:val="24"/>
      <w:u w:color="000000"/>
      <w:bdr w:val="nil"/>
      <w:lang w:val="en-US" w:eastAsia="en-US"/>
    </w:rPr>
  </w:style>
  <w:style w:type="numbering" w:customStyle="1" w:styleId="ImportedStyle1">
    <w:name w:val="Imported Style 1"/>
    <w:rsid w:val="00E54FA3"/>
    <w:pPr>
      <w:numPr>
        <w:numId w:val="4"/>
      </w:numPr>
    </w:pPr>
  </w:style>
  <w:style w:type="paragraph" w:customStyle="1" w:styleId="Body">
    <w:name w:val="Body"/>
    <w:rsid w:val="00E54F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EBA"/>
    <w:rPr>
      <w:rFonts w:ascii="Arial" w:hAnsi="Arial"/>
      <w:b/>
      <w:bCs/>
      <w:lang w:eastAsia="en-US"/>
    </w:rPr>
  </w:style>
  <w:style w:type="paragraph" w:customStyle="1" w:styleId="Default">
    <w:name w:val="Default"/>
    <w:rsid w:val="007C36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127CA7"/>
    <w:rPr>
      <w:rFonts w:ascii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127CA7"/>
  </w:style>
  <w:style w:type="character" w:styleId="FootnoteReference">
    <w:name w:val="footnote reference"/>
    <w:rsid w:val="00127CA7"/>
    <w:rPr>
      <w:vertAlign w:val="superscript"/>
    </w:rPr>
  </w:style>
  <w:style w:type="character" w:customStyle="1" w:styleId="HeaderChar">
    <w:name w:val="Header Char"/>
    <w:link w:val="Header"/>
    <w:uiPriority w:val="99"/>
    <w:locked/>
    <w:rsid w:val="00127CA7"/>
    <w:rPr>
      <w:rFonts w:ascii="Arial" w:hAnsi="Arial"/>
      <w:szCs w:val="24"/>
      <w:lang w:eastAsia="en-US"/>
    </w:rPr>
  </w:style>
  <w:style w:type="table" w:customStyle="1" w:styleId="TableGrid1">
    <w:name w:val="Table Grid1"/>
    <w:basedOn w:val="TableNormal"/>
    <w:uiPriority w:val="59"/>
    <w:rsid w:val="00E86F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08B7"/>
    <w:rPr>
      <w:color w:val="808080"/>
    </w:rPr>
  </w:style>
  <w:style w:type="character" w:styleId="FollowedHyperlink">
    <w:name w:val="FollowedHyperlink"/>
    <w:basedOn w:val="DefaultParagraphFont"/>
    <w:rsid w:val="00907A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91EA5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610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rsid w:val="00430CB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843B630447B468C06DD39E15283FF" ma:contentTypeVersion="4" ma:contentTypeDescription="Create a new document." ma:contentTypeScope="" ma:versionID="84fad036483e915d2f1adfaf58758981">
  <xsd:schema xmlns:xsd="http://www.w3.org/2001/XMLSchema" xmlns:xs="http://www.w3.org/2001/XMLSchema" xmlns:p="http://schemas.microsoft.com/office/2006/metadata/properties" xmlns:ns2="35a7973e-a2ab-4cb3-9277-3827dddc675e" targetNamespace="http://schemas.microsoft.com/office/2006/metadata/properties" ma:root="true" ma:fieldsID="083cf961b3d5583767eeb73fe121634f" ns2:_="">
    <xsd:import namespace="35a7973e-a2ab-4cb3-9277-3827dddc6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7973e-a2ab-4cb3-9277-3827dddc6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F7C8C-CCD5-4390-84E6-DDCBC70C5D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8F543-2249-432E-A9BA-83DDC5A9E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7973e-a2ab-4cb3-9277-3827dddc6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932EC-E8C7-4E69-97D7-F5864D357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1F3D5-81A2-4607-A90F-652A001BA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13832</CharactersWithSpaces>
  <SharedDoc>false</SharedDoc>
  <HLinks>
    <vt:vector size="168" baseType="variant"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_Toc421265356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_Toc421265355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_Toc421265354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_Toc421265353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_Toc421265352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_Toc421265351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_Toc421265350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_Toc421265349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_Toc421265348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_Toc421265347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_Toc421265346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_Toc421265345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_Toc421265344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_Toc421265343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_Toc421265342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_Toc421265341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_Toc421265340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_Toc421265339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_Toc421265338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_Toc421265337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_Toc421265336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_Toc421265335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_Toc421265334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_Toc421265333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_Toc421265332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_Toc421265331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_Toc421265330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_Toc421265329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2021-10-20T11:52:00Z</dcterms:created>
  <dcterms:modified xsi:type="dcterms:W3CDTF">2022-10-18T15:44:00Z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0x0101008E1843B630447B468C06DD39E15283FF</vt:lpwstr>
  </property>
</Properties>
</file>