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5801" w14:textId="77777777" w:rsidR="00D96CE1" w:rsidRDefault="00D96CE1" w:rsidP="00D96CE1">
      <w:pPr>
        <w:rPr>
          <w:sz w:val="24"/>
          <w:szCs w:val="24"/>
        </w:rPr>
      </w:pPr>
    </w:p>
    <w:p w14:paraId="1CD6DE34" w14:textId="77777777" w:rsidR="00D96CE1" w:rsidRPr="00326DCC" w:rsidRDefault="00D96CE1" w:rsidP="00D96CE1">
      <w:pPr>
        <w:jc w:val="center"/>
        <w:rPr>
          <w:b/>
          <w:sz w:val="28"/>
          <w:szCs w:val="24"/>
        </w:rPr>
      </w:pPr>
      <w:r w:rsidRPr="00326DCC">
        <w:rPr>
          <w:b/>
          <w:sz w:val="28"/>
          <w:szCs w:val="24"/>
        </w:rPr>
        <w:t>Objective</w:t>
      </w:r>
    </w:p>
    <w:p w14:paraId="79215B38" w14:textId="6373E1FA" w:rsidR="0046073C" w:rsidRDefault="0046073C" w:rsidP="00D96CE1">
      <w:pPr>
        <w:spacing w:before="240"/>
        <w:jc w:val="center"/>
      </w:pPr>
      <w:r>
        <w:t xml:space="preserve">The purpose of this specification is to define the NHSBT’s Clinical Biotechnology Centre user requirements for the provision of commercially available </w:t>
      </w:r>
      <w:r w:rsidR="00F621D9">
        <w:t xml:space="preserve">sterile, </w:t>
      </w:r>
      <w:r w:rsidR="00A32D0C">
        <w:t>pharmaceutical grade plastic vials and consumables compatible with an Aseptic Technologies Filling Line for the Fill and Finish of GMP grade Investigational Medicinal Products</w:t>
      </w:r>
      <w:r>
        <w:t>.</w:t>
      </w:r>
    </w:p>
    <w:p w14:paraId="693649A4" w14:textId="6D4131D3" w:rsidR="00D96CE1" w:rsidRPr="00326DCC" w:rsidRDefault="00D96CE1" w:rsidP="00D96CE1">
      <w:pPr>
        <w:spacing w:before="240"/>
        <w:jc w:val="center"/>
        <w:rPr>
          <w:b/>
          <w:sz w:val="24"/>
          <w:szCs w:val="24"/>
        </w:rPr>
      </w:pPr>
      <w:r w:rsidRPr="00326DCC">
        <w:rPr>
          <w:b/>
          <w:sz w:val="24"/>
          <w:szCs w:val="24"/>
        </w:rPr>
        <w:t>Changes in this version</w:t>
      </w:r>
    </w:p>
    <w:p w14:paraId="62B3FE67" w14:textId="64EA7EB7" w:rsidR="00D96CE1" w:rsidRPr="00326DCC" w:rsidRDefault="006C327A" w:rsidP="00D96CE1">
      <w:pPr>
        <w:spacing w:after="160"/>
        <w:jc w:val="center"/>
        <w:rPr>
          <w:szCs w:val="24"/>
        </w:rPr>
      </w:pPr>
      <w:r>
        <w:rPr>
          <w:szCs w:val="24"/>
        </w:rPr>
        <w:t>New document</w:t>
      </w:r>
    </w:p>
    <w:p w14:paraId="2E33AFDA" w14:textId="77777777" w:rsidR="00D96CE1" w:rsidRPr="00D96CE1" w:rsidRDefault="00D96CE1" w:rsidP="00D96CE1">
      <w:pPr>
        <w:spacing w:line="259" w:lineRule="auto"/>
      </w:pPr>
    </w:p>
    <w:p w14:paraId="50B1E54E" w14:textId="1105B495" w:rsidR="0060183F" w:rsidRDefault="0060183F" w:rsidP="0060183F">
      <w:pPr>
        <w:rPr>
          <w:b/>
          <w:sz w:val="24"/>
        </w:rPr>
      </w:pPr>
      <w:r w:rsidRPr="0060183F">
        <w:rPr>
          <w:b/>
          <w:sz w:val="24"/>
        </w:rPr>
        <w:t>Requirements</w:t>
      </w:r>
    </w:p>
    <w:p w14:paraId="53B6B2C8" w14:textId="5BE270F0" w:rsidR="0060183F" w:rsidRDefault="0060183F" w:rsidP="0060183F">
      <w:pPr>
        <w:rPr>
          <w:rFonts w:cs="Arial"/>
          <w:b/>
        </w:rPr>
      </w:pPr>
    </w:p>
    <w:p w14:paraId="2EEABA3E" w14:textId="7DF7A07B" w:rsidR="0046073C" w:rsidRPr="0046073C" w:rsidRDefault="0046073C" w:rsidP="0063595D">
      <w:pPr>
        <w:pStyle w:val="ListParagraph"/>
        <w:numPr>
          <w:ilvl w:val="0"/>
          <w:numId w:val="23"/>
        </w:numPr>
        <w:ind w:left="284" w:hanging="284"/>
        <w:rPr>
          <w:b/>
          <w:bCs/>
        </w:rPr>
      </w:pPr>
      <w:r w:rsidRPr="0046073C">
        <w:rPr>
          <w:b/>
          <w:bCs/>
        </w:rPr>
        <w:t xml:space="preserve">Introduction </w:t>
      </w:r>
    </w:p>
    <w:p w14:paraId="18C7C78D" w14:textId="77777777" w:rsidR="0046073C" w:rsidRPr="0046073C" w:rsidRDefault="0046073C" w:rsidP="0046073C">
      <w:pPr>
        <w:pStyle w:val="ListParagraph"/>
        <w:rPr>
          <w:rFonts w:cs="Arial"/>
          <w:b/>
        </w:rPr>
      </w:pPr>
    </w:p>
    <w:p w14:paraId="4B2CE018" w14:textId="65B2ECFA" w:rsidR="00D96CE1" w:rsidRDefault="0046073C" w:rsidP="00974BD7">
      <w:pPr>
        <w:rPr>
          <w:b/>
          <w:sz w:val="2"/>
          <w:szCs w:val="2"/>
        </w:rPr>
      </w:pPr>
      <w:r>
        <w:t xml:space="preserve">This document was generated by the NHSBT’s Clinical Biotechnology Centre (CBC) for the purpose of specifying the user requirements for </w:t>
      </w:r>
      <w:r w:rsidR="00B41EF3">
        <w:t>sterile</w:t>
      </w:r>
      <w:r>
        <w:t>,</w:t>
      </w:r>
      <w:r w:rsidR="00B41EF3">
        <w:t xml:space="preserve"> pharmaceutical grade plastic vials </w:t>
      </w:r>
      <w:r w:rsidR="0090562C">
        <w:t>and consumables</w:t>
      </w:r>
      <w:r w:rsidR="003E2BAC">
        <w:t xml:space="preserve"> </w:t>
      </w:r>
      <w:r w:rsidR="00B41EF3">
        <w:t xml:space="preserve">compatible with an Aseptic Technologies Filling Line </w:t>
      </w:r>
      <w:r w:rsidR="00035A24">
        <w:t xml:space="preserve">located </w:t>
      </w:r>
      <w:r w:rsidR="00B41EF3">
        <w:t xml:space="preserve">within </w:t>
      </w:r>
      <w:r w:rsidR="00035A24">
        <w:t xml:space="preserve">the </w:t>
      </w:r>
      <w:r w:rsidR="00B41EF3">
        <w:t>clas</w:t>
      </w:r>
      <w:r>
        <w:t>sified clean rooms. The CBC has an MHRA licence for the manufacture of sterile investigational medicinal gene therapy</w:t>
      </w:r>
      <w:r w:rsidR="00DA407E">
        <w:t xml:space="preserve">, </w:t>
      </w:r>
      <w:r>
        <w:t xml:space="preserve">recombinant protein products </w:t>
      </w:r>
      <w:r w:rsidR="00DA407E">
        <w:t xml:space="preserve">and recombinant viral vectors </w:t>
      </w:r>
      <w:r>
        <w:t xml:space="preserve">for clinical trials. The intended use of the consumables is for the </w:t>
      </w:r>
      <w:r w:rsidR="00B41EF3">
        <w:t xml:space="preserve">GMP Fill and Finish </w:t>
      </w:r>
      <w:r>
        <w:t>GMP of these types of products</w:t>
      </w:r>
      <w:r w:rsidR="00035A24">
        <w:t>.</w:t>
      </w:r>
    </w:p>
    <w:p w14:paraId="49B70FC5" w14:textId="77777777" w:rsidR="001776A0" w:rsidRPr="00D96CE1" w:rsidRDefault="001776A0" w:rsidP="00D96CE1">
      <w:pPr>
        <w:spacing w:before="240"/>
        <w:rPr>
          <w:b/>
          <w:sz w:val="2"/>
          <w:szCs w:val="2"/>
        </w:rPr>
      </w:pPr>
    </w:p>
    <w:p w14:paraId="073BD22C" w14:textId="3ECFA0CE" w:rsidR="006D20A7" w:rsidRDefault="0063595D" w:rsidP="006D20A7">
      <w:pPr>
        <w:pStyle w:val="ListParagraph"/>
        <w:numPr>
          <w:ilvl w:val="0"/>
          <w:numId w:val="23"/>
        </w:numPr>
        <w:ind w:left="284" w:hanging="284"/>
        <w:rPr>
          <w:b/>
          <w:bCs/>
        </w:rPr>
      </w:pPr>
      <w:r w:rsidRPr="006D20A7">
        <w:rPr>
          <w:b/>
          <w:bCs/>
        </w:rPr>
        <w:t>Technical Specification</w:t>
      </w:r>
    </w:p>
    <w:p w14:paraId="3E58CBDD" w14:textId="3121BDBF" w:rsidR="00FE4F19" w:rsidRDefault="00FE4F19" w:rsidP="00FE4F19">
      <w:pPr>
        <w:pStyle w:val="ListParagraph"/>
        <w:ind w:left="284"/>
        <w:rPr>
          <w:b/>
          <w:bCs/>
        </w:rPr>
      </w:pPr>
    </w:p>
    <w:p w14:paraId="7679212C" w14:textId="34E473D0" w:rsidR="00FE4F19" w:rsidRPr="001E2BB6" w:rsidRDefault="00FE4F19" w:rsidP="00FE4F19">
      <w:pPr>
        <w:pStyle w:val="ListParagraph"/>
        <w:ind w:left="284"/>
        <w:rPr>
          <w:b/>
          <w:bCs/>
          <w:i/>
          <w:iCs/>
        </w:rPr>
      </w:pPr>
      <w:r w:rsidRPr="001E2BB6">
        <w:rPr>
          <w:b/>
          <w:bCs/>
          <w:i/>
          <w:iCs/>
        </w:rPr>
        <w:t>Pharmaceutical Grade Vial</w:t>
      </w:r>
    </w:p>
    <w:p w14:paraId="019D5FB8" w14:textId="77777777" w:rsidR="00B67ABA" w:rsidRDefault="00B67ABA" w:rsidP="006F69C3">
      <w:pPr>
        <w:rPr>
          <w:b/>
          <w:bCs/>
        </w:rPr>
      </w:pPr>
    </w:p>
    <w:p w14:paraId="763A8E84" w14:textId="24DBE4E3" w:rsidR="00757787" w:rsidRDefault="00F475A1" w:rsidP="006F69C3">
      <w:pPr>
        <w:pStyle w:val="ListParagraph"/>
        <w:numPr>
          <w:ilvl w:val="1"/>
          <w:numId w:val="23"/>
        </w:numPr>
        <w:ind w:left="426" w:hanging="426"/>
      </w:pPr>
      <w:r>
        <w:t>MUST be a</w:t>
      </w:r>
      <w:r w:rsidR="009A484E">
        <w:t>vailable a</w:t>
      </w:r>
      <w:r w:rsidR="00261F52">
        <w:t>s a</w:t>
      </w:r>
      <w:r>
        <w:t xml:space="preserve"> </w:t>
      </w:r>
      <w:r w:rsidR="00757787">
        <w:t xml:space="preserve">Closed Plastic Vial </w:t>
      </w:r>
      <w:r w:rsidR="00311C95">
        <w:t xml:space="preserve">Ready-to-Fill container </w:t>
      </w:r>
      <w:r w:rsidR="00757787">
        <w:t>format with stopper.</w:t>
      </w:r>
    </w:p>
    <w:p w14:paraId="53F6BC3A" w14:textId="77777777" w:rsidR="00757787" w:rsidRDefault="00757787" w:rsidP="00757787">
      <w:pPr>
        <w:pStyle w:val="ListParagraph"/>
        <w:ind w:left="426"/>
      </w:pPr>
    </w:p>
    <w:p w14:paraId="679446DF" w14:textId="433B30DC" w:rsidR="00757787" w:rsidRDefault="00757787" w:rsidP="006F69C3">
      <w:pPr>
        <w:pStyle w:val="ListParagraph"/>
        <w:numPr>
          <w:ilvl w:val="1"/>
          <w:numId w:val="23"/>
        </w:numPr>
        <w:ind w:left="426" w:hanging="426"/>
      </w:pPr>
      <w:r>
        <w:t xml:space="preserve">MUST be available </w:t>
      </w:r>
      <w:r w:rsidR="00AE2BDF">
        <w:t xml:space="preserve">over a range of fill volumes such as </w:t>
      </w:r>
      <w:r>
        <w:t>1 mL</w:t>
      </w:r>
      <w:r w:rsidR="00AE2BDF">
        <w:t>, 2 mL, 10 mL, 20 mL</w:t>
      </w:r>
      <w:r>
        <w:t xml:space="preserve"> to 50 mL fill Volumes.</w:t>
      </w:r>
    </w:p>
    <w:p w14:paraId="5A263C9C" w14:textId="77777777" w:rsidR="00757787" w:rsidRDefault="00757787" w:rsidP="00757787">
      <w:pPr>
        <w:pStyle w:val="ListParagraph"/>
      </w:pPr>
    </w:p>
    <w:p w14:paraId="5700F0E4" w14:textId="65A538F7" w:rsidR="00757787" w:rsidRDefault="00757787" w:rsidP="006F69C3">
      <w:pPr>
        <w:pStyle w:val="ListParagraph"/>
        <w:numPr>
          <w:ilvl w:val="1"/>
          <w:numId w:val="23"/>
        </w:numPr>
        <w:ind w:left="426" w:hanging="426"/>
      </w:pPr>
      <w:r>
        <w:t>MUST be available as clea</w:t>
      </w:r>
      <w:r w:rsidR="00E45236">
        <w:t>r vials.</w:t>
      </w:r>
    </w:p>
    <w:p w14:paraId="77916C01" w14:textId="77777777" w:rsidR="00F10D39" w:rsidRDefault="00F10D39" w:rsidP="00F10D39">
      <w:pPr>
        <w:pStyle w:val="ListParagraph"/>
      </w:pPr>
    </w:p>
    <w:p w14:paraId="0E874C93" w14:textId="5921722C" w:rsidR="00F10D39" w:rsidRDefault="00F10D39" w:rsidP="006F69C3">
      <w:pPr>
        <w:pStyle w:val="ListParagraph"/>
        <w:numPr>
          <w:ilvl w:val="1"/>
          <w:numId w:val="23"/>
        </w:numPr>
        <w:ind w:left="426" w:hanging="426"/>
      </w:pPr>
      <w:r>
        <w:t>MUST be available with a sterile cap for capping post-filling.</w:t>
      </w:r>
    </w:p>
    <w:p w14:paraId="5B668D3A" w14:textId="77777777" w:rsidR="00CA6E64" w:rsidRDefault="00CA6E64" w:rsidP="00CA6E64">
      <w:pPr>
        <w:pStyle w:val="ListParagraph"/>
      </w:pPr>
    </w:p>
    <w:p w14:paraId="42A8A8F5" w14:textId="7879537D" w:rsidR="00CA6E64" w:rsidRDefault="00CA6E64" w:rsidP="006F69C3">
      <w:pPr>
        <w:pStyle w:val="ListParagraph"/>
        <w:numPr>
          <w:ilvl w:val="1"/>
          <w:numId w:val="23"/>
        </w:numPr>
        <w:ind w:left="426" w:hanging="426"/>
      </w:pPr>
      <w:r>
        <w:t>Stopper MUST be capable of being resealed using a laser for integrity post-filling.</w:t>
      </w:r>
    </w:p>
    <w:p w14:paraId="3E6FC12A" w14:textId="77777777" w:rsidR="00757787" w:rsidRDefault="00757787" w:rsidP="00757787">
      <w:pPr>
        <w:pStyle w:val="ListParagraph"/>
      </w:pPr>
    </w:p>
    <w:p w14:paraId="23E48F41" w14:textId="61CB7D1D" w:rsidR="0079318E" w:rsidRDefault="0079318E" w:rsidP="00757787">
      <w:pPr>
        <w:pStyle w:val="ListParagraph"/>
        <w:numPr>
          <w:ilvl w:val="1"/>
          <w:numId w:val="23"/>
        </w:numPr>
        <w:ind w:left="426" w:hanging="426"/>
      </w:pPr>
      <w:r>
        <w:t xml:space="preserve">Materials selected for the product contact parts MUST meet United States Pharmacopoeia and European Pharmacopoeia requirements for the pharmaceutical industry primary container. </w:t>
      </w:r>
    </w:p>
    <w:p w14:paraId="4572A7E6" w14:textId="77777777" w:rsidR="00E000CA" w:rsidRDefault="00E000CA" w:rsidP="00E000CA">
      <w:pPr>
        <w:pStyle w:val="ListParagraph"/>
      </w:pPr>
    </w:p>
    <w:p w14:paraId="568B9F7F" w14:textId="5EB26B1B" w:rsidR="00E000CA" w:rsidRDefault="00E000CA" w:rsidP="00757787">
      <w:pPr>
        <w:pStyle w:val="ListParagraph"/>
        <w:numPr>
          <w:ilvl w:val="1"/>
          <w:numId w:val="23"/>
        </w:numPr>
        <w:ind w:left="426" w:hanging="426"/>
      </w:pPr>
      <w:r>
        <w:t xml:space="preserve">MUST be able to tolerate low temperature storage of below – 65 </w:t>
      </w:r>
      <w:r>
        <w:rPr>
          <w:rFonts w:cs="Arial"/>
        </w:rPr>
        <w:t>°</w:t>
      </w:r>
      <w:r>
        <w:t>C.</w:t>
      </w:r>
    </w:p>
    <w:p w14:paraId="5F160F87" w14:textId="77777777" w:rsidR="005A0A71" w:rsidRDefault="005A0A71" w:rsidP="005A0A71">
      <w:pPr>
        <w:pStyle w:val="ListParagraph"/>
      </w:pPr>
    </w:p>
    <w:p w14:paraId="690DD0EC" w14:textId="77777777" w:rsidR="005A0A71" w:rsidRDefault="005A0A71" w:rsidP="005A0A71">
      <w:pPr>
        <w:pStyle w:val="ListParagraph"/>
        <w:numPr>
          <w:ilvl w:val="1"/>
          <w:numId w:val="23"/>
        </w:numPr>
        <w:ind w:left="426" w:hanging="426"/>
      </w:pPr>
      <w:r>
        <w:t>T</w:t>
      </w:r>
      <w:r>
        <w:t xml:space="preserve">he Packaged vials </w:t>
      </w:r>
      <w:r>
        <w:t>MUST be double bagged</w:t>
      </w:r>
      <w:r>
        <w:t>.</w:t>
      </w:r>
    </w:p>
    <w:p w14:paraId="5214DFB3" w14:textId="77777777" w:rsidR="005A0A71" w:rsidRDefault="005A0A71" w:rsidP="005A0A71">
      <w:pPr>
        <w:pStyle w:val="ListParagraph"/>
      </w:pPr>
    </w:p>
    <w:p w14:paraId="3D74CD09" w14:textId="08A885AB" w:rsidR="005A0A71" w:rsidRDefault="005A0A71" w:rsidP="005A0A71">
      <w:pPr>
        <w:pStyle w:val="ListParagraph"/>
        <w:numPr>
          <w:ilvl w:val="1"/>
          <w:numId w:val="23"/>
        </w:numPr>
        <w:ind w:left="426" w:hanging="426"/>
      </w:pPr>
      <w:r>
        <w:t xml:space="preserve">MUST be Certified as sterile </w:t>
      </w:r>
      <w:r>
        <w:t>by gamma irradiation.</w:t>
      </w:r>
    </w:p>
    <w:p w14:paraId="44EAB879" w14:textId="77777777" w:rsidR="005A0A71" w:rsidRDefault="005A0A71" w:rsidP="005A0A71">
      <w:pPr>
        <w:pStyle w:val="ListParagraph"/>
      </w:pPr>
    </w:p>
    <w:p w14:paraId="3770D556" w14:textId="77777777" w:rsidR="00FE4F19" w:rsidRDefault="00FE4F19" w:rsidP="00FE4F19">
      <w:pPr>
        <w:pStyle w:val="ListParagraph"/>
      </w:pPr>
    </w:p>
    <w:p w14:paraId="5399341B" w14:textId="316A9875" w:rsidR="00FE4F19" w:rsidRPr="001E2BB6" w:rsidRDefault="00FE4F19" w:rsidP="00FE4F19">
      <w:pPr>
        <w:pStyle w:val="ListParagraph"/>
        <w:ind w:left="426"/>
        <w:rPr>
          <w:b/>
          <w:bCs/>
          <w:i/>
          <w:iCs/>
        </w:rPr>
      </w:pPr>
      <w:r w:rsidRPr="001E2BB6">
        <w:rPr>
          <w:b/>
          <w:bCs/>
          <w:i/>
          <w:iCs/>
        </w:rPr>
        <w:t xml:space="preserve">Filling </w:t>
      </w:r>
      <w:r w:rsidR="008717B2">
        <w:rPr>
          <w:b/>
          <w:bCs/>
          <w:i/>
          <w:iCs/>
        </w:rPr>
        <w:t>Kit</w:t>
      </w:r>
      <w:r w:rsidR="00646C0B">
        <w:rPr>
          <w:b/>
          <w:bCs/>
          <w:i/>
          <w:iCs/>
        </w:rPr>
        <w:t xml:space="preserve"> (Needle and assembly)</w:t>
      </w:r>
    </w:p>
    <w:p w14:paraId="2B6B9BCC" w14:textId="77777777" w:rsidR="00FE4F19" w:rsidRDefault="00FE4F19" w:rsidP="00FE4F19">
      <w:pPr>
        <w:pStyle w:val="ListParagraph"/>
      </w:pPr>
    </w:p>
    <w:p w14:paraId="219ADCF8" w14:textId="4D1BD2C9" w:rsidR="00646C0B" w:rsidRDefault="00646C0B" w:rsidP="00646C0B">
      <w:pPr>
        <w:pStyle w:val="ListParagraph"/>
        <w:numPr>
          <w:ilvl w:val="1"/>
          <w:numId w:val="23"/>
        </w:numPr>
        <w:ind w:left="426" w:hanging="426"/>
      </w:pPr>
      <w:r>
        <w:t xml:space="preserve">Needle </w:t>
      </w:r>
      <w:r w:rsidR="00CA6E64">
        <w:t xml:space="preserve">MUST </w:t>
      </w:r>
      <w:r>
        <w:t>be designed and compatible with the Aseptic Technologies Filling Line</w:t>
      </w:r>
    </w:p>
    <w:p w14:paraId="3F7247CE" w14:textId="77777777" w:rsidR="00646C0B" w:rsidRDefault="00646C0B" w:rsidP="00646C0B">
      <w:pPr>
        <w:pStyle w:val="ListParagraph"/>
        <w:ind w:left="426"/>
      </w:pPr>
    </w:p>
    <w:p w14:paraId="7CED01D1" w14:textId="11816E5D" w:rsidR="00FE4F19" w:rsidRDefault="00646C0B" w:rsidP="00646C0B">
      <w:pPr>
        <w:pStyle w:val="ListParagraph"/>
        <w:numPr>
          <w:ilvl w:val="1"/>
          <w:numId w:val="23"/>
        </w:numPr>
        <w:ind w:left="426" w:hanging="426"/>
      </w:pPr>
      <w:r>
        <w:t xml:space="preserve"> Needle MUST be stainless steel 316L, pencil tip with a diameter of 2.0 to 3.1 mm.</w:t>
      </w:r>
    </w:p>
    <w:p w14:paraId="49A2B04B" w14:textId="77777777" w:rsidR="00646C0B" w:rsidRDefault="00646C0B" w:rsidP="00646C0B">
      <w:pPr>
        <w:pStyle w:val="ListParagraph"/>
      </w:pPr>
    </w:p>
    <w:p w14:paraId="2D73AC38" w14:textId="022CE75B" w:rsidR="00646C0B" w:rsidRDefault="00646C0B" w:rsidP="00646C0B">
      <w:pPr>
        <w:pStyle w:val="ListParagraph"/>
        <w:numPr>
          <w:ilvl w:val="1"/>
          <w:numId w:val="23"/>
        </w:numPr>
        <w:ind w:left="426" w:hanging="426"/>
      </w:pPr>
      <w:r>
        <w:t>Needle MUST be non-coring</w:t>
      </w:r>
    </w:p>
    <w:p w14:paraId="123FEB11" w14:textId="77777777" w:rsidR="00646C0B" w:rsidRDefault="00646C0B" w:rsidP="00646C0B">
      <w:pPr>
        <w:pStyle w:val="ListParagraph"/>
      </w:pPr>
    </w:p>
    <w:p w14:paraId="0FB44822" w14:textId="505BE3FB" w:rsidR="00646C0B" w:rsidRDefault="00646C0B" w:rsidP="00646C0B">
      <w:pPr>
        <w:pStyle w:val="ListParagraph"/>
        <w:numPr>
          <w:ilvl w:val="1"/>
          <w:numId w:val="23"/>
        </w:numPr>
        <w:ind w:left="426" w:hanging="426"/>
      </w:pPr>
      <w:r>
        <w:t>Needle MUST allow the lateral injection of the liquid</w:t>
      </w:r>
    </w:p>
    <w:p w14:paraId="45D4AD56" w14:textId="77777777" w:rsidR="00646C0B" w:rsidRDefault="00646C0B" w:rsidP="00646C0B">
      <w:pPr>
        <w:pStyle w:val="ListParagraph"/>
      </w:pPr>
    </w:p>
    <w:p w14:paraId="7045EE52" w14:textId="0EAD871D" w:rsidR="00646C0B" w:rsidRDefault="00646C0B" w:rsidP="00646C0B">
      <w:pPr>
        <w:pStyle w:val="ListParagraph"/>
        <w:numPr>
          <w:ilvl w:val="1"/>
          <w:numId w:val="23"/>
        </w:numPr>
        <w:ind w:left="426" w:hanging="426"/>
      </w:pPr>
      <w:r>
        <w:t>Needle MUST have side grooves to avoid over-pressure during filling</w:t>
      </w:r>
    </w:p>
    <w:p w14:paraId="523033F0" w14:textId="77777777" w:rsidR="00646C0B" w:rsidRDefault="00646C0B" w:rsidP="00646C0B">
      <w:pPr>
        <w:pStyle w:val="ListParagraph"/>
      </w:pPr>
    </w:p>
    <w:p w14:paraId="32250B53" w14:textId="7B47D72B" w:rsidR="00646C0B" w:rsidRDefault="00646C0B" w:rsidP="00646C0B">
      <w:pPr>
        <w:pStyle w:val="ListParagraph"/>
        <w:numPr>
          <w:ilvl w:val="1"/>
          <w:numId w:val="23"/>
        </w:numPr>
        <w:ind w:left="426" w:hanging="426"/>
      </w:pPr>
      <w:r>
        <w:t>Assembly MUST be customisable to allow connection of various elements such as filters, connection and tubing etc.</w:t>
      </w:r>
    </w:p>
    <w:p w14:paraId="114AD63B" w14:textId="77777777" w:rsidR="00646C0B" w:rsidRDefault="00646C0B" w:rsidP="00646C0B">
      <w:pPr>
        <w:pStyle w:val="ListParagraph"/>
      </w:pPr>
    </w:p>
    <w:p w14:paraId="0E168722" w14:textId="1C2A267F" w:rsidR="00646C0B" w:rsidRDefault="00646C0B" w:rsidP="00646C0B">
      <w:pPr>
        <w:pStyle w:val="ListParagraph"/>
        <w:numPr>
          <w:ilvl w:val="1"/>
          <w:numId w:val="23"/>
        </w:numPr>
        <w:ind w:left="426" w:hanging="426"/>
      </w:pPr>
      <w:r>
        <w:t>The Filling Kit MUST be double bagged and sterilised by gamma irradiation.</w:t>
      </w:r>
    </w:p>
    <w:p w14:paraId="44BAADDB" w14:textId="77777777" w:rsidR="00482B76" w:rsidRDefault="00482B76" w:rsidP="00482B76">
      <w:pPr>
        <w:pStyle w:val="ListParagraph"/>
      </w:pPr>
    </w:p>
    <w:p w14:paraId="1813A557" w14:textId="28AF8DF9" w:rsidR="00482B76" w:rsidRDefault="00482B76" w:rsidP="00646C0B">
      <w:pPr>
        <w:pStyle w:val="ListParagraph"/>
        <w:numPr>
          <w:ilvl w:val="1"/>
          <w:numId w:val="23"/>
        </w:numPr>
        <w:ind w:left="426" w:hanging="426"/>
      </w:pPr>
      <w:r>
        <w:t xml:space="preserve">MUST </w:t>
      </w:r>
      <w:r w:rsidR="00281834">
        <w:t xml:space="preserve">be </w:t>
      </w:r>
      <w:r>
        <w:t>supplied with a Certificate of Conformity</w:t>
      </w:r>
      <w:r w:rsidR="00281834">
        <w:t xml:space="preserve"> and approved by a Qualified Person</w:t>
      </w:r>
      <w:r>
        <w:t>.</w:t>
      </w:r>
    </w:p>
    <w:p w14:paraId="31A64305" w14:textId="26F1F26B" w:rsidR="006F69C3" w:rsidRDefault="006F69C3" w:rsidP="006F69C3"/>
    <w:p w14:paraId="07E6C9C7" w14:textId="1CFA9889" w:rsidR="006D20A7" w:rsidRPr="006D20A7" w:rsidRDefault="006D20A7" w:rsidP="006D20A7">
      <w:pPr>
        <w:pStyle w:val="ListParagraph"/>
        <w:numPr>
          <w:ilvl w:val="0"/>
          <w:numId w:val="23"/>
        </w:numPr>
        <w:ind w:left="284" w:hanging="284"/>
        <w:rPr>
          <w:b/>
          <w:bCs/>
        </w:rPr>
      </w:pPr>
      <w:r w:rsidRPr="006D20A7">
        <w:rPr>
          <w:b/>
          <w:bCs/>
        </w:rPr>
        <w:t xml:space="preserve">Manufacturing Specification </w:t>
      </w:r>
    </w:p>
    <w:p w14:paraId="5915A0AA" w14:textId="77777777" w:rsidR="006D20A7" w:rsidRDefault="006D20A7" w:rsidP="006D20A7"/>
    <w:p w14:paraId="4802C8AF" w14:textId="3886E404" w:rsidR="00B67ABA" w:rsidRDefault="00661886" w:rsidP="006A0F3B">
      <w:pPr>
        <w:pStyle w:val="ListParagraph"/>
        <w:numPr>
          <w:ilvl w:val="1"/>
          <w:numId w:val="23"/>
        </w:numPr>
        <w:ind w:left="426" w:hanging="426"/>
      </w:pPr>
      <w:r>
        <w:t>MUST</w:t>
      </w:r>
      <w:r w:rsidR="006D20A7">
        <w:t xml:space="preserve"> be manufactured in a clean environment such as a clean room</w:t>
      </w:r>
      <w:r w:rsidR="00C718F2">
        <w:t>.</w:t>
      </w:r>
    </w:p>
    <w:p w14:paraId="1633D4F5" w14:textId="77777777" w:rsidR="00B67ABA" w:rsidRDefault="00B67ABA" w:rsidP="00B67ABA">
      <w:pPr>
        <w:pStyle w:val="ListParagraph"/>
        <w:ind w:left="426"/>
      </w:pPr>
    </w:p>
    <w:p w14:paraId="0C6C6F9E" w14:textId="094279F6" w:rsidR="00B67ABA" w:rsidRDefault="006A0F3B" w:rsidP="006F68E0">
      <w:pPr>
        <w:pStyle w:val="ListParagraph"/>
        <w:numPr>
          <w:ilvl w:val="1"/>
          <w:numId w:val="23"/>
        </w:numPr>
        <w:ind w:left="426" w:hanging="426"/>
      </w:pPr>
      <w:r>
        <w:t>All materials MUST be fully traceable to the manufacturer and product code.</w:t>
      </w:r>
    </w:p>
    <w:p w14:paraId="3702AF61" w14:textId="77777777" w:rsidR="00B67ABA" w:rsidRDefault="00B67ABA" w:rsidP="00B67ABA">
      <w:pPr>
        <w:pStyle w:val="ListParagraph"/>
      </w:pPr>
    </w:p>
    <w:p w14:paraId="41018919" w14:textId="08149219" w:rsidR="003559E1" w:rsidRDefault="00EA2EC5" w:rsidP="006D20A7">
      <w:pPr>
        <w:pStyle w:val="ListParagraph"/>
        <w:numPr>
          <w:ilvl w:val="1"/>
          <w:numId w:val="23"/>
        </w:numPr>
        <w:ind w:left="426" w:hanging="426"/>
      </w:pPr>
      <w:r>
        <w:t>SHOULD</w:t>
      </w:r>
      <w:r w:rsidR="00EF3F9F">
        <w:t xml:space="preserve"> have a shelf-life of at least </w:t>
      </w:r>
      <w:r w:rsidR="00646C0B">
        <w:t>12</w:t>
      </w:r>
      <w:r w:rsidR="00EF3F9F">
        <w:t xml:space="preserve"> months </w:t>
      </w:r>
      <w:r w:rsidR="00A33417">
        <w:t xml:space="preserve">when stored </w:t>
      </w:r>
      <w:r w:rsidR="0001426B">
        <w:t>at room temperature</w:t>
      </w:r>
      <w:r w:rsidR="00C46E1F">
        <w:t xml:space="preserve"> under the appropriate conditions.</w:t>
      </w:r>
    </w:p>
    <w:p w14:paraId="27EAFEF2" w14:textId="1856B5CD" w:rsidR="00C46E1F" w:rsidRDefault="00C46E1F" w:rsidP="00C46E1F">
      <w:pPr>
        <w:pStyle w:val="ListParagraph"/>
        <w:ind w:left="426"/>
      </w:pPr>
    </w:p>
    <w:p w14:paraId="6E4123A2" w14:textId="644ABC1D" w:rsidR="003559E1" w:rsidRPr="003559E1" w:rsidRDefault="00F4533E" w:rsidP="00364CE5">
      <w:pPr>
        <w:ind w:firstLine="426"/>
      </w:pPr>
      <w:r w:rsidRPr="00364CE5">
        <w:rPr>
          <w:b/>
          <w:bCs/>
        </w:rPr>
        <w:t xml:space="preserve">Labelling &amp; Packaging </w:t>
      </w:r>
    </w:p>
    <w:p w14:paraId="5400E314" w14:textId="77777777" w:rsidR="003559E1" w:rsidRDefault="003559E1" w:rsidP="003559E1">
      <w:pPr>
        <w:pStyle w:val="ListParagraph"/>
      </w:pPr>
    </w:p>
    <w:p w14:paraId="47CCA671" w14:textId="111A25E1" w:rsidR="008B3DD3" w:rsidRDefault="008B3DD3" w:rsidP="008B3DD3">
      <w:pPr>
        <w:pStyle w:val="ListParagraph"/>
        <w:numPr>
          <w:ilvl w:val="1"/>
          <w:numId w:val="23"/>
        </w:numPr>
        <w:ind w:left="426" w:hanging="426"/>
      </w:pPr>
      <w:r>
        <w:t xml:space="preserve">All goods MUST be labelled in English using British nomenclature. </w:t>
      </w:r>
    </w:p>
    <w:p w14:paraId="332BE0A3" w14:textId="77777777" w:rsidR="008B3DD3" w:rsidRDefault="008B3DD3" w:rsidP="008B3DD3">
      <w:pPr>
        <w:pStyle w:val="ListParagraph"/>
        <w:ind w:left="426"/>
      </w:pPr>
    </w:p>
    <w:p w14:paraId="23EA3CDE" w14:textId="77777777" w:rsidR="003559E1" w:rsidRDefault="00F4533E" w:rsidP="006D20A7">
      <w:pPr>
        <w:pStyle w:val="ListParagraph"/>
        <w:numPr>
          <w:ilvl w:val="1"/>
          <w:numId w:val="23"/>
        </w:numPr>
        <w:ind w:left="426" w:hanging="426"/>
      </w:pPr>
      <w:r>
        <w:t>The Supplier MUST ensure product details are indelibly printed on each package including the batch/lot number and expiry date.</w:t>
      </w:r>
    </w:p>
    <w:p w14:paraId="37F135F0" w14:textId="77777777" w:rsidR="003559E1" w:rsidRDefault="003559E1" w:rsidP="003559E1">
      <w:pPr>
        <w:pStyle w:val="ListParagraph"/>
        <w:ind w:left="426"/>
      </w:pPr>
    </w:p>
    <w:p w14:paraId="6871636F" w14:textId="77777777" w:rsidR="003559E1" w:rsidRDefault="00F4533E" w:rsidP="006D20A7">
      <w:pPr>
        <w:pStyle w:val="ListParagraph"/>
        <w:numPr>
          <w:ilvl w:val="1"/>
          <w:numId w:val="23"/>
        </w:numPr>
        <w:ind w:left="426" w:hanging="426"/>
      </w:pPr>
      <w:r>
        <w:t>The Supplier MUST ensure that the name and address of the supplier appears clearly on the packaging of all consignments of the goods</w:t>
      </w:r>
      <w:r w:rsidR="00455DA4">
        <w:t>.</w:t>
      </w:r>
    </w:p>
    <w:p w14:paraId="61009794" w14:textId="77777777" w:rsidR="003559E1" w:rsidRDefault="003559E1" w:rsidP="003559E1">
      <w:pPr>
        <w:pStyle w:val="ListParagraph"/>
      </w:pPr>
    </w:p>
    <w:p w14:paraId="661C4135" w14:textId="2D907787" w:rsidR="002F1F6E" w:rsidRPr="004A4FB3" w:rsidRDefault="004A4FB3" w:rsidP="002F1F6E">
      <w:pPr>
        <w:pStyle w:val="ListParagraph"/>
        <w:numPr>
          <w:ilvl w:val="1"/>
          <w:numId w:val="23"/>
        </w:numPr>
        <w:ind w:left="426" w:hanging="426"/>
        <w:rPr>
          <w:b/>
          <w:bCs/>
        </w:rPr>
      </w:pPr>
      <w:r>
        <w:t xml:space="preserve">The Supplier MUST package supplies for transport in a safe and secure way minimising any risk of damage to the goods. </w:t>
      </w:r>
    </w:p>
    <w:p w14:paraId="17E412BB" w14:textId="77777777" w:rsidR="004A4FB3" w:rsidRPr="004A4FB3" w:rsidRDefault="004A4FB3" w:rsidP="004A4FB3">
      <w:pPr>
        <w:rPr>
          <w:b/>
          <w:bCs/>
        </w:rPr>
      </w:pPr>
    </w:p>
    <w:p w14:paraId="25845A34" w14:textId="7791FE06" w:rsidR="002F1F6E" w:rsidRDefault="007B77B6" w:rsidP="00A825CD">
      <w:pPr>
        <w:pStyle w:val="ListParagraph"/>
        <w:numPr>
          <w:ilvl w:val="0"/>
          <w:numId w:val="23"/>
        </w:numPr>
        <w:ind w:left="426" w:hanging="426"/>
      </w:pPr>
      <w:r w:rsidRPr="00A825CD">
        <w:rPr>
          <w:b/>
          <w:bCs/>
        </w:rPr>
        <w:t>Quality</w:t>
      </w:r>
      <w:r>
        <w:t xml:space="preserve"> </w:t>
      </w:r>
      <w:r w:rsidR="002F1F6E" w:rsidRPr="00A825CD">
        <w:rPr>
          <w:b/>
          <w:bCs/>
        </w:rPr>
        <w:t>Requirements</w:t>
      </w:r>
    </w:p>
    <w:p w14:paraId="6185347C" w14:textId="77777777" w:rsidR="002F1F6E" w:rsidRDefault="002F1F6E" w:rsidP="002F1F6E">
      <w:pPr>
        <w:pStyle w:val="ListParagraph"/>
      </w:pPr>
    </w:p>
    <w:p w14:paraId="507E390F" w14:textId="6E25E9A4" w:rsidR="002F1F6E" w:rsidRDefault="007B77B6" w:rsidP="006D20A7">
      <w:pPr>
        <w:pStyle w:val="ListParagraph"/>
        <w:numPr>
          <w:ilvl w:val="1"/>
          <w:numId w:val="26"/>
        </w:numPr>
        <w:ind w:left="426" w:hanging="426"/>
      </w:pPr>
      <w:r>
        <w:t xml:space="preserve">The </w:t>
      </w:r>
      <w:r w:rsidR="00D84079">
        <w:t>Supplier</w:t>
      </w:r>
      <w:r>
        <w:t xml:space="preserve"> MUST be ISO 9001 accredited </w:t>
      </w:r>
      <w:r w:rsidR="0095772A">
        <w:t>with</w:t>
      </w:r>
      <w:r>
        <w:t xml:space="preserve"> a defined and documented quality system. </w:t>
      </w:r>
    </w:p>
    <w:p w14:paraId="1B50D254" w14:textId="77777777" w:rsidR="002F1F6E" w:rsidRDefault="002F1F6E" w:rsidP="002F1F6E">
      <w:pPr>
        <w:pStyle w:val="ListParagraph"/>
        <w:ind w:left="426"/>
      </w:pPr>
    </w:p>
    <w:p w14:paraId="36DBB0E2" w14:textId="3E16C3E0" w:rsidR="002F1F6E" w:rsidRDefault="00786543" w:rsidP="006D20A7">
      <w:pPr>
        <w:pStyle w:val="ListParagraph"/>
        <w:numPr>
          <w:ilvl w:val="1"/>
          <w:numId w:val="26"/>
        </w:numPr>
        <w:ind w:left="426" w:hanging="426"/>
      </w:pPr>
      <w:r>
        <w:t xml:space="preserve">MUST have a </w:t>
      </w:r>
      <w:r w:rsidR="00686EE4">
        <w:t>Validation Master P</w:t>
      </w:r>
      <w:r w:rsidR="005D737D">
        <w:t>l</w:t>
      </w:r>
      <w:r w:rsidR="00686EE4">
        <w:t>an</w:t>
      </w:r>
      <w:r w:rsidR="005D737D">
        <w:t xml:space="preserve"> (</w:t>
      </w:r>
      <w:r>
        <w:t>Regulatory Support File</w:t>
      </w:r>
      <w:r w:rsidR="005D737D">
        <w:t>)</w:t>
      </w:r>
      <w:r>
        <w:t xml:space="preserve"> available f</w:t>
      </w:r>
      <w:r w:rsidR="00895A8E">
        <w:t>rom</w:t>
      </w:r>
      <w:r>
        <w:t xml:space="preserve"> the Supplier</w:t>
      </w:r>
      <w:r w:rsidR="009D7149">
        <w:t xml:space="preserve"> for the goods</w:t>
      </w:r>
      <w:r w:rsidR="002F1F6E">
        <w:t>.</w:t>
      </w:r>
    </w:p>
    <w:p w14:paraId="251D9164" w14:textId="77777777" w:rsidR="002F1F6E" w:rsidRDefault="002F1F6E" w:rsidP="002F1F6E">
      <w:pPr>
        <w:pStyle w:val="ListParagraph"/>
      </w:pPr>
    </w:p>
    <w:p w14:paraId="5C36AE74" w14:textId="0B671F9A" w:rsidR="002F1F6E" w:rsidRDefault="00074453" w:rsidP="00D10045">
      <w:pPr>
        <w:pStyle w:val="ListParagraph"/>
        <w:numPr>
          <w:ilvl w:val="1"/>
          <w:numId w:val="26"/>
        </w:numPr>
        <w:ind w:left="426" w:hanging="426"/>
      </w:pPr>
      <w:r>
        <w:t xml:space="preserve">MUST have a Product Certification </w:t>
      </w:r>
      <w:r w:rsidR="005819D3">
        <w:t>e.g.,</w:t>
      </w:r>
      <w:r>
        <w:t xml:space="preserve"> Certificate of Analysis</w:t>
      </w:r>
      <w:r w:rsidR="00DB7100">
        <w:t xml:space="preserve">, </w:t>
      </w:r>
      <w:r>
        <w:t>Quality Cert</w:t>
      </w:r>
      <w:r w:rsidR="0004707F">
        <w:t>ifi</w:t>
      </w:r>
      <w:r>
        <w:t>cate</w:t>
      </w:r>
      <w:r w:rsidR="00DB7100">
        <w:t xml:space="preserve">, Certificate of Conformity </w:t>
      </w:r>
      <w:r>
        <w:t>for released manufacturing lots</w:t>
      </w:r>
      <w:r w:rsidR="002F1F6E">
        <w:t>.</w:t>
      </w:r>
    </w:p>
    <w:p w14:paraId="38CF7B46" w14:textId="77777777" w:rsidR="002F1F6E" w:rsidRDefault="002F1F6E" w:rsidP="002F1F6E">
      <w:pPr>
        <w:pStyle w:val="ListParagraph"/>
      </w:pPr>
    </w:p>
    <w:p w14:paraId="034D968A" w14:textId="77777777" w:rsidR="00DF259D" w:rsidRDefault="00D10045" w:rsidP="00DF259D">
      <w:pPr>
        <w:pStyle w:val="ListParagraph"/>
        <w:numPr>
          <w:ilvl w:val="1"/>
          <w:numId w:val="26"/>
        </w:numPr>
        <w:ind w:left="426" w:hanging="426"/>
      </w:pPr>
      <w:r>
        <w:t>The Supplier MUST provide a Certificate of Sterility Assurance or appropriate evidence of sterility.</w:t>
      </w:r>
      <w:r w:rsidR="00DF259D" w:rsidRPr="00DF259D">
        <w:t xml:space="preserve"> </w:t>
      </w:r>
    </w:p>
    <w:p w14:paraId="5294E2D4" w14:textId="77777777" w:rsidR="00DF259D" w:rsidRDefault="00DF259D" w:rsidP="00DF259D">
      <w:pPr>
        <w:pStyle w:val="ListParagraph"/>
      </w:pPr>
    </w:p>
    <w:p w14:paraId="19435D95" w14:textId="1024A7C0" w:rsidR="00BD1D8B" w:rsidRPr="00BD1D8B" w:rsidRDefault="001E2CD6" w:rsidP="00064979">
      <w:pPr>
        <w:pStyle w:val="ListParagraph"/>
        <w:numPr>
          <w:ilvl w:val="0"/>
          <w:numId w:val="29"/>
        </w:numPr>
      </w:pPr>
      <w:r w:rsidRPr="00064979">
        <w:rPr>
          <w:b/>
          <w:bCs/>
        </w:rPr>
        <w:t xml:space="preserve">Business Requirements </w:t>
      </w:r>
    </w:p>
    <w:p w14:paraId="4869EF06" w14:textId="77777777" w:rsidR="00BD1D8B" w:rsidRDefault="00BD1D8B" w:rsidP="00BD1D8B">
      <w:pPr>
        <w:pStyle w:val="ListParagraph"/>
      </w:pPr>
    </w:p>
    <w:p w14:paraId="7B033CC3" w14:textId="488C300D" w:rsidR="00876BD3" w:rsidRDefault="00876BD3" w:rsidP="00876BD3">
      <w:pPr>
        <w:pStyle w:val="ListParagraph"/>
        <w:numPr>
          <w:ilvl w:val="1"/>
          <w:numId w:val="29"/>
        </w:numPr>
      </w:pPr>
      <w:r>
        <w:t xml:space="preserve">Products MUST be available in volumes requested, up to </w:t>
      </w:r>
      <w:r w:rsidR="009E7E10">
        <w:t>4000</w:t>
      </w:r>
      <w:r>
        <w:t xml:space="preserve"> </w:t>
      </w:r>
      <w:r w:rsidR="009E7E10">
        <w:t>vials and 40 Filling Kits</w:t>
      </w:r>
      <w:r>
        <w:t xml:space="preserve"> per calendar year. </w:t>
      </w:r>
    </w:p>
    <w:p w14:paraId="79E531D9" w14:textId="77777777" w:rsidR="00876BD3" w:rsidRDefault="00876BD3" w:rsidP="00876BD3">
      <w:pPr>
        <w:pStyle w:val="ListParagraph"/>
        <w:ind w:left="360"/>
      </w:pPr>
    </w:p>
    <w:p w14:paraId="194E5078" w14:textId="44E3719A" w:rsidR="00784D5F" w:rsidRDefault="00784D5F" w:rsidP="00A825CD">
      <w:pPr>
        <w:pStyle w:val="ListParagraph"/>
        <w:numPr>
          <w:ilvl w:val="1"/>
          <w:numId w:val="29"/>
        </w:numPr>
      </w:pPr>
      <w:r>
        <w:t xml:space="preserve">The service MUST be able to provide prototypes to allow evaluation and validation by NHSBT at a reasonable cost if required. </w:t>
      </w:r>
    </w:p>
    <w:p w14:paraId="6542AA1C" w14:textId="77777777" w:rsidR="00784D5F" w:rsidRDefault="00784D5F" w:rsidP="00784D5F">
      <w:pPr>
        <w:pStyle w:val="ListParagraph"/>
        <w:ind w:left="360"/>
      </w:pPr>
    </w:p>
    <w:p w14:paraId="104E152C" w14:textId="37BE5D19" w:rsidR="00BD1D8B" w:rsidRDefault="00B90F43" w:rsidP="006D20A7">
      <w:pPr>
        <w:pStyle w:val="ListParagraph"/>
        <w:numPr>
          <w:ilvl w:val="1"/>
          <w:numId w:val="29"/>
        </w:numPr>
      </w:pPr>
      <w:r>
        <w:t xml:space="preserve">The </w:t>
      </w:r>
      <w:r w:rsidR="001E2CD6">
        <w:t xml:space="preserve">Supplier MUST ensure the accessibility of key personnel </w:t>
      </w:r>
      <w:r w:rsidR="000B255A">
        <w:t xml:space="preserve">for customer support </w:t>
      </w:r>
      <w:r w:rsidR="001E2CD6">
        <w:t>with regard</w:t>
      </w:r>
      <w:r w:rsidR="0002074B">
        <w:t>s</w:t>
      </w:r>
      <w:r w:rsidR="001E2CD6">
        <w:t xml:space="preserve"> to </w:t>
      </w:r>
      <w:r w:rsidR="0002074B">
        <w:t xml:space="preserve">a </w:t>
      </w:r>
      <w:r w:rsidR="001E2CD6">
        <w:t xml:space="preserve">help desk, routine quality, delivery and production, Monday through Friday from 0900hrs to 1700hrs. </w:t>
      </w:r>
    </w:p>
    <w:p w14:paraId="63BDED3B" w14:textId="77777777" w:rsidR="00BD1D8B" w:rsidRDefault="00BD1D8B" w:rsidP="00BD1D8B">
      <w:pPr>
        <w:pStyle w:val="ListParagraph"/>
      </w:pPr>
    </w:p>
    <w:p w14:paraId="4EF23B87" w14:textId="6E0D7EF4" w:rsidR="00BD1D8B" w:rsidRDefault="001E2CD6" w:rsidP="006D20A7">
      <w:pPr>
        <w:pStyle w:val="ListParagraph"/>
        <w:numPr>
          <w:ilvl w:val="1"/>
          <w:numId w:val="29"/>
        </w:numPr>
      </w:pPr>
      <w:r>
        <w:t>The supplier MUST have a documented system for dealing with</w:t>
      </w:r>
      <w:r w:rsidR="00876BD3">
        <w:t xml:space="preserve"> </w:t>
      </w:r>
      <w:r>
        <w:t xml:space="preserve">safety alerts and recalls. </w:t>
      </w:r>
    </w:p>
    <w:p w14:paraId="3DE27AF7" w14:textId="77777777" w:rsidR="00BD1D8B" w:rsidRDefault="00BD1D8B" w:rsidP="00BD1D8B">
      <w:pPr>
        <w:pStyle w:val="ListParagraph"/>
      </w:pPr>
    </w:p>
    <w:p w14:paraId="776A2445" w14:textId="441763C0" w:rsidR="00876BD3" w:rsidRDefault="00876BD3" w:rsidP="00876BD3">
      <w:pPr>
        <w:pStyle w:val="ListParagraph"/>
        <w:numPr>
          <w:ilvl w:val="1"/>
          <w:numId w:val="29"/>
        </w:numPr>
      </w:pPr>
      <w:r>
        <w:t xml:space="preserve">The Supplier MUST notify NHSBT of any changes to the goods </w:t>
      </w:r>
      <w:r w:rsidR="003F76D9">
        <w:t>within a reasonable timeframe in advance of the change e.g.</w:t>
      </w:r>
      <w:r w:rsidR="007A1999">
        <w:t>,</w:t>
      </w:r>
      <w:r w:rsidR="003F76D9">
        <w:t xml:space="preserve"> </w:t>
      </w:r>
      <w:r>
        <w:t xml:space="preserve">at least 3 months. </w:t>
      </w:r>
    </w:p>
    <w:p w14:paraId="64B0C473" w14:textId="77777777" w:rsidR="00876BD3" w:rsidRDefault="00876BD3" w:rsidP="00876BD3"/>
    <w:p w14:paraId="281653AD" w14:textId="37856275" w:rsidR="00876BD3" w:rsidRDefault="00876BD3" w:rsidP="006D20A7">
      <w:pPr>
        <w:pStyle w:val="ListParagraph"/>
        <w:numPr>
          <w:ilvl w:val="1"/>
          <w:numId w:val="29"/>
        </w:numPr>
      </w:pPr>
      <w:r>
        <w:t xml:space="preserve">The supplier must respond to Complaints raised by NHSBT regarding the supply or performance of the material. An acknowledgement of receipt of the </w:t>
      </w:r>
      <w:r w:rsidR="009A0B28">
        <w:t>Complaint</w:t>
      </w:r>
      <w:r>
        <w:t xml:space="preserve"> is required within 7 days and a response time within 20 </w:t>
      </w:r>
      <w:r w:rsidR="00BA6E2F">
        <w:t xml:space="preserve">working </w:t>
      </w:r>
      <w:r>
        <w:t xml:space="preserve">days of receipt. </w:t>
      </w:r>
    </w:p>
    <w:p w14:paraId="11791EEB" w14:textId="77777777" w:rsidR="00BD1D8B" w:rsidRDefault="00BD1D8B" w:rsidP="00876BD3"/>
    <w:p w14:paraId="360B2CCE" w14:textId="2B2B7FC2" w:rsidR="00BD1D8B" w:rsidRDefault="001E2CD6" w:rsidP="00876BD3">
      <w:pPr>
        <w:pStyle w:val="ListParagraph"/>
        <w:numPr>
          <w:ilvl w:val="1"/>
          <w:numId w:val="29"/>
        </w:numPr>
      </w:pPr>
      <w:r>
        <w:t xml:space="preserve">A supplier </w:t>
      </w:r>
      <w:r w:rsidR="00E02EB0">
        <w:t>evaluation will</w:t>
      </w:r>
      <w:r>
        <w:t xml:space="preserve"> be required as part of the evaluation of tender offers</w:t>
      </w:r>
      <w:r w:rsidR="00E02EB0">
        <w:t xml:space="preserve"> (unless already undertaken)</w:t>
      </w:r>
      <w:r>
        <w:t xml:space="preserve">. This will be based upon responses received against </w:t>
      </w:r>
      <w:r w:rsidR="00E02EB0">
        <w:t xml:space="preserve">NHSBT </w:t>
      </w:r>
      <w:r w:rsidR="00677484">
        <w:t xml:space="preserve">Supplier evaluation process (NHSBT National Process as </w:t>
      </w:r>
      <w:r>
        <w:t>MPD556</w:t>
      </w:r>
      <w:r w:rsidR="00677484">
        <w:t>)</w:t>
      </w:r>
      <w:r>
        <w:t xml:space="preserve">. </w:t>
      </w:r>
      <w:r w:rsidR="00677484">
        <w:t>Any i</w:t>
      </w:r>
      <w:r>
        <w:t xml:space="preserve">nformation requested as part of the tender will be treated as confidential. </w:t>
      </w:r>
    </w:p>
    <w:p w14:paraId="65C2BD4A" w14:textId="77777777" w:rsidR="00BD1D8B" w:rsidRDefault="00BD1D8B" w:rsidP="00BD1D8B">
      <w:pPr>
        <w:pStyle w:val="ListParagraph"/>
      </w:pPr>
    </w:p>
    <w:p w14:paraId="51E89C13" w14:textId="67C3F79E" w:rsidR="003B459E" w:rsidRDefault="001E2CD6" w:rsidP="003B459E">
      <w:pPr>
        <w:pStyle w:val="ListParagraph"/>
        <w:numPr>
          <w:ilvl w:val="1"/>
          <w:numId w:val="29"/>
        </w:numPr>
      </w:pPr>
      <w:r>
        <w:t>Delivery times and conditions from supplier to customer MUST fall within the parameters determined by</w:t>
      </w:r>
      <w:r w:rsidR="00B31EAA">
        <w:t xml:space="preserve"> supplier.</w:t>
      </w:r>
    </w:p>
    <w:p w14:paraId="63B86C87" w14:textId="63FF4E13" w:rsidR="003B459E" w:rsidRDefault="003B459E" w:rsidP="003B459E">
      <w:pPr>
        <w:pStyle w:val="ListParagraph"/>
        <w:rPr>
          <w:b/>
          <w:bCs/>
        </w:rPr>
      </w:pPr>
    </w:p>
    <w:p w14:paraId="6FA9B7E7" w14:textId="2EB2E05E" w:rsidR="003B459E" w:rsidRPr="003B459E" w:rsidRDefault="003B459E" w:rsidP="003B459E">
      <w:pPr>
        <w:pStyle w:val="ListParagraph"/>
        <w:ind w:left="360"/>
      </w:pPr>
      <w:r w:rsidRPr="003B459E">
        <w:rPr>
          <w:b/>
          <w:bCs/>
        </w:rPr>
        <w:t>Business Continuit</w:t>
      </w:r>
      <w:r>
        <w:rPr>
          <w:b/>
          <w:bCs/>
        </w:rPr>
        <w:t>y</w:t>
      </w:r>
    </w:p>
    <w:p w14:paraId="5D0103C4" w14:textId="77777777" w:rsidR="003B459E" w:rsidRDefault="003B459E" w:rsidP="003B459E">
      <w:pPr>
        <w:pStyle w:val="ListParagraph"/>
      </w:pPr>
    </w:p>
    <w:p w14:paraId="58C9AD51" w14:textId="54B05E7F" w:rsidR="003B459E" w:rsidRDefault="003B459E" w:rsidP="003B459E">
      <w:pPr>
        <w:pStyle w:val="ListParagraph"/>
        <w:numPr>
          <w:ilvl w:val="1"/>
          <w:numId w:val="29"/>
        </w:numPr>
      </w:pPr>
      <w:r w:rsidRPr="003B459E">
        <w:t xml:space="preserve">The Supplier MUST be able to provide a Business Continuity Plan covering all aspects and locations of their business which impact on supply of the goods or services, and this plan should be reviewed, </w:t>
      </w:r>
      <w:r w:rsidR="007B66E7" w:rsidRPr="003B459E">
        <w:t>updated,</w:t>
      </w:r>
      <w:r w:rsidRPr="003B459E">
        <w:t xml:space="preserve"> and tested or exercised at least every two years</w:t>
      </w:r>
      <w:r w:rsidR="003E40FA">
        <w:t>.</w:t>
      </w:r>
    </w:p>
    <w:p w14:paraId="57323BB8" w14:textId="77777777" w:rsidR="003B459E" w:rsidRDefault="003B459E" w:rsidP="003B459E">
      <w:pPr>
        <w:pStyle w:val="ListParagraph"/>
        <w:ind w:left="360"/>
      </w:pPr>
    </w:p>
    <w:p w14:paraId="61E66DB7" w14:textId="466749C5" w:rsidR="003B459E" w:rsidRPr="003B459E" w:rsidRDefault="003B459E" w:rsidP="003B459E">
      <w:pPr>
        <w:pStyle w:val="ListParagraph"/>
        <w:ind w:left="360"/>
      </w:pPr>
      <w:r w:rsidRPr="003B459E">
        <w:rPr>
          <w:b/>
          <w:bCs/>
        </w:rPr>
        <w:t>Equality and Diversit</w:t>
      </w:r>
      <w:r>
        <w:rPr>
          <w:b/>
          <w:bCs/>
        </w:rPr>
        <w:t>y</w:t>
      </w:r>
    </w:p>
    <w:p w14:paraId="600BF5DF" w14:textId="77777777" w:rsidR="003B459E" w:rsidRDefault="003B459E" w:rsidP="003B459E">
      <w:pPr>
        <w:pStyle w:val="ListParagraph"/>
      </w:pPr>
    </w:p>
    <w:p w14:paraId="0791B0BF" w14:textId="433B2226" w:rsidR="003B459E" w:rsidRDefault="003B459E" w:rsidP="003B459E">
      <w:pPr>
        <w:pStyle w:val="ListParagraph"/>
        <w:numPr>
          <w:ilvl w:val="1"/>
          <w:numId w:val="29"/>
        </w:numPr>
      </w:pPr>
      <w:r w:rsidRPr="003B459E">
        <w:t xml:space="preserve">Contractors are required to comply with all UK and European statute law relating to Equality and Diversity. This covers all discriminatory issues due to race, religion, age, sex, sexual </w:t>
      </w:r>
      <w:r w:rsidR="007B66E7" w:rsidRPr="003B459E">
        <w:t>orientation,</w:t>
      </w:r>
      <w:r w:rsidRPr="003B459E">
        <w:t xml:space="preserve"> and disability. Failure to comply in any area will result in exclusion from tendering.</w:t>
      </w:r>
    </w:p>
    <w:p w14:paraId="7B3637B2" w14:textId="77777777" w:rsidR="003B459E" w:rsidRPr="003B459E" w:rsidRDefault="003B459E" w:rsidP="003B459E">
      <w:pPr>
        <w:pStyle w:val="ListParagraph"/>
        <w:rPr>
          <w:b/>
          <w:bCs/>
        </w:rPr>
      </w:pPr>
    </w:p>
    <w:p w14:paraId="09E2C8D4" w14:textId="77777777" w:rsidR="003B459E" w:rsidRPr="003B459E" w:rsidRDefault="003B459E" w:rsidP="003B459E">
      <w:pPr>
        <w:pStyle w:val="ListParagraph"/>
        <w:ind w:left="360"/>
      </w:pPr>
      <w:r w:rsidRPr="003B459E">
        <w:rPr>
          <w:b/>
          <w:bCs/>
        </w:rPr>
        <w:t>Customer Service / Account Management:</w:t>
      </w:r>
    </w:p>
    <w:p w14:paraId="5C3F2D27" w14:textId="77777777" w:rsidR="003B459E" w:rsidRDefault="003B459E" w:rsidP="003B459E">
      <w:pPr>
        <w:pStyle w:val="ListParagraph"/>
      </w:pPr>
    </w:p>
    <w:p w14:paraId="59C472BB" w14:textId="67296F1A" w:rsidR="003B459E" w:rsidRDefault="003B459E" w:rsidP="003B459E">
      <w:pPr>
        <w:pStyle w:val="ListParagraph"/>
        <w:numPr>
          <w:ilvl w:val="1"/>
          <w:numId w:val="29"/>
        </w:numPr>
      </w:pPr>
      <w:r w:rsidRPr="003B459E">
        <w:t>The Contractor must provide a dedicated Strategic Account Manager to act as a single point of contact for the purposes of the operation of the framework. The Contractor shall also appoint a reserve contact in the event of the nominated contact not being available. If required a named account team on the help desk will be provided. Regional and/or sector account management contacts will also be appointed where appropriate.</w:t>
      </w:r>
    </w:p>
    <w:p w14:paraId="607248DF" w14:textId="77777777" w:rsidR="003B459E" w:rsidRDefault="003B459E" w:rsidP="003B459E">
      <w:pPr>
        <w:pStyle w:val="ListParagraph"/>
      </w:pPr>
    </w:p>
    <w:p w14:paraId="026154ED" w14:textId="0CF92671" w:rsidR="003B459E" w:rsidRDefault="003B459E" w:rsidP="003B459E">
      <w:pPr>
        <w:pStyle w:val="ListParagraph"/>
        <w:numPr>
          <w:ilvl w:val="1"/>
          <w:numId w:val="29"/>
        </w:numPr>
      </w:pPr>
      <w:r w:rsidRPr="003B459E">
        <w:t>The Contractor must provide a nominated Account Manager, who shall take responsibility for the overall relationship with the NHSBT, including agreeing any individual requirements relating to invoicing, management information and preferred methods of communication. The Account Manager shall also act as a primary point of contact for the Member on issues relating to the arrangement.</w:t>
      </w:r>
    </w:p>
    <w:p w14:paraId="6B03C935" w14:textId="77777777" w:rsidR="003B459E" w:rsidRPr="003B459E" w:rsidRDefault="003B459E" w:rsidP="003B459E">
      <w:pPr>
        <w:pStyle w:val="ListParagraph"/>
        <w:rPr>
          <w:b/>
          <w:bCs/>
        </w:rPr>
      </w:pPr>
    </w:p>
    <w:p w14:paraId="15684FB6" w14:textId="6F341434" w:rsidR="003B459E" w:rsidRPr="003B459E" w:rsidRDefault="003B459E" w:rsidP="003B459E">
      <w:pPr>
        <w:pStyle w:val="ListParagraph"/>
        <w:ind w:left="360"/>
      </w:pPr>
      <w:r w:rsidRPr="003B459E">
        <w:rPr>
          <w:b/>
          <w:bCs/>
        </w:rPr>
        <w:t>Environmental Considerations</w:t>
      </w:r>
    </w:p>
    <w:p w14:paraId="5DC6C46B" w14:textId="77777777" w:rsidR="003B459E" w:rsidRDefault="003B459E" w:rsidP="003B459E">
      <w:pPr>
        <w:pStyle w:val="ListParagraph"/>
      </w:pPr>
    </w:p>
    <w:p w14:paraId="1E162639" w14:textId="77777777" w:rsidR="003B459E" w:rsidRDefault="003B459E" w:rsidP="003B459E">
      <w:pPr>
        <w:pStyle w:val="ListParagraph"/>
        <w:numPr>
          <w:ilvl w:val="1"/>
          <w:numId w:val="29"/>
        </w:numPr>
      </w:pPr>
      <w:r w:rsidRPr="003B459E">
        <w:t>NHSBT requires Contractors to take responsibility for their impact on the Environment and where relevant society. Contractors are required to demonstrate an Environmental Management System e.g.ISO14001 or an equivalent EMS. NHSBT may require the auditing of this system. Where an EMS does not exist Contractors will be required to demonstrate adequate management of their impact and where suitable may be required to develop an EMS system.</w:t>
      </w:r>
    </w:p>
    <w:p w14:paraId="52C51925" w14:textId="77777777" w:rsidR="003B459E" w:rsidRPr="003B459E" w:rsidRDefault="003B459E" w:rsidP="003B459E">
      <w:pPr>
        <w:pStyle w:val="ListParagraph"/>
        <w:rPr>
          <w:b/>
          <w:bCs/>
        </w:rPr>
      </w:pPr>
    </w:p>
    <w:p w14:paraId="14E0C7DD" w14:textId="77777777" w:rsidR="003B459E" w:rsidRPr="003B459E" w:rsidRDefault="003B459E" w:rsidP="003B459E">
      <w:pPr>
        <w:pStyle w:val="ListParagraph"/>
        <w:ind w:left="360"/>
      </w:pPr>
      <w:r w:rsidRPr="003B459E">
        <w:rPr>
          <w:b/>
          <w:bCs/>
        </w:rPr>
        <w:t>Contract Management</w:t>
      </w:r>
    </w:p>
    <w:p w14:paraId="0E6019FE" w14:textId="77777777" w:rsidR="003B459E" w:rsidRDefault="003B459E" w:rsidP="003B459E">
      <w:pPr>
        <w:pStyle w:val="ListParagraph"/>
      </w:pPr>
    </w:p>
    <w:p w14:paraId="40DE2D6E" w14:textId="5826C923" w:rsidR="003B459E" w:rsidRPr="003B459E" w:rsidRDefault="003B459E" w:rsidP="003B459E">
      <w:pPr>
        <w:pStyle w:val="ListParagraph"/>
        <w:numPr>
          <w:ilvl w:val="1"/>
          <w:numId w:val="29"/>
        </w:numPr>
      </w:pPr>
      <w:r w:rsidRPr="003B459E">
        <w:t>The Contractor MUST attend meetings to review performance of the Contractor and services provided. Frequency of the meetings will be every 6 six (6) months unless agreed otherwise and at a nominated NHSBT premises or by telecom.</w:t>
      </w:r>
    </w:p>
    <w:p w14:paraId="26819973" w14:textId="30892488" w:rsidR="003B459E" w:rsidRPr="003B459E" w:rsidRDefault="003B459E" w:rsidP="003B459E">
      <w:pPr>
        <w:ind w:firstLine="360"/>
      </w:pPr>
      <w:r w:rsidRPr="003B459E">
        <w:t xml:space="preserve">Meeting agendas will include </w:t>
      </w:r>
    </w:p>
    <w:p w14:paraId="54E88500" w14:textId="4D9A7264" w:rsidR="003B459E" w:rsidRPr="003B459E" w:rsidRDefault="003B459E" w:rsidP="003B459E">
      <w:pPr>
        <w:ind w:left="709" w:hanging="142"/>
      </w:pPr>
      <w:r w:rsidRPr="003B459E">
        <w:t>•   review of key performance indicators</w:t>
      </w:r>
    </w:p>
    <w:p w14:paraId="774341FD" w14:textId="334AFA1C" w:rsidR="003B459E" w:rsidRPr="003B459E" w:rsidRDefault="003B459E" w:rsidP="003B459E">
      <w:pPr>
        <w:ind w:left="709" w:hanging="142"/>
      </w:pPr>
      <w:r w:rsidRPr="003B459E">
        <w:t>•   agree and monitor status of actions to resolve and quality</w:t>
      </w:r>
    </w:p>
    <w:p w14:paraId="6A4783D0" w14:textId="2B62D06B" w:rsidR="003B459E" w:rsidRPr="003B459E" w:rsidRDefault="003B459E" w:rsidP="003B459E">
      <w:pPr>
        <w:ind w:left="709" w:hanging="142"/>
      </w:pPr>
      <w:r w:rsidRPr="003B459E">
        <w:t>•   technical or contractual issues</w:t>
      </w:r>
    </w:p>
    <w:p w14:paraId="5498BAF9" w14:textId="08E26022" w:rsidR="003B459E" w:rsidRPr="003B459E" w:rsidRDefault="003B459E" w:rsidP="003B459E">
      <w:pPr>
        <w:ind w:left="709" w:hanging="142"/>
      </w:pPr>
      <w:r w:rsidRPr="003B459E">
        <w:t xml:space="preserve">•   identify topics/areas to feed into the continuous improvement programme </w:t>
      </w:r>
    </w:p>
    <w:p w14:paraId="678B9EA1" w14:textId="77777777" w:rsidR="001E2CD6" w:rsidRDefault="001E2CD6" w:rsidP="006D20A7"/>
    <w:p w14:paraId="7316066A" w14:textId="77777777" w:rsidR="00193EBD" w:rsidRPr="00326DCC" w:rsidRDefault="00193EBD" w:rsidP="00193EBD">
      <w:pPr>
        <w:spacing w:before="240"/>
        <w:rPr>
          <w:b/>
          <w:sz w:val="24"/>
          <w:szCs w:val="24"/>
        </w:rPr>
      </w:pPr>
      <w:r>
        <w:rPr>
          <w:b/>
          <w:sz w:val="24"/>
          <w:szCs w:val="24"/>
        </w:rPr>
        <w:lastRenderedPageBreak/>
        <w:t>Definitions</w:t>
      </w:r>
    </w:p>
    <w:p w14:paraId="2CA74EA5" w14:textId="77777777" w:rsidR="001E2CD6" w:rsidRDefault="001E2CD6" w:rsidP="006D20A7"/>
    <w:p w14:paraId="0AEA6782" w14:textId="77777777" w:rsidR="001E2CD6" w:rsidRDefault="001E2CD6" w:rsidP="00193EBD">
      <w:pPr>
        <w:pStyle w:val="ListParagraph"/>
        <w:numPr>
          <w:ilvl w:val="0"/>
          <w:numId w:val="24"/>
        </w:numPr>
      </w:pPr>
      <w:r>
        <w:t xml:space="preserve">CBC – Clinical Biotechnology Centre </w:t>
      </w:r>
    </w:p>
    <w:p w14:paraId="796D4A58" w14:textId="77777777" w:rsidR="001E2CD6" w:rsidRDefault="001E2CD6" w:rsidP="00193EBD">
      <w:pPr>
        <w:pStyle w:val="ListParagraph"/>
        <w:numPr>
          <w:ilvl w:val="0"/>
          <w:numId w:val="24"/>
        </w:numPr>
      </w:pPr>
      <w:r>
        <w:t xml:space="preserve">EU – European Union </w:t>
      </w:r>
    </w:p>
    <w:p w14:paraId="6B8FA166" w14:textId="12C64C7B" w:rsidR="001E2CD6" w:rsidRDefault="001E2CD6" w:rsidP="00193EBD">
      <w:pPr>
        <w:pStyle w:val="ListParagraph"/>
        <w:numPr>
          <w:ilvl w:val="0"/>
          <w:numId w:val="24"/>
        </w:numPr>
      </w:pPr>
      <w:r>
        <w:t xml:space="preserve">GMP – Good Manufacturing Practice </w:t>
      </w:r>
      <w:r w:rsidR="004236EF">
        <w:t xml:space="preserve">as defined by </w:t>
      </w:r>
      <w:r w:rsidR="009E30BD">
        <w:t xml:space="preserve">EU GMP </w:t>
      </w:r>
      <w:r w:rsidR="00920142">
        <w:t>EudraLex</w:t>
      </w:r>
      <w:r w:rsidR="004236EF">
        <w:t xml:space="preserve"> Volume 4</w:t>
      </w:r>
    </w:p>
    <w:p w14:paraId="37278D47" w14:textId="7BDFF1DF" w:rsidR="00733BC7" w:rsidRDefault="00733BC7" w:rsidP="00193EBD">
      <w:pPr>
        <w:pStyle w:val="ListParagraph"/>
        <w:numPr>
          <w:ilvl w:val="0"/>
          <w:numId w:val="24"/>
        </w:numPr>
      </w:pPr>
      <w:r>
        <w:t>IMP – Investigational Medicinal Product</w:t>
      </w:r>
    </w:p>
    <w:p w14:paraId="38920E0B" w14:textId="5E95E2B8" w:rsidR="001E2CD6" w:rsidRDefault="001E2CD6" w:rsidP="00193EBD">
      <w:pPr>
        <w:pStyle w:val="ListParagraph"/>
        <w:numPr>
          <w:ilvl w:val="0"/>
          <w:numId w:val="24"/>
        </w:numPr>
      </w:pPr>
      <w:r>
        <w:t xml:space="preserve">ISO – International Organisation for Standardisation </w:t>
      </w:r>
    </w:p>
    <w:p w14:paraId="70B51BF7" w14:textId="77777777" w:rsidR="001E2CD6" w:rsidRDefault="001E2CD6" w:rsidP="00193EBD">
      <w:pPr>
        <w:pStyle w:val="ListParagraph"/>
        <w:numPr>
          <w:ilvl w:val="0"/>
          <w:numId w:val="24"/>
        </w:numPr>
      </w:pPr>
      <w:r>
        <w:t>MHRA – Medicine and Healthcare products Regulatory Authority</w:t>
      </w:r>
    </w:p>
    <w:p w14:paraId="7A45ED9A" w14:textId="55ED1C16" w:rsidR="001E2CD6" w:rsidRDefault="001E2CD6" w:rsidP="00193EBD">
      <w:pPr>
        <w:pStyle w:val="ListParagraph"/>
        <w:numPr>
          <w:ilvl w:val="0"/>
          <w:numId w:val="24"/>
        </w:numPr>
      </w:pPr>
      <w:r>
        <w:t xml:space="preserve">NHS – National Health Service </w:t>
      </w:r>
    </w:p>
    <w:p w14:paraId="0AA59356" w14:textId="7BC1C2D3" w:rsidR="00193EBD" w:rsidRDefault="001E2CD6" w:rsidP="00193EBD">
      <w:pPr>
        <w:pStyle w:val="ListParagraph"/>
        <w:numPr>
          <w:ilvl w:val="0"/>
          <w:numId w:val="24"/>
        </w:numPr>
      </w:pPr>
      <w:r>
        <w:t xml:space="preserve">NHSBT – NHS Blood and Transplant </w:t>
      </w:r>
    </w:p>
    <w:p w14:paraId="4D89D3FC" w14:textId="77777777" w:rsidR="00193EBD" w:rsidRDefault="00193EBD" w:rsidP="00193EBD">
      <w:pPr>
        <w:pStyle w:val="ListParagraph"/>
        <w:numPr>
          <w:ilvl w:val="0"/>
          <w:numId w:val="24"/>
        </w:numPr>
      </w:pPr>
      <w:r>
        <w:t xml:space="preserve">URS – User Requirement Specification </w:t>
      </w:r>
    </w:p>
    <w:p w14:paraId="08E97C23" w14:textId="24FD7311" w:rsidR="00193EBD" w:rsidRDefault="00193EBD" w:rsidP="00193EBD">
      <w:pPr>
        <w:pStyle w:val="ListParagraph"/>
        <w:numPr>
          <w:ilvl w:val="0"/>
          <w:numId w:val="24"/>
        </w:numPr>
      </w:pPr>
      <w:r>
        <w:t xml:space="preserve">SHOULD or SHOULD NOT - means an optional or non-mandatory / Desirable requirement. Note: Any Supplier failing to meet a non-mandatory requirement will not be disqualified from the tender process. </w:t>
      </w:r>
    </w:p>
    <w:p w14:paraId="0DFFD2E3" w14:textId="004BFC06" w:rsidR="00193EBD" w:rsidRDefault="00193EBD" w:rsidP="00193EBD">
      <w:pPr>
        <w:pStyle w:val="ListParagraph"/>
        <w:numPr>
          <w:ilvl w:val="0"/>
          <w:numId w:val="24"/>
        </w:numPr>
      </w:pPr>
      <w:r>
        <w:t>MUST or MUST NOT - means a mandatory/Essential requirement Note: Any Supplier failing to meet a mandatory requirement will be disqualified from the tender process.</w:t>
      </w:r>
    </w:p>
    <w:p w14:paraId="41D9DF3F" w14:textId="7E0DE45A" w:rsidR="00226075" w:rsidRPr="006D20A7" w:rsidRDefault="00226075" w:rsidP="006D20A7"/>
    <w:p w14:paraId="53E22B4A" w14:textId="77777777" w:rsidR="006D7F2C" w:rsidRDefault="006D7F2C" w:rsidP="00D96CE1">
      <w:pPr>
        <w:pStyle w:val="ListParagraph"/>
        <w:numPr>
          <w:ilvl w:val="0"/>
          <w:numId w:val="1"/>
        </w:numPr>
        <w:spacing w:line="259" w:lineRule="auto"/>
        <w:ind w:left="714" w:hanging="357"/>
        <w:rPr>
          <w:sz w:val="24"/>
          <w:szCs w:val="24"/>
        </w:rPr>
        <w:sectPr w:rsidR="006D7F2C" w:rsidSect="00A16C10">
          <w:headerReference w:type="default" r:id="rId8"/>
          <w:footerReference w:type="default" r:id="rId9"/>
          <w:pgSz w:w="11909" w:h="16834" w:code="9"/>
          <w:pgMar w:top="1440" w:right="994" w:bottom="1440" w:left="992" w:header="709" w:footer="283" w:gutter="0"/>
          <w:cols w:space="720"/>
          <w:noEndnote/>
          <w:docGrid w:linePitch="272"/>
        </w:sectPr>
      </w:pPr>
    </w:p>
    <w:p w14:paraId="3CCE28E1" w14:textId="26A38AEE" w:rsidR="00D96CE1" w:rsidRPr="00326DCC" w:rsidRDefault="00D96CE1" w:rsidP="00D96CE1">
      <w:pPr>
        <w:spacing w:before="240"/>
        <w:rPr>
          <w:b/>
          <w:sz w:val="24"/>
          <w:szCs w:val="24"/>
        </w:rPr>
      </w:pPr>
      <w:r>
        <w:rPr>
          <w:b/>
          <w:sz w:val="24"/>
          <w:szCs w:val="24"/>
        </w:rPr>
        <w:t>Related Documents / References</w:t>
      </w:r>
    </w:p>
    <w:p w14:paraId="52AC9E57" w14:textId="77777777" w:rsidR="00193EBD" w:rsidRPr="00193EBD" w:rsidRDefault="00193EBD" w:rsidP="00586FE5">
      <w:pPr>
        <w:pStyle w:val="ListParagraph"/>
        <w:numPr>
          <w:ilvl w:val="0"/>
          <w:numId w:val="1"/>
        </w:numPr>
        <w:spacing w:line="259" w:lineRule="auto"/>
        <w:rPr>
          <w:szCs w:val="24"/>
        </w:rPr>
      </w:pPr>
      <w:r>
        <w:t xml:space="preserve">MPD556 Supplier Management </w:t>
      </w:r>
    </w:p>
    <w:p w14:paraId="4C03215F" w14:textId="093E74E9" w:rsidR="00D96CE1" w:rsidRPr="00193EBD" w:rsidRDefault="00193EBD" w:rsidP="00586FE5">
      <w:pPr>
        <w:pStyle w:val="ListParagraph"/>
        <w:numPr>
          <w:ilvl w:val="0"/>
          <w:numId w:val="1"/>
        </w:numPr>
        <w:spacing w:line="259" w:lineRule="auto"/>
        <w:rPr>
          <w:szCs w:val="24"/>
        </w:rPr>
      </w:pPr>
      <w:r>
        <w:t>ISO 9001 Quality Management Systems</w:t>
      </w:r>
    </w:p>
    <w:p w14:paraId="0BDE66D1" w14:textId="77777777" w:rsidR="006C710C" w:rsidRPr="00326DCC" w:rsidRDefault="006C710C" w:rsidP="006C710C">
      <w:pPr>
        <w:spacing w:before="240"/>
        <w:rPr>
          <w:b/>
          <w:sz w:val="24"/>
          <w:szCs w:val="24"/>
        </w:rPr>
      </w:pPr>
      <w:r>
        <w:rPr>
          <w:b/>
          <w:sz w:val="24"/>
          <w:szCs w:val="24"/>
        </w:rPr>
        <w:t>Appendices</w:t>
      </w:r>
    </w:p>
    <w:p w14:paraId="72BC6D3A" w14:textId="1B8BFEED" w:rsidR="00205F0C" w:rsidRPr="00CE65AB" w:rsidRDefault="00193EBD" w:rsidP="00CE65AB">
      <w:pPr>
        <w:pStyle w:val="ListParagraph"/>
        <w:numPr>
          <w:ilvl w:val="0"/>
          <w:numId w:val="1"/>
        </w:numPr>
        <w:spacing w:line="259" w:lineRule="auto"/>
        <w:ind w:left="714" w:hanging="357"/>
        <w:rPr>
          <w:szCs w:val="24"/>
        </w:rPr>
      </w:pPr>
      <w:r>
        <w:rPr>
          <w:szCs w:val="24"/>
        </w:rPr>
        <w:t>N/A</w:t>
      </w:r>
      <w:r w:rsidR="00226075" w:rsidRPr="00CE65AB">
        <w:rPr>
          <w:sz w:val="24"/>
          <w:szCs w:val="24"/>
        </w:rPr>
        <w:tab/>
      </w:r>
    </w:p>
    <w:sectPr w:rsidR="00205F0C" w:rsidRPr="00CE65AB" w:rsidSect="006D7F2C">
      <w:type w:val="continuous"/>
      <w:pgSz w:w="11909" w:h="16834" w:code="9"/>
      <w:pgMar w:top="1440" w:right="994" w:bottom="1440" w:left="992" w:header="709" w:footer="28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02F8" w14:textId="77777777" w:rsidR="00E21505" w:rsidRDefault="00E21505">
      <w:r>
        <w:separator/>
      </w:r>
    </w:p>
  </w:endnote>
  <w:endnote w:type="continuationSeparator" w:id="0">
    <w:p w14:paraId="75F4B575" w14:textId="77777777" w:rsidR="00E21505" w:rsidRDefault="00E2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tura MT Script Capitals">
    <w:panose1 w:val="0302080206060207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26F5" w14:textId="77777777" w:rsidR="00C55CF6" w:rsidRPr="007A0DB5" w:rsidRDefault="00C55CF6" w:rsidP="00C55CF6">
    <w:pPr>
      <w:pStyle w:val="Header"/>
      <w:pBdr>
        <w:bottom w:val="single" w:sz="6" w:space="1" w:color="auto"/>
      </w:pBdr>
      <w:rPr>
        <w:sz w:val="2"/>
        <w:szCs w:val="2"/>
      </w:rPr>
    </w:pPr>
  </w:p>
  <w:p w14:paraId="7A0A7219" w14:textId="77777777" w:rsidR="00C55CF6" w:rsidRDefault="00C55CF6" w:rsidP="00C55CF6">
    <w:pPr>
      <w:tabs>
        <w:tab w:val="left" w:pos="3285"/>
      </w:tabs>
      <w:spacing w:before="60"/>
      <w:rPr>
        <w:rFonts w:cs="Arial"/>
        <w:b/>
      </w:rPr>
    </w:pPr>
    <w:r>
      <w:rPr>
        <w:rFonts w:cs="Arial"/>
        <w:b/>
      </w:rPr>
      <w:t>Controlled if copy number stated on document and issued by QA</w:t>
    </w:r>
    <w:r>
      <w:rPr>
        <w:rFonts w:cs="Arial"/>
        <w:b/>
      </w:rPr>
      <w:tab/>
    </w:r>
  </w:p>
  <w:p w14:paraId="7DC814E7" w14:textId="77777777" w:rsidR="00C55CF6" w:rsidRDefault="00C55CF6" w:rsidP="00C55CF6">
    <w:pPr>
      <w:tabs>
        <w:tab w:val="left" w:pos="3285"/>
      </w:tabs>
      <w:rPr>
        <w:rFonts w:cs="Arial"/>
        <w:sz w:val="12"/>
      </w:rPr>
    </w:pPr>
    <w:r>
      <w:rPr>
        <w:rFonts w:cs="Arial"/>
        <w:sz w:val="12"/>
      </w:rPr>
      <w:t>(Template Version 03/02/2020)</w:t>
    </w:r>
  </w:p>
  <w:p w14:paraId="7FD6CA70" w14:textId="39E6DB20" w:rsidR="00C55CF6" w:rsidRDefault="00C55CF6" w:rsidP="00C55CF6">
    <w:pPr>
      <w:tabs>
        <w:tab w:val="left" w:pos="3285"/>
      </w:tabs>
      <w:jc w:val="right"/>
      <w:rPr>
        <w:rFonts w:cs="Arial"/>
        <w:sz w:val="12"/>
      </w:rPr>
    </w:pPr>
    <w:r w:rsidRPr="00FB281B">
      <w:rPr>
        <w:rFonts w:cs="Arial"/>
        <w:b/>
      </w:rPr>
      <w:t xml:space="preserve">Page </w:t>
    </w:r>
    <w:r w:rsidRPr="00FB281B">
      <w:rPr>
        <w:rFonts w:cs="Arial"/>
        <w:b/>
      </w:rPr>
      <w:fldChar w:fldCharType="begin"/>
    </w:r>
    <w:r w:rsidRPr="00FB281B">
      <w:rPr>
        <w:rFonts w:cs="Arial"/>
        <w:b/>
      </w:rPr>
      <w:instrText xml:space="preserve"> PAGE  \* MERGEFORMAT </w:instrText>
    </w:r>
    <w:r w:rsidRPr="00FB281B">
      <w:rPr>
        <w:rFonts w:cs="Arial"/>
        <w:b/>
      </w:rPr>
      <w:fldChar w:fldCharType="separate"/>
    </w:r>
    <w:r w:rsidR="0058164A">
      <w:rPr>
        <w:rFonts w:cs="Arial"/>
        <w:b/>
        <w:noProof/>
      </w:rPr>
      <w:t>1</w:t>
    </w:r>
    <w:r w:rsidRPr="00FB281B">
      <w:rPr>
        <w:rFonts w:cs="Arial"/>
        <w:b/>
      </w:rPr>
      <w:fldChar w:fldCharType="end"/>
    </w:r>
    <w:r w:rsidRPr="00FB281B">
      <w:rPr>
        <w:rFonts w:cs="Arial"/>
        <w:b/>
      </w:rPr>
      <w:t xml:space="preserve"> of </w:t>
    </w:r>
    <w:r w:rsidRPr="00FB281B">
      <w:rPr>
        <w:rFonts w:cs="Arial"/>
        <w:b/>
      </w:rPr>
      <w:fldChar w:fldCharType="begin"/>
    </w:r>
    <w:r w:rsidRPr="00FB281B">
      <w:rPr>
        <w:rFonts w:cs="Arial"/>
        <w:b/>
      </w:rPr>
      <w:instrText xml:space="preserve"> NUMPAGES  \* MERGEFORMAT </w:instrText>
    </w:r>
    <w:r w:rsidRPr="00FB281B">
      <w:rPr>
        <w:rFonts w:cs="Arial"/>
        <w:b/>
      </w:rPr>
      <w:fldChar w:fldCharType="separate"/>
    </w:r>
    <w:r w:rsidR="0058164A">
      <w:rPr>
        <w:rFonts w:cs="Arial"/>
        <w:b/>
        <w:noProof/>
      </w:rPr>
      <w:t>2</w:t>
    </w:r>
    <w:r w:rsidRPr="00FB281B">
      <w:rPr>
        <w:rFonts w:cs="Arial"/>
        <w:b/>
      </w:rPr>
      <w:fldChar w:fldCharType="end"/>
    </w:r>
  </w:p>
  <w:p w14:paraId="6E2139DF" w14:textId="77777777" w:rsidR="00C55CF6" w:rsidRDefault="00C55CF6" w:rsidP="00C55CF6">
    <w:pPr>
      <w:pStyle w:val="Footer"/>
      <w:tabs>
        <w:tab w:val="clear" w:pos="4153"/>
        <w:tab w:val="clear" w:pos="8306"/>
        <w:tab w:val="left" w:pos="3790"/>
      </w:tabs>
    </w:pPr>
    <w:r>
      <w:tab/>
    </w:r>
  </w:p>
  <w:p w14:paraId="5FF3B5D9" w14:textId="3B1799E4" w:rsidR="007C3354" w:rsidRPr="00C55CF6" w:rsidRDefault="00C55CF6" w:rsidP="00C55CF6">
    <w:pPr>
      <w:pStyle w:val="Footer"/>
      <w:jc w:val="center"/>
      <w:rPr>
        <w:b/>
        <w:color w:val="FFFFFF" w:themeColor="background1"/>
        <w:sz w:val="36"/>
        <w:szCs w:val="36"/>
      </w:rPr>
    </w:pPr>
    <w:r w:rsidRPr="003F7934">
      <w:rPr>
        <w:b/>
        <w:color w:val="FFFFFF" w:themeColor="background1"/>
        <w:sz w:val="36"/>
        <w:szCs w:val="36"/>
      </w:rPr>
      <w:t>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AFE39" w14:textId="77777777" w:rsidR="00E21505" w:rsidRDefault="00E21505">
      <w:r>
        <w:separator/>
      </w:r>
    </w:p>
  </w:footnote>
  <w:footnote w:type="continuationSeparator" w:id="0">
    <w:p w14:paraId="6D033E95" w14:textId="77777777" w:rsidR="00E21505" w:rsidRDefault="00E2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265C" w14:textId="77777777" w:rsidR="00C55CF6" w:rsidRPr="00404267" w:rsidRDefault="00C55CF6" w:rsidP="00C55CF6">
    <w:pPr>
      <w:pStyle w:val="SOPTitle"/>
      <w:tabs>
        <w:tab w:val="clear" w:pos="0"/>
      </w:tabs>
      <w:ind w:right="62"/>
      <w:rPr>
        <w:sz w:val="2"/>
        <w:szCs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8"/>
      <w:gridCol w:w="2505"/>
    </w:tblGrid>
    <w:tr w:rsidR="00C55CF6" w14:paraId="633B25E3" w14:textId="77777777" w:rsidTr="000B52B0">
      <w:trPr>
        <w:jc w:val="center"/>
      </w:trPr>
      <w:tc>
        <w:tcPr>
          <w:tcW w:w="7655" w:type="dxa"/>
        </w:tcPr>
        <w:p w14:paraId="231172D6" w14:textId="1CDD07C5" w:rsidR="00C55CF6" w:rsidRPr="00404267" w:rsidRDefault="00586FE5" w:rsidP="0058164A">
          <w:pPr>
            <w:pStyle w:val="Header"/>
            <w:rPr>
              <w:rFonts w:cs="Arial"/>
              <w:b/>
              <w:sz w:val="18"/>
              <w:szCs w:val="24"/>
            </w:rPr>
          </w:pPr>
          <w:r>
            <w:rPr>
              <w:rFonts w:cs="Arial"/>
              <w:b/>
              <w:sz w:val="28"/>
              <w:szCs w:val="28"/>
            </w:rPr>
            <w:t>SPN</w:t>
          </w:r>
          <w:r w:rsidR="008107BD">
            <w:rPr>
              <w:rFonts w:cs="Arial"/>
              <w:b/>
              <w:sz w:val="28"/>
              <w:szCs w:val="28"/>
            </w:rPr>
            <w:t>2</w:t>
          </w:r>
          <w:r w:rsidR="00F23290">
            <w:rPr>
              <w:rFonts w:cs="Arial"/>
              <w:b/>
              <w:sz w:val="28"/>
              <w:szCs w:val="28"/>
            </w:rPr>
            <w:t>262</w:t>
          </w:r>
          <w:r w:rsidR="0058164A">
            <w:rPr>
              <w:rFonts w:cs="Arial"/>
              <w:b/>
              <w:sz w:val="28"/>
              <w:szCs w:val="28"/>
            </w:rPr>
            <w:t>/1</w:t>
          </w:r>
          <w:r w:rsidR="007F0CE9">
            <w:rPr>
              <w:rFonts w:cs="Arial"/>
              <w:b/>
              <w:sz w:val="28"/>
              <w:szCs w:val="28"/>
            </w:rPr>
            <w:t xml:space="preserve"> – </w:t>
          </w:r>
          <w:r w:rsidR="0058164A" w:rsidRPr="0058164A">
            <w:rPr>
              <w:rFonts w:cs="Arial"/>
              <w:b/>
              <w:sz w:val="28"/>
              <w:szCs w:val="28"/>
            </w:rPr>
            <w:t xml:space="preserve">User Requirement Specification for </w:t>
          </w:r>
          <w:r w:rsidR="00A32D0C">
            <w:rPr>
              <w:rFonts w:cs="Arial"/>
              <w:b/>
              <w:sz w:val="28"/>
              <w:szCs w:val="28"/>
            </w:rPr>
            <w:t xml:space="preserve">Pharmaceutical grade vials and consumables compatible with </w:t>
          </w:r>
          <w:r w:rsidR="00F23290">
            <w:rPr>
              <w:rFonts w:cs="Arial"/>
              <w:b/>
              <w:sz w:val="28"/>
              <w:szCs w:val="28"/>
            </w:rPr>
            <w:t>the</w:t>
          </w:r>
          <w:r w:rsidR="00A32D0C">
            <w:rPr>
              <w:rFonts w:cs="Arial"/>
              <w:b/>
              <w:sz w:val="28"/>
              <w:szCs w:val="28"/>
            </w:rPr>
            <w:t xml:space="preserve"> Aseptic Technologies Filling Line</w:t>
          </w:r>
        </w:p>
      </w:tc>
      <w:tc>
        <w:tcPr>
          <w:tcW w:w="2514" w:type="dxa"/>
        </w:tcPr>
        <w:p w14:paraId="6F6F464B" w14:textId="77777777" w:rsidR="00C55CF6" w:rsidRDefault="00C55CF6" w:rsidP="000B52B0">
          <w:pPr>
            <w:spacing w:before="20" w:line="276" w:lineRule="auto"/>
            <w:rPr>
              <w:rFonts w:cs="Arial"/>
              <w:b/>
              <w:sz w:val="18"/>
              <w:szCs w:val="24"/>
            </w:rPr>
          </w:pPr>
          <w:r w:rsidRPr="0089414C">
            <w:rPr>
              <w:rFonts w:cs="Arial"/>
              <w:noProof/>
              <w:sz w:val="24"/>
            </w:rPr>
            <w:drawing>
              <wp:inline distT="0" distB="0" distL="0" distR="0" wp14:anchorId="4B34B0AF" wp14:editId="3F6AFF4B">
                <wp:extent cx="1331595" cy="370205"/>
                <wp:effectExtent l="0" t="0" r="1905" b="0"/>
                <wp:docPr id="3" name="Picture 3" descr="NHSBloodandTransplantR1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BloodandTransplantR1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1595" cy="370205"/>
                        </a:xfrm>
                        <a:prstGeom prst="rect">
                          <a:avLst/>
                        </a:prstGeom>
                        <a:noFill/>
                        <a:ln>
                          <a:noFill/>
                        </a:ln>
                      </pic:spPr>
                    </pic:pic>
                  </a:graphicData>
                </a:graphic>
              </wp:inline>
            </w:drawing>
          </w:r>
        </w:p>
        <w:p w14:paraId="1AE8A130" w14:textId="77777777" w:rsidR="00C55CF6" w:rsidRDefault="00C55CF6" w:rsidP="000B52B0">
          <w:pPr>
            <w:tabs>
              <w:tab w:val="right" w:pos="0"/>
            </w:tabs>
            <w:spacing w:before="20" w:line="276" w:lineRule="auto"/>
            <w:rPr>
              <w:rFonts w:cs="Arial"/>
              <w:b/>
              <w:sz w:val="18"/>
              <w:szCs w:val="24"/>
            </w:rPr>
          </w:pPr>
          <w:r w:rsidRPr="00404267">
            <w:rPr>
              <w:rFonts w:cs="Arial"/>
              <w:b/>
              <w:sz w:val="18"/>
              <w:szCs w:val="24"/>
            </w:rPr>
            <w:t>Copy No:</w:t>
          </w:r>
        </w:p>
        <w:p w14:paraId="697C5E51" w14:textId="7B14E500" w:rsidR="00C55CF6" w:rsidRDefault="00C55CF6" w:rsidP="00F7302C">
          <w:pPr>
            <w:tabs>
              <w:tab w:val="right" w:pos="0"/>
            </w:tabs>
            <w:spacing w:before="20" w:line="276" w:lineRule="auto"/>
            <w:rPr>
              <w:szCs w:val="28"/>
            </w:rPr>
          </w:pPr>
          <w:r>
            <w:rPr>
              <w:rFonts w:cs="Arial"/>
              <w:b/>
              <w:sz w:val="18"/>
              <w:szCs w:val="24"/>
            </w:rPr>
            <w:t>Effective date:</w:t>
          </w:r>
          <w:r w:rsidR="000B52B0">
            <w:rPr>
              <w:rFonts w:cs="Arial"/>
              <w:b/>
              <w:sz w:val="18"/>
              <w:szCs w:val="24"/>
            </w:rPr>
            <w:t xml:space="preserve"> </w:t>
          </w:r>
          <w:r w:rsidR="0060183F">
            <w:rPr>
              <w:rFonts w:cs="Arial"/>
              <w:b/>
              <w:sz w:val="18"/>
              <w:szCs w:val="24"/>
            </w:rPr>
            <w:t>DRAFT</w:t>
          </w:r>
        </w:p>
      </w:tc>
    </w:tr>
  </w:tbl>
  <w:p w14:paraId="6F2954D9" w14:textId="77777777" w:rsidR="00C55CF6" w:rsidRPr="00404267" w:rsidRDefault="00C55CF6" w:rsidP="00C55CF6">
    <w:pPr>
      <w:pStyle w:val="SOPTitle"/>
      <w:tabs>
        <w:tab w:val="clear" w:pos="0"/>
      </w:tabs>
      <w:ind w:right="62"/>
      <w:rPr>
        <w:sz w:val="2"/>
        <w:szCs w:val="2"/>
      </w:rPr>
    </w:pPr>
  </w:p>
  <w:p w14:paraId="1FA8EB71" w14:textId="77777777" w:rsidR="00C55CF6" w:rsidRPr="007C3354" w:rsidRDefault="00C55CF6" w:rsidP="00C55CF6">
    <w:pPr>
      <w:pStyle w:val="SOPTitle"/>
      <w:tabs>
        <w:tab w:val="clear" w:pos="0"/>
      </w:tabs>
      <w:ind w:firstLine="1843"/>
      <w:jc w:val="center"/>
      <w:rPr>
        <w:sz w:val="2"/>
        <w:szCs w:val="2"/>
      </w:rPr>
    </w:pPr>
  </w:p>
  <w:p w14:paraId="2E5D0307" w14:textId="77777777" w:rsidR="00C55CF6" w:rsidRPr="007A0DB5" w:rsidRDefault="00C55CF6" w:rsidP="00C55CF6">
    <w:pPr>
      <w:pStyle w:val="Header"/>
      <w:pBdr>
        <w:bottom w:val="single" w:sz="6" w:space="1" w:color="auto"/>
      </w:pBdr>
      <w:jc w:val="center"/>
      <w:rPr>
        <w:sz w:val="2"/>
        <w:szCs w:val="2"/>
      </w:rPr>
    </w:pPr>
  </w:p>
  <w:p w14:paraId="4149E721" w14:textId="77777777" w:rsidR="00C55CF6" w:rsidRPr="007A0DB5" w:rsidRDefault="00C55CF6" w:rsidP="00C55CF6">
    <w:pPr>
      <w:pStyle w:val="Header"/>
      <w:jc w:val="center"/>
      <w:rPr>
        <w:rFonts w:cs="Arial"/>
        <w:b/>
        <w:sz w:val="2"/>
        <w:szCs w:val="2"/>
      </w:rPr>
    </w:pPr>
  </w:p>
  <w:p w14:paraId="249CCC44" w14:textId="77777777" w:rsidR="007C3354" w:rsidRPr="00C55CF6" w:rsidRDefault="007C3354" w:rsidP="00C55CF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378"/>
    <w:multiLevelType w:val="multilevel"/>
    <w:tmpl w:val="045A5DF4"/>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1" w15:restartNumberingAfterBreak="0">
    <w:nsid w:val="023B52D7"/>
    <w:multiLevelType w:val="multilevel"/>
    <w:tmpl w:val="A57854E4"/>
    <w:lvl w:ilvl="0">
      <w:start w:val="4"/>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720"/>
        </w:tabs>
        <w:ind w:left="720" w:hanging="72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080"/>
        </w:tabs>
        <w:ind w:left="1080" w:hanging="108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440"/>
        </w:tabs>
        <w:ind w:left="1440" w:hanging="1440"/>
      </w:pPr>
      <w:rPr>
        <w:rFonts w:ascii="Arial" w:hAnsi="Arial" w:cs="Arial" w:hint="default"/>
      </w:rPr>
    </w:lvl>
  </w:abstractNum>
  <w:abstractNum w:abstractNumId="2" w15:restartNumberingAfterBreak="0">
    <w:nsid w:val="05B77BFE"/>
    <w:multiLevelType w:val="multilevel"/>
    <w:tmpl w:val="B8D677A4"/>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24234F"/>
    <w:multiLevelType w:val="multilevel"/>
    <w:tmpl w:val="AA062760"/>
    <w:lvl w:ilvl="0">
      <w:start w:val="4"/>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720"/>
        </w:tabs>
        <w:ind w:left="720" w:hanging="72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080"/>
        </w:tabs>
        <w:ind w:left="1080" w:hanging="108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440"/>
        </w:tabs>
        <w:ind w:left="1440" w:hanging="1440"/>
      </w:pPr>
      <w:rPr>
        <w:rFonts w:ascii="Arial" w:hAnsi="Arial" w:cs="Arial" w:hint="default"/>
      </w:rPr>
    </w:lvl>
  </w:abstractNum>
  <w:abstractNum w:abstractNumId="4" w15:restartNumberingAfterBreak="0">
    <w:nsid w:val="0FBA108F"/>
    <w:multiLevelType w:val="multilevel"/>
    <w:tmpl w:val="F210EEFA"/>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0C60DA"/>
    <w:multiLevelType w:val="multilevel"/>
    <w:tmpl w:val="C2048D6E"/>
    <w:lvl w:ilvl="0">
      <w:start w:val="2"/>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996C3A"/>
    <w:multiLevelType w:val="multilevel"/>
    <w:tmpl w:val="6076F92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9FA5204"/>
    <w:multiLevelType w:val="multilevel"/>
    <w:tmpl w:val="31865FC0"/>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F6F04"/>
    <w:multiLevelType w:val="multilevel"/>
    <w:tmpl w:val="7A1885C6"/>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9" w15:restartNumberingAfterBreak="0">
    <w:nsid w:val="1FD43707"/>
    <w:multiLevelType w:val="multilevel"/>
    <w:tmpl w:val="4E0C77F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1F316A"/>
    <w:multiLevelType w:val="hybridMultilevel"/>
    <w:tmpl w:val="3D0C6C78"/>
    <w:lvl w:ilvl="0" w:tplc="7DF48D88">
      <w:start w:val="1"/>
      <w:numFmt w:val="low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A257993"/>
    <w:multiLevelType w:val="hybridMultilevel"/>
    <w:tmpl w:val="8A94B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B38F1"/>
    <w:multiLevelType w:val="hybridMultilevel"/>
    <w:tmpl w:val="73AE4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E79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0D24C3"/>
    <w:multiLevelType w:val="multilevel"/>
    <w:tmpl w:val="1DF2437C"/>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15" w15:restartNumberingAfterBreak="0">
    <w:nsid w:val="3E131D05"/>
    <w:multiLevelType w:val="multilevel"/>
    <w:tmpl w:val="2146DDAE"/>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4509B5"/>
    <w:multiLevelType w:val="multilevel"/>
    <w:tmpl w:val="4C6ACC66"/>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17" w15:restartNumberingAfterBreak="0">
    <w:nsid w:val="3F4E458B"/>
    <w:multiLevelType w:val="multilevel"/>
    <w:tmpl w:val="32F6708A"/>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18" w15:restartNumberingAfterBreak="0">
    <w:nsid w:val="3FFB31AE"/>
    <w:multiLevelType w:val="multilevel"/>
    <w:tmpl w:val="1AF8F68A"/>
    <w:lvl w:ilvl="0">
      <w:start w:val="2"/>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216D24"/>
    <w:multiLevelType w:val="multilevel"/>
    <w:tmpl w:val="BE1485FE"/>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8849BC"/>
    <w:multiLevelType w:val="multilevel"/>
    <w:tmpl w:val="013CBD68"/>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3F472D1"/>
    <w:multiLevelType w:val="hybridMultilevel"/>
    <w:tmpl w:val="275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911C0F"/>
    <w:multiLevelType w:val="multilevel"/>
    <w:tmpl w:val="5FC68476"/>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588"/>
        </w:tabs>
        <w:ind w:left="588"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664"/>
        </w:tabs>
        <w:ind w:left="664" w:hanging="1800"/>
      </w:pPr>
      <w:rPr>
        <w:rFonts w:hint="default"/>
      </w:rPr>
    </w:lvl>
  </w:abstractNum>
  <w:abstractNum w:abstractNumId="23" w15:restartNumberingAfterBreak="0">
    <w:nsid w:val="656B17F7"/>
    <w:multiLevelType w:val="multilevel"/>
    <w:tmpl w:val="473429DE"/>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131C51"/>
    <w:multiLevelType w:val="multilevel"/>
    <w:tmpl w:val="292E108C"/>
    <w:lvl w:ilvl="0">
      <w:start w:val="2"/>
      <w:numFmt w:val="decimal"/>
      <w:lvlText w:val="%1"/>
      <w:lvlJc w:val="left"/>
      <w:pPr>
        <w:tabs>
          <w:tab w:val="num" w:pos="870"/>
        </w:tabs>
        <w:ind w:left="870" w:hanging="870"/>
      </w:pPr>
      <w:rPr>
        <w:rFonts w:hint="default"/>
      </w:rPr>
    </w:lvl>
    <w:lvl w:ilvl="1">
      <w:start w:val="2"/>
      <w:numFmt w:val="decimal"/>
      <w:lvlText w:val="%1.%2"/>
      <w:lvlJc w:val="left"/>
      <w:pPr>
        <w:tabs>
          <w:tab w:val="num" w:pos="870"/>
        </w:tabs>
        <w:ind w:left="870" w:hanging="87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A3054C"/>
    <w:multiLevelType w:val="hybridMultilevel"/>
    <w:tmpl w:val="B7BE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8D5DB5"/>
    <w:multiLevelType w:val="hybridMultilevel"/>
    <w:tmpl w:val="9D428676"/>
    <w:lvl w:ilvl="0" w:tplc="AAF8602A">
      <w:start w:val="1"/>
      <w:numFmt w:val="decimal"/>
      <w:lvlText w:val="%1."/>
      <w:lvlJc w:val="left"/>
      <w:pPr>
        <w:ind w:left="530" w:hanging="360"/>
      </w:pPr>
      <w:rPr>
        <w:rFonts w:cs="Times New Roman" w:hint="default"/>
      </w:rPr>
    </w:lvl>
    <w:lvl w:ilvl="1" w:tplc="08090019" w:tentative="1">
      <w:start w:val="1"/>
      <w:numFmt w:val="lowerLetter"/>
      <w:lvlText w:val="%2."/>
      <w:lvlJc w:val="left"/>
      <w:pPr>
        <w:ind w:left="1250" w:hanging="360"/>
      </w:pPr>
      <w:rPr>
        <w:rFonts w:cs="Times New Roman"/>
      </w:rPr>
    </w:lvl>
    <w:lvl w:ilvl="2" w:tplc="0809001B" w:tentative="1">
      <w:start w:val="1"/>
      <w:numFmt w:val="lowerRoman"/>
      <w:lvlText w:val="%3."/>
      <w:lvlJc w:val="right"/>
      <w:pPr>
        <w:ind w:left="1970" w:hanging="180"/>
      </w:pPr>
      <w:rPr>
        <w:rFonts w:cs="Times New Roman"/>
      </w:rPr>
    </w:lvl>
    <w:lvl w:ilvl="3" w:tplc="0809000F" w:tentative="1">
      <w:start w:val="1"/>
      <w:numFmt w:val="decimal"/>
      <w:lvlText w:val="%4."/>
      <w:lvlJc w:val="left"/>
      <w:pPr>
        <w:ind w:left="2690" w:hanging="360"/>
      </w:pPr>
      <w:rPr>
        <w:rFonts w:cs="Times New Roman"/>
      </w:rPr>
    </w:lvl>
    <w:lvl w:ilvl="4" w:tplc="08090019" w:tentative="1">
      <w:start w:val="1"/>
      <w:numFmt w:val="lowerLetter"/>
      <w:lvlText w:val="%5."/>
      <w:lvlJc w:val="left"/>
      <w:pPr>
        <w:ind w:left="3410" w:hanging="360"/>
      </w:pPr>
      <w:rPr>
        <w:rFonts w:cs="Times New Roman"/>
      </w:rPr>
    </w:lvl>
    <w:lvl w:ilvl="5" w:tplc="0809001B" w:tentative="1">
      <w:start w:val="1"/>
      <w:numFmt w:val="lowerRoman"/>
      <w:lvlText w:val="%6."/>
      <w:lvlJc w:val="right"/>
      <w:pPr>
        <w:ind w:left="4130" w:hanging="180"/>
      </w:pPr>
      <w:rPr>
        <w:rFonts w:cs="Times New Roman"/>
      </w:rPr>
    </w:lvl>
    <w:lvl w:ilvl="6" w:tplc="0809000F" w:tentative="1">
      <w:start w:val="1"/>
      <w:numFmt w:val="decimal"/>
      <w:lvlText w:val="%7."/>
      <w:lvlJc w:val="left"/>
      <w:pPr>
        <w:ind w:left="4850" w:hanging="360"/>
      </w:pPr>
      <w:rPr>
        <w:rFonts w:cs="Times New Roman"/>
      </w:rPr>
    </w:lvl>
    <w:lvl w:ilvl="7" w:tplc="08090019" w:tentative="1">
      <w:start w:val="1"/>
      <w:numFmt w:val="lowerLetter"/>
      <w:lvlText w:val="%8."/>
      <w:lvlJc w:val="left"/>
      <w:pPr>
        <w:ind w:left="5570" w:hanging="360"/>
      </w:pPr>
      <w:rPr>
        <w:rFonts w:cs="Times New Roman"/>
      </w:rPr>
    </w:lvl>
    <w:lvl w:ilvl="8" w:tplc="0809001B" w:tentative="1">
      <w:start w:val="1"/>
      <w:numFmt w:val="lowerRoman"/>
      <w:lvlText w:val="%9."/>
      <w:lvlJc w:val="right"/>
      <w:pPr>
        <w:ind w:left="6290" w:hanging="180"/>
      </w:pPr>
      <w:rPr>
        <w:rFonts w:cs="Times New Roman"/>
      </w:rPr>
    </w:lvl>
  </w:abstractNum>
  <w:abstractNum w:abstractNumId="27" w15:restartNumberingAfterBreak="0">
    <w:nsid w:val="71BC10F7"/>
    <w:multiLevelType w:val="hybridMultilevel"/>
    <w:tmpl w:val="26481996"/>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28" w15:restartNumberingAfterBreak="0">
    <w:nsid w:val="71CC7890"/>
    <w:multiLevelType w:val="multilevel"/>
    <w:tmpl w:val="20222390"/>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8622B4C"/>
    <w:multiLevelType w:val="multilevel"/>
    <w:tmpl w:val="8D543A0C"/>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8E23F76"/>
    <w:multiLevelType w:val="multilevel"/>
    <w:tmpl w:val="B906A6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26"/>
  </w:num>
  <w:num w:numId="3">
    <w:abstractNumId w:val="29"/>
  </w:num>
  <w:num w:numId="4">
    <w:abstractNumId w:val="7"/>
  </w:num>
  <w:num w:numId="5">
    <w:abstractNumId w:val="20"/>
  </w:num>
  <w:num w:numId="6">
    <w:abstractNumId w:val="28"/>
  </w:num>
  <w:num w:numId="7">
    <w:abstractNumId w:val="19"/>
  </w:num>
  <w:num w:numId="8">
    <w:abstractNumId w:val="23"/>
  </w:num>
  <w:num w:numId="9">
    <w:abstractNumId w:val="15"/>
  </w:num>
  <w:num w:numId="10">
    <w:abstractNumId w:val="4"/>
  </w:num>
  <w:num w:numId="11">
    <w:abstractNumId w:val="18"/>
  </w:num>
  <w:num w:numId="12">
    <w:abstractNumId w:val="24"/>
  </w:num>
  <w:num w:numId="13">
    <w:abstractNumId w:val="5"/>
  </w:num>
  <w:num w:numId="14">
    <w:abstractNumId w:val="3"/>
  </w:num>
  <w:num w:numId="15">
    <w:abstractNumId w:val="1"/>
  </w:num>
  <w:num w:numId="16">
    <w:abstractNumId w:val="17"/>
  </w:num>
  <w:num w:numId="17">
    <w:abstractNumId w:val="0"/>
  </w:num>
  <w:num w:numId="18">
    <w:abstractNumId w:val="22"/>
  </w:num>
  <w:num w:numId="19">
    <w:abstractNumId w:val="8"/>
  </w:num>
  <w:num w:numId="20">
    <w:abstractNumId w:val="14"/>
  </w:num>
  <w:num w:numId="21">
    <w:abstractNumId w:val="16"/>
  </w:num>
  <w:num w:numId="22">
    <w:abstractNumId w:val="27"/>
  </w:num>
  <w:num w:numId="23">
    <w:abstractNumId w:val="9"/>
  </w:num>
  <w:num w:numId="24">
    <w:abstractNumId w:val="21"/>
  </w:num>
  <w:num w:numId="25">
    <w:abstractNumId w:val="13"/>
  </w:num>
  <w:num w:numId="26">
    <w:abstractNumId w:val="6"/>
  </w:num>
  <w:num w:numId="27">
    <w:abstractNumId w:val="12"/>
  </w:num>
  <w:num w:numId="28">
    <w:abstractNumId w:val="30"/>
  </w:num>
  <w:num w:numId="29">
    <w:abstractNumId w:val="2"/>
  </w:num>
  <w:num w:numId="30">
    <w:abstractNumId w:val="2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0C"/>
    <w:rsid w:val="000040DC"/>
    <w:rsid w:val="0001426B"/>
    <w:rsid w:val="0002074B"/>
    <w:rsid w:val="00026A70"/>
    <w:rsid w:val="00035A24"/>
    <w:rsid w:val="0004707F"/>
    <w:rsid w:val="00064979"/>
    <w:rsid w:val="00074453"/>
    <w:rsid w:val="00080430"/>
    <w:rsid w:val="00084F4A"/>
    <w:rsid w:val="000A0F9C"/>
    <w:rsid w:val="000B255A"/>
    <w:rsid w:val="000B52B0"/>
    <w:rsid w:val="0012030A"/>
    <w:rsid w:val="001776A0"/>
    <w:rsid w:val="001858CE"/>
    <w:rsid w:val="00193EBD"/>
    <w:rsid w:val="001A1539"/>
    <w:rsid w:val="001A5218"/>
    <w:rsid w:val="001E0680"/>
    <w:rsid w:val="001E2BB6"/>
    <w:rsid w:val="001E2CD6"/>
    <w:rsid w:val="0020546F"/>
    <w:rsid w:val="00205F0C"/>
    <w:rsid w:val="00226075"/>
    <w:rsid w:val="00257AA0"/>
    <w:rsid w:val="00261F52"/>
    <w:rsid w:val="00274AC2"/>
    <w:rsid w:val="00281834"/>
    <w:rsid w:val="002870B9"/>
    <w:rsid w:val="002870D4"/>
    <w:rsid w:val="002B0CEA"/>
    <w:rsid w:val="002D436F"/>
    <w:rsid w:val="002E1DAA"/>
    <w:rsid w:val="002E571B"/>
    <w:rsid w:val="002F1F6E"/>
    <w:rsid w:val="00305704"/>
    <w:rsid w:val="00311C95"/>
    <w:rsid w:val="0033196F"/>
    <w:rsid w:val="003559E1"/>
    <w:rsid w:val="00364CE5"/>
    <w:rsid w:val="00372C71"/>
    <w:rsid w:val="0038221F"/>
    <w:rsid w:val="003A36B6"/>
    <w:rsid w:val="003B410C"/>
    <w:rsid w:val="003B459E"/>
    <w:rsid w:val="003D1F28"/>
    <w:rsid w:val="003E0D16"/>
    <w:rsid w:val="003E2BAC"/>
    <w:rsid w:val="003E40FA"/>
    <w:rsid w:val="003F6FF0"/>
    <w:rsid w:val="003F76D9"/>
    <w:rsid w:val="004236EF"/>
    <w:rsid w:val="00455DA4"/>
    <w:rsid w:val="0046073C"/>
    <w:rsid w:val="00462082"/>
    <w:rsid w:val="00482B76"/>
    <w:rsid w:val="00490631"/>
    <w:rsid w:val="004A4FB3"/>
    <w:rsid w:val="005212A5"/>
    <w:rsid w:val="005443BD"/>
    <w:rsid w:val="0058164A"/>
    <w:rsid w:val="005819D3"/>
    <w:rsid w:val="00586FE5"/>
    <w:rsid w:val="00587583"/>
    <w:rsid w:val="00593AD9"/>
    <w:rsid w:val="005A0A71"/>
    <w:rsid w:val="005D737D"/>
    <w:rsid w:val="005E19A2"/>
    <w:rsid w:val="0060183F"/>
    <w:rsid w:val="00635420"/>
    <w:rsid w:val="0063595D"/>
    <w:rsid w:val="00646C0B"/>
    <w:rsid w:val="00655545"/>
    <w:rsid w:val="00661886"/>
    <w:rsid w:val="00677484"/>
    <w:rsid w:val="00686EE4"/>
    <w:rsid w:val="006A0F3B"/>
    <w:rsid w:val="006A71A3"/>
    <w:rsid w:val="006C327A"/>
    <w:rsid w:val="006C3835"/>
    <w:rsid w:val="006C710C"/>
    <w:rsid w:val="006D20A7"/>
    <w:rsid w:val="006D7F2C"/>
    <w:rsid w:val="006E2CC0"/>
    <w:rsid w:val="006F3A12"/>
    <w:rsid w:val="006F68E0"/>
    <w:rsid w:val="006F69C3"/>
    <w:rsid w:val="0070314D"/>
    <w:rsid w:val="0070581F"/>
    <w:rsid w:val="00733BC7"/>
    <w:rsid w:val="007538B3"/>
    <w:rsid w:val="00757470"/>
    <w:rsid w:val="00757787"/>
    <w:rsid w:val="00784D5F"/>
    <w:rsid w:val="00786543"/>
    <w:rsid w:val="0079318E"/>
    <w:rsid w:val="007A0DB5"/>
    <w:rsid w:val="007A1999"/>
    <w:rsid w:val="007B66E7"/>
    <w:rsid w:val="007B77B6"/>
    <w:rsid w:val="007C3354"/>
    <w:rsid w:val="007C55A1"/>
    <w:rsid w:val="007E39D5"/>
    <w:rsid w:val="007F0CE9"/>
    <w:rsid w:val="007F1637"/>
    <w:rsid w:val="008107BD"/>
    <w:rsid w:val="00832F42"/>
    <w:rsid w:val="00837094"/>
    <w:rsid w:val="00845A51"/>
    <w:rsid w:val="008717B2"/>
    <w:rsid w:val="00876BD3"/>
    <w:rsid w:val="00895A8E"/>
    <w:rsid w:val="008A4979"/>
    <w:rsid w:val="008B29C9"/>
    <w:rsid w:val="008B3DD3"/>
    <w:rsid w:val="008E12E1"/>
    <w:rsid w:val="0090562C"/>
    <w:rsid w:val="00920142"/>
    <w:rsid w:val="0092310C"/>
    <w:rsid w:val="00923DE0"/>
    <w:rsid w:val="0095772A"/>
    <w:rsid w:val="00974BD7"/>
    <w:rsid w:val="009A0B28"/>
    <w:rsid w:val="009A484E"/>
    <w:rsid w:val="009A6E40"/>
    <w:rsid w:val="009B0BBE"/>
    <w:rsid w:val="009D0554"/>
    <w:rsid w:val="009D7149"/>
    <w:rsid w:val="009D7C46"/>
    <w:rsid w:val="009E30BD"/>
    <w:rsid w:val="009E7E10"/>
    <w:rsid w:val="00A16C10"/>
    <w:rsid w:val="00A32D0C"/>
    <w:rsid w:val="00A33417"/>
    <w:rsid w:val="00A46785"/>
    <w:rsid w:val="00A545D9"/>
    <w:rsid w:val="00A81C51"/>
    <w:rsid w:val="00A825CD"/>
    <w:rsid w:val="00A829BF"/>
    <w:rsid w:val="00A961AC"/>
    <w:rsid w:val="00AE2BDF"/>
    <w:rsid w:val="00B31EAA"/>
    <w:rsid w:val="00B41EF3"/>
    <w:rsid w:val="00B60DC7"/>
    <w:rsid w:val="00B67ABA"/>
    <w:rsid w:val="00B82909"/>
    <w:rsid w:val="00B90F43"/>
    <w:rsid w:val="00BA6E2F"/>
    <w:rsid w:val="00BC1DB8"/>
    <w:rsid w:val="00BD1D8B"/>
    <w:rsid w:val="00C1637D"/>
    <w:rsid w:val="00C46E1F"/>
    <w:rsid w:val="00C55CF6"/>
    <w:rsid w:val="00C6248B"/>
    <w:rsid w:val="00C718F2"/>
    <w:rsid w:val="00CA6E64"/>
    <w:rsid w:val="00CB164B"/>
    <w:rsid w:val="00CE65AB"/>
    <w:rsid w:val="00D10045"/>
    <w:rsid w:val="00D318D5"/>
    <w:rsid w:val="00D466C6"/>
    <w:rsid w:val="00D84079"/>
    <w:rsid w:val="00D845BE"/>
    <w:rsid w:val="00D96CE1"/>
    <w:rsid w:val="00DA407E"/>
    <w:rsid w:val="00DA62C3"/>
    <w:rsid w:val="00DB7100"/>
    <w:rsid w:val="00DF259D"/>
    <w:rsid w:val="00E000CA"/>
    <w:rsid w:val="00E02EB0"/>
    <w:rsid w:val="00E077B2"/>
    <w:rsid w:val="00E21505"/>
    <w:rsid w:val="00E27291"/>
    <w:rsid w:val="00E45236"/>
    <w:rsid w:val="00E73531"/>
    <w:rsid w:val="00E8674E"/>
    <w:rsid w:val="00EA2EC5"/>
    <w:rsid w:val="00EF1613"/>
    <w:rsid w:val="00EF3F9F"/>
    <w:rsid w:val="00EF78CF"/>
    <w:rsid w:val="00F06EED"/>
    <w:rsid w:val="00F10D39"/>
    <w:rsid w:val="00F23290"/>
    <w:rsid w:val="00F237BB"/>
    <w:rsid w:val="00F4533E"/>
    <w:rsid w:val="00F475A1"/>
    <w:rsid w:val="00F621D9"/>
    <w:rsid w:val="00F7218C"/>
    <w:rsid w:val="00F7225D"/>
    <w:rsid w:val="00F7302C"/>
    <w:rsid w:val="00F93C2B"/>
    <w:rsid w:val="00F954F5"/>
    <w:rsid w:val="00FB61C4"/>
    <w:rsid w:val="00FE4F19"/>
    <w:rsid w:val="00FF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58CB6"/>
  <w15:chartTrackingRefBased/>
  <w15:docId w15:val="{64A88382-24D3-4CE7-A252-48C09E3B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pBdr>
        <w:top w:val="single" w:sz="6" w:space="1" w:color="auto"/>
      </w:pBdr>
      <w:spacing w:after="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ncy1">
    <w:name w:val="Fancy 1"/>
    <w:basedOn w:val="Normal"/>
    <w:rPr>
      <w:rFonts w:ascii="Matura MT Script Capitals" w:hAnsi="Matura MT Script Capitals"/>
      <w:sz w:val="3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uiPriority w:val="99"/>
    <w:rsid w:val="00FB61C4"/>
    <w:rPr>
      <w:rFonts w:cs="Times New Roman"/>
      <w:color w:val="0000FF"/>
      <w:u w:val="single"/>
    </w:rPr>
  </w:style>
  <w:style w:type="table" w:styleId="TableGrid">
    <w:name w:val="Table Grid"/>
    <w:basedOn w:val="TableNormal"/>
    <w:uiPriority w:val="39"/>
    <w:rsid w:val="005212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Title">
    <w:name w:val="SOP Title"/>
    <w:basedOn w:val="Normal"/>
    <w:qFormat/>
    <w:rsid w:val="005212A5"/>
    <w:pPr>
      <w:tabs>
        <w:tab w:val="right" w:pos="0"/>
      </w:tabs>
    </w:pPr>
    <w:rPr>
      <w:rFonts w:eastAsiaTheme="minorHAnsi" w:cs="Arial"/>
      <w:b/>
      <w:sz w:val="28"/>
      <w:szCs w:val="24"/>
      <w:lang w:eastAsia="en-US"/>
    </w:rPr>
  </w:style>
  <w:style w:type="character" w:customStyle="1" w:styleId="HeaderChar">
    <w:name w:val="Header Char"/>
    <w:basedOn w:val="DefaultParagraphFont"/>
    <w:link w:val="Header"/>
    <w:rsid w:val="007A0DB5"/>
    <w:rPr>
      <w:rFonts w:ascii="Arial" w:hAnsi="Arial"/>
    </w:rPr>
  </w:style>
  <w:style w:type="paragraph" w:styleId="ListParagraph">
    <w:name w:val="List Paragraph"/>
    <w:basedOn w:val="Normal"/>
    <w:uiPriority w:val="34"/>
    <w:qFormat/>
    <w:rsid w:val="00D96CE1"/>
    <w:pPr>
      <w:ind w:left="720"/>
      <w:contextualSpacing/>
    </w:pPr>
  </w:style>
  <w:style w:type="table" w:customStyle="1" w:styleId="TableGrid1">
    <w:name w:val="Table Grid1"/>
    <w:basedOn w:val="TableNormal"/>
    <w:next w:val="TableGrid"/>
    <w:uiPriority w:val="39"/>
    <w:rsid w:val="00601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00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00893">
      <w:bodyDiv w:val="1"/>
      <w:marLeft w:val="0"/>
      <w:marRight w:val="0"/>
      <w:marTop w:val="0"/>
      <w:marBottom w:val="0"/>
      <w:divBdr>
        <w:top w:val="none" w:sz="0" w:space="0" w:color="auto"/>
        <w:left w:val="none" w:sz="0" w:space="0" w:color="auto"/>
        <w:bottom w:val="none" w:sz="0" w:space="0" w:color="auto"/>
        <w:right w:val="none" w:sz="0" w:space="0" w:color="auto"/>
      </w:divBdr>
    </w:div>
    <w:div w:id="5938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C6692-6A5B-4D13-9268-47818701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DAT/</vt:lpstr>
    </vt:vector>
  </TitlesOfParts>
  <Company>National Blood Servcie</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dc:title>
  <dc:subject>National Datasheet Template</dc:subject>
  <dc:creator>Rivers Amanda</dc:creator>
  <cp:keywords/>
  <dc:description/>
  <cp:lastModifiedBy>Paul Lloyd-Evans</cp:lastModifiedBy>
  <cp:revision>33</cp:revision>
  <cp:lastPrinted>2008-10-08T10:33:00Z</cp:lastPrinted>
  <dcterms:created xsi:type="dcterms:W3CDTF">2022-08-02T08:03:00Z</dcterms:created>
  <dcterms:modified xsi:type="dcterms:W3CDTF">2022-08-02T09:01:00Z</dcterms:modified>
</cp:coreProperties>
</file>