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07C1A044" w:rsidR="00E55E93" w:rsidRPr="00D14ABA" w:rsidRDefault="007B77C8">
      <w:pPr>
        <w:spacing w:after="0" w:line="259"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tab/>
      </w:r>
      <w:r w:rsidR="00E120E7" w:rsidRPr="00E120E7">
        <w:rPr>
          <w:rFonts w:ascii="Arial" w:eastAsia="Arial" w:hAnsi="Arial" w:cs="Arial"/>
          <w:sz w:val="24"/>
          <w:szCs w:val="24"/>
        </w:rPr>
        <w:t>CCFU22A38</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3CC1CC4C" w14:textId="77777777" w:rsidR="00310BA2" w:rsidRPr="00310BA2" w:rsidRDefault="007B77C8" w:rsidP="00310BA2">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310BA2" w:rsidRPr="00310BA2">
        <w:rPr>
          <w:rFonts w:ascii="Arial" w:eastAsia="Arial" w:hAnsi="Arial" w:cs="Arial"/>
          <w:b/>
          <w:sz w:val="24"/>
          <w:szCs w:val="24"/>
        </w:rPr>
        <w:t>REDACTED TEXT under FOIA Section 40,</w:t>
      </w:r>
    </w:p>
    <w:p w14:paraId="5D8B5FF5" w14:textId="71C764C3" w:rsidR="00E55E93" w:rsidRDefault="00310BA2" w:rsidP="00310BA2">
      <w:pPr>
        <w:spacing w:after="0" w:line="259" w:lineRule="auto"/>
        <w:ind w:left="2880" w:firstLine="720"/>
        <w:rPr>
          <w:rFonts w:ascii="Arial" w:eastAsia="Arial" w:hAnsi="Arial" w:cs="Arial"/>
          <w:b/>
          <w:sz w:val="24"/>
          <w:szCs w:val="24"/>
        </w:rPr>
      </w:pPr>
      <w:r w:rsidRPr="00310BA2">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01F34131"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r w:rsidR="00E120E7">
            <w:rPr>
              <w:rFonts w:ascii="Arial" w:eastAsia="Arial" w:hAnsi="Arial" w:cs="Arial"/>
              <w:b/>
              <w:sz w:val="24"/>
              <w:szCs w:val="24"/>
            </w:rPr>
            <w:t>LCC Group</w:t>
          </w:r>
        </w:sdtContent>
      </w:sdt>
    </w:p>
    <w:p w14:paraId="35D99D5B" w14:textId="77777777" w:rsidR="00310BA2" w:rsidRPr="00310BA2" w:rsidRDefault="007B77C8" w:rsidP="00310BA2">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310BA2" w:rsidRPr="00310BA2">
        <w:rPr>
          <w:rFonts w:ascii="Arial" w:eastAsia="Arial" w:hAnsi="Arial" w:cs="Arial"/>
          <w:b/>
          <w:sz w:val="24"/>
          <w:szCs w:val="24"/>
        </w:rPr>
        <w:t>REDACTED TEXT under FOIA Section 40,</w:t>
      </w:r>
    </w:p>
    <w:p w14:paraId="3CD71F8B" w14:textId="77777777" w:rsidR="00310BA2" w:rsidRDefault="00310BA2" w:rsidP="00310BA2">
      <w:pPr>
        <w:spacing w:line="240" w:lineRule="auto"/>
        <w:ind w:left="2880" w:firstLine="720"/>
        <w:rPr>
          <w:rFonts w:ascii="Arial" w:eastAsia="Arial" w:hAnsi="Arial" w:cs="Arial"/>
          <w:b/>
          <w:sz w:val="24"/>
          <w:szCs w:val="24"/>
        </w:rPr>
      </w:pPr>
      <w:r w:rsidRPr="00310BA2">
        <w:rPr>
          <w:rFonts w:ascii="Arial" w:eastAsia="Arial" w:hAnsi="Arial" w:cs="Arial"/>
          <w:b/>
          <w:sz w:val="24"/>
          <w:szCs w:val="24"/>
        </w:rPr>
        <w:t>Personal Information</w:t>
      </w:r>
    </w:p>
    <w:p w14:paraId="5D8B5FFD" w14:textId="74DC2728" w:rsidR="00E55E93" w:rsidRPr="00EE4D9E" w:rsidRDefault="007B77C8" w:rsidP="00310BA2">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120E7" w:rsidRPr="00E120E7">
        <w:rPr>
          <w:rFonts w:ascii="Arial" w:eastAsia="Arial" w:hAnsi="Arial" w:cs="Arial"/>
          <w:b/>
          <w:sz w:val="24"/>
          <w:szCs w:val="24"/>
        </w:rPr>
        <w:t>NI 31142</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19815577" w14:textId="1837EAB7" w:rsidR="00B51D43" w:rsidRDefault="007B77C8" w:rsidP="00E120E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LOT </w:t>
      </w:r>
      <w:r w:rsidR="00E120E7">
        <w:rPr>
          <w:rFonts w:ascii="Arial" w:eastAsia="Arial" w:hAnsi="Arial" w:cs="Arial"/>
          <w:sz w:val="24"/>
          <w:szCs w:val="24"/>
        </w:rPr>
        <w:t>114: Northern Ireland</w:t>
      </w:r>
      <w:sdt>
        <w:sdtPr>
          <w:rPr>
            <w:rFonts w:ascii="Arial" w:eastAsia="Arial" w:hAnsi="Arial" w:cs="Arial"/>
            <w:sz w:val="24"/>
            <w:szCs w:val="24"/>
          </w:rPr>
          <w:tag w:val="goog_rdk_4"/>
          <w:id w:val="-48695362"/>
        </w:sdtPr>
        <w:sdtEndPr>
          <w:rPr>
            <w:rFonts w:ascii="Calibri" w:eastAsia="Calibri" w:hAnsi="Calibri" w:cs="Times New Roman"/>
            <w:sz w:val="22"/>
            <w:szCs w:val="22"/>
          </w:rPr>
        </w:sdtEndP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56D6392" w:rsidR="00E55E93" w:rsidRPr="006F502B"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2D3A9E0D" w:rsidR="00E55E93" w:rsidRPr="00C3593D"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3CCE24C7" w14:textId="03603729" w:rsidR="00C3593D" w:rsidRPr="00C3593D" w:rsidRDefault="00C3593D" w:rsidP="00C3593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0BCF950A"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BD090E">
        <w:rPr>
          <w:rFonts w:ascii="Arial" w:eastAsia="Arial" w:hAnsi="Arial" w:cs="Arial"/>
          <w:sz w:val="24"/>
          <w:szCs w:val="24"/>
        </w:rPr>
        <w:t>LOT 1</w:t>
      </w:r>
      <w:r w:rsidR="00E120E7">
        <w:rPr>
          <w:rFonts w:ascii="Arial" w:eastAsia="Arial" w:hAnsi="Arial" w:cs="Arial"/>
          <w:sz w:val="24"/>
          <w:szCs w:val="24"/>
        </w:rPr>
        <w:t>14</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C55F6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65F045A4"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terms to revise or supplement Call Off Schedule</w:t>
      </w:r>
      <w:bookmarkStart w:id="2" w:name="bookmark=id.1fob9te" w:colFirst="0" w:colLast="0"/>
      <w:bookmarkEnd w:id="2"/>
      <w:r>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C55F67">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C55F67">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sdt>
      <w:sdtPr>
        <w:tag w:val="goog_rdk_14"/>
        <w:id w:val="763733326"/>
      </w:sdtPr>
      <w:sdtEndPr/>
      <w:sdtContent>
        <w:p w14:paraId="55AAF8BC" w14:textId="77777777" w:rsidR="00310BA2" w:rsidRDefault="00310BA2" w:rsidP="00310BA2">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1B153883" w14:textId="77777777" w:rsidR="00310BA2" w:rsidRDefault="00310BA2" w:rsidP="00310BA2">
          <w:pPr>
            <w:tabs>
              <w:tab w:val="left" w:pos="2257"/>
            </w:tabs>
            <w:spacing w:after="0" w:line="256" w:lineRule="auto"/>
          </w:pPr>
          <w:r>
            <w:rPr>
              <w:rFonts w:ascii="Arial" w:eastAsia="Arial" w:hAnsi="Arial" w:cs="Arial"/>
              <w:b/>
              <w:sz w:val="24"/>
              <w:szCs w:val="24"/>
            </w:rPr>
            <w:t>Personal Information</w:t>
          </w:r>
        </w:p>
      </w:sdtContent>
    </w:sdt>
    <w:p w14:paraId="6185087E" w14:textId="77777777" w:rsidR="00E120E7" w:rsidRDefault="00E120E7">
      <w:pPr>
        <w:tabs>
          <w:tab w:val="left" w:pos="2257"/>
        </w:tabs>
        <w:spacing w:after="0" w:line="259" w:lineRule="auto"/>
        <w:rPr>
          <w:rFonts w:ascii="Arial" w:eastAsia="Arial" w:hAnsi="Arial" w:cs="Arial"/>
          <w:sz w:val="24"/>
          <w:szCs w:val="24"/>
        </w:rPr>
      </w:pPr>
    </w:p>
    <w:p w14:paraId="5D8B607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D8B607E" w14:textId="36D80C6C" w:rsidR="00E55E93" w:rsidRPr="00656740" w:rsidRDefault="00C55F67">
      <w:pPr>
        <w:tabs>
          <w:tab w:val="left" w:pos="2257"/>
        </w:tabs>
        <w:spacing w:after="0" w:line="259" w:lineRule="auto"/>
        <w:rPr>
          <w:rFonts w:ascii="Arial" w:eastAsia="Arial" w:hAnsi="Arial" w:cs="Arial"/>
          <w:sz w:val="24"/>
          <w:szCs w:val="24"/>
          <w:highlight w:val="yellow"/>
        </w:rPr>
      </w:pPr>
      <w:sdt>
        <w:sdtPr>
          <w:tag w:val="goog_rdk_22"/>
          <w:id w:val="1165741513"/>
        </w:sdtPr>
        <w:sdtEndPr/>
        <w:sdtContent>
          <w:r w:rsidR="00BD090E" w:rsidRPr="00BD090E">
            <w:t xml:space="preserve"> </w:t>
          </w:r>
          <w:sdt>
            <w:sdtPr>
              <w:tag w:val="goog_rdk_14"/>
              <w:id w:val="-1640571439"/>
            </w:sdtPr>
            <w:sdtEndPr/>
            <w:sdtContent>
              <w:sdt>
                <w:sdtPr>
                  <w:tag w:val="goog_rdk_14"/>
                  <w:id w:val="-1021542938"/>
                </w:sdtPr>
                <w:sdtEndPr/>
                <w:sdtContent>
                  <w:r w:rsidR="00310BA2">
                    <w:rPr>
                      <w:rFonts w:ascii="Arial" w:eastAsia="Arial" w:hAnsi="Arial" w:cs="Arial"/>
                      <w:b/>
                      <w:sz w:val="24"/>
                      <w:szCs w:val="24"/>
                    </w:rPr>
                    <w:t>REDACTED TEXT under FOIA Section 40, Personal Information</w:t>
                  </w:r>
                </w:sdtContent>
              </w:sdt>
              <w:r w:rsidR="00310BA2">
                <w:t xml:space="preserve"> </w:t>
              </w:r>
            </w:sdtContent>
          </w:sdt>
        </w:sdtContent>
      </w:sdt>
    </w:p>
    <w:p w14:paraId="5D8B607F" w14:textId="77777777" w:rsidR="00E55E93" w:rsidRDefault="00E55E93">
      <w:pPr>
        <w:tabs>
          <w:tab w:val="left" w:pos="2257"/>
        </w:tabs>
        <w:spacing w:after="0" w:line="259" w:lineRule="auto"/>
        <w:rPr>
          <w:rFonts w:ascii="Arial" w:eastAsia="Arial" w:hAnsi="Arial" w:cs="Arial"/>
          <w:sz w:val="24"/>
          <w:szCs w:val="24"/>
        </w:rPr>
      </w:pPr>
    </w:p>
    <w:p w14:paraId="5D8B608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sdt>
      <w:sdtPr>
        <w:tag w:val="goog_rdk_14"/>
        <w:id w:val="-609514699"/>
      </w:sdtPr>
      <w:sdtEndPr/>
      <w:sdtContent>
        <w:p w14:paraId="6169AEFB" w14:textId="77777777" w:rsidR="00310BA2" w:rsidRDefault="00310BA2" w:rsidP="00310BA2">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2E6AC4ED" w14:textId="77777777" w:rsidR="00310BA2" w:rsidRDefault="00310BA2" w:rsidP="00310BA2">
          <w:pPr>
            <w:tabs>
              <w:tab w:val="left" w:pos="2257"/>
            </w:tabs>
            <w:spacing w:after="0" w:line="256" w:lineRule="auto"/>
          </w:pPr>
          <w:r>
            <w:rPr>
              <w:rFonts w:ascii="Arial" w:eastAsia="Arial" w:hAnsi="Arial" w:cs="Arial"/>
              <w:b/>
              <w:sz w:val="24"/>
              <w:szCs w:val="24"/>
            </w:rPr>
            <w:t>Personal Information</w:t>
          </w:r>
        </w:p>
      </w:sdtContent>
    </w:sdt>
    <w:p w14:paraId="18FCF008" w14:textId="77777777" w:rsidR="00E120E7" w:rsidRDefault="00E120E7" w:rsidP="00E120E7">
      <w:pPr>
        <w:tabs>
          <w:tab w:val="left" w:pos="2257"/>
        </w:tabs>
        <w:spacing w:after="0" w:line="259" w:lineRule="auto"/>
        <w:rPr>
          <w:rFonts w:ascii="Arial" w:eastAsia="Arial" w:hAnsi="Arial" w:cs="Arial"/>
          <w:sz w:val="24"/>
          <w:szCs w:val="24"/>
        </w:rPr>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C55F67">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sdt>
            <w:sdtPr>
              <w:tag w:val="goog_rdk_14"/>
              <w:id w:val="122364211"/>
            </w:sdtPr>
            <w:sdtEndPr/>
            <w:sdtContent>
              <w:p w14:paraId="7F449294" w14:textId="77777777" w:rsidR="00310BA2" w:rsidRDefault="00310BA2" w:rsidP="00310BA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7" w14:textId="27E0D285" w:rsidR="00E55E93" w:rsidRPr="00310BA2" w:rsidRDefault="00310BA2" w:rsidP="00310BA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sdt>
            <w:sdtPr>
              <w:tag w:val="goog_rdk_14"/>
              <w:id w:val="-1142042831"/>
            </w:sdtPr>
            <w:sdtEndPr/>
            <w:sdtContent>
              <w:p w14:paraId="75734725" w14:textId="77777777" w:rsidR="00310BA2" w:rsidRDefault="00310BA2" w:rsidP="00310BA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9" w14:textId="7BCB3C9F" w:rsidR="00E55E93" w:rsidRPr="00310BA2" w:rsidRDefault="00310BA2" w:rsidP="00310BA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sdt>
            <w:sdtPr>
              <w:tag w:val="goog_rdk_14"/>
              <w:id w:val="-1933657099"/>
            </w:sdtPr>
            <w:sdtEndPr/>
            <w:sdtContent>
              <w:p w14:paraId="0696CCE0" w14:textId="77777777" w:rsidR="00310BA2" w:rsidRDefault="00310BA2" w:rsidP="00310BA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C" w14:textId="0DB1C166" w:rsidR="00E55E93" w:rsidRPr="00310BA2" w:rsidRDefault="00310BA2" w:rsidP="00310BA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sdt>
            <w:sdtPr>
              <w:tag w:val="goog_rdk_14"/>
              <w:id w:val="497313264"/>
            </w:sdtPr>
            <w:sdtEndPr/>
            <w:sdtContent>
              <w:p w14:paraId="074B72AC" w14:textId="77777777" w:rsidR="00310BA2" w:rsidRDefault="00310BA2" w:rsidP="00310BA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E" w14:textId="286E72B7" w:rsidR="00E55E93" w:rsidRPr="00310BA2" w:rsidRDefault="00310BA2" w:rsidP="00310BA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sdt>
            <w:sdtPr>
              <w:tag w:val="goog_rdk_14"/>
              <w:id w:val="963235991"/>
            </w:sdtPr>
            <w:sdtEndPr/>
            <w:sdtContent>
              <w:p w14:paraId="54A78730" w14:textId="77777777" w:rsidR="00310BA2" w:rsidRDefault="00310BA2" w:rsidP="00310BA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1" w14:textId="4E03E79F" w:rsidR="00E55E93" w:rsidRPr="00310BA2" w:rsidRDefault="00310BA2" w:rsidP="00310BA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sdt>
            <w:sdtPr>
              <w:tag w:val="goog_rdk_14"/>
              <w:id w:val="-1429276753"/>
            </w:sdtPr>
            <w:sdtEndPr/>
            <w:sdtContent>
              <w:p w14:paraId="2C6A70B5" w14:textId="77777777" w:rsidR="00310BA2" w:rsidRDefault="00310BA2" w:rsidP="00310BA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3" w14:textId="670735C2" w:rsidR="00E55E93" w:rsidRPr="00310BA2" w:rsidRDefault="00310BA2" w:rsidP="00310BA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426FC254" w:rsidR="00E55E93" w:rsidRDefault="003A471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310BA2">
              <w:rPr>
                <w:rFonts w:ascii="Arial" w:eastAsia="Arial" w:hAnsi="Arial" w:cs="Arial"/>
                <w:color w:val="000000"/>
                <w:sz w:val="24"/>
                <w:szCs w:val="24"/>
              </w:rPr>
              <w:t>1/1</w:t>
            </w:r>
            <w:r>
              <w:rPr>
                <w:rFonts w:ascii="Arial" w:eastAsia="Arial" w:hAnsi="Arial" w:cs="Arial"/>
                <w:color w:val="000000"/>
                <w:sz w:val="24"/>
                <w:szCs w:val="24"/>
              </w:rPr>
              <w:t>1</w:t>
            </w:r>
            <w:r w:rsidR="00310BA2">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27D618CC" w:rsidR="00E55E93" w:rsidRDefault="003A471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BD090E">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BD090E">
              <w:rPr>
                <w:rFonts w:ascii="Arial" w:eastAsia="Arial" w:hAnsi="Arial" w:cs="Arial"/>
                <w:color w:val="000000"/>
                <w:sz w:val="24"/>
                <w:szCs w:val="24"/>
              </w:rPr>
              <w:t>/22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B537" w14:textId="77777777" w:rsidR="00C55F67" w:rsidRDefault="00C55F67">
      <w:pPr>
        <w:spacing w:after="0" w:line="240" w:lineRule="auto"/>
      </w:pPr>
      <w:r>
        <w:separator/>
      </w:r>
    </w:p>
  </w:endnote>
  <w:endnote w:type="continuationSeparator" w:id="0">
    <w:p w14:paraId="12CBFD0D" w14:textId="77777777" w:rsidR="00C55F67" w:rsidRDefault="00C5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53A34" w14:textId="77777777" w:rsidR="00C55F67" w:rsidRDefault="00C55F67">
      <w:pPr>
        <w:spacing w:after="0" w:line="240" w:lineRule="auto"/>
      </w:pPr>
      <w:r>
        <w:separator/>
      </w:r>
    </w:p>
  </w:footnote>
  <w:footnote w:type="continuationSeparator" w:id="0">
    <w:p w14:paraId="3BE2EB43" w14:textId="77777777" w:rsidR="00C55F67" w:rsidRDefault="00C5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94E84"/>
    <w:rsid w:val="000B06ED"/>
    <w:rsid w:val="0022461D"/>
    <w:rsid w:val="002A47D6"/>
    <w:rsid w:val="002C4A9C"/>
    <w:rsid w:val="00310BA2"/>
    <w:rsid w:val="003554B0"/>
    <w:rsid w:val="003A4719"/>
    <w:rsid w:val="003E48AD"/>
    <w:rsid w:val="004118F1"/>
    <w:rsid w:val="00550664"/>
    <w:rsid w:val="00607033"/>
    <w:rsid w:val="00620E80"/>
    <w:rsid w:val="00656740"/>
    <w:rsid w:val="006F502B"/>
    <w:rsid w:val="0070183D"/>
    <w:rsid w:val="0071025D"/>
    <w:rsid w:val="00773A19"/>
    <w:rsid w:val="007B77C8"/>
    <w:rsid w:val="007F4E98"/>
    <w:rsid w:val="008230AD"/>
    <w:rsid w:val="00864553"/>
    <w:rsid w:val="00877F42"/>
    <w:rsid w:val="008C2B04"/>
    <w:rsid w:val="009D566C"/>
    <w:rsid w:val="00A0609B"/>
    <w:rsid w:val="00AF0DE8"/>
    <w:rsid w:val="00B51D43"/>
    <w:rsid w:val="00BD090E"/>
    <w:rsid w:val="00C03A6D"/>
    <w:rsid w:val="00C3593D"/>
    <w:rsid w:val="00C55F67"/>
    <w:rsid w:val="00CB6460"/>
    <w:rsid w:val="00D14ABA"/>
    <w:rsid w:val="00DE710C"/>
    <w:rsid w:val="00E120E7"/>
    <w:rsid w:val="00E55E93"/>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1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5474">
      <w:bodyDiv w:val="1"/>
      <w:marLeft w:val="0"/>
      <w:marRight w:val="0"/>
      <w:marTop w:val="0"/>
      <w:marBottom w:val="0"/>
      <w:divBdr>
        <w:top w:val="none" w:sz="0" w:space="0" w:color="auto"/>
        <w:left w:val="none" w:sz="0" w:space="0" w:color="auto"/>
        <w:bottom w:val="none" w:sz="0" w:space="0" w:color="auto"/>
        <w:right w:val="none" w:sz="0" w:space="0" w:color="auto"/>
      </w:divBdr>
    </w:div>
    <w:div w:id="360277813">
      <w:bodyDiv w:val="1"/>
      <w:marLeft w:val="0"/>
      <w:marRight w:val="0"/>
      <w:marTop w:val="0"/>
      <w:marBottom w:val="0"/>
      <w:divBdr>
        <w:top w:val="none" w:sz="0" w:space="0" w:color="auto"/>
        <w:left w:val="none" w:sz="0" w:space="0" w:color="auto"/>
        <w:bottom w:val="none" w:sz="0" w:space="0" w:color="auto"/>
        <w:right w:val="none" w:sz="0" w:space="0" w:color="auto"/>
      </w:divBdr>
    </w:div>
    <w:div w:id="653946418">
      <w:bodyDiv w:val="1"/>
      <w:marLeft w:val="0"/>
      <w:marRight w:val="0"/>
      <w:marTop w:val="0"/>
      <w:marBottom w:val="0"/>
      <w:divBdr>
        <w:top w:val="none" w:sz="0" w:space="0" w:color="auto"/>
        <w:left w:val="none" w:sz="0" w:space="0" w:color="auto"/>
        <w:bottom w:val="none" w:sz="0" w:space="0" w:color="auto"/>
        <w:right w:val="none" w:sz="0" w:space="0" w:color="auto"/>
      </w:divBdr>
    </w:div>
    <w:div w:id="713892504">
      <w:bodyDiv w:val="1"/>
      <w:marLeft w:val="0"/>
      <w:marRight w:val="0"/>
      <w:marTop w:val="0"/>
      <w:marBottom w:val="0"/>
      <w:divBdr>
        <w:top w:val="none" w:sz="0" w:space="0" w:color="auto"/>
        <w:left w:val="none" w:sz="0" w:space="0" w:color="auto"/>
        <w:bottom w:val="none" w:sz="0" w:space="0" w:color="auto"/>
        <w:right w:val="none" w:sz="0" w:space="0" w:color="auto"/>
      </w:divBdr>
    </w:div>
    <w:div w:id="1196239361">
      <w:bodyDiv w:val="1"/>
      <w:marLeft w:val="0"/>
      <w:marRight w:val="0"/>
      <w:marTop w:val="0"/>
      <w:marBottom w:val="0"/>
      <w:divBdr>
        <w:top w:val="none" w:sz="0" w:space="0" w:color="auto"/>
        <w:left w:val="none" w:sz="0" w:space="0" w:color="auto"/>
        <w:bottom w:val="none" w:sz="0" w:space="0" w:color="auto"/>
        <w:right w:val="none" w:sz="0" w:space="0" w:color="auto"/>
      </w:divBdr>
    </w:div>
    <w:div w:id="1293289658">
      <w:bodyDiv w:val="1"/>
      <w:marLeft w:val="0"/>
      <w:marRight w:val="0"/>
      <w:marTop w:val="0"/>
      <w:marBottom w:val="0"/>
      <w:divBdr>
        <w:top w:val="none" w:sz="0" w:space="0" w:color="auto"/>
        <w:left w:val="none" w:sz="0" w:space="0" w:color="auto"/>
        <w:bottom w:val="none" w:sz="0" w:space="0" w:color="auto"/>
        <w:right w:val="none" w:sz="0" w:space="0" w:color="auto"/>
      </w:divBdr>
    </w:div>
    <w:div w:id="1505783501">
      <w:bodyDiv w:val="1"/>
      <w:marLeft w:val="0"/>
      <w:marRight w:val="0"/>
      <w:marTop w:val="0"/>
      <w:marBottom w:val="0"/>
      <w:divBdr>
        <w:top w:val="none" w:sz="0" w:space="0" w:color="auto"/>
        <w:left w:val="none" w:sz="0" w:space="0" w:color="auto"/>
        <w:bottom w:val="none" w:sz="0" w:space="0" w:color="auto"/>
        <w:right w:val="none" w:sz="0" w:space="0" w:color="auto"/>
      </w:divBdr>
    </w:div>
    <w:div w:id="1567572503">
      <w:bodyDiv w:val="1"/>
      <w:marLeft w:val="0"/>
      <w:marRight w:val="0"/>
      <w:marTop w:val="0"/>
      <w:marBottom w:val="0"/>
      <w:divBdr>
        <w:top w:val="none" w:sz="0" w:space="0" w:color="auto"/>
        <w:left w:val="none" w:sz="0" w:space="0" w:color="auto"/>
        <w:bottom w:val="none" w:sz="0" w:space="0" w:color="auto"/>
        <w:right w:val="none" w:sz="0" w:space="0" w:color="auto"/>
      </w:divBdr>
    </w:div>
    <w:div w:id="1599757154">
      <w:bodyDiv w:val="1"/>
      <w:marLeft w:val="0"/>
      <w:marRight w:val="0"/>
      <w:marTop w:val="0"/>
      <w:marBottom w:val="0"/>
      <w:divBdr>
        <w:top w:val="none" w:sz="0" w:space="0" w:color="auto"/>
        <w:left w:val="none" w:sz="0" w:space="0" w:color="auto"/>
        <w:bottom w:val="none" w:sz="0" w:space="0" w:color="auto"/>
        <w:right w:val="none" w:sz="0" w:space="0" w:color="auto"/>
      </w:divBdr>
    </w:div>
    <w:div w:id="2121951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Props1.xml><?xml version="1.0" encoding="utf-8"?>
<ds:datastoreItem xmlns:ds="http://schemas.openxmlformats.org/officeDocument/2006/customXml" ds:itemID="{A1CFAB94-B26D-43D6-8DDD-B50BDD90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C9808-37EB-477D-BFB8-D88A3F941862}">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508D4B94-0871-433F-B74C-95CC6B73025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2022-10-28T08:32:00Z</dcterms:created>
  <dcterms:modified xsi:type="dcterms:W3CDTF">2022-11-24T10:49:00Z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