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-614044</wp:posOffset>
            </wp:positionH>
            <wp:positionV relativeFrom="paragraph">
              <wp:posOffset>-455293</wp:posOffset>
            </wp:positionV>
            <wp:extent cx="6750050" cy="2214880"/>
            <wp:effectExtent b="0" l="0" r="0" t="0"/>
            <wp:wrapTopAndBottom distB="0" dist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6750050" cy="221488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sz w:val="36"/>
          <w:szCs w:val="36"/>
        </w:rPr>
      </w:pPr>
      <w:r w:rsidDel="00000000" w:rsidR="00000000" w:rsidRPr="00000000">
        <w:rPr>
          <w:sz w:val="36"/>
          <w:szCs w:val="36"/>
          <w:rtl w:val="0"/>
        </w:rPr>
        <w:t xml:space="preserve">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sz w:val="24"/>
          <w:szCs w:val="24"/>
          <w:rtl w:val="0"/>
        </w:rPr>
        <w:t xml:space="preserve">RM6349 - Income Generation from Estates &amp; Assets</w:t>
      </w:r>
      <w:r w:rsidDel="00000000" w:rsidR="00000000" w:rsidRPr="00000000">
        <w:rPr>
          <w:color w:val="000000"/>
          <w:sz w:val="24"/>
          <w:szCs w:val="24"/>
          <w:rtl w:val="0"/>
        </w:rPr>
        <w:t xml:space="preserve">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Meaning: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color w:val="000000"/>
              </w:rPr>
            </w:pPr>
            <w:bookmarkStart w:colFirst="0" w:colLast="0" w:name="_heading=h.3znysh7" w:id="1"/>
            <w:bookmarkEnd w:id="1"/>
            <w:hyperlink r:id="rId8">
              <w:r w:rsidDel="00000000" w:rsidR="00000000" w:rsidRPr="00000000">
                <w:rPr>
                  <w:color w:val="0563c1"/>
                  <w:sz w:val="24"/>
                  <w:szCs w:val="24"/>
                  <w:u w:val="single"/>
                  <w:rtl w:val="0"/>
                </w:rPr>
                <w:t xml:space="preserve">Assessing and Monitoring the Economic and Financial Standing of Bidders and Suppliers document </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hyperlink r:id="rId9">
              <w:r w:rsidDel="00000000" w:rsidR="00000000" w:rsidRPr="00000000">
                <w:rPr>
                  <w:color w:val="0563c1"/>
                  <w:sz w:val="24"/>
                  <w:szCs w:val="24"/>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825" w:lineRule="auto"/>
        <w:rPr>
          <w:b w:val="1"/>
          <w:color w:val="000000"/>
          <w:sz w:val="28"/>
          <w:szCs w:val="28"/>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 (version 4.3.1) as the basis to conduct a financial assessment on all Bids. The </w:t>
      </w:r>
      <w:r w:rsidDel="00000000" w:rsidR="00000000" w:rsidRPr="00000000">
        <w:rPr>
          <w:sz w:val="24"/>
          <w:szCs w:val="24"/>
          <w:rtl w:val="0"/>
        </w:rPr>
        <w:t xml:space="preserve">RM6349 - Income Generation from Estates &amp; Assets</w:t>
      </w:r>
      <w:r w:rsidDel="00000000" w:rsidR="00000000" w:rsidRPr="00000000">
        <w:rPr>
          <w:color w:val="000000"/>
          <w:rtl w:val="0"/>
        </w:rPr>
        <w:t xml:space="preserve"> </w:t>
      </w:r>
      <w:r w:rsidDel="00000000" w:rsidR="00000000" w:rsidRPr="00000000">
        <w:rPr>
          <w:color w:val="000000"/>
          <w:sz w:val="24"/>
          <w:szCs w:val="24"/>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 Financial Viability Risk Assessment Tool.</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468" w:lineRule="auto"/>
        <w:ind w:right="336"/>
        <w:rPr>
          <w:color w:val="000000"/>
          <w:sz w:val="24"/>
          <w:szCs w:val="24"/>
        </w:rPr>
      </w:pPr>
      <w:bookmarkStart w:colFirst="0" w:colLast="0" w:name="_heading=h.30j0zll" w:id="2"/>
      <w:bookmarkEnd w:id="2"/>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10">
        <w:r w:rsidDel="00000000" w:rsidR="00000000" w:rsidRPr="00000000">
          <w:rPr>
            <w:color w:val="0563c1"/>
            <w:sz w:val="24"/>
            <w:szCs w:val="24"/>
            <w:u w:val="single"/>
            <w:rtl w:val="0"/>
          </w:rPr>
          <w:t xml:space="preserve">‘Assessing and Monitoring the Economic and Financial Standing of Bidders and Suppliers’</w:t>
        </w:r>
      </w:hyperlink>
      <w:r w:rsidDel="00000000" w:rsidR="00000000" w:rsidRPr="00000000">
        <w:rPr>
          <w:color w:val="000000"/>
          <w:sz w:val="24"/>
          <w:szCs w:val="24"/>
          <w:rtl w:val="0"/>
        </w:rPr>
        <w:t xml:space="preserve"> (hereafter referred to as ‘The Guidance Note’).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Rule="auto"/>
        <w:ind w:right="214"/>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sz w:val="24"/>
          <w:szCs w:val="24"/>
          <w:rtl w:val="0"/>
        </w:rPr>
        <w:t xml:space="preserve">RM6349 - Income Generation from Estates &amp; Assets</w:t>
      </w:r>
      <w:r w:rsidDel="00000000" w:rsidR="00000000" w:rsidRPr="00000000">
        <w:rPr>
          <w:color w:val="000000"/>
          <w:sz w:val="24"/>
          <w:szCs w:val="24"/>
          <w:rtl w:val="0"/>
        </w:rPr>
        <w:t xml:space="preserve"> and Lots has been classified as a </w:t>
      </w:r>
      <w:r w:rsidDel="00000000" w:rsidR="00000000" w:rsidRPr="00000000">
        <w:rPr>
          <w:b w:val="1"/>
          <w:color w:val="000000"/>
          <w:sz w:val="24"/>
          <w:szCs w:val="24"/>
          <w:rtl w:val="0"/>
        </w:rPr>
        <w:t xml:space="preserve">Gold (Lot 5)</w:t>
      </w:r>
      <w:r w:rsidDel="00000000" w:rsidR="00000000" w:rsidRPr="00000000">
        <w:rPr>
          <w:b w:val="1"/>
          <w:sz w:val="24"/>
          <w:szCs w:val="24"/>
          <w:rtl w:val="0"/>
        </w:rPr>
        <w:t xml:space="preserve"> and </w:t>
      </w:r>
      <w:r w:rsidDel="00000000" w:rsidR="00000000" w:rsidRPr="00000000">
        <w:rPr>
          <w:b w:val="1"/>
          <w:color w:val="000000"/>
          <w:sz w:val="24"/>
          <w:szCs w:val="24"/>
          <w:rtl w:val="0"/>
        </w:rPr>
        <w:t xml:space="preserve">Silver (</w:t>
      </w:r>
      <w:r w:rsidDel="00000000" w:rsidR="00000000" w:rsidRPr="00000000">
        <w:rPr>
          <w:b w:val="1"/>
          <w:sz w:val="24"/>
          <w:szCs w:val="24"/>
          <w:rtl w:val="0"/>
        </w:rPr>
        <w:t xml:space="preserve">Lots 1 - 4</w:t>
      </w:r>
      <w:r w:rsidDel="00000000" w:rsidR="00000000" w:rsidRPr="00000000">
        <w:rPr>
          <w:color w:val="000000"/>
          <w:sz w:val="24"/>
          <w:szCs w:val="24"/>
          <w:rtl w:val="0"/>
        </w:rPr>
        <w:t xml:space="preserve"> contract, via the Contract Tiering Tool. All Bidders tendering for this framework are required to complete Attachment 5a - Financial Viability Assessment Tool and Attachment 5b - </w:t>
      </w:r>
      <w:r w:rsidDel="00000000" w:rsidR="00000000" w:rsidRPr="00000000">
        <w:rPr>
          <w:sz w:val="24"/>
          <w:szCs w:val="24"/>
          <w:rtl w:val="0"/>
        </w:rPr>
        <w:t xml:space="preserve">Financial Viability Assessment Tool (if bidding for Lot 5)</w:t>
      </w:r>
      <w:r w:rsidDel="00000000" w:rsidR="00000000" w:rsidRPr="00000000">
        <w:rPr>
          <w:color w:val="000000"/>
          <w:sz w:val="24"/>
          <w:szCs w:val="24"/>
          <w:rtl w:val="0"/>
        </w:rPr>
        <w:t xml:space="preserve"> and upload it to Part 1.25 of Attachment 2a Selection Questionnaire in the eSourcing suite.</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and and Attachment 5b - Financial Viability Assessment Tools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26">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A">
      <w:pPr>
        <w:widowControl w:val="0"/>
        <w:numPr>
          <w:ilvl w:val="0"/>
          <w:numId w:val="3"/>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rtl w:val="0"/>
        </w:rPr>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rtl w:val="0"/>
        </w:rPr>
        <w:t xml:space="preserve">Gold</w:t>
      </w:r>
      <w:r w:rsidDel="00000000" w:rsidR="00000000" w:rsidRPr="00000000">
        <w:rPr>
          <w:b w:val="1"/>
          <w:sz w:val="24"/>
          <w:szCs w:val="24"/>
          <w:rtl w:val="0"/>
        </w:rPr>
        <w:t xml:space="preserve"> and </w:t>
      </w:r>
      <w:r w:rsidDel="00000000" w:rsidR="00000000" w:rsidRPr="00000000">
        <w:rPr>
          <w:b w:val="1"/>
          <w:color w:val="000000"/>
          <w:sz w:val="24"/>
          <w:szCs w:val="24"/>
          <w:rtl w:val="0"/>
        </w:rPr>
        <w:t xml:space="preserve">Silver</w:t>
      </w:r>
      <w:r w:rsidDel="00000000" w:rsidR="00000000" w:rsidRPr="00000000">
        <w:rPr>
          <w:color w:val="000000"/>
          <w:sz w:val="24"/>
          <w:szCs w:val="24"/>
          <w:rtl w:val="0"/>
        </w:rPr>
        <w:t xml:space="preserve"> 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2E">
      <w:pPr>
        <w:widowControl w:val="0"/>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w:t>
      </w:r>
      <w:hyperlink r:id="rId11">
        <w:r w:rsidDel="00000000" w:rsidR="00000000" w:rsidRPr="00000000">
          <w:rPr>
            <w:color w:val="0563c1"/>
            <w:sz w:val="24"/>
            <w:szCs w:val="24"/>
            <w:u w:val="single"/>
            <w:rtl w:val="0"/>
          </w:rPr>
          <w:t xml:space="preserve">PCR2015 regulation 60</w:t>
        </w:r>
      </w:hyperlink>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0">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w:t>
      </w:r>
      <w:r w:rsidDel="00000000" w:rsidR="00000000" w:rsidRPr="00000000">
        <w:rPr>
          <w:sz w:val="24"/>
          <w:szCs w:val="24"/>
          <w:rtl w:val="0"/>
        </w:rPr>
        <w:t xml:space="preserve">RM6349</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2">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4">
      <w:pPr>
        <w:widowControl w:val="0"/>
        <w:numPr>
          <w:ilvl w:val="0"/>
          <w:numId w:val="4"/>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6">
      <w:pPr>
        <w:widowControl w:val="0"/>
        <w:numPr>
          <w:ilvl w:val="2"/>
          <w:numId w:val="4"/>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7">
      <w:pPr>
        <w:widowControl w:val="0"/>
        <w:numPr>
          <w:ilvl w:val="2"/>
          <w:numId w:val="4"/>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8">
      <w:pPr>
        <w:widowControl w:val="0"/>
        <w:numPr>
          <w:ilvl w:val="0"/>
          <w:numId w:val="4"/>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9">
      <w:pPr>
        <w:widowControl w:val="0"/>
        <w:numPr>
          <w:ilvl w:val="0"/>
          <w:numId w:val="4"/>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A">
      <w:pPr>
        <w:widowControl w:val="0"/>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B">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C">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D">
      <w:pPr>
        <w:widowControl w:val="0"/>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3E">
      <w:pPr>
        <w:widowControl w:val="0"/>
        <w:numPr>
          <w:ilvl w:val="0"/>
          <w:numId w:val="4"/>
        </w:numPr>
        <w:pBdr>
          <w:top w:space="0" w:sz="0" w:val="nil"/>
          <w:left w:space="0" w:sz="0" w:val="nil"/>
          <w:bottom w:space="0" w:sz="0" w:val="nil"/>
          <w:right w:space="0" w:sz="0" w:val="nil"/>
          <w:between w:space="0" w:sz="0" w:val="nil"/>
        </w:pBdr>
        <w:ind w:left="720" w:right="227" w:hanging="360"/>
        <w:rPr/>
      </w:pPr>
      <w:bookmarkStart w:colFirst="0" w:colLast="0" w:name="_heading=h.1fob9te" w:id="3"/>
      <w:bookmarkEnd w:id="3"/>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3F">
      <w:pPr>
        <w:widowControl w:val="0"/>
        <w:numPr>
          <w:ilvl w:val="0"/>
          <w:numId w:val="4"/>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0">
      <w:pPr>
        <w:widowControl w:val="0"/>
        <w:numPr>
          <w:ilvl w:val="1"/>
          <w:numId w:val="4"/>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1">
      <w:pPr>
        <w:widowControl w:val="0"/>
        <w:numPr>
          <w:ilvl w:val="1"/>
          <w:numId w:val="4"/>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2">
      <w:pPr>
        <w:widowControl w:val="0"/>
        <w:numPr>
          <w:ilvl w:val="1"/>
          <w:numId w:val="4"/>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45">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320"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150"/>
        <w:rPr>
          <w:color w:val="000000"/>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57">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w:t>
      </w:r>
      <w:r w:rsidDel="00000000" w:rsidR="00000000" w:rsidRPr="00000000">
        <w:rPr>
          <w:sz w:val="24"/>
          <w:szCs w:val="24"/>
          <w:rtl w:val="0"/>
        </w:rPr>
        <w:t xml:space="preserve">RM6349 - Income Generation from Estates &amp; Assets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highlight w:val="yellow"/>
          <w:rtl w:val="0"/>
        </w:rPr>
        <w:t xml:space="preserve">Guidance</w:t>
      </w:r>
      <w:r w:rsidDel="00000000" w:rsidR="00000000" w:rsidRPr="00000000">
        <w:rPr>
          <w:color w:val="000000"/>
          <w:sz w:val="24"/>
          <w:szCs w:val="24"/>
          <w:rtl w:val="0"/>
        </w:rPr>
        <w:t xml:space="preserve"> – Ratios to be confirmed by category and commercial finance)</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RMXXXX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5</w:t>
            </w:r>
            <w:r w:rsidDel="00000000" w:rsidR="00000000" w:rsidRPr="00000000">
              <w:rPr>
                <w:color w:val="000000"/>
                <w:sz w:val="20"/>
                <w:szCs w:val="20"/>
                <w:highlight w:val="yellow"/>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10</w:t>
            </w:r>
            <w:r w:rsidDel="00000000" w:rsidR="00000000" w:rsidRPr="00000000">
              <w:rPr>
                <w:color w:val="000000"/>
                <w:sz w:val="20"/>
                <w:szCs w:val="20"/>
                <w:highlight w:val="yellow"/>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3.5</w:t>
            </w:r>
            <w:r w:rsidDel="00000000" w:rsidR="00000000" w:rsidRPr="00000000">
              <w:rPr>
                <w:sz w:val="20"/>
                <w:szCs w:val="20"/>
                <w:highlight w:val="yellow"/>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3</w:t>
            </w:r>
            <w:r w:rsidDel="00000000" w:rsidR="00000000" w:rsidRPr="00000000">
              <w:rPr>
                <w:sz w:val="20"/>
                <w:szCs w:val="20"/>
                <w:highlight w:val="yellow"/>
                <w:rtl w:val="0"/>
              </w:rPr>
              <w:t xml:space="preserve">.00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4.5</w:t>
            </w:r>
            <w:r w:rsidDel="00000000" w:rsidR="00000000" w:rsidRPr="00000000">
              <w:rPr>
                <w:sz w:val="20"/>
                <w:szCs w:val="20"/>
                <w:highlight w:val="yellow"/>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0.80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highlight w:val="yellow"/>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spacing w:line="276" w:lineRule="auto"/>
              <w:jc w:val="center"/>
              <w:rPr>
                <w:color w:val="000000"/>
                <w:sz w:val="20"/>
                <w:szCs w:val="20"/>
                <w:highlight w:val="yellow"/>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spacing w:line="276" w:lineRule="auto"/>
              <w:jc w:val="center"/>
              <w:rPr>
                <w:color w:val="000000"/>
              </w:rPr>
            </w:pPr>
            <w:r w:rsidDel="00000000" w:rsidR="00000000" w:rsidRPr="00000000">
              <w:rPr>
                <w:sz w:val="20"/>
                <w:szCs w:val="20"/>
                <w:highlight w:val="yellow"/>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highlight w:val="yellow"/>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A5">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121" w:firstLine="0"/>
              <w:rPr>
                <w:color w:val="000000"/>
                <w:sz w:val="24"/>
                <w:szCs w:val="24"/>
              </w:rPr>
            </w:pPr>
            <w:r w:rsidDel="00000000" w:rsidR="00000000" w:rsidRPr="00000000">
              <w:rPr>
                <w:color w:val="000000"/>
                <w:sz w:val="24"/>
                <w:szCs w:val="24"/>
                <w:rtl w:val="0"/>
              </w:rPr>
              <w:t xml:space="preserve">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p>
          <w:p w:rsidR="00000000" w:rsidDel="00000000" w:rsidP="00000000" w:rsidRDefault="00000000" w:rsidRPr="00000000" w14:paraId="000000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28" w:lineRule="auto"/>
              <w:ind w:left="133" w:right="54" w:firstLine="0"/>
              <w:rPr>
                <w:color w:val="000000"/>
                <w:sz w:val="24"/>
                <w:szCs w:val="24"/>
              </w:rPr>
            </w:pPr>
            <w:r w:rsidDel="00000000" w:rsidR="00000000" w:rsidRPr="00000000">
              <w:rPr>
                <w:color w:val="000000"/>
                <w:sz w:val="24"/>
                <w:szCs w:val="24"/>
                <w:rtl w:val="0"/>
              </w:rPr>
              <w:t xml:space="preserve">period_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consortium  </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28" w:lineRule="auto"/>
              <w:ind w:left="116" w:right="361" w:firstLine="0"/>
              <w:rPr>
                <w:color w:val="000000"/>
                <w:sz w:val="24"/>
                <w:szCs w:val="24"/>
              </w:rPr>
            </w:pPr>
            <w:r w:rsidDel="00000000" w:rsidR="00000000" w:rsidRPr="00000000">
              <w:rPr>
                <w:color w:val="000000"/>
                <w:sz w:val="24"/>
                <w:szCs w:val="24"/>
                <w:rtl w:val="0"/>
              </w:rPr>
              <w:t xml:space="preserve">Accounts (3 years) for</w:t>
            </w:r>
          </w:p>
          <w:p w:rsidR="00000000" w:rsidDel="00000000" w:rsidP="00000000" w:rsidRDefault="00000000" w:rsidRPr="00000000" w14:paraId="000000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left="216" w:right="696" w:firstLine="0"/>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left="216" w:firstLine="0"/>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216" w:right="695" w:firstLine="0"/>
              <w:rPr>
                <w:color w:val="000000"/>
              </w:rPr>
            </w:pPr>
            <w:r w:rsidDel="00000000" w:rsidR="00000000" w:rsidRPr="00000000">
              <w:rPr>
                <w:color w:val="000000"/>
                <w:sz w:val="24"/>
                <w:szCs w:val="24"/>
                <w:rtl w:val="0"/>
              </w:rPr>
              <w:t xml:space="preserve">Ultimate 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Period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left="74" w:hanging="42"/>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271" w:lineRule="auto"/>
              <w:ind w:left="74" w:hanging="42"/>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left="74" w:right="190" w:hanging="42"/>
              <w:rPr>
                <w:color w:val="000000"/>
                <w:sz w:val="24"/>
                <w:szCs w:val="24"/>
              </w:rPr>
            </w:pPr>
            <w:r w:rsidDel="00000000" w:rsidR="00000000" w:rsidRPr="00000000">
              <w:rPr>
                <w:color w:val="000000"/>
                <w:sz w:val="24"/>
                <w:szCs w:val="24"/>
                <w:rtl w:val="0"/>
              </w:rPr>
              <w:t xml:space="preserve">Organisation</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left="74" w:right="190" w:hanging="42"/>
              <w:rPr>
                <w:color w:val="000000"/>
              </w:rPr>
            </w:pPr>
            <w:r w:rsidDel="00000000" w:rsidR="00000000" w:rsidRPr="00000000">
              <w:rPr>
                <w:color w:val="000000"/>
                <w:sz w:val="24"/>
                <w:szCs w:val="24"/>
                <w:rtl w:val="0"/>
              </w:rPr>
              <w:t xml:space="preserve">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28" w:lineRule="auto"/>
              <w:ind w:left="121" w:right="157" w:firstLine="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4"/>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right="1314"/>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left="-210" w:right="1002" w:firstLine="0"/>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12"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rPr>
        <w:color w:val="000000"/>
        <w:sz w:val="18"/>
        <w:szCs w:val="18"/>
      </w:rPr>
    </w:pPr>
    <w:r w:rsidDel="00000000" w:rsidR="00000000" w:rsidRPr="00000000">
      <w:rPr>
        <w:color w:val="000000"/>
        <w:sz w:val="18"/>
        <w:szCs w:val="18"/>
        <w:rtl w:val="0"/>
      </w:rPr>
      <w:t xml:space="preserve">SGG G157 Attachment 5 Financial Viability Risk Assessment Instructions v4.0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511" w:hanging="360"/>
      </w:pPr>
      <w:rPr>
        <w:rFonts w:ascii="Courier New" w:cs="Courier New" w:eastAsia="Courier New" w:hAnsi="Courier New"/>
      </w:rPr>
    </w:lvl>
    <w:lvl w:ilvl="1">
      <w:start w:val="1"/>
      <w:numFmt w:val="bullet"/>
      <w:lvlText w:val="o"/>
      <w:lvlJc w:val="left"/>
      <w:pPr>
        <w:ind w:left="2231" w:hanging="360"/>
      </w:pPr>
      <w:rPr>
        <w:rFonts w:ascii="Courier New" w:cs="Courier New" w:eastAsia="Courier New" w:hAnsi="Courier New"/>
      </w:rPr>
    </w:lvl>
    <w:lvl w:ilvl="2">
      <w:start w:val="1"/>
      <w:numFmt w:val="bullet"/>
      <w:lvlText w:val="▪"/>
      <w:lvlJc w:val="left"/>
      <w:pPr>
        <w:ind w:left="2951" w:hanging="360"/>
      </w:pPr>
      <w:rPr>
        <w:rFonts w:ascii="Noto Sans Symbols" w:cs="Noto Sans Symbols" w:eastAsia="Noto Sans Symbols" w:hAnsi="Noto Sans Symbols"/>
      </w:rPr>
    </w:lvl>
    <w:lvl w:ilvl="3">
      <w:start w:val="1"/>
      <w:numFmt w:val="bullet"/>
      <w:lvlText w:val="●"/>
      <w:lvlJc w:val="left"/>
      <w:pPr>
        <w:ind w:left="3671" w:hanging="360"/>
      </w:pPr>
      <w:rPr>
        <w:rFonts w:ascii="Noto Sans Symbols" w:cs="Noto Sans Symbols" w:eastAsia="Noto Sans Symbols" w:hAnsi="Noto Sans Symbols"/>
      </w:rPr>
    </w:lvl>
    <w:lvl w:ilvl="4">
      <w:start w:val="1"/>
      <w:numFmt w:val="bullet"/>
      <w:lvlText w:val="o"/>
      <w:lvlJc w:val="left"/>
      <w:pPr>
        <w:ind w:left="4391" w:hanging="360"/>
      </w:pPr>
      <w:rPr>
        <w:rFonts w:ascii="Courier New" w:cs="Courier New" w:eastAsia="Courier New" w:hAnsi="Courier New"/>
      </w:rPr>
    </w:lvl>
    <w:lvl w:ilvl="5">
      <w:start w:val="1"/>
      <w:numFmt w:val="bullet"/>
      <w:lvlText w:val="▪"/>
      <w:lvlJc w:val="left"/>
      <w:pPr>
        <w:ind w:left="5111" w:hanging="360"/>
      </w:pPr>
      <w:rPr>
        <w:rFonts w:ascii="Noto Sans Symbols" w:cs="Noto Sans Symbols" w:eastAsia="Noto Sans Symbols" w:hAnsi="Noto Sans Symbols"/>
      </w:rPr>
    </w:lvl>
    <w:lvl w:ilvl="6">
      <w:start w:val="1"/>
      <w:numFmt w:val="bullet"/>
      <w:lvlText w:val="●"/>
      <w:lvlJc w:val="left"/>
      <w:pPr>
        <w:ind w:left="5831" w:hanging="360"/>
      </w:pPr>
      <w:rPr>
        <w:rFonts w:ascii="Noto Sans Symbols" w:cs="Noto Sans Symbols" w:eastAsia="Noto Sans Symbols" w:hAnsi="Noto Sans Symbols"/>
      </w:rPr>
    </w:lvl>
    <w:lvl w:ilvl="7">
      <w:start w:val="1"/>
      <w:numFmt w:val="bullet"/>
      <w:lvlText w:val="o"/>
      <w:lvlJc w:val="left"/>
      <w:pPr>
        <w:ind w:left="6551" w:hanging="360"/>
      </w:pPr>
      <w:rPr>
        <w:rFonts w:ascii="Courier New" w:cs="Courier New" w:eastAsia="Courier New" w:hAnsi="Courier New"/>
      </w:rPr>
    </w:lvl>
    <w:lvl w:ilvl="8">
      <w:start w:val="1"/>
      <w:numFmt w:val="bullet"/>
      <w:lvlText w:val="▪"/>
      <w:lvlJc w:val="left"/>
      <w:pPr>
        <w:ind w:left="7271" w:hanging="360"/>
      </w:pPr>
      <w:rPr>
        <w:rFonts w:ascii="Noto Sans Symbols" w:cs="Noto Sans Symbols" w:eastAsia="Noto Sans Symbols" w:hAnsi="Noto Sans Symbols"/>
      </w:rPr>
    </w:lvl>
  </w:abstractNum>
  <w:abstractNum w:abstractNumId="2">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styleId="FooterChar" w:customStyle="1">
    <w:name w:val="Footer Char"/>
    <w:basedOn w:val="DefaultParagraphFont"/>
    <w:uiPriority w:val="99"/>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character" w:styleId="Hyperlink">
    <w:name w:val="Hyperlink"/>
    <w:basedOn w:val="DefaultParagraphFont"/>
    <w:uiPriority w:val="99"/>
    <w:unhideWhenUsed w:val="1"/>
    <w:rsid w:val="00DE33BA"/>
    <w:rPr>
      <w:color w:val="0563c1" w:themeColor="hyperlink"/>
      <w:u w:val="single"/>
    </w:rPr>
  </w:style>
  <w:style w:type="character" w:styleId="UnresolvedMention">
    <w:name w:val="Unresolved Mention"/>
    <w:basedOn w:val="DefaultParagraphFont"/>
    <w:uiPriority w:val="99"/>
    <w:semiHidden w:val="1"/>
    <w:unhideWhenUsed w:val="1"/>
    <w:rsid w:val="00DE33BA"/>
    <w:rPr>
      <w:color w:val="605e5c"/>
      <w:shd w:color="auto" w:fill="e1dfdd" w:val="clear"/>
    </w:rPr>
  </w:style>
  <w:style w:type="character" w:styleId="FollowedHyperlink">
    <w:name w:val="FollowedHyperlink"/>
    <w:basedOn w:val="DefaultParagraphFont"/>
    <w:uiPriority w:val="99"/>
    <w:semiHidden w:val="1"/>
    <w:unhideWhenUsed w:val="1"/>
    <w:rsid w:val="0056424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egislation.gov.uk/uksi/2015/102/regulation/60/made" TargetMode="External"/><Relationship Id="rId10" Type="http://schemas.openxmlformats.org/officeDocument/2006/relationships/hyperlink" Target="https://assets.publishing.service.gov.uk/government/uploads/system/uploads/attachment_data/file/1163542/EFS_Guidance_Note.pdf" TargetMode="External"/><Relationship Id="rId12" Type="http://schemas.openxmlformats.org/officeDocument/2006/relationships/footer" Target="footer1.xml"/><Relationship Id="rId9" Type="http://schemas.openxmlformats.org/officeDocument/2006/relationships/hyperlink" Target="https://assets.publishing.service.gov.uk/government/uploads/system/uploads/attachment_data/file/1163766/Sourcing_Playbook_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1163542/EFS_Guidance_Not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Alw49v395SWJVYKe0WWsfOTgw==">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2024-01-17T19:58:00Z</dcterms:created>
  <dc:creator>Caroline Bradshaw</dc:creator>
</cp:coreProperties>
</file>