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FD9" w:rsidRPr="00EE5AE1" w:rsidRDefault="00475FD9" w:rsidP="00475FD9">
      <w:pPr>
        <w:pStyle w:val="Chapter"/>
      </w:pPr>
      <w:bookmarkStart w:id="0" w:name="_Toc522261969"/>
      <w:bookmarkStart w:id="1" w:name="_Toc278544909"/>
      <w:r>
        <w:t>Service Description</w:t>
      </w:r>
      <w:bookmarkEnd w:id="0"/>
    </w:p>
    <w:p w:rsidR="00475FD9" w:rsidRDefault="00475FD9" w:rsidP="00FA5229">
      <w:pPr>
        <w:pStyle w:val="bodystrongcentred"/>
        <w:rPr>
          <w:rFonts w:ascii="Calibri" w:hAnsi="Calibri"/>
        </w:rPr>
      </w:pPr>
    </w:p>
    <w:p w:rsidR="00910C2D" w:rsidRDefault="00910C2D" w:rsidP="00910C2D">
      <w:pPr>
        <w:pStyle w:val="bodystrongcentred"/>
        <w:jc w:val="left"/>
        <w:rPr>
          <w:rStyle w:val="Emphasis"/>
        </w:rPr>
      </w:pPr>
    </w:p>
    <w:p w:rsidR="00FA5229" w:rsidRDefault="00FA5229" w:rsidP="00910C2D">
      <w:pPr>
        <w:pStyle w:val="bodystrongcentred"/>
        <w:jc w:val="left"/>
        <w:rPr>
          <w:rStyle w:val="Emphasis"/>
        </w:rPr>
      </w:pPr>
      <w:r w:rsidRPr="00910C2D">
        <w:rPr>
          <w:rStyle w:val="Emphasis"/>
        </w:rPr>
        <w:t>CONTENTS</w:t>
      </w:r>
    </w:p>
    <w:p w:rsidR="00910C2D" w:rsidRPr="00910C2D" w:rsidRDefault="00910C2D" w:rsidP="00910C2D">
      <w:pPr>
        <w:pStyle w:val="bodystrongcentred"/>
        <w:jc w:val="left"/>
        <w:rPr>
          <w:rStyle w:val="Emphasis"/>
        </w:rPr>
      </w:pPr>
    </w:p>
    <w:p w:rsidR="00FA5229" w:rsidRPr="00B3136B" w:rsidRDefault="00FA5229" w:rsidP="00FA5229">
      <w:pPr>
        <w:rPr>
          <w:rFonts w:ascii="Calibri" w:hAnsi="Calibri"/>
        </w:rPr>
      </w:pPr>
    </w:p>
    <w:p w:rsidR="00E45076" w:rsidRDefault="00910C2D">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\h \z \u </w:instrText>
      </w:r>
      <w:r>
        <w:rPr>
          <w:rFonts w:ascii="Calibri" w:hAnsi="Calibri"/>
          <w:caps w:val="0"/>
        </w:rPr>
        <w:fldChar w:fldCharType="separate"/>
      </w:r>
      <w:hyperlink w:anchor="_Toc522261969" w:history="1">
        <w:r w:rsidR="00E45076" w:rsidRPr="007A4CCB">
          <w:rPr>
            <w:rStyle w:val="Hyperlink"/>
            <w:noProof/>
          </w:rPr>
          <w:t>Service Description</w:t>
        </w:r>
        <w:r w:rsidR="00E45076">
          <w:rPr>
            <w:noProof/>
            <w:webHidden/>
          </w:rPr>
          <w:tab/>
        </w:r>
        <w:r w:rsidR="00E45076">
          <w:rPr>
            <w:noProof/>
            <w:webHidden/>
          </w:rPr>
          <w:fldChar w:fldCharType="begin"/>
        </w:r>
        <w:r w:rsidR="00E45076">
          <w:rPr>
            <w:noProof/>
            <w:webHidden/>
          </w:rPr>
          <w:instrText xml:space="preserve"> PAGEREF _Toc522261969 \h </w:instrText>
        </w:r>
        <w:r w:rsidR="00E45076">
          <w:rPr>
            <w:noProof/>
            <w:webHidden/>
          </w:rPr>
        </w:r>
        <w:r w:rsidR="00E45076">
          <w:rPr>
            <w:noProof/>
            <w:webHidden/>
          </w:rPr>
          <w:fldChar w:fldCharType="separate"/>
        </w:r>
        <w:r w:rsidR="00E45076">
          <w:rPr>
            <w:noProof/>
            <w:webHidden/>
          </w:rPr>
          <w:t>1</w:t>
        </w:r>
        <w:r w:rsidR="00E45076">
          <w:rPr>
            <w:noProof/>
            <w:webHidden/>
          </w:rPr>
          <w:fldChar w:fldCharType="end"/>
        </w:r>
      </w:hyperlink>
    </w:p>
    <w:p w:rsidR="00E45076" w:rsidRDefault="00FE674E">
      <w:pPr>
        <w:pStyle w:val="TOC1"/>
        <w:rPr>
          <w:rFonts w:asciiTheme="minorHAnsi" w:eastAsiaTheme="minorEastAsia" w:hAnsiTheme="minorHAnsi" w:cstheme="minorBidi"/>
          <w:caps w:val="0"/>
          <w:noProof/>
          <w:sz w:val="22"/>
          <w:lang w:eastAsia="en-GB"/>
        </w:rPr>
      </w:pPr>
      <w:hyperlink w:anchor="_Toc522261970" w:history="1">
        <w:r w:rsidR="00E45076" w:rsidRPr="007A4CCB">
          <w:rPr>
            <w:rStyle w:val="Hyperlink"/>
            <w:noProof/>
          </w:rPr>
          <w:t>1.</w:t>
        </w:r>
        <w:r w:rsidR="00E45076">
          <w:rPr>
            <w:rFonts w:asciiTheme="minorHAnsi" w:eastAsiaTheme="minorEastAsia" w:hAnsiTheme="minorHAnsi" w:cstheme="minorBidi"/>
            <w:caps w:val="0"/>
            <w:noProof/>
            <w:sz w:val="22"/>
            <w:lang w:eastAsia="en-GB"/>
          </w:rPr>
          <w:tab/>
        </w:r>
        <w:r w:rsidR="00E45076" w:rsidRPr="007A4CCB">
          <w:rPr>
            <w:rStyle w:val="Hyperlink"/>
            <w:noProof/>
          </w:rPr>
          <w:t>INTRODUCTION</w:t>
        </w:r>
        <w:r w:rsidR="00E45076">
          <w:rPr>
            <w:noProof/>
            <w:webHidden/>
          </w:rPr>
          <w:tab/>
        </w:r>
        <w:r w:rsidR="00E45076">
          <w:rPr>
            <w:noProof/>
            <w:webHidden/>
          </w:rPr>
          <w:fldChar w:fldCharType="begin"/>
        </w:r>
        <w:r w:rsidR="00E45076">
          <w:rPr>
            <w:noProof/>
            <w:webHidden/>
          </w:rPr>
          <w:instrText xml:space="preserve"> PAGEREF _Toc522261970 \h </w:instrText>
        </w:r>
        <w:r w:rsidR="00E45076">
          <w:rPr>
            <w:noProof/>
            <w:webHidden/>
          </w:rPr>
        </w:r>
        <w:r w:rsidR="00E45076">
          <w:rPr>
            <w:noProof/>
            <w:webHidden/>
          </w:rPr>
          <w:fldChar w:fldCharType="separate"/>
        </w:r>
        <w:r w:rsidR="00E45076">
          <w:rPr>
            <w:noProof/>
            <w:webHidden/>
          </w:rPr>
          <w:t>2</w:t>
        </w:r>
        <w:r w:rsidR="00E45076">
          <w:rPr>
            <w:noProof/>
            <w:webHidden/>
          </w:rPr>
          <w:fldChar w:fldCharType="end"/>
        </w:r>
      </w:hyperlink>
    </w:p>
    <w:p w:rsidR="00E45076" w:rsidRDefault="00FE674E">
      <w:pPr>
        <w:pStyle w:val="TOC1"/>
        <w:rPr>
          <w:rFonts w:asciiTheme="minorHAnsi" w:eastAsiaTheme="minorEastAsia" w:hAnsiTheme="minorHAnsi" w:cstheme="minorBidi"/>
          <w:caps w:val="0"/>
          <w:noProof/>
          <w:sz w:val="22"/>
          <w:lang w:eastAsia="en-GB"/>
        </w:rPr>
      </w:pPr>
      <w:hyperlink w:anchor="_Toc522261971" w:history="1">
        <w:r w:rsidR="00E45076" w:rsidRPr="007A4CCB">
          <w:rPr>
            <w:rStyle w:val="Hyperlink"/>
            <w:noProof/>
          </w:rPr>
          <w:t>2.</w:t>
        </w:r>
        <w:r w:rsidR="00E45076">
          <w:rPr>
            <w:rFonts w:asciiTheme="minorHAnsi" w:eastAsiaTheme="minorEastAsia" w:hAnsiTheme="minorHAnsi" w:cstheme="minorBidi"/>
            <w:caps w:val="0"/>
            <w:noProof/>
            <w:sz w:val="22"/>
            <w:lang w:eastAsia="en-GB"/>
          </w:rPr>
          <w:tab/>
        </w:r>
        <w:r w:rsidR="00E45076" w:rsidRPr="007A4CCB">
          <w:rPr>
            <w:rStyle w:val="Hyperlink"/>
            <w:noProof/>
          </w:rPr>
          <w:t>PURPOSE</w:t>
        </w:r>
        <w:r w:rsidR="00E45076">
          <w:rPr>
            <w:noProof/>
            <w:webHidden/>
          </w:rPr>
          <w:tab/>
        </w:r>
        <w:r w:rsidR="00E45076">
          <w:rPr>
            <w:noProof/>
            <w:webHidden/>
          </w:rPr>
          <w:fldChar w:fldCharType="begin"/>
        </w:r>
        <w:r w:rsidR="00E45076">
          <w:rPr>
            <w:noProof/>
            <w:webHidden/>
          </w:rPr>
          <w:instrText xml:space="preserve"> PAGEREF _Toc522261971 \h </w:instrText>
        </w:r>
        <w:r w:rsidR="00E45076">
          <w:rPr>
            <w:noProof/>
            <w:webHidden/>
          </w:rPr>
        </w:r>
        <w:r w:rsidR="00E45076">
          <w:rPr>
            <w:noProof/>
            <w:webHidden/>
          </w:rPr>
          <w:fldChar w:fldCharType="separate"/>
        </w:r>
        <w:r w:rsidR="00E45076">
          <w:rPr>
            <w:noProof/>
            <w:webHidden/>
          </w:rPr>
          <w:t>2</w:t>
        </w:r>
        <w:r w:rsidR="00E45076">
          <w:rPr>
            <w:noProof/>
            <w:webHidden/>
          </w:rPr>
          <w:fldChar w:fldCharType="end"/>
        </w:r>
      </w:hyperlink>
    </w:p>
    <w:p w:rsidR="00E45076" w:rsidRDefault="00FE674E">
      <w:pPr>
        <w:pStyle w:val="TOC1"/>
        <w:rPr>
          <w:rFonts w:asciiTheme="minorHAnsi" w:eastAsiaTheme="minorEastAsia" w:hAnsiTheme="minorHAnsi" w:cstheme="minorBidi"/>
          <w:caps w:val="0"/>
          <w:noProof/>
          <w:sz w:val="22"/>
          <w:lang w:eastAsia="en-GB"/>
        </w:rPr>
      </w:pPr>
      <w:hyperlink w:anchor="_Toc522261972" w:history="1">
        <w:r w:rsidR="00E45076" w:rsidRPr="007A4CCB">
          <w:rPr>
            <w:rStyle w:val="Hyperlink"/>
            <w:noProof/>
          </w:rPr>
          <w:t>3.</w:t>
        </w:r>
        <w:r w:rsidR="00E45076">
          <w:rPr>
            <w:rFonts w:asciiTheme="minorHAnsi" w:eastAsiaTheme="minorEastAsia" w:hAnsiTheme="minorHAnsi" w:cstheme="minorBidi"/>
            <w:caps w:val="0"/>
            <w:noProof/>
            <w:sz w:val="22"/>
            <w:lang w:eastAsia="en-GB"/>
          </w:rPr>
          <w:tab/>
        </w:r>
        <w:r w:rsidR="00E45076" w:rsidRPr="007A4CCB">
          <w:rPr>
            <w:rStyle w:val="Hyperlink"/>
            <w:noProof/>
          </w:rPr>
          <w:t>background to the authority</w:t>
        </w:r>
        <w:r w:rsidR="00E45076">
          <w:rPr>
            <w:noProof/>
            <w:webHidden/>
          </w:rPr>
          <w:tab/>
        </w:r>
        <w:r w:rsidR="00E45076">
          <w:rPr>
            <w:noProof/>
            <w:webHidden/>
          </w:rPr>
          <w:fldChar w:fldCharType="begin"/>
        </w:r>
        <w:r w:rsidR="00E45076">
          <w:rPr>
            <w:noProof/>
            <w:webHidden/>
          </w:rPr>
          <w:instrText xml:space="preserve"> PAGEREF _Toc522261972 \h </w:instrText>
        </w:r>
        <w:r w:rsidR="00E45076">
          <w:rPr>
            <w:noProof/>
            <w:webHidden/>
          </w:rPr>
        </w:r>
        <w:r w:rsidR="00E45076">
          <w:rPr>
            <w:noProof/>
            <w:webHidden/>
          </w:rPr>
          <w:fldChar w:fldCharType="separate"/>
        </w:r>
        <w:r w:rsidR="00E45076">
          <w:rPr>
            <w:noProof/>
            <w:webHidden/>
          </w:rPr>
          <w:t>2</w:t>
        </w:r>
        <w:r w:rsidR="00E45076">
          <w:rPr>
            <w:noProof/>
            <w:webHidden/>
          </w:rPr>
          <w:fldChar w:fldCharType="end"/>
        </w:r>
      </w:hyperlink>
    </w:p>
    <w:p w:rsidR="00E45076" w:rsidRDefault="00FE674E">
      <w:pPr>
        <w:pStyle w:val="TOC1"/>
        <w:rPr>
          <w:rFonts w:asciiTheme="minorHAnsi" w:eastAsiaTheme="minorEastAsia" w:hAnsiTheme="minorHAnsi" w:cstheme="minorBidi"/>
          <w:caps w:val="0"/>
          <w:noProof/>
          <w:sz w:val="22"/>
          <w:lang w:eastAsia="en-GB"/>
        </w:rPr>
      </w:pPr>
      <w:hyperlink w:anchor="_Toc522261973" w:history="1">
        <w:r w:rsidR="00E45076" w:rsidRPr="007A4CCB">
          <w:rPr>
            <w:rStyle w:val="Hyperlink"/>
            <w:noProof/>
          </w:rPr>
          <w:t>4.</w:t>
        </w:r>
        <w:r w:rsidR="00E45076">
          <w:rPr>
            <w:rFonts w:asciiTheme="minorHAnsi" w:eastAsiaTheme="minorEastAsia" w:hAnsiTheme="minorHAnsi" w:cstheme="minorBidi"/>
            <w:caps w:val="0"/>
            <w:noProof/>
            <w:sz w:val="22"/>
            <w:lang w:eastAsia="en-GB"/>
          </w:rPr>
          <w:tab/>
        </w:r>
        <w:r w:rsidR="00E45076" w:rsidRPr="007A4CCB">
          <w:rPr>
            <w:rStyle w:val="Hyperlink"/>
            <w:noProof/>
          </w:rPr>
          <w:t>Background to requirement/OVERVIEW of requirement</w:t>
        </w:r>
        <w:r w:rsidR="00E45076">
          <w:rPr>
            <w:noProof/>
            <w:webHidden/>
          </w:rPr>
          <w:tab/>
        </w:r>
        <w:r w:rsidR="00E45076">
          <w:rPr>
            <w:noProof/>
            <w:webHidden/>
          </w:rPr>
          <w:fldChar w:fldCharType="begin"/>
        </w:r>
        <w:r w:rsidR="00E45076">
          <w:rPr>
            <w:noProof/>
            <w:webHidden/>
          </w:rPr>
          <w:instrText xml:space="preserve"> PAGEREF _Toc522261973 \h </w:instrText>
        </w:r>
        <w:r w:rsidR="00E45076">
          <w:rPr>
            <w:noProof/>
            <w:webHidden/>
          </w:rPr>
        </w:r>
        <w:r w:rsidR="00E45076">
          <w:rPr>
            <w:noProof/>
            <w:webHidden/>
          </w:rPr>
          <w:fldChar w:fldCharType="separate"/>
        </w:r>
        <w:r w:rsidR="00E45076">
          <w:rPr>
            <w:noProof/>
            <w:webHidden/>
          </w:rPr>
          <w:t>2</w:t>
        </w:r>
        <w:r w:rsidR="00E45076">
          <w:rPr>
            <w:noProof/>
            <w:webHidden/>
          </w:rPr>
          <w:fldChar w:fldCharType="end"/>
        </w:r>
      </w:hyperlink>
    </w:p>
    <w:p w:rsidR="00E45076" w:rsidRDefault="00FE674E">
      <w:pPr>
        <w:pStyle w:val="TOC1"/>
        <w:rPr>
          <w:rFonts w:asciiTheme="minorHAnsi" w:eastAsiaTheme="minorEastAsia" w:hAnsiTheme="minorHAnsi" w:cstheme="minorBidi"/>
          <w:caps w:val="0"/>
          <w:noProof/>
          <w:sz w:val="22"/>
          <w:lang w:eastAsia="en-GB"/>
        </w:rPr>
      </w:pPr>
      <w:hyperlink w:anchor="_Toc522261974" w:history="1">
        <w:r w:rsidR="00E45076" w:rsidRPr="007A4CCB">
          <w:rPr>
            <w:rStyle w:val="Hyperlink"/>
            <w:noProof/>
          </w:rPr>
          <w:t>5.</w:t>
        </w:r>
        <w:r w:rsidR="00E45076">
          <w:rPr>
            <w:rFonts w:asciiTheme="minorHAnsi" w:eastAsiaTheme="minorEastAsia" w:hAnsiTheme="minorHAnsi" w:cstheme="minorBidi"/>
            <w:caps w:val="0"/>
            <w:noProof/>
            <w:sz w:val="22"/>
            <w:lang w:eastAsia="en-GB"/>
          </w:rPr>
          <w:tab/>
        </w:r>
        <w:r w:rsidR="00E45076" w:rsidRPr="007A4CCB">
          <w:rPr>
            <w:rStyle w:val="Hyperlink"/>
            <w:noProof/>
          </w:rPr>
          <w:t>scope of requirement</w:t>
        </w:r>
        <w:r w:rsidR="00E45076">
          <w:rPr>
            <w:noProof/>
            <w:webHidden/>
          </w:rPr>
          <w:tab/>
        </w:r>
        <w:r w:rsidR="00E45076">
          <w:rPr>
            <w:noProof/>
            <w:webHidden/>
          </w:rPr>
          <w:fldChar w:fldCharType="begin"/>
        </w:r>
        <w:r w:rsidR="00E45076">
          <w:rPr>
            <w:noProof/>
            <w:webHidden/>
          </w:rPr>
          <w:instrText xml:space="preserve"> PAGEREF _Toc522261974 \h </w:instrText>
        </w:r>
        <w:r w:rsidR="00E45076">
          <w:rPr>
            <w:noProof/>
            <w:webHidden/>
          </w:rPr>
        </w:r>
        <w:r w:rsidR="00E45076">
          <w:rPr>
            <w:noProof/>
            <w:webHidden/>
          </w:rPr>
          <w:fldChar w:fldCharType="separate"/>
        </w:r>
        <w:r w:rsidR="00E45076">
          <w:rPr>
            <w:noProof/>
            <w:webHidden/>
          </w:rPr>
          <w:t>3</w:t>
        </w:r>
        <w:r w:rsidR="00E45076">
          <w:rPr>
            <w:noProof/>
            <w:webHidden/>
          </w:rPr>
          <w:fldChar w:fldCharType="end"/>
        </w:r>
      </w:hyperlink>
    </w:p>
    <w:p w:rsidR="00E45076" w:rsidRDefault="00FE674E">
      <w:pPr>
        <w:pStyle w:val="TOC1"/>
        <w:rPr>
          <w:rFonts w:asciiTheme="minorHAnsi" w:eastAsiaTheme="minorEastAsia" w:hAnsiTheme="minorHAnsi" w:cstheme="minorBidi"/>
          <w:caps w:val="0"/>
          <w:noProof/>
          <w:sz w:val="22"/>
          <w:lang w:eastAsia="en-GB"/>
        </w:rPr>
      </w:pPr>
      <w:hyperlink w:anchor="_Toc522261975" w:history="1">
        <w:r w:rsidR="00E45076" w:rsidRPr="007A4CCB">
          <w:rPr>
            <w:rStyle w:val="Hyperlink"/>
            <w:noProof/>
          </w:rPr>
          <w:t>6.</w:t>
        </w:r>
        <w:r w:rsidR="00E45076">
          <w:rPr>
            <w:rFonts w:asciiTheme="minorHAnsi" w:eastAsiaTheme="minorEastAsia" w:hAnsiTheme="minorHAnsi" w:cstheme="minorBidi"/>
            <w:caps w:val="0"/>
            <w:noProof/>
            <w:sz w:val="22"/>
            <w:lang w:eastAsia="en-GB"/>
          </w:rPr>
          <w:tab/>
        </w:r>
        <w:r w:rsidR="00E45076" w:rsidRPr="007A4CCB">
          <w:rPr>
            <w:rStyle w:val="Hyperlink"/>
            <w:noProof/>
          </w:rPr>
          <w:t>service levels and performance</w:t>
        </w:r>
        <w:r w:rsidR="00E45076">
          <w:rPr>
            <w:noProof/>
            <w:webHidden/>
          </w:rPr>
          <w:tab/>
        </w:r>
        <w:r w:rsidR="00E45076">
          <w:rPr>
            <w:noProof/>
            <w:webHidden/>
          </w:rPr>
          <w:fldChar w:fldCharType="begin"/>
        </w:r>
        <w:r w:rsidR="00E45076">
          <w:rPr>
            <w:noProof/>
            <w:webHidden/>
          </w:rPr>
          <w:instrText xml:space="preserve"> PAGEREF _Toc522261975 \h </w:instrText>
        </w:r>
        <w:r w:rsidR="00E45076">
          <w:rPr>
            <w:noProof/>
            <w:webHidden/>
          </w:rPr>
        </w:r>
        <w:r w:rsidR="00E45076">
          <w:rPr>
            <w:noProof/>
            <w:webHidden/>
          </w:rPr>
          <w:fldChar w:fldCharType="separate"/>
        </w:r>
        <w:r w:rsidR="00E45076">
          <w:rPr>
            <w:noProof/>
            <w:webHidden/>
          </w:rPr>
          <w:t>5</w:t>
        </w:r>
        <w:r w:rsidR="00E45076">
          <w:rPr>
            <w:noProof/>
            <w:webHidden/>
          </w:rPr>
          <w:fldChar w:fldCharType="end"/>
        </w:r>
      </w:hyperlink>
    </w:p>
    <w:p w:rsidR="00E45076" w:rsidRDefault="00FE674E">
      <w:pPr>
        <w:pStyle w:val="TOC1"/>
        <w:rPr>
          <w:rFonts w:asciiTheme="minorHAnsi" w:eastAsiaTheme="minorEastAsia" w:hAnsiTheme="minorHAnsi" w:cstheme="minorBidi"/>
          <w:caps w:val="0"/>
          <w:noProof/>
          <w:sz w:val="22"/>
          <w:lang w:eastAsia="en-GB"/>
        </w:rPr>
      </w:pPr>
      <w:hyperlink w:anchor="_Toc522261976" w:history="1">
        <w:r w:rsidR="00E45076" w:rsidRPr="007A4CCB">
          <w:rPr>
            <w:rStyle w:val="Hyperlink"/>
            <w:noProof/>
          </w:rPr>
          <w:t>7.</w:t>
        </w:r>
        <w:r w:rsidR="00E45076">
          <w:rPr>
            <w:rFonts w:asciiTheme="minorHAnsi" w:eastAsiaTheme="minorEastAsia" w:hAnsiTheme="minorHAnsi" w:cstheme="minorBidi"/>
            <w:caps w:val="0"/>
            <w:noProof/>
            <w:sz w:val="22"/>
            <w:lang w:eastAsia="en-GB"/>
          </w:rPr>
          <w:tab/>
        </w:r>
        <w:r w:rsidR="00E45076" w:rsidRPr="007A4CCB">
          <w:rPr>
            <w:rStyle w:val="Hyperlink"/>
            <w:noProof/>
          </w:rPr>
          <w:t>Location</w:t>
        </w:r>
        <w:r w:rsidR="00E45076">
          <w:rPr>
            <w:noProof/>
            <w:webHidden/>
          </w:rPr>
          <w:tab/>
        </w:r>
        <w:r w:rsidR="00E45076">
          <w:rPr>
            <w:noProof/>
            <w:webHidden/>
          </w:rPr>
          <w:fldChar w:fldCharType="begin"/>
        </w:r>
        <w:r w:rsidR="00E45076">
          <w:rPr>
            <w:noProof/>
            <w:webHidden/>
          </w:rPr>
          <w:instrText xml:space="preserve"> PAGEREF _Toc522261976 \h </w:instrText>
        </w:r>
        <w:r w:rsidR="00E45076">
          <w:rPr>
            <w:noProof/>
            <w:webHidden/>
          </w:rPr>
        </w:r>
        <w:r w:rsidR="00E45076">
          <w:rPr>
            <w:noProof/>
            <w:webHidden/>
          </w:rPr>
          <w:fldChar w:fldCharType="separate"/>
        </w:r>
        <w:r w:rsidR="00E45076">
          <w:rPr>
            <w:noProof/>
            <w:webHidden/>
          </w:rPr>
          <w:t>5</w:t>
        </w:r>
        <w:r w:rsidR="00E45076">
          <w:rPr>
            <w:noProof/>
            <w:webHidden/>
          </w:rPr>
          <w:fldChar w:fldCharType="end"/>
        </w:r>
      </w:hyperlink>
    </w:p>
    <w:p w:rsidR="00E45076" w:rsidRDefault="00FE674E">
      <w:pPr>
        <w:pStyle w:val="TOC1"/>
        <w:rPr>
          <w:rFonts w:asciiTheme="minorHAnsi" w:eastAsiaTheme="minorEastAsia" w:hAnsiTheme="minorHAnsi" w:cstheme="minorBidi"/>
          <w:caps w:val="0"/>
          <w:noProof/>
          <w:sz w:val="22"/>
          <w:lang w:eastAsia="en-GB"/>
        </w:rPr>
      </w:pPr>
      <w:hyperlink w:anchor="_Toc522261977" w:history="1">
        <w:r w:rsidR="00E45076" w:rsidRPr="007A4CCB">
          <w:rPr>
            <w:rStyle w:val="Hyperlink"/>
            <w:noProof/>
          </w:rPr>
          <w:t>8.</w:t>
        </w:r>
        <w:r w:rsidR="00E45076">
          <w:rPr>
            <w:rFonts w:asciiTheme="minorHAnsi" w:eastAsiaTheme="minorEastAsia" w:hAnsiTheme="minorHAnsi" w:cstheme="minorBidi"/>
            <w:caps w:val="0"/>
            <w:noProof/>
            <w:sz w:val="22"/>
            <w:lang w:eastAsia="en-GB"/>
          </w:rPr>
          <w:tab/>
        </w:r>
        <w:r w:rsidR="00E45076" w:rsidRPr="007A4CCB">
          <w:rPr>
            <w:rStyle w:val="Hyperlink"/>
            <w:noProof/>
          </w:rPr>
          <w:t>BUDGET</w:t>
        </w:r>
        <w:r w:rsidR="00E45076">
          <w:rPr>
            <w:noProof/>
            <w:webHidden/>
          </w:rPr>
          <w:tab/>
        </w:r>
        <w:r w:rsidR="00E45076">
          <w:rPr>
            <w:noProof/>
            <w:webHidden/>
          </w:rPr>
          <w:fldChar w:fldCharType="begin"/>
        </w:r>
        <w:r w:rsidR="00E45076">
          <w:rPr>
            <w:noProof/>
            <w:webHidden/>
          </w:rPr>
          <w:instrText xml:space="preserve"> PAGEREF _Toc522261977 \h </w:instrText>
        </w:r>
        <w:r w:rsidR="00E45076">
          <w:rPr>
            <w:noProof/>
            <w:webHidden/>
          </w:rPr>
        </w:r>
        <w:r w:rsidR="00E45076">
          <w:rPr>
            <w:noProof/>
            <w:webHidden/>
          </w:rPr>
          <w:fldChar w:fldCharType="separate"/>
        </w:r>
        <w:r w:rsidR="00E45076">
          <w:rPr>
            <w:noProof/>
            <w:webHidden/>
          </w:rPr>
          <w:t>5</w:t>
        </w:r>
        <w:r w:rsidR="00E45076">
          <w:rPr>
            <w:noProof/>
            <w:webHidden/>
          </w:rPr>
          <w:fldChar w:fldCharType="end"/>
        </w:r>
      </w:hyperlink>
    </w:p>
    <w:p w:rsidR="00FA5229" w:rsidRPr="00B3136B" w:rsidRDefault="00910C2D" w:rsidP="00FA5229">
      <w:pPr>
        <w:spacing w:after="120"/>
        <w:jc w:val="center"/>
        <w:rPr>
          <w:rFonts w:ascii="Calibri" w:hAnsi="Calibri"/>
          <w:b/>
        </w:rPr>
      </w:pPr>
      <w:r>
        <w:rPr>
          <w:rFonts w:ascii="Calibri" w:eastAsia="STZhongsong" w:hAnsi="Calibri"/>
          <w:caps/>
          <w:lang w:eastAsia="zh-CN"/>
        </w:rPr>
        <w:fldChar w:fldCharType="end"/>
      </w:r>
    </w:p>
    <w:p w:rsidR="001530F5" w:rsidRPr="00910C2D" w:rsidRDefault="00FA5229" w:rsidP="00910C2D">
      <w:pPr>
        <w:pStyle w:val="Heading1"/>
      </w:pPr>
      <w:bookmarkStart w:id="2" w:name="_Toc297554772"/>
      <w:bookmarkEnd w:id="1"/>
      <w:r w:rsidRPr="00910C2D">
        <w:br w:type="page"/>
      </w:r>
      <w:bookmarkStart w:id="3" w:name="_Toc522261970"/>
      <w:r w:rsidR="001530F5" w:rsidRPr="00910C2D">
        <w:lastRenderedPageBreak/>
        <w:t>INTRODUCTION</w:t>
      </w:r>
      <w:bookmarkEnd w:id="3"/>
      <w:r w:rsidR="001530F5" w:rsidRPr="00910C2D">
        <w:tab/>
      </w:r>
    </w:p>
    <w:p w:rsidR="00C94C80" w:rsidRPr="00C94C80" w:rsidRDefault="00C94C80" w:rsidP="00C94C80">
      <w:pPr>
        <w:pStyle w:val="Heading2"/>
      </w:pPr>
      <w:r w:rsidRPr="00C94C80">
        <w:t xml:space="preserve">It is a long-standing aim of the Dementia 2020 Challenge to better understand what constitutes meaningful care, and to support services in understanding the experiences of people with dementia.  </w:t>
      </w:r>
    </w:p>
    <w:p w:rsidR="00E35542" w:rsidRPr="00910C2D" w:rsidRDefault="002C546C" w:rsidP="00910C2D">
      <w:pPr>
        <w:pStyle w:val="Heading1"/>
      </w:pPr>
      <w:bookmarkStart w:id="4" w:name="_Toc522261971"/>
      <w:r w:rsidRPr="00910C2D">
        <w:t>PURPOSE</w:t>
      </w:r>
      <w:bookmarkEnd w:id="2"/>
      <w:bookmarkEnd w:id="4"/>
    </w:p>
    <w:p w:rsidR="00C94C80" w:rsidRDefault="00C94C80" w:rsidP="00C94C80">
      <w:pPr>
        <w:pStyle w:val="Heading2"/>
      </w:pPr>
      <w:bookmarkStart w:id="5" w:name="_Toc296415791"/>
      <w:r>
        <w:t xml:space="preserve">The Department of Health and Social Care </w:t>
      </w:r>
      <w:r w:rsidR="005C480D">
        <w:t xml:space="preserve">is seeking to commission a resource which can be used by commissioners of health and care services (clinical commissioning groups and local authorities), and providers (including NHS Trusts, Foundation Trusts, GP practices </w:t>
      </w:r>
      <w:r w:rsidR="00521A39">
        <w:t>and community</w:t>
      </w:r>
      <w:r w:rsidR="005C480D">
        <w:t xml:space="preserve"> nursing providers), to support good practice in </w:t>
      </w:r>
      <w:r>
        <w:t xml:space="preserve">the culture of engagement with people with dementia, to inform commissioners and providers’ understanding of the experiences of service users. </w:t>
      </w:r>
    </w:p>
    <w:p w:rsidR="00C94C80" w:rsidRDefault="00C94C80" w:rsidP="00C94C80">
      <w:pPr>
        <w:pStyle w:val="Heading2"/>
      </w:pPr>
      <w:r>
        <w:t xml:space="preserve">We would also anticipate that the resource will be of value to regulators (specifically the Care Quality Commission), in determining to what extent the effectiveness of services in engaging with people with dementia would be a key line of enquiry in inspections. The guidance should ideally recognise the different requirements of these different groups, and provide messages which reflect these. </w:t>
      </w:r>
    </w:p>
    <w:p w:rsidR="00C94C80" w:rsidRDefault="00C94C80" w:rsidP="00C94C80">
      <w:pPr>
        <w:pStyle w:val="Heading2"/>
      </w:pPr>
      <w:r>
        <w:t>This resource will support effective use of experience measures, feedback and co</w:t>
      </w:r>
      <w:r w:rsidR="005C480D">
        <w:t>-</w:t>
      </w:r>
      <w:r>
        <w:t xml:space="preserve">production with people with dementia, to inform strategy and provision (highlighting best practice), and to establish a framework for consistency across services in how information is collected and used to deliver quality care. </w:t>
      </w:r>
    </w:p>
    <w:p w:rsidR="000C73A3" w:rsidRPr="00910C2D" w:rsidRDefault="000C73A3" w:rsidP="00910C2D">
      <w:pPr>
        <w:pStyle w:val="Heading1"/>
      </w:pPr>
      <w:bookmarkStart w:id="6" w:name="_Toc522261972"/>
      <w:bookmarkStart w:id="7" w:name="_Toc297554773"/>
      <w:bookmarkStart w:id="8" w:name="_Toc296415805"/>
      <w:bookmarkStart w:id="9" w:name="_Toc296415793"/>
      <w:bookmarkEnd w:id="5"/>
      <w:r w:rsidRPr="00910C2D">
        <w:t>background to the authority</w:t>
      </w:r>
      <w:bookmarkEnd w:id="6"/>
    </w:p>
    <w:p w:rsidR="000C73A3" w:rsidRPr="00846B7B" w:rsidRDefault="00B92289" w:rsidP="00910C2D">
      <w:pPr>
        <w:pStyle w:val="Heading2"/>
      </w:pPr>
      <w:r w:rsidRPr="00846B7B">
        <w:t xml:space="preserve">The Department of Health and Social Care is the Government Department responsible for the National Health Service, </w:t>
      </w:r>
      <w:r w:rsidR="005246FA" w:rsidRPr="00846B7B">
        <w:t xml:space="preserve">public health </w:t>
      </w:r>
      <w:r w:rsidRPr="00846B7B">
        <w:t>an</w:t>
      </w:r>
      <w:r w:rsidR="005246FA" w:rsidRPr="00846B7B">
        <w:t>d adult social care in England.</w:t>
      </w:r>
      <w:r w:rsidR="00846B7B" w:rsidRPr="00846B7B">
        <w:t xml:space="preserve"> It is the Government Department with responsibility for implementing the Dementia 2020 Challenge. </w:t>
      </w:r>
      <w:r w:rsidR="005246FA" w:rsidRPr="00846B7B">
        <w:t xml:space="preserve"> </w:t>
      </w:r>
      <w:r w:rsidRPr="00846B7B">
        <w:t xml:space="preserve">  </w:t>
      </w:r>
    </w:p>
    <w:p w:rsidR="00E35542" w:rsidRPr="00910C2D" w:rsidRDefault="000C73A3" w:rsidP="00910C2D">
      <w:pPr>
        <w:pStyle w:val="Heading1"/>
      </w:pPr>
      <w:bookmarkStart w:id="10" w:name="_Toc522261973"/>
      <w:r w:rsidRPr="00910C2D">
        <w:t>Background to requirement/</w:t>
      </w:r>
      <w:r w:rsidR="002C546C" w:rsidRPr="00910C2D">
        <w:t>OVERVIEW</w:t>
      </w:r>
      <w:bookmarkEnd w:id="7"/>
      <w:r w:rsidRPr="00910C2D">
        <w:t xml:space="preserve"> of requirement</w:t>
      </w:r>
      <w:bookmarkEnd w:id="10"/>
    </w:p>
    <w:p w:rsidR="004C5F73" w:rsidRDefault="004C5F73" w:rsidP="004C5F73">
      <w:pPr>
        <w:pStyle w:val="Heading2"/>
      </w:pPr>
      <w:bookmarkStart w:id="11" w:name="_Toc297554774"/>
      <w:bookmarkEnd w:id="8"/>
      <w:r>
        <w:t xml:space="preserve">The health and care system collects patient feedback in various ways (e.g. the Friends and Family Test, the GP Patient Survey and various hospital surveys undertaken by CQC). However, the symptoms of dementia that affect memory and communication coupled with a cultural reluctance among older people to complain for fear of affecting future treatment  mean many of these mechanisms are not accessible to people affected by dementia. As research has shown, people with dementia often receive disproportionately poor or variable care. There exists areas of good practice in the sector, but establishing </w:t>
      </w:r>
      <w:r>
        <w:lastRenderedPageBreak/>
        <w:t xml:space="preserve">means for the health and care sector to systematically collect and use feedback from people with dementia for improvement would allow us to transform the experience of people with dementia. </w:t>
      </w:r>
    </w:p>
    <w:p w:rsidR="00316D27" w:rsidRPr="00910C2D" w:rsidRDefault="002C546C" w:rsidP="00910C2D">
      <w:pPr>
        <w:pStyle w:val="Heading1"/>
      </w:pPr>
      <w:bookmarkStart w:id="12" w:name="_Toc522261974"/>
      <w:r w:rsidRPr="00910C2D">
        <w:t>scope of requirement</w:t>
      </w:r>
      <w:bookmarkEnd w:id="11"/>
      <w:bookmarkEnd w:id="12"/>
    </w:p>
    <w:bookmarkEnd w:id="9"/>
    <w:p w:rsidR="001A05CE" w:rsidRDefault="001A05CE" w:rsidP="001A05CE">
      <w:pPr>
        <w:pStyle w:val="Heading2"/>
      </w:pPr>
      <w:r>
        <w:t xml:space="preserve">The objective of this procurement is to support the NHS and social care in measuring and understanding the experiences of people with dementia to drive quality improvement. </w:t>
      </w:r>
    </w:p>
    <w:p w:rsidR="001A05CE" w:rsidRDefault="001A05CE" w:rsidP="00710E54">
      <w:pPr>
        <w:pStyle w:val="Heading2"/>
      </w:pPr>
      <w:r>
        <w:t xml:space="preserve">The overall aim of the resource is to support consistency of approach across the NHS and social care in measuring the experiences of people with dementia to drive quality improvement: The resource should  identify techniques and good practice in seeking the views of people with dementia (and their families and carers) on their experiences, and outcomes, and using this intelligence as a means of monitoring and delivering meaningful care; </w:t>
      </w:r>
    </w:p>
    <w:p w:rsidR="001A05CE" w:rsidRDefault="001A05CE" w:rsidP="001A05CE">
      <w:pPr>
        <w:pStyle w:val="Heading2"/>
      </w:pPr>
      <w:r w:rsidRPr="00E45076">
        <w:rPr>
          <w:b/>
          <w:u w:val="single"/>
        </w:rPr>
        <w:t>Seeking the views of people with dementia</w:t>
      </w:r>
      <w:r w:rsidR="00AA18FD">
        <w:rPr>
          <w:u w:val="single"/>
        </w:rPr>
        <w:t>.</w:t>
      </w:r>
      <w:r w:rsidR="00AA18FD">
        <w:t xml:space="preserve"> </w:t>
      </w:r>
      <w:r>
        <w:t xml:space="preserve">The bulk of the resource is likely to be good practice, and case studies, of how to engage with people with dementia, to understand their experience, and obtain intelligence which can be used by commissioners and providers in ensuring they are securing care which is meaningful. It should cover planning and design of engagement, ideally through co-production, and the practical methods of measuring experience. </w:t>
      </w:r>
    </w:p>
    <w:p w:rsidR="001A05CE" w:rsidRDefault="001A05CE" w:rsidP="001A05CE">
      <w:pPr>
        <w:pStyle w:val="Heading2"/>
      </w:pPr>
      <w:r>
        <w:t xml:space="preserve">It will include: </w:t>
      </w:r>
    </w:p>
    <w:p w:rsidR="001A05CE" w:rsidRDefault="001A05CE" w:rsidP="004C5F73">
      <w:pPr>
        <w:pStyle w:val="Heading2"/>
        <w:numPr>
          <w:ilvl w:val="0"/>
          <w:numId w:val="27"/>
        </w:numPr>
        <w:ind w:left="1134" w:right="524" w:hanging="425"/>
      </w:pPr>
      <w:r>
        <w:t xml:space="preserve">a framework for planning experience measurement, and how to involve people with dementia and their families in design; </w:t>
      </w:r>
    </w:p>
    <w:p w:rsidR="001A05CE" w:rsidRDefault="001A05CE" w:rsidP="004C5F73">
      <w:pPr>
        <w:pStyle w:val="Heading2"/>
        <w:numPr>
          <w:ilvl w:val="0"/>
          <w:numId w:val="27"/>
        </w:numPr>
        <w:ind w:left="1134" w:right="524" w:hanging="425"/>
      </w:pPr>
      <w:r>
        <w:t xml:space="preserve">advice on resource implications, and securing external support; </w:t>
      </w:r>
    </w:p>
    <w:p w:rsidR="001A05CE" w:rsidRDefault="001A05CE" w:rsidP="004C5F73">
      <w:pPr>
        <w:pStyle w:val="Heading2"/>
        <w:numPr>
          <w:ilvl w:val="0"/>
          <w:numId w:val="27"/>
        </w:numPr>
        <w:ind w:left="1134" w:right="524" w:hanging="425"/>
      </w:pPr>
      <w:r>
        <w:t xml:space="preserve">practical advice on techniques of working with people with dementia (and their families), from initial contact, to face-to-face engagement (including accessing authentic views of people with dementia, through families, carers etc.); </w:t>
      </w:r>
    </w:p>
    <w:p w:rsidR="001A05CE" w:rsidRDefault="001A05CE" w:rsidP="004C5F73">
      <w:pPr>
        <w:pStyle w:val="Heading2"/>
        <w:numPr>
          <w:ilvl w:val="0"/>
          <w:numId w:val="27"/>
        </w:numPr>
        <w:ind w:left="1134" w:right="524" w:hanging="425"/>
      </w:pPr>
      <w:r>
        <w:t xml:space="preserve">using standards (e.g. NICE guidelines) and the Dementia Statements as a basis for understanding what is meaningful care; </w:t>
      </w:r>
    </w:p>
    <w:p w:rsidR="00AA18FD" w:rsidRDefault="001A05CE" w:rsidP="004C5F73">
      <w:pPr>
        <w:pStyle w:val="Heading2"/>
        <w:numPr>
          <w:ilvl w:val="0"/>
          <w:numId w:val="27"/>
        </w:numPr>
        <w:ind w:left="1134" w:right="524" w:hanging="425"/>
      </w:pPr>
      <w:r>
        <w:t xml:space="preserve">staff roles, training and tools / organisational cultures;  </w:t>
      </w:r>
    </w:p>
    <w:p w:rsidR="00AA18FD" w:rsidRDefault="001A05CE" w:rsidP="004C5F73">
      <w:pPr>
        <w:pStyle w:val="Heading2"/>
        <w:numPr>
          <w:ilvl w:val="0"/>
          <w:numId w:val="27"/>
        </w:numPr>
        <w:ind w:left="1134" w:right="524" w:hanging="425"/>
      </w:pPr>
      <w:r>
        <w:t xml:space="preserve">different examples of how to obtain information from service users on their experiences, covering qualitative information, and quantitative measures; </w:t>
      </w:r>
    </w:p>
    <w:p w:rsidR="00AA18FD" w:rsidRDefault="001A05CE" w:rsidP="00AA18FD">
      <w:pPr>
        <w:pStyle w:val="Heading2"/>
        <w:numPr>
          <w:ilvl w:val="0"/>
          <w:numId w:val="30"/>
        </w:numPr>
        <w:spacing w:after="0"/>
        <w:ind w:left="1560" w:right="522" w:hanging="357"/>
      </w:pPr>
      <w:r>
        <w:lastRenderedPageBreak/>
        <w:t xml:space="preserve">the different </w:t>
      </w:r>
      <w:r w:rsidR="00AA18FD">
        <w:t xml:space="preserve">sorts of information and uses; </w:t>
      </w:r>
    </w:p>
    <w:p w:rsidR="00AA18FD" w:rsidRDefault="001A05CE" w:rsidP="00AA18FD">
      <w:pPr>
        <w:pStyle w:val="Heading2"/>
        <w:numPr>
          <w:ilvl w:val="0"/>
          <w:numId w:val="30"/>
        </w:numPr>
        <w:spacing w:after="0"/>
        <w:ind w:left="1560" w:right="522" w:hanging="357"/>
      </w:pPr>
      <w:r>
        <w:t xml:space="preserve">experiences of diagnosis and care; </w:t>
      </w:r>
    </w:p>
    <w:p w:rsidR="00AA18FD" w:rsidRDefault="001A05CE" w:rsidP="00AA18FD">
      <w:pPr>
        <w:pStyle w:val="Heading2"/>
        <w:numPr>
          <w:ilvl w:val="0"/>
          <w:numId w:val="30"/>
        </w:numPr>
        <w:spacing w:after="0"/>
        <w:ind w:left="1560" w:right="522" w:hanging="357"/>
      </w:pPr>
      <w:r>
        <w:t xml:space="preserve">accessibility; </w:t>
      </w:r>
    </w:p>
    <w:p w:rsidR="00AA18FD" w:rsidRDefault="001A05CE" w:rsidP="00AA18FD">
      <w:pPr>
        <w:pStyle w:val="Heading2"/>
        <w:numPr>
          <w:ilvl w:val="0"/>
          <w:numId w:val="30"/>
        </w:numPr>
        <w:spacing w:after="0"/>
        <w:ind w:left="1560" w:right="522" w:hanging="357"/>
      </w:pPr>
      <w:r>
        <w:t xml:space="preserve">understanding the local care offer, and options; </w:t>
      </w:r>
    </w:p>
    <w:p w:rsidR="00AA18FD" w:rsidRDefault="001A05CE" w:rsidP="00AA18FD">
      <w:pPr>
        <w:pStyle w:val="Heading2"/>
        <w:numPr>
          <w:ilvl w:val="0"/>
          <w:numId w:val="30"/>
        </w:numPr>
        <w:spacing w:after="0"/>
        <w:ind w:left="1560" w:right="522" w:hanging="357"/>
      </w:pPr>
      <w:r>
        <w:t xml:space="preserve">how informed or empowered individuals feel; </w:t>
      </w:r>
    </w:p>
    <w:p w:rsidR="00AA18FD" w:rsidRDefault="001A05CE" w:rsidP="00AA18FD">
      <w:pPr>
        <w:pStyle w:val="Heading2"/>
        <w:numPr>
          <w:ilvl w:val="0"/>
          <w:numId w:val="30"/>
        </w:numPr>
        <w:spacing w:after="0"/>
        <w:ind w:left="1560" w:right="522" w:hanging="357"/>
      </w:pPr>
      <w:r>
        <w:t xml:space="preserve">measuring inputs; </w:t>
      </w:r>
    </w:p>
    <w:p w:rsidR="00AA18FD" w:rsidRDefault="001A05CE" w:rsidP="00AA18FD">
      <w:pPr>
        <w:pStyle w:val="Heading2"/>
        <w:numPr>
          <w:ilvl w:val="0"/>
          <w:numId w:val="30"/>
        </w:numPr>
        <w:spacing w:after="0"/>
        <w:ind w:left="1560" w:right="522" w:hanging="357"/>
      </w:pPr>
      <w:r>
        <w:t>measuring outcomes – health, wellbeing, feelings;</w:t>
      </w:r>
    </w:p>
    <w:p w:rsidR="00AA18FD" w:rsidRDefault="001A05CE" w:rsidP="00AA18FD">
      <w:pPr>
        <w:pStyle w:val="Heading2"/>
        <w:numPr>
          <w:ilvl w:val="0"/>
          <w:numId w:val="30"/>
        </w:numPr>
        <w:spacing w:after="0"/>
        <w:ind w:left="1560" w:right="522" w:hanging="357"/>
      </w:pPr>
      <w:r>
        <w:t xml:space="preserve">quality assurance / monitoring; </w:t>
      </w:r>
    </w:p>
    <w:p w:rsidR="001A05CE" w:rsidRDefault="001A05CE" w:rsidP="00AA18FD">
      <w:pPr>
        <w:pStyle w:val="Heading2"/>
        <w:numPr>
          <w:ilvl w:val="0"/>
          <w:numId w:val="30"/>
        </w:numPr>
        <w:spacing w:after="0"/>
        <w:ind w:left="1560" w:right="522" w:hanging="357"/>
      </w:pPr>
      <w:r>
        <w:t xml:space="preserve">experience of engagement and co-production; </w:t>
      </w:r>
    </w:p>
    <w:p w:rsidR="00AA18FD" w:rsidRDefault="00AA18FD" w:rsidP="00AA18FD">
      <w:pPr>
        <w:pStyle w:val="Heading2"/>
        <w:numPr>
          <w:ilvl w:val="0"/>
          <w:numId w:val="0"/>
        </w:numPr>
        <w:spacing w:after="0"/>
        <w:ind w:left="1560" w:right="522"/>
      </w:pPr>
    </w:p>
    <w:p w:rsidR="00AA18FD" w:rsidRDefault="001A05CE" w:rsidP="004C5F73">
      <w:pPr>
        <w:pStyle w:val="Heading2"/>
        <w:numPr>
          <w:ilvl w:val="0"/>
          <w:numId w:val="31"/>
        </w:numPr>
        <w:ind w:left="1134" w:right="524" w:hanging="425"/>
      </w:pPr>
      <w:r>
        <w:t xml:space="preserve">ensuring effective analysis of information gathered in different ways, and it’s appropriate presentation for different audiences (public, senior management etc.); </w:t>
      </w:r>
    </w:p>
    <w:p w:rsidR="00AA18FD" w:rsidRDefault="001A05CE" w:rsidP="004C5F73">
      <w:pPr>
        <w:pStyle w:val="Heading2"/>
        <w:numPr>
          <w:ilvl w:val="0"/>
          <w:numId w:val="31"/>
        </w:numPr>
        <w:ind w:left="1134" w:right="524" w:hanging="425"/>
      </w:pPr>
      <w:r>
        <w:t xml:space="preserve">making existing forms of engagement or experience measurement dementia friendly; </w:t>
      </w:r>
    </w:p>
    <w:p w:rsidR="00AA18FD" w:rsidRDefault="001A05CE" w:rsidP="004C5F73">
      <w:pPr>
        <w:pStyle w:val="Heading2"/>
        <w:numPr>
          <w:ilvl w:val="0"/>
          <w:numId w:val="31"/>
        </w:numPr>
        <w:ind w:left="1134" w:right="524" w:hanging="425"/>
      </w:pPr>
      <w:r>
        <w:t xml:space="preserve">translating experience into policy – the role of the commissioner, the provider, and the regular; </w:t>
      </w:r>
    </w:p>
    <w:p w:rsidR="001A05CE" w:rsidRDefault="001A05CE" w:rsidP="004C5F73">
      <w:pPr>
        <w:pStyle w:val="Heading2"/>
        <w:numPr>
          <w:ilvl w:val="0"/>
          <w:numId w:val="31"/>
        </w:numPr>
        <w:ind w:left="1134" w:right="524" w:hanging="425"/>
      </w:pPr>
      <w:r>
        <w:t xml:space="preserve">accountability to the public – how is the evidence communicated to services, and acted upon; what is the communication with users / public to demonstrate responsiveness? </w:t>
      </w:r>
    </w:p>
    <w:p w:rsidR="001A05CE" w:rsidRPr="00AA18FD" w:rsidRDefault="00AA18FD" w:rsidP="00AA18FD">
      <w:pPr>
        <w:pStyle w:val="Heading2"/>
        <w:rPr>
          <w:u w:val="single"/>
        </w:rPr>
      </w:pPr>
      <w:r w:rsidRPr="00E45076">
        <w:rPr>
          <w:b/>
          <w:u w:val="single"/>
        </w:rPr>
        <w:t>Experience measures / standards</w:t>
      </w:r>
      <w:r>
        <w:rPr>
          <w:u w:val="single"/>
        </w:rPr>
        <w:t>.</w:t>
      </w:r>
      <w:r w:rsidRPr="00AA18FD">
        <w:t xml:space="preserve"> </w:t>
      </w:r>
      <w:r w:rsidR="001A05CE">
        <w:t xml:space="preserve">The bulk of the resource will be focused on how to practically measure experience, but it should also explore the issue of how to ensure comparability between different health and care economies, and allow benchmarking of experience, through standards relating to the approach, and through specific measures (both mechanisms, and content). The work undertaken on the clarity of the offer of care to people with dementia, and the Dementia Statements as an index to meaningful care, could provide a basis for proposals for key indicators. </w:t>
      </w:r>
    </w:p>
    <w:p w:rsidR="001A05CE" w:rsidRDefault="001A05CE" w:rsidP="001A05CE">
      <w:pPr>
        <w:pStyle w:val="Heading2"/>
      </w:pPr>
      <w:r>
        <w:t>The contractor should have:</w:t>
      </w:r>
    </w:p>
    <w:p w:rsidR="001A05CE" w:rsidRDefault="00710E54" w:rsidP="004C5F73">
      <w:pPr>
        <w:pStyle w:val="Heading2"/>
        <w:numPr>
          <w:ilvl w:val="0"/>
          <w:numId w:val="23"/>
        </w:numPr>
        <w:ind w:left="1134" w:right="524"/>
      </w:pPr>
      <w:r>
        <w:t>e</w:t>
      </w:r>
      <w:r w:rsidR="001A05CE">
        <w:t xml:space="preserve">xpertise / experience in the field of dementia. An understanding of its impact on individuals and their families, and knowledge of how it affects an individual’s ability to participate in society, and engage with qualitative research; </w:t>
      </w:r>
    </w:p>
    <w:p w:rsidR="001A05CE" w:rsidRDefault="001A05CE" w:rsidP="001A05CE">
      <w:pPr>
        <w:pStyle w:val="Heading2"/>
        <w:numPr>
          <w:ilvl w:val="0"/>
          <w:numId w:val="23"/>
        </w:numPr>
        <w:ind w:right="524"/>
      </w:pPr>
      <w:r>
        <w:lastRenderedPageBreak/>
        <w:t>expertise / experience in engaging with seldom heard groups, and understanding their experiences. This could be at the level of qualitative research, or day-to-day engagement in a care environment.</w:t>
      </w:r>
    </w:p>
    <w:p w:rsidR="001A05CE" w:rsidRDefault="001A05CE" w:rsidP="001A05CE">
      <w:pPr>
        <w:pStyle w:val="Heading2"/>
        <w:numPr>
          <w:ilvl w:val="0"/>
          <w:numId w:val="23"/>
        </w:numPr>
        <w:ind w:right="524"/>
      </w:pPr>
      <w:r>
        <w:t xml:space="preserve">expertise / experience in researching good practice, analysing findings, and communicating effectively to a varied audience.  </w:t>
      </w:r>
    </w:p>
    <w:p w:rsidR="00A028E8" w:rsidRPr="00910C2D" w:rsidRDefault="00A028E8" w:rsidP="00910C2D">
      <w:pPr>
        <w:pStyle w:val="Heading1"/>
      </w:pPr>
      <w:bookmarkStart w:id="13" w:name="_Toc302637211"/>
      <w:bookmarkStart w:id="14" w:name="_Toc522261975"/>
      <w:r w:rsidRPr="00910C2D">
        <w:t>service levels and performance</w:t>
      </w:r>
      <w:bookmarkEnd w:id="13"/>
      <w:bookmarkEnd w:id="14"/>
    </w:p>
    <w:p w:rsidR="00453D4F" w:rsidRPr="00910C2D" w:rsidRDefault="00453D4F" w:rsidP="00910C2D">
      <w:pPr>
        <w:pStyle w:val="Heading2"/>
      </w:pPr>
      <w:r w:rsidRPr="00910C2D">
        <w:t xml:space="preserve">The Authority will measure the quality of the </w:t>
      </w:r>
      <w:r w:rsidR="00FD080D" w:rsidRPr="00910C2D">
        <w:t xml:space="preserve">Supplier’s </w:t>
      </w:r>
      <w:r w:rsidRPr="00910C2D">
        <w:t>delivery by:</w:t>
      </w:r>
    </w:p>
    <w:p w:rsidR="00316D27" w:rsidRDefault="00C94C80" w:rsidP="001A05CE">
      <w:pPr>
        <w:pStyle w:val="Heading3"/>
        <w:ind w:right="524"/>
      </w:pPr>
      <w:r>
        <w:t xml:space="preserve">Delivery of </w:t>
      </w:r>
      <w:r w:rsidR="005C480D">
        <w:t>a</w:t>
      </w:r>
      <w:r>
        <w:t xml:space="preserve"> resource within the financial year 2018-19; </w:t>
      </w:r>
    </w:p>
    <w:p w:rsidR="00C94C80" w:rsidRDefault="005C480D" w:rsidP="001A05CE">
      <w:pPr>
        <w:pStyle w:val="Heading3"/>
        <w:ind w:right="524"/>
      </w:pPr>
      <w:r>
        <w:t>Ensuring the resource is accessible</w:t>
      </w:r>
      <w:r w:rsidR="00C94C80" w:rsidRPr="00C94C80">
        <w:t>, suitable for both online and printed formats (although there may obviously be a limited functionality to the printed version</w:t>
      </w:r>
    </w:p>
    <w:p w:rsidR="00C94C80" w:rsidRDefault="005C480D" w:rsidP="001A05CE">
      <w:pPr>
        <w:pStyle w:val="Heading3"/>
        <w:ind w:right="524"/>
      </w:pPr>
      <w:r>
        <w:t xml:space="preserve">Ensuing the resource reflects best practice in engagement with people with dementia, and provides usable case studies and techniques for commissioners and providers. </w:t>
      </w:r>
      <w:r w:rsidRPr="005C480D">
        <w:t>The resource would not need to develop new tools etc. necessarily, but identify existing solutions, approaches from current clinical and social work practice. The contractor could of course recommend their own solutions.</w:t>
      </w:r>
    </w:p>
    <w:p w:rsidR="000C73A3" w:rsidRPr="00910C2D" w:rsidRDefault="000C73A3" w:rsidP="00910C2D">
      <w:pPr>
        <w:pStyle w:val="Heading1"/>
      </w:pPr>
      <w:bookmarkStart w:id="15" w:name="_Toc522261976"/>
      <w:r w:rsidRPr="00910C2D">
        <w:t>Location</w:t>
      </w:r>
      <w:bookmarkEnd w:id="15"/>
    </w:p>
    <w:p w:rsidR="000C73A3" w:rsidRPr="00910C2D" w:rsidRDefault="000C73A3" w:rsidP="00910C2D">
      <w:pPr>
        <w:pStyle w:val="Heading2"/>
      </w:pPr>
      <w:r w:rsidRPr="00910C2D">
        <w:t xml:space="preserve">Services will be carried out at </w:t>
      </w:r>
      <w:r w:rsidR="00521A39">
        <w:t>the supplier’s preferred location.</w:t>
      </w:r>
    </w:p>
    <w:p w:rsidR="00B459C5" w:rsidRPr="00521A39" w:rsidRDefault="00B459C5" w:rsidP="00910C2D">
      <w:pPr>
        <w:pStyle w:val="Heading1"/>
      </w:pPr>
      <w:bookmarkStart w:id="16" w:name="_Toc522261977"/>
      <w:r w:rsidRPr="00521A39">
        <w:t>BUDGET</w:t>
      </w:r>
      <w:bookmarkStart w:id="17" w:name="_GoBack"/>
      <w:bookmarkEnd w:id="16"/>
      <w:bookmarkEnd w:id="17"/>
    </w:p>
    <w:p w:rsidR="00E45076" w:rsidRPr="00FE674E" w:rsidRDefault="00E45076" w:rsidP="00E45076">
      <w:pPr>
        <w:pStyle w:val="Heading2"/>
      </w:pPr>
      <w:r w:rsidRPr="00FE674E">
        <w:t xml:space="preserve">The </w:t>
      </w:r>
      <w:r w:rsidR="00FE674E" w:rsidRPr="00FE674E">
        <w:t xml:space="preserve">maximum </w:t>
      </w:r>
      <w:r w:rsidRPr="00FE674E">
        <w:t>budget for this work has been set at a £</w:t>
      </w:r>
      <w:r w:rsidR="00FE674E" w:rsidRPr="00FE674E">
        <w:t>48,000.</w:t>
      </w:r>
    </w:p>
    <w:p w:rsidR="00E45076" w:rsidRDefault="00E45076" w:rsidP="00E45076">
      <w:pPr>
        <w:pStyle w:val="Heading2"/>
      </w:pPr>
      <w:r w:rsidRPr="00E45076">
        <w:t>The Department is looking for a cost-effective solution as part of government’s efficiency drive to obtain value for money. The agencies are expected to show wherever possible how they can deliver the same for less and achieve savings.</w:t>
      </w:r>
    </w:p>
    <w:p w:rsidR="00E45076" w:rsidRPr="00E45076" w:rsidRDefault="00E45076" w:rsidP="00E45076">
      <w:pPr>
        <w:pStyle w:val="Heading2"/>
      </w:pPr>
      <w:r w:rsidRPr="00E45076">
        <w:t>Prices should be inclusive of expenses and exclusive of VAT.</w:t>
      </w:r>
    </w:p>
    <w:p w:rsidR="002A702C" w:rsidRPr="002A702C" w:rsidRDefault="002A702C" w:rsidP="002A702C">
      <w:pPr>
        <w:spacing w:line="276" w:lineRule="auto"/>
        <w:rPr>
          <w:rFonts w:ascii="Calibri" w:eastAsia="Times New Roman" w:hAnsi="Calibri" w:cs="Times New Roman"/>
          <w:sz w:val="8"/>
        </w:rPr>
      </w:pPr>
    </w:p>
    <w:p w:rsidR="002A702C" w:rsidRPr="00CB7953" w:rsidRDefault="002A702C" w:rsidP="002A702C">
      <w:pPr>
        <w:pStyle w:val="Heading1"/>
        <w:numPr>
          <w:ilvl w:val="0"/>
          <w:numId w:val="0"/>
        </w:numPr>
      </w:pPr>
    </w:p>
    <w:sectPr w:rsidR="002A702C" w:rsidRPr="00CB7953" w:rsidSect="00667389">
      <w:headerReference w:type="default" r:id="rId8"/>
      <w:footerReference w:type="default" r:id="rId9"/>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630" w:rsidRDefault="001B7630">
      <w:pPr>
        <w:spacing w:line="20" w:lineRule="exact"/>
      </w:pPr>
    </w:p>
  </w:endnote>
  <w:endnote w:type="continuationSeparator" w:id="0">
    <w:p w:rsidR="001B7630" w:rsidRDefault="001B7630">
      <w:pPr>
        <w:spacing w:line="20" w:lineRule="exact"/>
      </w:pPr>
      <w:r>
        <w:t xml:space="preserve"> </w:t>
      </w:r>
    </w:p>
  </w:endnote>
  <w:endnote w:type="continuationNotice" w:id="1">
    <w:p w:rsidR="001B7630" w:rsidRDefault="001B7630">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478" w:rsidRPr="00475FD9" w:rsidRDefault="009D4478" w:rsidP="00074357">
    <w:pPr>
      <w:pStyle w:val="Footer"/>
      <w:pBdr>
        <w:top w:val="single" w:sz="6" w:space="1" w:color="auto"/>
      </w:pBdr>
      <w:tabs>
        <w:tab w:val="clear" w:pos="4153"/>
        <w:tab w:val="clear" w:pos="8306"/>
      </w:tabs>
      <w:ind w:right="-43"/>
      <w:jc w:val="center"/>
      <w:rPr>
        <w:rFonts w:cstheme="minorHAnsi"/>
      </w:rPr>
    </w:pPr>
  </w:p>
  <w:p w:rsidR="009D4478" w:rsidRPr="00475FD9" w:rsidRDefault="009D4478" w:rsidP="00074357">
    <w:pPr>
      <w:pStyle w:val="Footer"/>
      <w:tabs>
        <w:tab w:val="clear" w:pos="8306"/>
      </w:tabs>
      <w:ind w:right="-43"/>
      <w:jc w:val="center"/>
      <w:rPr>
        <w:rFonts w:cstheme="minorHAnsi"/>
        <w:szCs w:val="20"/>
      </w:rPr>
    </w:pPr>
    <w:r w:rsidRPr="00475FD9">
      <w:rPr>
        <w:rFonts w:cstheme="minorHAnsi"/>
        <w:szCs w:val="20"/>
      </w:rPr>
      <w:t xml:space="preserve">Page </w:t>
    </w:r>
    <w:r w:rsidRPr="00475FD9">
      <w:rPr>
        <w:rFonts w:cstheme="minorHAnsi"/>
        <w:szCs w:val="20"/>
      </w:rPr>
      <w:fldChar w:fldCharType="begin"/>
    </w:r>
    <w:r w:rsidRPr="00475FD9">
      <w:rPr>
        <w:rFonts w:cstheme="minorHAnsi"/>
        <w:szCs w:val="20"/>
      </w:rPr>
      <w:instrText xml:space="preserve"> PAGE </w:instrText>
    </w:r>
    <w:r w:rsidRPr="00475FD9">
      <w:rPr>
        <w:rFonts w:cstheme="minorHAnsi"/>
        <w:szCs w:val="20"/>
      </w:rPr>
      <w:fldChar w:fldCharType="separate"/>
    </w:r>
    <w:r w:rsidR="00FE674E">
      <w:rPr>
        <w:rFonts w:cstheme="minorHAnsi"/>
        <w:noProof/>
        <w:szCs w:val="20"/>
      </w:rPr>
      <w:t>5</w:t>
    </w:r>
    <w:r w:rsidRPr="00475FD9">
      <w:rPr>
        <w:rFonts w:cstheme="minorHAnsi"/>
        <w:szCs w:val="20"/>
      </w:rPr>
      <w:fldChar w:fldCharType="end"/>
    </w:r>
    <w:r w:rsidRPr="00475FD9">
      <w:rPr>
        <w:rFonts w:cstheme="minorHAnsi"/>
        <w:szCs w:val="20"/>
      </w:rPr>
      <w:t xml:space="preserve"> of </w:t>
    </w:r>
    <w:r w:rsidRPr="00475FD9">
      <w:rPr>
        <w:rFonts w:cstheme="minorHAnsi"/>
        <w:szCs w:val="20"/>
      </w:rPr>
      <w:fldChar w:fldCharType="begin"/>
    </w:r>
    <w:r w:rsidRPr="00475FD9">
      <w:rPr>
        <w:rFonts w:cstheme="minorHAnsi"/>
        <w:szCs w:val="20"/>
      </w:rPr>
      <w:instrText xml:space="preserve"> NUMPAGES </w:instrText>
    </w:r>
    <w:r w:rsidRPr="00475FD9">
      <w:rPr>
        <w:rFonts w:cstheme="minorHAnsi"/>
        <w:szCs w:val="20"/>
      </w:rPr>
      <w:fldChar w:fldCharType="separate"/>
    </w:r>
    <w:r w:rsidR="00FE674E">
      <w:rPr>
        <w:rFonts w:cstheme="minorHAnsi"/>
        <w:noProof/>
        <w:szCs w:val="20"/>
      </w:rPr>
      <w:t>5</w:t>
    </w:r>
    <w:r w:rsidRPr="00475FD9">
      <w:rPr>
        <w:rFonts w:cstheme="minorHAnsi"/>
        <w:szCs w:val="20"/>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630" w:rsidRDefault="001B7630">
      <w:r>
        <w:separator/>
      </w:r>
    </w:p>
  </w:footnote>
  <w:footnote w:type="continuationSeparator" w:id="0">
    <w:p w:rsidR="001B7630" w:rsidRDefault="001B7630">
      <w:r>
        <w:continuationSeparator/>
      </w:r>
    </w:p>
  </w:footnote>
  <w:footnote w:type="continuationNotice" w:id="1">
    <w:p w:rsidR="001B7630" w:rsidRDefault="001B76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478" w:rsidRPr="00475FD9" w:rsidRDefault="009D4478" w:rsidP="00806295">
    <w:pPr>
      <w:pStyle w:val="Header"/>
      <w:jc w:val="center"/>
      <w:rPr>
        <w:rFonts w:cstheme="minorHAnsi"/>
        <w:b/>
        <w:szCs w:val="20"/>
      </w:rPr>
    </w:pPr>
  </w:p>
  <w:p w:rsidR="00475FD9" w:rsidRPr="007A3343" w:rsidRDefault="00475FD9" w:rsidP="00475FD9">
    <w:pPr>
      <w:pStyle w:val="Header"/>
      <w:jc w:val="center"/>
    </w:pPr>
  </w:p>
  <w:p w:rsidR="00475FD9" w:rsidRPr="00FB22F1" w:rsidRDefault="00E45076" w:rsidP="00475FD9">
    <w:pPr>
      <w:pStyle w:val="Header"/>
      <w:jc w:val="center"/>
    </w:pPr>
    <w:r w:rsidRPr="00E45076">
      <w:t xml:space="preserve">ITT 178 - </w:t>
    </w:r>
    <w:r w:rsidR="002A702C" w:rsidRPr="00E45076">
      <w:t>MEASURING EXPERIENCE OF PEOPLE WITH DEMENTIA</w:t>
    </w:r>
  </w:p>
  <w:p w:rsidR="009D4478" w:rsidRPr="00E45076" w:rsidRDefault="009D4478" w:rsidP="00E45076">
    <w:pPr>
      <w:pStyle w:val="Header"/>
      <w:jc w:val="center"/>
      <w:rPr>
        <w:rFonts w:cstheme="minorHAnsi"/>
        <w:szCs w:val="20"/>
      </w:rPr>
    </w:pPr>
    <w:r w:rsidRPr="00475FD9">
      <w:rPr>
        <w:rFonts w:cstheme="minorHAnsi"/>
        <w:szCs w:val="20"/>
      </w:rPr>
      <w:t>Service Description</w:t>
    </w:r>
  </w:p>
  <w:p w:rsidR="009D4478" w:rsidRPr="00074357" w:rsidRDefault="00EF6E4C" w:rsidP="00074357">
    <w:pPr>
      <w:pStyle w:val="Header"/>
    </w:pPr>
    <w:r>
      <w:rPr>
        <w:noProof/>
      </w:rPr>
      <mc:AlternateContent>
        <mc:Choice Requires="wps">
          <w:drawing>
            <wp:anchor distT="0" distB="0" distL="114300" distR="114300" simplePos="0" relativeHeight="251661312" behindDoc="0" locked="0" layoutInCell="1" allowOverlap="1" wp14:anchorId="69F56336" wp14:editId="05EBFA71">
              <wp:simplePos x="0" y="0"/>
              <wp:positionH relativeFrom="column">
                <wp:posOffset>-55245</wp:posOffset>
              </wp:positionH>
              <wp:positionV relativeFrom="paragraph">
                <wp:posOffset>-3810</wp:posOffset>
              </wp:positionV>
              <wp:extent cx="5853430" cy="0"/>
              <wp:effectExtent l="11430" t="5715" r="1206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0E4424"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D45C4B"/>
    <w:multiLevelType w:val="hybridMultilevel"/>
    <w:tmpl w:val="D094430C"/>
    <w:lvl w:ilvl="0" w:tplc="448C158C">
      <w:start w:val="1"/>
      <w:numFmt w:val="bullet"/>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D2F5387"/>
    <w:multiLevelType w:val="hybridMultilevel"/>
    <w:tmpl w:val="69EE2FAA"/>
    <w:lvl w:ilvl="0" w:tplc="448C158C">
      <w:start w:val="1"/>
      <w:numFmt w:val="bullet"/>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15:restartNumberingAfterBreak="0">
    <w:nsid w:val="2A0E193E"/>
    <w:multiLevelType w:val="hybridMultilevel"/>
    <w:tmpl w:val="5D7CBB64"/>
    <w:lvl w:ilvl="0" w:tplc="6A3E2442">
      <w:numFmt w:val="bullet"/>
      <w:lvlText w:val="-"/>
      <w:lvlJc w:val="left"/>
      <w:pPr>
        <w:ind w:left="720" w:hanging="360"/>
      </w:pPr>
      <w:rPr>
        <w:rFonts w:ascii="Helvetica Neue" w:eastAsia="STZhongsong" w:hAnsi="Helvetica Neu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15:restartNumberingAfterBreak="0">
    <w:nsid w:val="35E42269"/>
    <w:multiLevelType w:val="hybridMultilevel"/>
    <w:tmpl w:val="4820561E"/>
    <w:lvl w:ilvl="0" w:tplc="360A9CD6">
      <w:numFmt w:val="bullet"/>
      <w:lvlText w:val="-"/>
      <w:lvlJc w:val="left"/>
      <w:pPr>
        <w:ind w:left="720" w:hanging="360"/>
      </w:pPr>
      <w:rPr>
        <w:rFonts w:ascii="Helvetica Neue" w:eastAsia="STZhongsong" w:hAnsi="Helvetica Neu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366173"/>
    <w:multiLevelType w:val="hybridMultilevel"/>
    <w:tmpl w:val="D5BC13D6"/>
    <w:lvl w:ilvl="0" w:tplc="0809001B">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pStyle w:val="Heading8"/>
      <w:lvlText w:val="%8."/>
      <w:lvlJc w:val="left"/>
      <w:pPr>
        <w:ind w:left="5760" w:hanging="360"/>
      </w:pPr>
    </w:lvl>
    <w:lvl w:ilvl="8" w:tplc="08090005" w:tentative="1">
      <w:start w:val="1"/>
      <w:numFmt w:val="lowerRoman"/>
      <w:lvlText w:val="%9."/>
      <w:lvlJc w:val="right"/>
      <w:pPr>
        <w:ind w:left="6480" w:hanging="180"/>
      </w:pPr>
    </w:lvl>
  </w:abstractNum>
  <w:abstractNum w:abstractNumId="21" w15:restartNumberingAfterBreak="0">
    <w:nsid w:val="3AA92ADA"/>
    <w:multiLevelType w:val="hybridMultilevel"/>
    <w:tmpl w:val="6396C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DD6468D"/>
    <w:multiLevelType w:val="hybridMultilevel"/>
    <w:tmpl w:val="A7804CFA"/>
    <w:name w:val="Recital Numbering List"/>
    <w:lvl w:ilvl="0" w:tplc="6D6C36DE">
      <w:start w:val="1"/>
      <w:numFmt w:val="bullet"/>
      <w:lvlText w:val=""/>
      <w:lvlJc w:val="left"/>
      <w:pPr>
        <w:ind w:left="720" w:hanging="360"/>
      </w:pPr>
      <w:rPr>
        <w:rFonts w:ascii="Symbol" w:hAnsi="Symbol" w:hint="default"/>
      </w:rPr>
    </w:lvl>
    <w:lvl w:ilvl="1" w:tplc="299A5028" w:tentative="1">
      <w:start w:val="1"/>
      <w:numFmt w:val="bullet"/>
      <w:lvlText w:val="o"/>
      <w:lvlJc w:val="left"/>
      <w:pPr>
        <w:ind w:left="1440" w:hanging="360"/>
      </w:pPr>
      <w:rPr>
        <w:rFonts w:ascii="Courier New" w:hAnsi="Courier New" w:cs="Courier New" w:hint="default"/>
      </w:rPr>
    </w:lvl>
    <w:lvl w:ilvl="2" w:tplc="92F683B2" w:tentative="1">
      <w:start w:val="1"/>
      <w:numFmt w:val="bullet"/>
      <w:lvlText w:val=""/>
      <w:lvlJc w:val="left"/>
      <w:pPr>
        <w:ind w:left="2160" w:hanging="360"/>
      </w:pPr>
      <w:rPr>
        <w:rFonts w:ascii="Wingdings" w:hAnsi="Wingdings" w:hint="default"/>
      </w:rPr>
    </w:lvl>
    <w:lvl w:ilvl="3" w:tplc="E206B276" w:tentative="1">
      <w:start w:val="1"/>
      <w:numFmt w:val="bullet"/>
      <w:lvlText w:val=""/>
      <w:lvlJc w:val="left"/>
      <w:pPr>
        <w:ind w:left="2880" w:hanging="360"/>
      </w:pPr>
      <w:rPr>
        <w:rFonts w:ascii="Symbol" w:hAnsi="Symbol" w:hint="default"/>
      </w:rPr>
    </w:lvl>
    <w:lvl w:ilvl="4" w:tplc="DE829AB4" w:tentative="1">
      <w:start w:val="1"/>
      <w:numFmt w:val="bullet"/>
      <w:lvlText w:val="o"/>
      <w:lvlJc w:val="left"/>
      <w:pPr>
        <w:ind w:left="3600" w:hanging="360"/>
      </w:pPr>
      <w:rPr>
        <w:rFonts w:ascii="Courier New" w:hAnsi="Courier New" w:cs="Courier New" w:hint="default"/>
      </w:rPr>
    </w:lvl>
    <w:lvl w:ilvl="5" w:tplc="6D5A88FE" w:tentative="1">
      <w:start w:val="1"/>
      <w:numFmt w:val="bullet"/>
      <w:lvlText w:val=""/>
      <w:lvlJc w:val="left"/>
      <w:pPr>
        <w:ind w:left="4320" w:hanging="360"/>
      </w:pPr>
      <w:rPr>
        <w:rFonts w:ascii="Wingdings" w:hAnsi="Wingdings" w:hint="default"/>
      </w:rPr>
    </w:lvl>
    <w:lvl w:ilvl="6" w:tplc="ED683928" w:tentative="1">
      <w:start w:val="1"/>
      <w:numFmt w:val="bullet"/>
      <w:lvlText w:val=""/>
      <w:lvlJc w:val="left"/>
      <w:pPr>
        <w:ind w:left="5040" w:hanging="360"/>
      </w:pPr>
      <w:rPr>
        <w:rFonts w:ascii="Symbol" w:hAnsi="Symbol" w:hint="default"/>
      </w:rPr>
    </w:lvl>
    <w:lvl w:ilvl="7" w:tplc="40D80B62" w:tentative="1">
      <w:start w:val="1"/>
      <w:numFmt w:val="bullet"/>
      <w:lvlText w:val="o"/>
      <w:lvlJc w:val="left"/>
      <w:pPr>
        <w:ind w:left="5760" w:hanging="360"/>
      </w:pPr>
      <w:rPr>
        <w:rFonts w:ascii="Courier New" w:hAnsi="Courier New" w:cs="Courier New" w:hint="default"/>
      </w:rPr>
    </w:lvl>
    <w:lvl w:ilvl="8" w:tplc="1248942E" w:tentative="1">
      <w:start w:val="1"/>
      <w:numFmt w:val="bullet"/>
      <w:lvlText w:val=""/>
      <w:lvlJc w:val="left"/>
      <w:pPr>
        <w:ind w:left="6480" w:hanging="360"/>
      </w:pPr>
      <w:rPr>
        <w:rFonts w:ascii="Wingdings" w:hAnsi="Wingdings" w:hint="default"/>
      </w:rPr>
    </w:lvl>
  </w:abstractNum>
  <w:abstractNum w:abstractNumId="25" w15:restartNumberingAfterBreak="0">
    <w:nsid w:val="50965CCA"/>
    <w:multiLevelType w:val="multilevel"/>
    <w:tmpl w:val="1332CCD4"/>
    <w:name w:val="Plato Schedule Numbering List"/>
    <w:numStyleLink w:val="111111"/>
  </w:abstractNum>
  <w:abstractNum w:abstractNumId="26" w15:restartNumberingAfterBreak="0">
    <w:nsid w:val="50C42E11"/>
    <w:multiLevelType w:val="hybridMultilevel"/>
    <w:tmpl w:val="6946083C"/>
    <w:lvl w:ilvl="0" w:tplc="A87894FE">
      <w:numFmt w:val="bullet"/>
      <w:lvlText w:val="-"/>
      <w:lvlJc w:val="left"/>
      <w:pPr>
        <w:ind w:left="1080" w:hanging="360"/>
      </w:pPr>
      <w:rPr>
        <w:rFonts w:ascii="Helvetica Neue" w:eastAsia="STZhongsong" w:hAnsi="Helvetica Neue"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1200365"/>
    <w:multiLevelType w:val="multilevel"/>
    <w:tmpl w:val="BD40C5EE"/>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8" w15:restartNumberingAfterBreak="0">
    <w:nsid w:val="5AD84E2E"/>
    <w:multiLevelType w:val="multilevel"/>
    <w:tmpl w:val="EEDCEE2C"/>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bullet"/>
      <w:lvlText w:val="−"/>
      <w:lvlJc w:val="left"/>
      <w:pPr>
        <w:tabs>
          <w:tab w:val="num" w:pos="720"/>
        </w:tabs>
        <w:ind w:left="720" w:hanging="720"/>
      </w:pPr>
      <w:rPr>
        <w:rFonts w:ascii="Arial" w:hAnsi="Arial" w:hint="default"/>
        <w:caps w:val="0"/>
        <w:effect w:val="none"/>
      </w:rPr>
    </w:lvl>
    <w:lvl w:ilvl="2">
      <w:start w:val="1"/>
      <w:numFmt w:val="decimal"/>
      <w:lvlText w:val="%1.%2.%3"/>
      <w:lvlJc w:val="left"/>
      <w:pPr>
        <w:tabs>
          <w:tab w:val="num" w:pos="1800"/>
        </w:tabs>
        <w:ind w:left="1800" w:hanging="1080"/>
      </w:pPr>
      <w:rPr>
        <w:rFonts w:cs="Times New Roman" w:hint="default"/>
        <w:b w:val="0"/>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9"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30"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63548B3"/>
    <w:multiLevelType w:val="hybridMultilevel"/>
    <w:tmpl w:val="7768722E"/>
    <w:name w:val="List Bullet "/>
    <w:lvl w:ilvl="0" w:tplc="02722598">
      <w:start w:val="1"/>
      <w:numFmt w:val="bullet"/>
      <w:lvlText w:val=""/>
      <w:lvlJc w:val="left"/>
      <w:pPr>
        <w:ind w:left="720" w:hanging="360"/>
      </w:pPr>
      <w:rPr>
        <w:rFonts w:ascii="Symbol" w:hAnsi="Symbol" w:hint="default"/>
      </w:rPr>
    </w:lvl>
    <w:lvl w:ilvl="1" w:tplc="8370D526" w:tentative="1">
      <w:start w:val="1"/>
      <w:numFmt w:val="bullet"/>
      <w:lvlText w:val="o"/>
      <w:lvlJc w:val="left"/>
      <w:pPr>
        <w:ind w:left="1440" w:hanging="360"/>
      </w:pPr>
      <w:rPr>
        <w:rFonts w:ascii="Courier New" w:hAnsi="Courier New" w:cs="Courier New" w:hint="default"/>
      </w:rPr>
    </w:lvl>
    <w:lvl w:ilvl="2" w:tplc="C4F47C34" w:tentative="1">
      <w:start w:val="1"/>
      <w:numFmt w:val="bullet"/>
      <w:lvlText w:val=""/>
      <w:lvlJc w:val="left"/>
      <w:pPr>
        <w:ind w:left="2160" w:hanging="360"/>
      </w:pPr>
      <w:rPr>
        <w:rFonts w:ascii="Wingdings" w:hAnsi="Wingdings" w:hint="default"/>
      </w:rPr>
    </w:lvl>
    <w:lvl w:ilvl="3" w:tplc="7DE8A4EC" w:tentative="1">
      <w:start w:val="1"/>
      <w:numFmt w:val="bullet"/>
      <w:lvlText w:val=""/>
      <w:lvlJc w:val="left"/>
      <w:pPr>
        <w:ind w:left="2880" w:hanging="360"/>
      </w:pPr>
      <w:rPr>
        <w:rFonts w:ascii="Symbol" w:hAnsi="Symbol" w:hint="default"/>
      </w:rPr>
    </w:lvl>
    <w:lvl w:ilvl="4" w:tplc="84229B94" w:tentative="1">
      <w:start w:val="1"/>
      <w:numFmt w:val="bullet"/>
      <w:lvlText w:val="o"/>
      <w:lvlJc w:val="left"/>
      <w:pPr>
        <w:ind w:left="3600" w:hanging="360"/>
      </w:pPr>
      <w:rPr>
        <w:rFonts w:ascii="Courier New" w:hAnsi="Courier New" w:cs="Courier New" w:hint="default"/>
      </w:rPr>
    </w:lvl>
    <w:lvl w:ilvl="5" w:tplc="1874970C" w:tentative="1">
      <w:start w:val="1"/>
      <w:numFmt w:val="bullet"/>
      <w:lvlText w:val=""/>
      <w:lvlJc w:val="left"/>
      <w:pPr>
        <w:ind w:left="4320" w:hanging="360"/>
      </w:pPr>
      <w:rPr>
        <w:rFonts w:ascii="Wingdings" w:hAnsi="Wingdings" w:hint="default"/>
      </w:rPr>
    </w:lvl>
    <w:lvl w:ilvl="6" w:tplc="3F7E57DA" w:tentative="1">
      <w:start w:val="1"/>
      <w:numFmt w:val="bullet"/>
      <w:lvlText w:val=""/>
      <w:lvlJc w:val="left"/>
      <w:pPr>
        <w:ind w:left="5040" w:hanging="360"/>
      </w:pPr>
      <w:rPr>
        <w:rFonts w:ascii="Symbol" w:hAnsi="Symbol" w:hint="default"/>
      </w:rPr>
    </w:lvl>
    <w:lvl w:ilvl="7" w:tplc="BE0A2082" w:tentative="1">
      <w:start w:val="1"/>
      <w:numFmt w:val="bullet"/>
      <w:lvlText w:val="o"/>
      <w:lvlJc w:val="left"/>
      <w:pPr>
        <w:ind w:left="5760" w:hanging="360"/>
      </w:pPr>
      <w:rPr>
        <w:rFonts w:ascii="Courier New" w:hAnsi="Courier New" w:cs="Courier New" w:hint="default"/>
      </w:rPr>
    </w:lvl>
    <w:lvl w:ilvl="8" w:tplc="9BC2FD36" w:tentative="1">
      <w:start w:val="1"/>
      <w:numFmt w:val="bullet"/>
      <w:lvlText w:val=""/>
      <w:lvlJc w:val="left"/>
      <w:pPr>
        <w:ind w:left="6480" w:hanging="360"/>
      </w:pPr>
      <w:rPr>
        <w:rFonts w:ascii="Wingdings" w:hAnsi="Wingdings" w:hint="default"/>
      </w:rPr>
    </w:lvl>
  </w:abstractNum>
  <w:abstractNum w:abstractNumId="32" w15:restartNumberingAfterBreak="0">
    <w:nsid w:val="77D155A9"/>
    <w:multiLevelType w:val="multilevel"/>
    <w:tmpl w:val="E488E0FA"/>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bullet"/>
      <w:lvlText w:val="−"/>
      <w:lvlJc w:val="left"/>
      <w:pPr>
        <w:tabs>
          <w:tab w:val="num" w:pos="720"/>
        </w:tabs>
        <w:ind w:left="720" w:hanging="720"/>
      </w:pPr>
      <w:rPr>
        <w:rFonts w:ascii="Arial" w:hAnsi="Arial" w:hint="default"/>
        <w:caps w:val="0"/>
        <w:effect w:val="none"/>
      </w:rPr>
    </w:lvl>
    <w:lvl w:ilvl="2">
      <w:start w:val="1"/>
      <w:numFmt w:val="decimal"/>
      <w:lvlText w:val="%1.%2.%3"/>
      <w:lvlJc w:val="left"/>
      <w:pPr>
        <w:tabs>
          <w:tab w:val="num" w:pos="1800"/>
        </w:tabs>
        <w:ind w:left="1800" w:hanging="1080"/>
      </w:pPr>
      <w:rPr>
        <w:rFonts w:cs="Times New Roman" w:hint="default"/>
        <w:b w:val="0"/>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3"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15"/>
  </w:num>
  <w:num w:numId="3">
    <w:abstractNumId w:val="16"/>
  </w:num>
  <w:num w:numId="4">
    <w:abstractNumId w:val="5"/>
  </w:num>
  <w:num w:numId="5">
    <w:abstractNumId w:val="23"/>
  </w:num>
  <w:num w:numId="6">
    <w:abstractNumId w:val="18"/>
  </w:num>
  <w:num w:numId="7">
    <w:abstractNumId w:val="4"/>
  </w:num>
  <w:num w:numId="8">
    <w:abstractNumId w:val="3"/>
  </w:num>
  <w:num w:numId="9">
    <w:abstractNumId w:val="2"/>
  </w:num>
  <w:num w:numId="10">
    <w:abstractNumId w:val="1"/>
  </w:num>
  <w:num w:numId="11">
    <w:abstractNumId w:val="0"/>
  </w:num>
  <w:num w:numId="12">
    <w:abstractNumId w:val="33"/>
  </w:num>
  <w:num w:numId="13">
    <w:abstractNumId w:val="10"/>
  </w:num>
  <w:num w:numId="14">
    <w:abstractNumId w:val="30"/>
  </w:num>
  <w:num w:numId="15">
    <w:abstractNumId w:val="9"/>
  </w:num>
  <w:num w:numId="16">
    <w:abstractNumId w:val="22"/>
  </w:num>
  <w:num w:numId="17">
    <w:abstractNumId w:val="17"/>
  </w:num>
  <w:num w:numId="18">
    <w:abstractNumId w:val="29"/>
  </w:num>
  <w:num w:numId="19">
    <w:abstractNumId w:val="12"/>
  </w:num>
  <w:num w:numId="20">
    <w:abstractNumId w:val="20"/>
  </w:num>
  <w:num w:numId="21">
    <w:abstractNumId w:val="27"/>
  </w:num>
  <w:num w:numId="22">
    <w:abstractNumId w:val="13"/>
  </w:num>
  <w:num w:numId="23">
    <w:abstractNumId w:val="26"/>
  </w:num>
  <w:num w:numId="24">
    <w:abstractNumId w:val="7"/>
  </w:num>
  <w:num w:numId="25">
    <w:abstractNumId w:val="32"/>
  </w:num>
  <w:num w:numId="26">
    <w:abstractNumId w:val="28"/>
  </w:num>
  <w:num w:numId="27">
    <w:abstractNumId w:val="8"/>
  </w:num>
  <w:num w:numId="28">
    <w:abstractNumId w:val="14"/>
  </w:num>
  <w:num w:numId="29">
    <w:abstractNumId w:val="19"/>
  </w:num>
  <w:num w:numId="30">
    <w:abstractNumId w:val="21"/>
  </w:num>
  <w:num w:numId="31">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20611"/>
    <w:rsid w:val="0002117B"/>
    <w:rsid w:val="00022304"/>
    <w:rsid w:val="0002409B"/>
    <w:rsid w:val="00024B2F"/>
    <w:rsid w:val="00026CBD"/>
    <w:rsid w:val="00026E28"/>
    <w:rsid w:val="00027C05"/>
    <w:rsid w:val="000318CA"/>
    <w:rsid w:val="0003289F"/>
    <w:rsid w:val="00035A45"/>
    <w:rsid w:val="00037CB6"/>
    <w:rsid w:val="00040A60"/>
    <w:rsid w:val="000459DD"/>
    <w:rsid w:val="000507E9"/>
    <w:rsid w:val="00051F62"/>
    <w:rsid w:val="00052A65"/>
    <w:rsid w:val="0005414E"/>
    <w:rsid w:val="000541C6"/>
    <w:rsid w:val="00056F7F"/>
    <w:rsid w:val="00060D0E"/>
    <w:rsid w:val="00066D70"/>
    <w:rsid w:val="0007280F"/>
    <w:rsid w:val="00074357"/>
    <w:rsid w:val="00074D97"/>
    <w:rsid w:val="000763EA"/>
    <w:rsid w:val="000812AE"/>
    <w:rsid w:val="0008330B"/>
    <w:rsid w:val="00090D6B"/>
    <w:rsid w:val="000910A7"/>
    <w:rsid w:val="000924BD"/>
    <w:rsid w:val="00094E2D"/>
    <w:rsid w:val="00096F76"/>
    <w:rsid w:val="00097669"/>
    <w:rsid w:val="000A0C5F"/>
    <w:rsid w:val="000A0D22"/>
    <w:rsid w:val="000A5E95"/>
    <w:rsid w:val="000B1C66"/>
    <w:rsid w:val="000B29B2"/>
    <w:rsid w:val="000B5C9F"/>
    <w:rsid w:val="000C2484"/>
    <w:rsid w:val="000C2E05"/>
    <w:rsid w:val="000C5EC7"/>
    <w:rsid w:val="000C68BF"/>
    <w:rsid w:val="000C73A3"/>
    <w:rsid w:val="000C7C2B"/>
    <w:rsid w:val="000E3471"/>
    <w:rsid w:val="000E4C53"/>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30F5"/>
    <w:rsid w:val="001541D4"/>
    <w:rsid w:val="00156231"/>
    <w:rsid w:val="0015696A"/>
    <w:rsid w:val="00156E2F"/>
    <w:rsid w:val="00157D99"/>
    <w:rsid w:val="001600AF"/>
    <w:rsid w:val="0016383C"/>
    <w:rsid w:val="00163E79"/>
    <w:rsid w:val="00166299"/>
    <w:rsid w:val="0017225B"/>
    <w:rsid w:val="00173352"/>
    <w:rsid w:val="0017368C"/>
    <w:rsid w:val="00173AA5"/>
    <w:rsid w:val="00176DF8"/>
    <w:rsid w:val="00181D58"/>
    <w:rsid w:val="00183EB0"/>
    <w:rsid w:val="00184673"/>
    <w:rsid w:val="001863E6"/>
    <w:rsid w:val="0018756A"/>
    <w:rsid w:val="001962E6"/>
    <w:rsid w:val="001A05CE"/>
    <w:rsid w:val="001A1780"/>
    <w:rsid w:val="001A3C4D"/>
    <w:rsid w:val="001A7AB1"/>
    <w:rsid w:val="001B2EA8"/>
    <w:rsid w:val="001B38BD"/>
    <w:rsid w:val="001B3C1C"/>
    <w:rsid w:val="001B485F"/>
    <w:rsid w:val="001B4B79"/>
    <w:rsid w:val="001B52D8"/>
    <w:rsid w:val="001B7630"/>
    <w:rsid w:val="001B7875"/>
    <w:rsid w:val="001C18A7"/>
    <w:rsid w:val="001C210F"/>
    <w:rsid w:val="001C4CDC"/>
    <w:rsid w:val="001C609B"/>
    <w:rsid w:val="001C63F8"/>
    <w:rsid w:val="001D0473"/>
    <w:rsid w:val="001D1ADF"/>
    <w:rsid w:val="001D1CC2"/>
    <w:rsid w:val="001D3018"/>
    <w:rsid w:val="001D420C"/>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513D"/>
    <w:rsid w:val="00225865"/>
    <w:rsid w:val="0022592F"/>
    <w:rsid w:val="002262A5"/>
    <w:rsid w:val="002268D4"/>
    <w:rsid w:val="0022721A"/>
    <w:rsid w:val="00227460"/>
    <w:rsid w:val="00234955"/>
    <w:rsid w:val="00241853"/>
    <w:rsid w:val="00243276"/>
    <w:rsid w:val="00243547"/>
    <w:rsid w:val="00245342"/>
    <w:rsid w:val="00245B30"/>
    <w:rsid w:val="00246795"/>
    <w:rsid w:val="00250446"/>
    <w:rsid w:val="00257039"/>
    <w:rsid w:val="00257F38"/>
    <w:rsid w:val="002600C6"/>
    <w:rsid w:val="002608F4"/>
    <w:rsid w:val="0026119D"/>
    <w:rsid w:val="002630FA"/>
    <w:rsid w:val="002634FE"/>
    <w:rsid w:val="0027062E"/>
    <w:rsid w:val="00273C21"/>
    <w:rsid w:val="00274416"/>
    <w:rsid w:val="00275B97"/>
    <w:rsid w:val="00277524"/>
    <w:rsid w:val="002802B6"/>
    <w:rsid w:val="00280B5B"/>
    <w:rsid w:val="002848C1"/>
    <w:rsid w:val="0028697F"/>
    <w:rsid w:val="00286F62"/>
    <w:rsid w:val="002876FE"/>
    <w:rsid w:val="00293E2C"/>
    <w:rsid w:val="002A08BF"/>
    <w:rsid w:val="002A4485"/>
    <w:rsid w:val="002A5258"/>
    <w:rsid w:val="002A702C"/>
    <w:rsid w:val="002A7D10"/>
    <w:rsid w:val="002A7DA6"/>
    <w:rsid w:val="002B1E1B"/>
    <w:rsid w:val="002B43BE"/>
    <w:rsid w:val="002B55ED"/>
    <w:rsid w:val="002B5AEB"/>
    <w:rsid w:val="002B5C29"/>
    <w:rsid w:val="002B6278"/>
    <w:rsid w:val="002B744B"/>
    <w:rsid w:val="002C1AF6"/>
    <w:rsid w:val="002C1DE8"/>
    <w:rsid w:val="002C276E"/>
    <w:rsid w:val="002C2802"/>
    <w:rsid w:val="002C2D54"/>
    <w:rsid w:val="002C3316"/>
    <w:rsid w:val="002C4729"/>
    <w:rsid w:val="002C538F"/>
    <w:rsid w:val="002C546C"/>
    <w:rsid w:val="002C671C"/>
    <w:rsid w:val="002D2841"/>
    <w:rsid w:val="002D3A27"/>
    <w:rsid w:val="002E05A6"/>
    <w:rsid w:val="002E0DBC"/>
    <w:rsid w:val="002E5436"/>
    <w:rsid w:val="002E594B"/>
    <w:rsid w:val="002F13FD"/>
    <w:rsid w:val="002F1F7F"/>
    <w:rsid w:val="002F42F4"/>
    <w:rsid w:val="002F4D97"/>
    <w:rsid w:val="0030141E"/>
    <w:rsid w:val="0030285B"/>
    <w:rsid w:val="00311429"/>
    <w:rsid w:val="00314691"/>
    <w:rsid w:val="00316D27"/>
    <w:rsid w:val="00323541"/>
    <w:rsid w:val="00323EAA"/>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894"/>
    <w:rsid w:val="003A199A"/>
    <w:rsid w:val="003A1B63"/>
    <w:rsid w:val="003A2C48"/>
    <w:rsid w:val="003A4DD7"/>
    <w:rsid w:val="003B0599"/>
    <w:rsid w:val="003B4727"/>
    <w:rsid w:val="003B4B25"/>
    <w:rsid w:val="003C1CB5"/>
    <w:rsid w:val="003C4135"/>
    <w:rsid w:val="003C54C9"/>
    <w:rsid w:val="003D0A36"/>
    <w:rsid w:val="003D164F"/>
    <w:rsid w:val="003D1E1C"/>
    <w:rsid w:val="003D2039"/>
    <w:rsid w:val="003D2902"/>
    <w:rsid w:val="003D4366"/>
    <w:rsid w:val="003D4F07"/>
    <w:rsid w:val="003D6D0B"/>
    <w:rsid w:val="003E17EB"/>
    <w:rsid w:val="003F06FF"/>
    <w:rsid w:val="003F1C5D"/>
    <w:rsid w:val="003F68D6"/>
    <w:rsid w:val="00402F0D"/>
    <w:rsid w:val="00404F9C"/>
    <w:rsid w:val="0040508D"/>
    <w:rsid w:val="00407320"/>
    <w:rsid w:val="004126C0"/>
    <w:rsid w:val="004128DA"/>
    <w:rsid w:val="00413A43"/>
    <w:rsid w:val="004147A7"/>
    <w:rsid w:val="00415016"/>
    <w:rsid w:val="00416045"/>
    <w:rsid w:val="004206EA"/>
    <w:rsid w:val="00422823"/>
    <w:rsid w:val="0042602C"/>
    <w:rsid w:val="00426AB4"/>
    <w:rsid w:val="00427A64"/>
    <w:rsid w:val="0043067F"/>
    <w:rsid w:val="004324B4"/>
    <w:rsid w:val="00442EDE"/>
    <w:rsid w:val="00447F11"/>
    <w:rsid w:val="0045279B"/>
    <w:rsid w:val="00453D4F"/>
    <w:rsid w:val="00453EE6"/>
    <w:rsid w:val="00461688"/>
    <w:rsid w:val="00466CA2"/>
    <w:rsid w:val="00470A2A"/>
    <w:rsid w:val="00475FD9"/>
    <w:rsid w:val="00476F39"/>
    <w:rsid w:val="004771C4"/>
    <w:rsid w:val="00480506"/>
    <w:rsid w:val="00480E50"/>
    <w:rsid w:val="00485BCA"/>
    <w:rsid w:val="004900A1"/>
    <w:rsid w:val="004909B0"/>
    <w:rsid w:val="0049625F"/>
    <w:rsid w:val="004A1958"/>
    <w:rsid w:val="004A225E"/>
    <w:rsid w:val="004A2D0B"/>
    <w:rsid w:val="004A31F5"/>
    <w:rsid w:val="004A4371"/>
    <w:rsid w:val="004B4E34"/>
    <w:rsid w:val="004B6951"/>
    <w:rsid w:val="004C0636"/>
    <w:rsid w:val="004C1460"/>
    <w:rsid w:val="004C252B"/>
    <w:rsid w:val="004C50CD"/>
    <w:rsid w:val="004C53C2"/>
    <w:rsid w:val="004C5C6B"/>
    <w:rsid w:val="004C5F73"/>
    <w:rsid w:val="004C63D6"/>
    <w:rsid w:val="004D0392"/>
    <w:rsid w:val="004D0A59"/>
    <w:rsid w:val="004D1EED"/>
    <w:rsid w:val="004D267E"/>
    <w:rsid w:val="004D2D01"/>
    <w:rsid w:val="004D34B9"/>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21E9"/>
    <w:rsid w:val="005147FE"/>
    <w:rsid w:val="00515D51"/>
    <w:rsid w:val="00517904"/>
    <w:rsid w:val="00521A39"/>
    <w:rsid w:val="00522AAC"/>
    <w:rsid w:val="005246FA"/>
    <w:rsid w:val="00527040"/>
    <w:rsid w:val="00531360"/>
    <w:rsid w:val="0053220D"/>
    <w:rsid w:val="00533F76"/>
    <w:rsid w:val="005364E3"/>
    <w:rsid w:val="0054536C"/>
    <w:rsid w:val="00545E13"/>
    <w:rsid w:val="00561BB6"/>
    <w:rsid w:val="00564CCA"/>
    <w:rsid w:val="005713C4"/>
    <w:rsid w:val="005750D7"/>
    <w:rsid w:val="005750F5"/>
    <w:rsid w:val="005759DD"/>
    <w:rsid w:val="00576C34"/>
    <w:rsid w:val="005770EC"/>
    <w:rsid w:val="005821EF"/>
    <w:rsid w:val="0058297A"/>
    <w:rsid w:val="0058409F"/>
    <w:rsid w:val="00585D06"/>
    <w:rsid w:val="00586CC2"/>
    <w:rsid w:val="005924FF"/>
    <w:rsid w:val="00593CFF"/>
    <w:rsid w:val="00595C15"/>
    <w:rsid w:val="00597B02"/>
    <w:rsid w:val="005B02E4"/>
    <w:rsid w:val="005B28B1"/>
    <w:rsid w:val="005B2BA5"/>
    <w:rsid w:val="005B466A"/>
    <w:rsid w:val="005C084E"/>
    <w:rsid w:val="005C2951"/>
    <w:rsid w:val="005C3B95"/>
    <w:rsid w:val="005C480D"/>
    <w:rsid w:val="005C6291"/>
    <w:rsid w:val="005C6503"/>
    <w:rsid w:val="005D2362"/>
    <w:rsid w:val="005E2029"/>
    <w:rsid w:val="005E29A1"/>
    <w:rsid w:val="005E4205"/>
    <w:rsid w:val="005E4793"/>
    <w:rsid w:val="005E4F6C"/>
    <w:rsid w:val="005E5DD9"/>
    <w:rsid w:val="005E77ED"/>
    <w:rsid w:val="005E7C19"/>
    <w:rsid w:val="005F11AF"/>
    <w:rsid w:val="005F2A14"/>
    <w:rsid w:val="005F2F66"/>
    <w:rsid w:val="005F6E6D"/>
    <w:rsid w:val="005F79C0"/>
    <w:rsid w:val="00600D97"/>
    <w:rsid w:val="00600EA9"/>
    <w:rsid w:val="00601DFB"/>
    <w:rsid w:val="00605194"/>
    <w:rsid w:val="006054F0"/>
    <w:rsid w:val="006072D7"/>
    <w:rsid w:val="0061104D"/>
    <w:rsid w:val="00613C61"/>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524C"/>
    <w:rsid w:val="006754B9"/>
    <w:rsid w:val="006772C0"/>
    <w:rsid w:val="00680C72"/>
    <w:rsid w:val="00682503"/>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E66C0"/>
    <w:rsid w:val="006F098A"/>
    <w:rsid w:val="006F0C06"/>
    <w:rsid w:val="006F490F"/>
    <w:rsid w:val="006F6878"/>
    <w:rsid w:val="006F6F85"/>
    <w:rsid w:val="007003CC"/>
    <w:rsid w:val="00702C1F"/>
    <w:rsid w:val="00704A4D"/>
    <w:rsid w:val="00706FCC"/>
    <w:rsid w:val="00710E54"/>
    <w:rsid w:val="007110A9"/>
    <w:rsid w:val="007145F1"/>
    <w:rsid w:val="007160DB"/>
    <w:rsid w:val="0072081F"/>
    <w:rsid w:val="00724885"/>
    <w:rsid w:val="007321C1"/>
    <w:rsid w:val="00733ACF"/>
    <w:rsid w:val="0073540C"/>
    <w:rsid w:val="00735D7F"/>
    <w:rsid w:val="007378D3"/>
    <w:rsid w:val="00740B2E"/>
    <w:rsid w:val="007435B9"/>
    <w:rsid w:val="0075008F"/>
    <w:rsid w:val="0075444C"/>
    <w:rsid w:val="00755A73"/>
    <w:rsid w:val="00756064"/>
    <w:rsid w:val="00760E17"/>
    <w:rsid w:val="0076266E"/>
    <w:rsid w:val="0076417D"/>
    <w:rsid w:val="007642C7"/>
    <w:rsid w:val="00764DBB"/>
    <w:rsid w:val="0077082E"/>
    <w:rsid w:val="007714CA"/>
    <w:rsid w:val="00772062"/>
    <w:rsid w:val="007723BF"/>
    <w:rsid w:val="007734F9"/>
    <w:rsid w:val="00773DF3"/>
    <w:rsid w:val="007742BD"/>
    <w:rsid w:val="0077722D"/>
    <w:rsid w:val="0078132F"/>
    <w:rsid w:val="00781B53"/>
    <w:rsid w:val="00781F72"/>
    <w:rsid w:val="007838E0"/>
    <w:rsid w:val="00784548"/>
    <w:rsid w:val="00791568"/>
    <w:rsid w:val="007915BD"/>
    <w:rsid w:val="00792A76"/>
    <w:rsid w:val="00792F41"/>
    <w:rsid w:val="00793CFE"/>
    <w:rsid w:val="007948B4"/>
    <w:rsid w:val="007957E7"/>
    <w:rsid w:val="007A1810"/>
    <w:rsid w:val="007A1EDB"/>
    <w:rsid w:val="007A4212"/>
    <w:rsid w:val="007B22E8"/>
    <w:rsid w:val="007B3FCD"/>
    <w:rsid w:val="007B5019"/>
    <w:rsid w:val="007B52CD"/>
    <w:rsid w:val="007B7B17"/>
    <w:rsid w:val="007C33F9"/>
    <w:rsid w:val="007C389F"/>
    <w:rsid w:val="007C79FC"/>
    <w:rsid w:val="007D04CE"/>
    <w:rsid w:val="007D1C75"/>
    <w:rsid w:val="007D3DA3"/>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06295"/>
    <w:rsid w:val="00811C30"/>
    <w:rsid w:val="0081457C"/>
    <w:rsid w:val="00821734"/>
    <w:rsid w:val="008227FE"/>
    <w:rsid w:val="00825DD7"/>
    <w:rsid w:val="0082702F"/>
    <w:rsid w:val="00827E8F"/>
    <w:rsid w:val="00830EA9"/>
    <w:rsid w:val="0083566B"/>
    <w:rsid w:val="00837A47"/>
    <w:rsid w:val="00842735"/>
    <w:rsid w:val="00843256"/>
    <w:rsid w:val="008433A5"/>
    <w:rsid w:val="00843CA8"/>
    <w:rsid w:val="00843FCC"/>
    <w:rsid w:val="00845DE9"/>
    <w:rsid w:val="00846256"/>
    <w:rsid w:val="00846B7B"/>
    <w:rsid w:val="008519A1"/>
    <w:rsid w:val="0085331D"/>
    <w:rsid w:val="00854513"/>
    <w:rsid w:val="008556F2"/>
    <w:rsid w:val="00856E6C"/>
    <w:rsid w:val="00861D08"/>
    <w:rsid w:val="00862C72"/>
    <w:rsid w:val="00862E1D"/>
    <w:rsid w:val="008633FF"/>
    <w:rsid w:val="00873E83"/>
    <w:rsid w:val="00877AA1"/>
    <w:rsid w:val="0088161D"/>
    <w:rsid w:val="00882465"/>
    <w:rsid w:val="00890886"/>
    <w:rsid w:val="008916A4"/>
    <w:rsid w:val="00896FCC"/>
    <w:rsid w:val="008A17B5"/>
    <w:rsid w:val="008A20B1"/>
    <w:rsid w:val="008A3F1A"/>
    <w:rsid w:val="008A464C"/>
    <w:rsid w:val="008A5EAC"/>
    <w:rsid w:val="008A74AE"/>
    <w:rsid w:val="008A7C5C"/>
    <w:rsid w:val="008B2760"/>
    <w:rsid w:val="008B3DC8"/>
    <w:rsid w:val="008B4EC5"/>
    <w:rsid w:val="008B5210"/>
    <w:rsid w:val="008B7859"/>
    <w:rsid w:val="008C05F1"/>
    <w:rsid w:val="008C218B"/>
    <w:rsid w:val="008C59EE"/>
    <w:rsid w:val="008C6917"/>
    <w:rsid w:val="008C6DD8"/>
    <w:rsid w:val="008D01FD"/>
    <w:rsid w:val="008D17C0"/>
    <w:rsid w:val="008D1AFC"/>
    <w:rsid w:val="008D1F53"/>
    <w:rsid w:val="008D28A6"/>
    <w:rsid w:val="008D2A86"/>
    <w:rsid w:val="008D52B0"/>
    <w:rsid w:val="008D66D4"/>
    <w:rsid w:val="008D7794"/>
    <w:rsid w:val="008E0B8A"/>
    <w:rsid w:val="008E6D8C"/>
    <w:rsid w:val="008E7D6B"/>
    <w:rsid w:val="008F0B3A"/>
    <w:rsid w:val="008F0B5B"/>
    <w:rsid w:val="008F0F5B"/>
    <w:rsid w:val="008F48B8"/>
    <w:rsid w:val="008F7730"/>
    <w:rsid w:val="00900BFA"/>
    <w:rsid w:val="00900E71"/>
    <w:rsid w:val="009021F5"/>
    <w:rsid w:val="009024C9"/>
    <w:rsid w:val="0090447A"/>
    <w:rsid w:val="00905BFB"/>
    <w:rsid w:val="009064EA"/>
    <w:rsid w:val="009066E0"/>
    <w:rsid w:val="00910C2D"/>
    <w:rsid w:val="00910C56"/>
    <w:rsid w:val="00911C93"/>
    <w:rsid w:val="00912B1E"/>
    <w:rsid w:val="0091531E"/>
    <w:rsid w:val="00915583"/>
    <w:rsid w:val="00923A8C"/>
    <w:rsid w:val="00923ACC"/>
    <w:rsid w:val="00926AFD"/>
    <w:rsid w:val="00932346"/>
    <w:rsid w:val="00932D6C"/>
    <w:rsid w:val="00934359"/>
    <w:rsid w:val="009448C5"/>
    <w:rsid w:val="0094512F"/>
    <w:rsid w:val="00950507"/>
    <w:rsid w:val="00951437"/>
    <w:rsid w:val="00951FEC"/>
    <w:rsid w:val="009572E2"/>
    <w:rsid w:val="00964906"/>
    <w:rsid w:val="0096553E"/>
    <w:rsid w:val="00965F55"/>
    <w:rsid w:val="00970943"/>
    <w:rsid w:val="00970C86"/>
    <w:rsid w:val="00971A11"/>
    <w:rsid w:val="009738CD"/>
    <w:rsid w:val="0097525F"/>
    <w:rsid w:val="009758F3"/>
    <w:rsid w:val="0097705B"/>
    <w:rsid w:val="0098237E"/>
    <w:rsid w:val="00983AEF"/>
    <w:rsid w:val="00985750"/>
    <w:rsid w:val="00986DDB"/>
    <w:rsid w:val="00993750"/>
    <w:rsid w:val="00995864"/>
    <w:rsid w:val="00996944"/>
    <w:rsid w:val="00997A9A"/>
    <w:rsid w:val="009A041A"/>
    <w:rsid w:val="009A0DA6"/>
    <w:rsid w:val="009A28B5"/>
    <w:rsid w:val="009A3653"/>
    <w:rsid w:val="009A37CD"/>
    <w:rsid w:val="009B0A14"/>
    <w:rsid w:val="009B0E63"/>
    <w:rsid w:val="009B2117"/>
    <w:rsid w:val="009C2B62"/>
    <w:rsid w:val="009C3578"/>
    <w:rsid w:val="009C3DAF"/>
    <w:rsid w:val="009D08E6"/>
    <w:rsid w:val="009D12CD"/>
    <w:rsid w:val="009D29AF"/>
    <w:rsid w:val="009D4478"/>
    <w:rsid w:val="009D7801"/>
    <w:rsid w:val="009E2289"/>
    <w:rsid w:val="009E22EF"/>
    <w:rsid w:val="009E38B3"/>
    <w:rsid w:val="009E46E8"/>
    <w:rsid w:val="009E7CA6"/>
    <w:rsid w:val="009F0DAB"/>
    <w:rsid w:val="00A028E8"/>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54BC"/>
    <w:rsid w:val="00A46AE8"/>
    <w:rsid w:val="00A50DAC"/>
    <w:rsid w:val="00A520BB"/>
    <w:rsid w:val="00A53C90"/>
    <w:rsid w:val="00A544DF"/>
    <w:rsid w:val="00A54C8F"/>
    <w:rsid w:val="00A5594A"/>
    <w:rsid w:val="00A57890"/>
    <w:rsid w:val="00A6238E"/>
    <w:rsid w:val="00A63F3F"/>
    <w:rsid w:val="00A646DE"/>
    <w:rsid w:val="00A72352"/>
    <w:rsid w:val="00A73E58"/>
    <w:rsid w:val="00A81243"/>
    <w:rsid w:val="00A845EC"/>
    <w:rsid w:val="00A852B4"/>
    <w:rsid w:val="00A90772"/>
    <w:rsid w:val="00A9295D"/>
    <w:rsid w:val="00A949A8"/>
    <w:rsid w:val="00A959B8"/>
    <w:rsid w:val="00A9628B"/>
    <w:rsid w:val="00A96390"/>
    <w:rsid w:val="00AA18FD"/>
    <w:rsid w:val="00AA196D"/>
    <w:rsid w:val="00AA220C"/>
    <w:rsid w:val="00AA31FA"/>
    <w:rsid w:val="00AA341B"/>
    <w:rsid w:val="00AA4F8E"/>
    <w:rsid w:val="00AA7115"/>
    <w:rsid w:val="00AB0220"/>
    <w:rsid w:val="00AB1D5F"/>
    <w:rsid w:val="00AB262A"/>
    <w:rsid w:val="00AB4B48"/>
    <w:rsid w:val="00AB4FFF"/>
    <w:rsid w:val="00AB533E"/>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4AA0"/>
    <w:rsid w:val="00B06B86"/>
    <w:rsid w:val="00B06CDF"/>
    <w:rsid w:val="00B1155E"/>
    <w:rsid w:val="00B1289A"/>
    <w:rsid w:val="00B12987"/>
    <w:rsid w:val="00B13340"/>
    <w:rsid w:val="00B21EB6"/>
    <w:rsid w:val="00B238B0"/>
    <w:rsid w:val="00B240CE"/>
    <w:rsid w:val="00B3136B"/>
    <w:rsid w:val="00B316A1"/>
    <w:rsid w:val="00B366A1"/>
    <w:rsid w:val="00B36D8D"/>
    <w:rsid w:val="00B37052"/>
    <w:rsid w:val="00B42707"/>
    <w:rsid w:val="00B432A0"/>
    <w:rsid w:val="00B4536E"/>
    <w:rsid w:val="00B459C5"/>
    <w:rsid w:val="00B46D5E"/>
    <w:rsid w:val="00B4720A"/>
    <w:rsid w:val="00B50FC5"/>
    <w:rsid w:val="00B55F78"/>
    <w:rsid w:val="00B561E8"/>
    <w:rsid w:val="00B57549"/>
    <w:rsid w:val="00B60BBF"/>
    <w:rsid w:val="00B64C19"/>
    <w:rsid w:val="00B67970"/>
    <w:rsid w:val="00B720D3"/>
    <w:rsid w:val="00B7286F"/>
    <w:rsid w:val="00B7431E"/>
    <w:rsid w:val="00B74E47"/>
    <w:rsid w:val="00B768E2"/>
    <w:rsid w:val="00B769AD"/>
    <w:rsid w:val="00B81D11"/>
    <w:rsid w:val="00B82F46"/>
    <w:rsid w:val="00B83E99"/>
    <w:rsid w:val="00B8687D"/>
    <w:rsid w:val="00B92289"/>
    <w:rsid w:val="00B92A35"/>
    <w:rsid w:val="00B9425F"/>
    <w:rsid w:val="00B9498B"/>
    <w:rsid w:val="00B951B1"/>
    <w:rsid w:val="00B979BD"/>
    <w:rsid w:val="00B97A23"/>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7C8B"/>
    <w:rsid w:val="00BF19C4"/>
    <w:rsid w:val="00BF3BAD"/>
    <w:rsid w:val="00BF3CBD"/>
    <w:rsid w:val="00BF423A"/>
    <w:rsid w:val="00C02A15"/>
    <w:rsid w:val="00C02C4F"/>
    <w:rsid w:val="00C12346"/>
    <w:rsid w:val="00C1747F"/>
    <w:rsid w:val="00C25BEE"/>
    <w:rsid w:val="00C26F1C"/>
    <w:rsid w:val="00C35E26"/>
    <w:rsid w:val="00C36C28"/>
    <w:rsid w:val="00C3701E"/>
    <w:rsid w:val="00C44DC2"/>
    <w:rsid w:val="00C5443A"/>
    <w:rsid w:val="00C613B7"/>
    <w:rsid w:val="00C61512"/>
    <w:rsid w:val="00C61ED0"/>
    <w:rsid w:val="00C63BFD"/>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4C80"/>
    <w:rsid w:val="00C959C7"/>
    <w:rsid w:val="00CA2595"/>
    <w:rsid w:val="00CA3052"/>
    <w:rsid w:val="00CA3130"/>
    <w:rsid w:val="00CA69F1"/>
    <w:rsid w:val="00CB14F9"/>
    <w:rsid w:val="00CB1680"/>
    <w:rsid w:val="00CB3318"/>
    <w:rsid w:val="00CB7953"/>
    <w:rsid w:val="00CC2078"/>
    <w:rsid w:val="00CC5CB2"/>
    <w:rsid w:val="00CD10B1"/>
    <w:rsid w:val="00CD3EE5"/>
    <w:rsid w:val="00CD4D5D"/>
    <w:rsid w:val="00CD505B"/>
    <w:rsid w:val="00CE2942"/>
    <w:rsid w:val="00CE43E0"/>
    <w:rsid w:val="00CE650D"/>
    <w:rsid w:val="00CF09E4"/>
    <w:rsid w:val="00CF199D"/>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7BAC"/>
    <w:rsid w:val="00D42A06"/>
    <w:rsid w:val="00D440C9"/>
    <w:rsid w:val="00D44A45"/>
    <w:rsid w:val="00D463B4"/>
    <w:rsid w:val="00D47B67"/>
    <w:rsid w:val="00D5114F"/>
    <w:rsid w:val="00D53F84"/>
    <w:rsid w:val="00D62E47"/>
    <w:rsid w:val="00D70A58"/>
    <w:rsid w:val="00D7211C"/>
    <w:rsid w:val="00D74C4C"/>
    <w:rsid w:val="00D80252"/>
    <w:rsid w:val="00D8251C"/>
    <w:rsid w:val="00D82A24"/>
    <w:rsid w:val="00D82DB4"/>
    <w:rsid w:val="00D83B95"/>
    <w:rsid w:val="00D846CA"/>
    <w:rsid w:val="00D84A3C"/>
    <w:rsid w:val="00D92179"/>
    <w:rsid w:val="00D94567"/>
    <w:rsid w:val="00D95287"/>
    <w:rsid w:val="00D9647E"/>
    <w:rsid w:val="00DA5C32"/>
    <w:rsid w:val="00DA6D7B"/>
    <w:rsid w:val="00DA770E"/>
    <w:rsid w:val="00DB0CEC"/>
    <w:rsid w:val="00DB3C6E"/>
    <w:rsid w:val="00DB3D51"/>
    <w:rsid w:val="00DB4281"/>
    <w:rsid w:val="00DB7133"/>
    <w:rsid w:val="00DC0208"/>
    <w:rsid w:val="00DC465C"/>
    <w:rsid w:val="00DC6E1E"/>
    <w:rsid w:val="00DD4374"/>
    <w:rsid w:val="00DD6502"/>
    <w:rsid w:val="00DD6E07"/>
    <w:rsid w:val="00DD714C"/>
    <w:rsid w:val="00DE015D"/>
    <w:rsid w:val="00DE0CDD"/>
    <w:rsid w:val="00DE0F16"/>
    <w:rsid w:val="00DE1254"/>
    <w:rsid w:val="00DE29D7"/>
    <w:rsid w:val="00DE3681"/>
    <w:rsid w:val="00DF4C9B"/>
    <w:rsid w:val="00DF5C2C"/>
    <w:rsid w:val="00E024D2"/>
    <w:rsid w:val="00E030C9"/>
    <w:rsid w:val="00E05439"/>
    <w:rsid w:val="00E05F1D"/>
    <w:rsid w:val="00E074E6"/>
    <w:rsid w:val="00E10534"/>
    <w:rsid w:val="00E13CFC"/>
    <w:rsid w:val="00E14310"/>
    <w:rsid w:val="00E14E59"/>
    <w:rsid w:val="00E20D35"/>
    <w:rsid w:val="00E22084"/>
    <w:rsid w:val="00E22767"/>
    <w:rsid w:val="00E232BF"/>
    <w:rsid w:val="00E240D9"/>
    <w:rsid w:val="00E25C2D"/>
    <w:rsid w:val="00E2791D"/>
    <w:rsid w:val="00E3410E"/>
    <w:rsid w:val="00E35542"/>
    <w:rsid w:val="00E41D60"/>
    <w:rsid w:val="00E420B0"/>
    <w:rsid w:val="00E43AB0"/>
    <w:rsid w:val="00E45076"/>
    <w:rsid w:val="00E450B0"/>
    <w:rsid w:val="00E50B0C"/>
    <w:rsid w:val="00E57A45"/>
    <w:rsid w:val="00E57EE4"/>
    <w:rsid w:val="00E613F6"/>
    <w:rsid w:val="00E63383"/>
    <w:rsid w:val="00E63E21"/>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00BC"/>
    <w:rsid w:val="00EC1B98"/>
    <w:rsid w:val="00EC212C"/>
    <w:rsid w:val="00EC3A14"/>
    <w:rsid w:val="00EC57AA"/>
    <w:rsid w:val="00EC6DAB"/>
    <w:rsid w:val="00ED08E0"/>
    <w:rsid w:val="00ED0E52"/>
    <w:rsid w:val="00ED208B"/>
    <w:rsid w:val="00ED3242"/>
    <w:rsid w:val="00ED3ECF"/>
    <w:rsid w:val="00ED6D4F"/>
    <w:rsid w:val="00EE2602"/>
    <w:rsid w:val="00EE3490"/>
    <w:rsid w:val="00EE3CAE"/>
    <w:rsid w:val="00EE6DC8"/>
    <w:rsid w:val="00EF0368"/>
    <w:rsid w:val="00EF14C7"/>
    <w:rsid w:val="00EF5B11"/>
    <w:rsid w:val="00EF6E4C"/>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6F55"/>
    <w:rsid w:val="00F37B26"/>
    <w:rsid w:val="00F40B47"/>
    <w:rsid w:val="00F40C92"/>
    <w:rsid w:val="00F439AD"/>
    <w:rsid w:val="00F4664B"/>
    <w:rsid w:val="00F468FE"/>
    <w:rsid w:val="00F476A1"/>
    <w:rsid w:val="00F533A3"/>
    <w:rsid w:val="00F5434A"/>
    <w:rsid w:val="00F6463B"/>
    <w:rsid w:val="00F70732"/>
    <w:rsid w:val="00F718BA"/>
    <w:rsid w:val="00F722CD"/>
    <w:rsid w:val="00F7526B"/>
    <w:rsid w:val="00F80355"/>
    <w:rsid w:val="00F8366A"/>
    <w:rsid w:val="00F8387B"/>
    <w:rsid w:val="00F83B65"/>
    <w:rsid w:val="00F87597"/>
    <w:rsid w:val="00F9070D"/>
    <w:rsid w:val="00F950A3"/>
    <w:rsid w:val="00FA0C0A"/>
    <w:rsid w:val="00FA11A4"/>
    <w:rsid w:val="00FA27DB"/>
    <w:rsid w:val="00FA361A"/>
    <w:rsid w:val="00FA5229"/>
    <w:rsid w:val="00FA5C55"/>
    <w:rsid w:val="00FA79DC"/>
    <w:rsid w:val="00FB1A3D"/>
    <w:rsid w:val="00FB2431"/>
    <w:rsid w:val="00FC0100"/>
    <w:rsid w:val="00FC0D7C"/>
    <w:rsid w:val="00FC38BB"/>
    <w:rsid w:val="00FC7CF2"/>
    <w:rsid w:val="00FD080D"/>
    <w:rsid w:val="00FD0FBD"/>
    <w:rsid w:val="00FD330F"/>
    <w:rsid w:val="00FD4289"/>
    <w:rsid w:val="00FD6F08"/>
    <w:rsid w:val="00FE008E"/>
    <w:rsid w:val="00FE0D7E"/>
    <w:rsid w:val="00FE2F95"/>
    <w:rsid w:val="00FE674E"/>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946AA9B"/>
  <w15:docId w15:val="{FA3C81C2-8F7F-45EC-85B9-058B762A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C2D"/>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910C2D"/>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910C2D"/>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910C2D"/>
    <w:pPr>
      <w:numPr>
        <w:ilvl w:val="2"/>
        <w:numId w:val="21"/>
      </w:numPr>
      <w:tabs>
        <w:tab w:val="clear" w:pos="1800"/>
        <w:tab w:val="num" w:pos="1418"/>
      </w:tabs>
      <w:spacing w:after="120"/>
      <w:ind w:left="1418" w:hanging="698"/>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910C2D"/>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910C2D"/>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910C2D"/>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910C2D"/>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910C2D"/>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910C2D"/>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910C2D"/>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910C2D"/>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910C2D"/>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2"/>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qFormat/>
    <w:rsid w:val="00910C2D"/>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7"/>
      </w:numPr>
    </w:pPr>
  </w:style>
  <w:style w:type="paragraph" w:styleId="ListNumber2">
    <w:name w:val="List Number 2"/>
    <w:basedOn w:val="Normal"/>
    <w:rsid w:val="00AA7115"/>
    <w:pPr>
      <w:numPr>
        <w:numId w:val="8"/>
      </w:numPr>
    </w:pPr>
  </w:style>
  <w:style w:type="paragraph" w:styleId="ListNumber3">
    <w:name w:val="List Number 3"/>
    <w:basedOn w:val="Normal"/>
    <w:rsid w:val="00AA7115"/>
    <w:pPr>
      <w:numPr>
        <w:numId w:val="9"/>
      </w:numPr>
    </w:pPr>
  </w:style>
  <w:style w:type="paragraph" w:styleId="ListNumber4">
    <w:name w:val="List Number 4"/>
    <w:basedOn w:val="Normal"/>
    <w:rsid w:val="00AA7115"/>
    <w:pPr>
      <w:numPr>
        <w:numId w:val="10"/>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910C2D"/>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99"/>
    <w:qFormat/>
    <w:rsid w:val="00910C2D"/>
    <w:pPr>
      <w:ind w:left="720"/>
    </w:pPr>
    <w:rPr>
      <w:rFonts w:ascii="Arial"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910C2D"/>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2"/>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2"/>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910C2D"/>
    <w:rPr>
      <w:rFonts w:ascii="Calibri" w:hAnsi="Calibri"/>
      <w:lang w:val="en-US" w:eastAsia="en-US"/>
    </w:rPr>
  </w:style>
  <w:style w:type="character" w:customStyle="1" w:styleId="NoSpacingChar">
    <w:name w:val="No Spacing Char"/>
    <w:basedOn w:val="DefaultParagraphFont"/>
    <w:link w:val="NoSpacing"/>
    <w:uiPriority w:val="99"/>
    <w:rsid w:val="00910C2D"/>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910C2D"/>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910C2D"/>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910C2D"/>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910C2D"/>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910C2D"/>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910C2D"/>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910C2D"/>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3"/>
      </w:numPr>
      <w:spacing w:after="240"/>
      <w:jc w:val="both"/>
    </w:pPr>
    <w:rPr>
      <w:rFonts w:eastAsia="Times New Roman"/>
      <w:szCs w:val="20"/>
      <w:lang w:eastAsia="en-US"/>
    </w:rPr>
  </w:style>
  <w:style w:type="paragraph" w:customStyle="1" w:styleId="Level2">
    <w:name w:val="Level 2"/>
    <w:basedOn w:val="Normal"/>
    <w:rsid w:val="00AA7115"/>
    <w:pPr>
      <w:numPr>
        <w:ilvl w:val="1"/>
        <w:numId w:val="13"/>
      </w:numPr>
      <w:spacing w:after="240"/>
      <w:jc w:val="both"/>
    </w:pPr>
    <w:rPr>
      <w:rFonts w:eastAsia="Times New Roman"/>
      <w:lang w:eastAsia="en-US"/>
    </w:rPr>
  </w:style>
  <w:style w:type="paragraph" w:customStyle="1" w:styleId="Level3">
    <w:name w:val="Level 3"/>
    <w:basedOn w:val="Normal"/>
    <w:rsid w:val="00AA7115"/>
    <w:pPr>
      <w:numPr>
        <w:ilvl w:val="2"/>
        <w:numId w:val="13"/>
      </w:numPr>
      <w:spacing w:after="240"/>
      <w:jc w:val="both"/>
    </w:pPr>
    <w:rPr>
      <w:rFonts w:eastAsia="Times New Roman"/>
      <w:szCs w:val="20"/>
      <w:lang w:eastAsia="en-US"/>
    </w:rPr>
  </w:style>
  <w:style w:type="paragraph" w:customStyle="1" w:styleId="Level4">
    <w:name w:val="Level 4"/>
    <w:basedOn w:val="Normal"/>
    <w:rsid w:val="00AA7115"/>
    <w:pPr>
      <w:numPr>
        <w:ilvl w:val="3"/>
        <w:numId w:val="13"/>
      </w:numPr>
      <w:spacing w:after="240"/>
      <w:jc w:val="both"/>
    </w:pPr>
    <w:rPr>
      <w:rFonts w:eastAsia="Times New Roman"/>
      <w:szCs w:val="20"/>
      <w:lang w:eastAsia="en-US"/>
    </w:rPr>
  </w:style>
  <w:style w:type="paragraph" w:customStyle="1" w:styleId="Level5">
    <w:name w:val="Level 5"/>
    <w:basedOn w:val="Normal"/>
    <w:rsid w:val="00AA7115"/>
    <w:pPr>
      <w:numPr>
        <w:ilvl w:val="4"/>
        <w:numId w:val="13"/>
      </w:numPr>
      <w:spacing w:after="240"/>
      <w:jc w:val="both"/>
    </w:pPr>
    <w:rPr>
      <w:rFonts w:eastAsia="Times New Roman"/>
      <w:szCs w:val="20"/>
      <w:lang w:eastAsia="en-US"/>
    </w:rPr>
  </w:style>
  <w:style w:type="paragraph" w:customStyle="1" w:styleId="Level6">
    <w:name w:val="Level 6"/>
    <w:basedOn w:val="Normal"/>
    <w:rsid w:val="00AA7115"/>
    <w:pPr>
      <w:numPr>
        <w:ilvl w:val="5"/>
        <w:numId w:val="13"/>
      </w:numPr>
      <w:spacing w:after="240"/>
      <w:jc w:val="both"/>
    </w:pPr>
    <w:rPr>
      <w:rFonts w:eastAsia="Times New Roman"/>
      <w:szCs w:val="20"/>
      <w:lang w:eastAsia="en-US"/>
    </w:rPr>
  </w:style>
  <w:style w:type="paragraph" w:customStyle="1" w:styleId="Level7">
    <w:name w:val="Level 7"/>
    <w:basedOn w:val="Normal"/>
    <w:rsid w:val="00AA7115"/>
    <w:pPr>
      <w:numPr>
        <w:ilvl w:val="6"/>
        <w:numId w:val="13"/>
      </w:numPr>
      <w:spacing w:after="240"/>
      <w:jc w:val="both"/>
    </w:pPr>
    <w:rPr>
      <w:rFonts w:eastAsia="Times New Roman"/>
      <w:szCs w:val="20"/>
      <w:lang w:eastAsia="en-US"/>
    </w:rPr>
  </w:style>
  <w:style w:type="paragraph" w:customStyle="1" w:styleId="Level8">
    <w:name w:val="Level 8"/>
    <w:basedOn w:val="Normal"/>
    <w:rsid w:val="00AA7115"/>
    <w:pPr>
      <w:numPr>
        <w:ilvl w:val="7"/>
        <w:numId w:val="13"/>
      </w:numPr>
      <w:spacing w:after="240"/>
      <w:jc w:val="both"/>
    </w:pPr>
    <w:rPr>
      <w:rFonts w:eastAsia="Times New Roman"/>
      <w:szCs w:val="20"/>
      <w:lang w:eastAsia="en-US"/>
    </w:rPr>
  </w:style>
  <w:style w:type="paragraph" w:customStyle="1" w:styleId="Level9">
    <w:name w:val="Level 9"/>
    <w:basedOn w:val="Normal"/>
    <w:rsid w:val="00AA7115"/>
    <w:pPr>
      <w:numPr>
        <w:ilvl w:val="8"/>
        <w:numId w:val="13"/>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1"/>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5"/>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5"/>
      </w:numPr>
      <w:jc w:val="both"/>
    </w:pPr>
    <w:rPr>
      <w:rFonts w:eastAsia="Times New Roman"/>
      <w:szCs w:val="20"/>
      <w:lang w:eastAsia="en-US"/>
    </w:rPr>
  </w:style>
  <w:style w:type="paragraph" w:customStyle="1" w:styleId="01-Level3-BB">
    <w:name w:val="01-Level3-BB"/>
    <w:basedOn w:val="Normal"/>
    <w:next w:val="Normal"/>
    <w:rsid w:val="00AA7115"/>
    <w:pPr>
      <w:numPr>
        <w:ilvl w:val="2"/>
        <w:numId w:val="15"/>
      </w:numPr>
      <w:jc w:val="both"/>
    </w:pPr>
    <w:rPr>
      <w:rFonts w:eastAsia="Times New Roman"/>
      <w:szCs w:val="20"/>
      <w:lang w:eastAsia="en-US"/>
    </w:rPr>
  </w:style>
  <w:style w:type="paragraph" w:customStyle="1" w:styleId="01-Level4-BB">
    <w:name w:val="01-Level4-BB"/>
    <w:basedOn w:val="Normal"/>
    <w:next w:val="Normal"/>
    <w:rsid w:val="00AA7115"/>
    <w:pPr>
      <w:numPr>
        <w:ilvl w:val="3"/>
        <w:numId w:val="15"/>
      </w:numPr>
      <w:jc w:val="both"/>
    </w:pPr>
    <w:rPr>
      <w:rFonts w:eastAsia="Times New Roman"/>
      <w:szCs w:val="20"/>
      <w:lang w:eastAsia="en-US"/>
    </w:rPr>
  </w:style>
  <w:style w:type="paragraph" w:customStyle="1" w:styleId="01-Level5-BB">
    <w:name w:val="01-Level5-BB"/>
    <w:basedOn w:val="Normal"/>
    <w:next w:val="Normal"/>
    <w:rsid w:val="00AA7115"/>
    <w:pPr>
      <w:numPr>
        <w:ilvl w:val="4"/>
        <w:numId w:val="15"/>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6"/>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8"/>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 w:type="paragraph" w:customStyle="1" w:styleId="Chapter">
    <w:name w:val="Chapter"/>
    <w:basedOn w:val="Title"/>
    <w:link w:val="ChapterChar"/>
    <w:qFormat/>
    <w:rsid w:val="00910C2D"/>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910C2D"/>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910C2D"/>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910C2D"/>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910C2D"/>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Quote">
    <w:name w:val="Quote"/>
    <w:basedOn w:val="Normal"/>
    <w:next w:val="Normal"/>
    <w:link w:val="QuoteChar"/>
    <w:uiPriority w:val="29"/>
    <w:qFormat/>
    <w:rsid w:val="00910C2D"/>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910C2D"/>
    <w:rPr>
      <w:rFonts w:ascii="Arial" w:eastAsia="SimSun" w:hAnsi="Arial"/>
      <w:i/>
      <w:iCs/>
      <w:color w:val="000000" w:themeColor="text1"/>
      <w:szCs w:val="24"/>
      <w:lang w:eastAsia="zh-CN"/>
    </w:rPr>
  </w:style>
  <w:style w:type="character" w:styleId="SubtleEmphasis">
    <w:name w:val="Subtle Emphasis"/>
    <w:uiPriority w:val="19"/>
    <w:qFormat/>
    <w:rsid w:val="00910C2D"/>
    <w:rPr>
      <w:i/>
      <w:iCs/>
      <w:color w:val="808080" w:themeColor="text1" w:themeTint="7F"/>
    </w:rPr>
  </w:style>
  <w:style w:type="character" w:styleId="IntenseReference">
    <w:name w:val="Intense Reference"/>
    <w:uiPriority w:val="32"/>
    <w:qFormat/>
    <w:rsid w:val="00910C2D"/>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857426">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E9B26-B8E0-48F6-8CD8-8D9913AED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9</TotalTime>
  <Pages>5</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8405</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4</cp:revision>
  <cp:lastPrinted>2013-09-19T08:38:00Z</cp:lastPrinted>
  <dcterms:created xsi:type="dcterms:W3CDTF">2018-08-03T13:35:00Z</dcterms:created>
  <dcterms:modified xsi:type="dcterms:W3CDTF">2018-08-20T10:04:00Z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