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Pr="00A4767E" w:rsidRDefault="005F738A" w:rsidP="00893A3F">
      <w:pPr>
        <w:pStyle w:val="Norma"/>
        <w:rPr>
          <w:rFonts w:ascii="Calibri" w:hAnsi="Calibri" w:cs="Calibri"/>
          <w:sz w:val="32"/>
          <w:szCs w:val="32"/>
        </w:rPr>
      </w:pPr>
    </w:p>
    <w:p w14:paraId="5EA87523" w14:textId="77777777" w:rsidR="00893A3F" w:rsidRPr="00A4767E" w:rsidRDefault="00893A3F" w:rsidP="008F2B68">
      <w:pPr>
        <w:pStyle w:val="Norma"/>
        <w:rPr>
          <w:rFonts w:ascii="Calibri" w:hAnsi="Calibri" w:cs="Calibri"/>
          <w:b/>
          <w:sz w:val="32"/>
          <w:szCs w:val="32"/>
        </w:rPr>
      </w:pPr>
    </w:p>
    <w:p w14:paraId="5EA87524" w14:textId="7FD9B4A7" w:rsidR="00FE0B21" w:rsidRPr="00A4767E" w:rsidRDefault="00CA7099" w:rsidP="00FE0B21">
      <w:pPr>
        <w:pStyle w:val="Norma"/>
        <w:rPr>
          <w:rFonts w:cs="Arial"/>
          <w:b/>
          <w:sz w:val="36"/>
          <w:szCs w:val="36"/>
        </w:rPr>
      </w:pPr>
      <w:r w:rsidRPr="00A4767E">
        <w:rPr>
          <w:rFonts w:cs="Arial"/>
          <w:b/>
          <w:sz w:val="36"/>
          <w:szCs w:val="36"/>
        </w:rPr>
        <w:t>S</w:t>
      </w:r>
      <w:bookmarkStart w:id="0" w:name="_GoBack"/>
      <w:bookmarkEnd w:id="0"/>
      <w:r w:rsidRPr="00A4767E">
        <w:rPr>
          <w:rFonts w:cs="Arial"/>
          <w:b/>
          <w:sz w:val="36"/>
          <w:szCs w:val="36"/>
        </w:rPr>
        <w:t>pecification</w:t>
      </w:r>
      <w:r w:rsidR="00FE0B21" w:rsidRPr="00A4767E">
        <w:rPr>
          <w:rFonts w:cs="Arial"/>
          <w:b/>
          <w:sz w:val="36"/>
          <w:szCs w:val="36"/>
        </w:rPr>
        <w:t xml:space="preserve"> for </w:t>
      </w:r>
      <w:r w:rsidR="00367789" w:rsidRPr="00A4767E">
        <w:rPr>
          <w:rFonts w:cs="Arial"/>
          <w:b/>
          <w:sz w:val="36"/>
          <w:szCs w:val="36"/>
        </w:rPr>
        <w:t>analy</w:t>
      </w:r>
      <w:r w:rsidR="00A95699" w:rsidRPr="00A4767E">
        <w:rPr>
          <w:rFonts w:cs="Arial"/>
          <w:b/>
          <w:sz w:val="36"/>
          <w:szCs w:val="36"/>
        </w:rPr>
        <w:t>tical support to CCC work on a UK Emission Trading Scheme (UK</w:t>
      </w:r>
      <w:r w:rsidR="00D567A8" w:rsidRPr="00A4767E">
        <w:rPr>
          <w:rFonts w:cs="Arial"/>
          <w:b/>
          <w:sz w:val="36"/>
          <w:szCs w:val="36"/>
        </w:rPr>
        <w:t xml:space="preserve"> </w:t>
      </w:r>
      <w:r w:rsidR="00A95699" w:rsidRPr="00A4767E">
        <w:rPr>
          <w:rFonts w:cs="Arial"/>
          <w:b/>
          <w:sz w:val="36"/>
          <w:szCs w:val="36"/>
        </w:rPr>
        <w:t>ETS)</w:t>
      </w:r>
    </w:p>
    <w:p w14:paraId="5EA87525" w14:textId="77777777" w:rsidR="00CB7AD6" w:rsidRPr="00A4767E" w:rsidRDefault="00CB7AD6" w:rsidP="00FE0B21">
      <w:pPr>
        <w:pStyle w:val="Norma"/>
        <w:rPr>
          <w:rFonts w:cs="Arial"/>
          <w:b/>
          <w:sz w:val="36"/>
          <w:szCs w:val="36"/>
        </w:rPr>
      </w:pPr>
    </w:p>
    <w:p w14:paraId="4AFA6017" w14:textId="77777777" w:rsidR="00DD521A" w:rsidRPr="00A4767E" w:rsidRDefault="00DD521A" w:rsidP="008F2B68">
      <w:pPr>
        <w:pStyle w:val="Norma"/>
        <w:rPr>
          <w:rFonts w:cs="Arial"/>
          <w:sz w:val="36"/>
          <w:szCs w:val="36"/>
        </w:rPr>
      </w:pPr>
    </w:p>
    <w:p w14:paraId="02451D23" w14:textId="77777777" w:rsidR="00DD521A" w:rsidRPr="00A4767E" w:rsidRDefault="00DD521A" w:rsidP="008F2B68">
      <w:pPr>
        <w:pStyle w:val="Norma"/>
        <w:rPr>
          <w:rFonts w:cs="Arial"/>
          <w:sz w:val="36"/>
          <w:szCs w:val="36"/>
        </w:rPr>
      </w:pPr>
    </w:p>
    <w:p w14:paraId="5EA87526" w14:textId="5A958E86" w:rsidR="00E53204" w:rsidRPr="00A4767E" w:rsidRDefault="00C53C6B" w:rsidP="008F2B68">
      <w:pPr>
        <w:pStyle w:val="Norma"/>
        <w:rPr>
          <w:rFonts w:cs="Arial"/>
          <w:sz w:val="36"/>
          <w:szCs w:val="36"/>
        </w:rPr>
      </w:pPr>
      <w:r w:rsidRPr="00A4767E">
        <w:rPr>
          <w:rFonts w:cs="Arial"/>
          <w:sz w:val="36"/>
          <w:szCs w:val="36"/>
        </w:rPr>
        <w:t>T</w:t>
      </w:r>
      <w:r w:rsidR="00E53204" w:rsidRPr="00A4767E">
        <w:rPr>
          <w:rFonts w:cs="Arial"/>
          <w:sz w:val="36"/>
          <w:szCs w:val="36"/>
        </w:rPr>
        <w:t>ender Reference Number</w:t>
      </w:r>
      <w:r w:rsidR="006E31A8" w:rsidRPr="00A4767E">
        <w:rPr>
          <w:rFonts w:cs="Arial"/>
          <w:sz w:val="36"/>
          <w:szCs w:val="36"/>
        </w:rPr>
        <w:t xml:space="preserve">: </w:t>
      </w:r>
      <w:r w:rsidR="007D7B16" w:rsidRPr="00512123">
        <w:rPr>
          <w:rFonts w:cs="Arial"/>
          <w:color w:val="FF0000"/>
          <w:sz w:val="36"/>
          <w:szCs w:val="36"/>
        </w:rPr>
        <w:t>OB/0519</w:t>
      </w:r>
    </w:p>
    <w:p w14:paraId="5EA87527" w14:textId="77777777" w:rsidR="00444762" w:rsidRPr="00A4767E" w:rsidRDefault="00444762" w:rsidP="008F2B68">
      <w:pPr>
        <w:pStyle w:val="Norma"/>
        <w:rPr>
          <w:rFonts w:cs="Arial"/>
          <w:szCs w:val="28"/>
        </w:rPr>
      </w:pPr>
    </w:p>
    <w:p w14:paraId="5EA87528" w14:textId="77777777" w:rsidR="00D95762" w:rsidRPr="00A4767E" w:rsidRDefault="00D95762" w:rsidP="008F2B68">
      <w:pPr>
        <w:pStyle w:val="Norma"/>
        <w:rPr>
          <w:rFonts w:ascii="Calibri" w:hAnsi="Calibri" w:cs="Calibri"/>
          <w:b/>
          <w:sz w:val="26"/>
          <w:szCs w:val="26"/>
        </w:rPr>
      </w:pPr>
    </w:p>
    <w:p w14:paraId="5EA87529" w14:textId="77777777" w:rsidR="00D95762" w:rsidRPr="00A4767E" w:rsidRDefault="00D95762" w:rsidP="008F2B68">
      <w:pPr>
        <w:pStyle w:val="Norma"/>
        <w:rPr>
          <w:rFonts w:ascii="Calibri" w:hAnsi="Calibri" w:cs="Calibri"/>
          <w:b/>
          <w:sz w:val="26"/>
          <w:szCs w:val="26"/>
        </w:rPr>
      </w:pPr>
    </w:p>
    <w:p w14:paraId="5EA8752A" w14:textId="77777777" w:rsidR="00327C8C" w:rsidRPr="00A4767E" w:rsidRDefault="00327C8C" w:rsidP="00220F36">
      <w:pPr>
        <w:pStyle w:val="Norma"/>
        <w:rPr>
          <w:rFonts w:ascii="Calibri" w:hAnsi="Calibri" w:cs="Calibri"/>
          <w:b/>
          <w:sz w:val="28"/>
          <w:szCs w:val="28"/>
        </w:rPr>
      </w:pPr>
    </w:p>
    <w:p w14:paraId="5EA8752B" w14:textId="77777777" w:rsidR="00121E96" w:rsidRPr="00A4767E" w:rsidRDefault="00121E96" w:rsidP="00CA7099">
      <w:pPr>
        <w:pStyle w:val="Norma"/>
        <w:rPr>
          <w:rFonts w:cs="Arial"/>
          <w:sz w:val="24"/>
          <w:szCs w:val="24"/>
        </w:rPr>
      </w:pPr>
    </w:p>
    <w:p w14:paraId="5EA87533" w14:textId="77777777" w:rsidR="00781BF5" w:rsidRPr="00A4767E" w:rsidRDefault="00781BF5" w:rsidP="006C479E">
      <w:pPr>
        <w:pStyle w:val="Norma"/>
        <w:ind w:left="720"/>
        <w:rPr>
          <w:rFonts w:ascii="Calibri" w:hAnsi="Calibri" w:cs="Calibri"/>
        </w:rPr>
      </w:pPr>
      <w:bookmarkStart w:id="1" w:name="SectionOne"/>
    </w:p>
    <w:p w14:paraId="5EA87534" w14:textId="77777777" w:rsidR="003E5C19" w:rsidRPr="00A4767E" w:rsidRDefault="00091732" w:rsidP="00CA7099">
      <w:pPr>
        <w:pStyle w:val="Norma"/>
        <w:ind w:left="1080"/>
        <w:rPr>
          <w:rFonts w:cs="Calibri"/>
          <w:b/>
          <w:sz w:val="28"/>
          <w:szCs w:val="28"/>
        </w:rPr>
      </w:pPr>
      <w:bookmarkStart w:id="2" w:name="_Evaluation_of_Responses"/>
      <w:bookmarkEnd w:id="2"/>
      <w:r w:rsidRPr="00A4767E">
        <w:rPr>
          <w:rFonts w:cs="Calibri"/>
          <w:b/>
          <w:sz w:val="28"/>
          <w:szCs w:val="28"/>
        </w:rPr>
        <w:br w:type="page"/>
      </w:r>
      <w:bookmarkEnd w:id="1"/>
    </w:p>
    <w:p w14:paraId="5EA87535" w14:textId="77777777" w:rsidR="001D5D04" w:rsidRPr="00A4767E" w:rsidRDefault="001D5D04" w:rsidP="007B3C23">
      <w:pPr>
        <w:pStyle w:val="Norma"/>
        <w:jc w:val="both"/>
        <w:rPr>
          <w:rFonts w:ascii="Calibri" w:hAnsi="Calibri" w:cs="Calibri"/>
          <w:b/>
          <w:sz w:val="28"/>
          <w:szCs w:val="28"/>
        </w:rPr>
      </w:pPr>
    </w:p>
    <w:p w14:paraId="5EA87536" w14:textId="77777777" w:rsidR="003E5C19" w:rsidRPr="00A4767E" w:rsidRDefault="00C06839" w:rsidP="007B3C23">
      <w:pPr>
        <w:pStyle w:val="Norma"/>
        <w:jc w:val="both"/>
        <w:rPr>
          <w:rFonts w:ascii="Calibri" w:hAnsi="Calibri" w:cs="Calibri"/>
          <w:b/>
          <w:sz w:val="28"/>
          <w:szCs w:val="28"/>
        </w:rPr>
      </w:pPr>
      <w:r w:rsidRPr="00A4767E">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Pr="00674A35" w:rsidRDefault="00DD15F0">
                            <w:pPr>
                              <w:pStyle w:val="Norma"/>
                              <w:rPr>
                                <w:color w:val="000000" w:themeColor="text1"/>
                              </w:rPr>
                            </w:pPr>
                          </w:p>
                          <w:p w14:paraId="5EA8763A" w14:textId="133EF4C8" w:rsidR="00DD15F0" w:rsidRPr="00674A35" w:rsidRDefault="00DD15F0" w:rsidP="00405192">
                            <w:pPr>
                              <w:pStyle w:val="Norma"/>
                              <w:rPr>
                                <w:rFonts w:cs="Arial"/>
                                <w:color w:val="000000" w:themeColor="text1"/>
                              </w:rPr>
                            </w:pPr>
                            <w:r w:rsidRPr="00674A35">
                              <w:rPr>
                                <w:rFonts w:cs="Arial"/>
                                <w:color w:val="000000" w:themeColor="text1"/>
                              </w:rPr>
                              <w:t xml:space="preserve">Invitation to Tender for </w:t>
                            </w:r>
                            <w:r w:rsidR="00675067">
                              <w:rPr>
                                <w:rFonts w:cs="Arial"/>
                                <w:color w:val="000000" w:themeColor="text1"/>
                              </w:rPr>
                              <w:t>support to CCC work on a UK Emissions Trading Scheme (UK</w:t>
                            </w:r>
                            <w:r w:rsidR="00D567A8">
                              <w:rPr>
                                <w:rFonts w:cs="Arial"/>
                                <w:color w:val="000000" w:themeColor="text1"/>
                              </w:rPr>
                              <w:t xml:space="preserve"> </w:t>
                            </w:r>
                            <w:r w:rsidR="00675067">
                              <w:rPr>
                                <w:rFonts w:cs="Arial"/>
                                <w:color w:val="000000" w:themeColor="text1"/>
                              </w:rPr>
                              <w:t>ETS)</w:t>
                            </w:r>
                          </w:p>
                          <w:p w14:paraId="5EA8763B" w14:textId="52207B08" w:rsidR="00DD15F0" w:rsidRPr="00674A35" w:rsidRDefault="00DD15F0" w:rsidP="00405192">
                            <w:pPr>
                              <w:pStyle w:val="Norma"/>
                              <w:rPr>
                                <w:rFonts w:cs="Arial"/>
                                <w:color w:val="000000" w:themeColor="text1"/>
                              </w:rPr>
                            </w:pPr>
                            <w:r w:rsidRPr="00674A35">
                              <w:rPr>
                                <w:rFonts w:cs="Arial"/>
                                <w:color w:val="000000" w:themeColor="text1"/>
                              </w:rPr>
                              <w:t xml:space="preserve">Tender Reference Number: </w:t>
                            </w:r>
                            <w:r w:rsidR="00512123" w:rsidRPr="00512123">
                              <w:rPr>
                                <w:rFonts w:cs="Arial"/>
                                <w:color w:val="FF0000"/>
                              </w:rPr>
                              <w:t>OB/0519</w:t>
                            </w:r>
                          </w:p>
                          <w:p w14:paraId="5EA8763C" w14:textId="63829C2E" w:rsidR="00DD15F0" w:rsidRPr="00674A35" w:rsidRDefault="00DD15F0" w:rsidP="00405192">
                            <w:pPr>
                              <w:pStyle w:val="Norma"/>
                              <w:rPr>
                                <w:rFonts w:cs="Arial"/>
                                <w:color w:val="000000" w:themeColor="text1"/>
                              </w:rPr>
                            </w:pPr>
                            <w:r w:rsidRPr="00674A35">
                              <w:rPr>
                                <w:rFonts w:cs="Arial"/>
                                <w:color w:val="000000" w:themeColor="text1"/>
                              </w:rPr>
                              <w:t>Deadline for Tender Responses:</w:t>
                            </w:r>
                            <w:r w:rsidRPr="00674A35">
                              <w:rPr>
                                <w:rFonts w:cs="Arial"/>
                                <w:color w:val="000000" w:themeColor="text1"/>
                                <w:sz w:val="24"/>
                                <w:szCs w:val="24"/>
                              </w:rPr>
                              <w:t xml:space="preserve"> </w:t>
                            </w:r>
                            <w:r w:rsidR="002A2059">
                              <w:rPr>
                                <w:rFonts w:cs="Arial"/>
                                <w:color w:val="000000" w:themeColor="text1"/>
                                <w:sz w:val="24"/>
                                <w:szCs w:val="24"/>
                              </w:rPr>
                              <w:t>2</w:t>
                            </w:r>
                            <w:r w:rsidR="00A83CC9">
                              <w:rPr>
                                <w:rFonts w:cs="Arial"/>
                                <w:color w:val="000000" w:themeColor="text1"/>
                                <w:sz w:val="24"/>
                                <w:szCs w:val="24"/>
                              </w:rPr>
                              <w:t>7</w:t>
                            </w:r>
                            <w:r w:rsidR="006F2154">
                              <w:rPr>
                                <w:rFonts w:cs="Arial"/>
                                <w:color w:val="000000" w:themeColor="text1"/>
                                <w:sz w:val="24"/>
                                <w:szCs w:val="24"/>
                              </w:rPr>
                              <w:t xml:space="preserve"> May 2019</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Pr="00674A35" w:rsidRDefault="00DD15F0">
                      <w:pPr>
                        <w:pStyle w:val="Norma"/>
                        <w:rPr>
                          <w:color w:val="000000" w:themeColor="text1"/>
                        </w:rPr>
                      </w:pPr>
                    </w:p>
                    <w:p w14:paraId="5EA8763A" w14:textId="133EF4C8" w:rsidR="00DD15F0" w:rsidRPr="00674A35" w:rsidRDefault="00DD15F0" w:rsidP="00405192">
                      <w:pPr>
                        <w:pStyle w:val="Norma"/>
                        <w:rPr>
                          <w:rFonts w:cs="Arial"/>
                          <w:color w:val="000000" w:themeColor="text1"/>
                        </w:rPr>
                      </w:pPr>
                      <w:r w:rsidRPr="00674A35">
                        <w:rPr>
                          <w:rFonts w:cs="Arial"/>
                          <w:color w:val="000000" w:themeColor="text1"/>
                        </w:rPr>
                        <w:t xml:space="preserve">Invitation to Tender for </w:t>
                      </w:r>
                      <w:r w:rsidR="00675067">
                        <w:rPr>
                          <w:rFonts w:cs="Arial"/>
                          <w:color w:val="000000" w:themeColor="text1"/>
                        </w:rPr>
                        <w:t>support to CCC work on a UK Emissions Trading Scheme (UK</w:t>
                      </w:r>
                      <w:r w:rsidR="00D567A8">
                        <w:rPr>
                          <w:rFonts w:cs="Arial"/>
                          <w:color w:val="000000" w:themeColor="text1"/>
                        </w:rPr>
                        <w:t xml:space="preserve"> </w:t>
                      </w:r>
                      <w:r w:rsidR="00675067">
                        <w:rPr>
                          <w:rFonts w:cs="Arial"/>
                          <w:color w:val="000000" w:themeColor="text1"/>
                        </w:rPr>
                        <w:t>ETS)</w:t>
                      </w:r>
                    </w:p>
                    <w:p w14:paraId="5EA8763B" w14:textId="52207B08" w:rsidR="00DD15F0" w:rsidRPr="00674A35" w:rsidRDefault="00DD15F0" w:rsidP="00405192">
                      <w:pPr>
                        <w:pStyle w:val="Norma"/>
                        <w:rPr>
                          <w:rFonts w:cs="Arial"/>
                          <w:color w:val="000000" w:themeColor="text1"/>
                        </w:rPr>
                      </w:pPr>
                      <w:r w:rsidRPr="00674A35">
                        <w:rPr>
                          <w:rFonts w:cs="Arial"/>
                          <w:color w:val="000000" w:themeColor="text1"/>
                        </w:rPr>
                        <w:t xml:space="preserve">Tender Reference Number: </w:t>
                      </w:r>
                      <w:r w:rsidR="00512123" w:rsidRPr="00512123">
                        <w:rPr>
                          <w:rFonts w:cs="Arial"/>
                          <w:color w:val="FF0000"/>
                        </w:rPr>
                        <w:t>OB/0519</w:t>
                      </w:r>
                    </w:p>
                    <w:p w14:paraId="5EA8763C" w14:textId="63829C2E" w:rsidR="00DD15F0" w:rsidRPr="00674A35" w:rsidRDefault="00DD15F0" w:rsidP="00405192">
                      <w:pPr>
                        <w:pStyle w:val="Norma"/>
                        <w:rPr>
                          <w:rFonts w:cs="Arial"/>
                          <w:color w:val="000000" w:themeColor="text1"/>
                        </w:rPr>
                      </w:pPr>
                      <w:r w:rsidRPr="00674A35">
                        <w:rPr>
                          <w:rFonts w:cs="Arial"/>
                          <w:color w:val="000000" w:themeColor="text1"/>
                        </w:rPr>
                        <w:t>Deadline for Tender Responses:</w:t>
                      </w:r>
                      <w:r w:rsidRPr="00674A35">
                        <w:rPr>
                          <w:rFonts w:cs="Arial"/>
                          <w:color w:val="000000" w:themeColor="text1"/>
                          <w:sz w:val="24"/>
                          <w:szCs w:val="24"/>
                        </w:rPr>
                        <w:t xml:space="preserve"> </w:t>
                      </w:r>
                      <w:r w:rsidR="002A2059">
                        <w:rPr>
                          <w:rFonts w:cs="Arial"/>
                          <w:color w:val="000000" w:themeColor="text1"/>
                          <w:sz w:val="24"/>
                          <w:szCs w:val="24"/>
                        </w:rPr>
                        <w:t>2</w:t>
                      </w:r>
                      <w:r w:rsidR="00A83CC9">
                        <w:rPr>
                          <w:rFonts w:cs="Arial"/>
                          <w:color w:val="000000" w:themeColor="text1"/>
                          <w:sz w:val="24"/>
                          <w:szCs w:val="24"/>
                        </w:rPr>
                        <w:t>7</w:t>
                      </w:r>
                      <w:r w:rsidR="006F2154">
                        <w:rPr>
                          <w:rFonts w:cs="Arial"/>
                          <w:color w:val="000000" w:themeColor="text1"/>
                          <w:sz w:val="24"/>
                          <w:szCs w:val="24"/>
                        </w:rPr>
                        <w:t xml:space="preserve"> May 2019</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Pr="00A4767E" w:rsidRDefault="003E5C19" w:rsidP="007B3C23">
      <w:pPr>
        <w:pStyle w:val="Norma"/>
        <w:jc w:val="both"/>
        <w:rPr>
          <w:rFonts w:ascii="Calibri" w:hAnsi="Calibri" w:cs="Calibri"/>
          <w:b/>
          <w:sz w:val="28"/>
          <w:szCs w:val="28"/>
        </w:rPr>
      </w:pPr>
    </w:p>
    <w:p w14:paraId="5EA87538" w14:textId="77777777" w:rsidR="003E5C19" w:rsidRPr="00A4767E" w:rsidRDefault="003E5C19" w:rsidP="007B3C23">
      <w:pPr>
        <w:pStyle w:val="Norma"/>
        <w:jc w:val="both"/>
        <w:rPr>
          <w:rFonts w:ascii="Calibri" w:hAnsi="Calibri" w:cs="Calibri"/>
          <w:b/>
          <w:sz w:val="28"/>
          <w:szCs w:val="28"/>
        </w:rPr>
      </w:pPr>
    </w:p>
    <w:p w14:paraId="5EA87539" w14:textId="77777777" w:rsidR="009954ED" w:rsidRPr="00A4767E" w:rsidRDefault="009954ED" w:rsidP="007B3C23">
      <w:pPr>
        <w:pStyle w:val="Norma"/>
        <w:jc w:val="both"/>
        <w:rPr>
          <w:rFonts w:cs="Arial"/>
          <w:sz w:val="24"/>
          <w:szCs w:val="24"/>
        </w:rPr>
      </w:pPr>
    </w:p>
    <w:p w14:paraId="5EA8753A" w14:textId="77777777" w:rsidR="003E5C19" w:rsidRPr="00A4767E" w:rsidRDefault="003E5C19" w:rsidP="00B0368C">
      <w:pPr>
        <w:pStyle w:val="Numbered"/>
        <w:widowControl/>
        <w:jc w:val="both"/>
        <w:rPr>
          <w:b/>
          <w:sz w:val="28"/>
          <w:szCs w:val="28"/>
        </w:rPr>
      </w:pPr>
    </w:p>
    <w:p w14:paraId="5EA8753B" w14:textId="77777777" w:rsidR="003E5C19" w:rsidRPr="00A4767E" w:rsidRDefault="003E5C19" w:rsidP="003E5C19">
      <w:pPr>
        <w:pStyle w:val="Numbered"/>
        <w:widowControl/>
        <w:rPr>
          <w:b/>
          <w:sz w:val="28"/>
          <w:szCs w:val="28"/>
        </w:rPr>
      </w:pPr>
    </w:p>
    <w:p w14:paraId="5EA8753C" w14:textId="77777777" w:rsidR="00790CE1" w:rsidRPr="00A4767E" w:rsidRDefault="00790CE1" w:rsidP="003E5C19">
      <w:pPr>
        <w:pStyle w:val="Numbered"/>
        <w:widowControl/>
        <w:rPr>
          <w:b/>
          <w:sz w:val="28"/>
          <w:szCs w:val="28"/>
        </w:rPr>
      </w:pPr>
    </w:p>
    <w:p w14:paraId="5EA8753D" w14:textId="77777777" w:rsidR="00790CE1" w:rsidRPr="00A4767E" w:rsidRDefault="00790CE1" w:rsidP="003E5C19">
      <w:pPr>
        <w:pStyle w:val="Numbered"/>
        <w:widowControl/>
        <w:rPr>
          <w:b/>
          <w:sz w:val="28"/>
          <w:szCs w:val="28"/>
        </w:rPr>
      </w:pPr>
    </w:p>
    <w:p w14:paraId="5EA8753E" w14:textId="77777777" w:rsidR="002D32D5" w:rsidRPr="00A4767E" w:rsidRDefault="002D32D5" w:rsidP="003E5C19">
      <w:pPr>
        <w:pStyle w:val="Numbered"/>
        <w:widowControl/>
        <w:rPr>
          <w:b/>
          <w:sz w:val="28"/>
          <w:szCs w:val="28"/>
        </w:rPr>
      </w:pPr>
      <w:r w:rsidRPr="00A4767E">
        <w:rPr>
          <w:b/>
          <w:sz w:val="28"/>
          <w:szCs w:val="28"/>
        </w:rPr>
        <w:t>Contents</w:t>
      </w:r>
    </w:p>
    <w:p w14:paraId="5EA87540" w14:textId="77777777" w:rsidR="00B0368C" w:rsidRPr="00A4767E" w:rsidRDefault="00B0368C" w:rsidP="00B0368C">
      <w:pPr>
        <w:pStyle w:val="Norma"/>
        <w:rPr>
          <w:sz w:val="24"/>
          <w:szCs w:val="24"/>
          <w:lang w:val="en-US" w:eastAsia="ja-JP"/>
        </w:rPr>
      </w:pPr>
    </w:p>
    <w:p w14:paraId="5EA87541" w14:textId="11F44474" w:rsidR="0040149D" w:rsidRPr="00A4767E" w:rsidRDefault="000744BD" w:rsidP="009902BA">
      <w:pPr>
        <w:pStyle w:val="TOC1"/>
        <w:rPr>
          <w:rFonts w:asciiTheme="minorHAnsi" w:eastAsiaTheme="minorEastAsia" w:hAnsiTheme="minorHAnsi" w:cstheme="minorBidi"/>
          <w:noProof/>
        </w:rPr>
      </w:pPr>
      <w:r w:rsidRPr="00A4767E">
        <w:rPr>
          <w:sz w:val="24"/>
          <w:szCs w:val="24"/>
        </w:rPr>
        <w:fldChar w:fldCharType="begin"/>
      </w:r>
      <w:r w:rsidRPr="00A4767E">
        <w:rPr>
          <w:sz w:val="24"/>
          <w:szCs w:val="24"/>
        </w:rPr>
        <w:instrText xml:space="preserve"> TOC \b SectionTwo \* MERGEFORMAT </w:instrText>
      </w:r>
      <w:r w:rsidRPr="00A4767E">
        <w:rPr>
          <w:sz w:val="24"/>
          <w:szCs w:val="24"/>
        </w:rPr>
        <w:fldChar w:fldCharType="separate"/>
      </w:r>
      <w:r w:rsidR="0040149D" w:rsidRPr="00A4767E">
        <w:rPr>
          <w:noProof/>
        </w:rPr>
        <w:t>1.</w:t>
      </w:r>
      <w:r w:rsidR="0040149D" w:rsidRPr="00A4767E">
        <w:rPr>
          <w:rFonts w:asciiTheme="minorHAnsi" w:eastAsiaTheme="minorEastAsia" w:hAnsiTheme="minorHAnsi" w:cstheme="minorBidi"/>
          <w:noProof/>
        </w:rPr>
        <w:tab/>
      </w:r>
      <w:r w:rsidR="0040149D" w:rsidRPr="00A4767E">
        <w:rPr>
          <w:noProof/>
        </w:rPr>
        <w:t>Introduction and summary of requirements</w:t>
      </w:r>
      <w:r w:rsidR="00DD521A" w:rsidRPr="00A4767E">
        <w:rPr>
          <w:noProof/>
        </w:rPr>
        <w:t xml:space="preserve"> / Preamble</w:t>
      </w:r>
      <w:r w:rsidR="0040149D" w:rsidRPr="00A4767E">
        <w:rPr>
          <w:noProof/>
        </w:rPr>
        <w:tab/>
      </w:r>
      <w:r w:rsidR="00674A35" w:rsidRPr="00A4767E">
        <w:rPr>
          <w:noProof/>
        </w:rPr>
        <w:t>3</w:t>
      </w:r>
    </w:p>
    <w:p w14:paraId="5EA87542" w14:textId="62F2C3C5" w:rsidR="0040149D" w:rsidRPr="00A4767E" w:rsidRDefault="0040149D" w:rsidP="009902BA">
      <w:pPr>
        <w:pStyle w:val="TOC1"/>
        <w:rPr>
          <w:rFonts w:asciiTheme="minorHAnsi" w:eastAsiaTheme="minorEastAsia" w:hAnsiTheme="minorHAnsi" w:cstheme="minorBidi"/>
          <w:noProof/>
        </w:rPr>
      </w:pPr>
      <w:r w:rsidRPr="00A4767E">
        <w:rPr>
          <w:noProof/>
        </w:rPr>
        <w:t>2.</w:t>
      </w:r>
      <w:r w:rsidRPr="00A4767E">
        <w:rPr>
          <w:rFonts w:asciiTheme="minorHAnsi" w:eastAsiaTheme="minorEastAsia" w:hAnsiTheme="minorHAnsi" w:cstheme="minorBidi"/>
          <w:noProof/>
        </w:rPr>
        <w:tab/>
      </w:r>
      <w:r w:rsidRPr="00A4767E">
        <w:rPr>
          <w:noProof/>
        </w:rPr>
        <w:t>Background</w:t>
      </w:r>
      <w:r w:rsidRPr="00A4767E">
        <w:rPr>
          <w:noProof/>
        </w:rPr>
        <w:tab/>
      </w:r>
      <w:r w:rsidR="00674A35" w:rsidRPr="00A4767E">
        <w:rPr>
          <w:noProof/>
        </w:rPr>
        <w:t>3</w:t>
      </w:r>
    </w:p>
    <w:p w14:paraId="5EA87543" w14:textId="164D4E29" w:rsidR="0040149D" w:rsidRPr="00A4767E" w:rsidRDefault="0040149D" w:rsidP="009902BA">
      <w:pPr>
        <w:pStyle w:val="TOC1"/>
        <w:rPr>
          <w:rFonts w:asciiTheme="minorHAnsi" w:eastAsiaTheme="minorEastAsia" w:hAnsiTheme="minorHAnsi" w:cstheme="minorBidi"/>
          <w:noProof/>
        </w:rPr>
      </w:pPr>
      <w:r w:rsidRPr="00A4767E">
        <w:rPr>
          <w:noProof/>
        </w:rPr>
        <w:t>3.</w:t>
      </w:r>
      <w:r w:rsidRPr="00A4767E">
        <w:rPr>
          <w:rFonts w:asciiTheme="minorHAnsi" w:eastAsiaTheme="minorEastAsia" w:hAnsiTheme="minorHAnsi" w:cstheme="minorBidi"/>
          <w:noProof/>
        </w:rPr>
        <w:tab/>
      </w:r>
      <w:r w:rsidRPr="00A4767E">
        <w:rPr>
          <w:noProof/>
        </w:rPr>
        <w:t>Aims and Objectives</w:t>
      </w:r>
      <w:r w:rsidRPr="00A4767E">
        <w:rPr>
          <w:noProof/>
        </w:rPr>
        <w:tab/>
      </w:r>
      <w:r w:rsidR="00674A35" w:rsidRPr="00A4767E">
        <w:rPr>
          <w:noProof/>
        </w:rPr>
        <w:t>4</w:t>
      </w:r>
    </w:p>
    <w:p w14:paraId="5EA87544" w14:textId="2EBC3C75" w:rsidR="0040149D" w:rsidRPr="00A4767E" w:rsidRDefault="0040149D" w:rsidP="009902BA">
      <w:pPr>
        <w:pStyle w:val="TOC1"/>
        <w:rPr>
          <w:rFonts w:asciiTheme="minorHAnsi" w:eastAsiaTheme="minorEastAsia" w:hAnsiTheme="minorHAnsi" w:cstheme="minorBidi"/>
          <w:noProof/>
        </w:rPr>
      </w:pPr>
      <w:r w:rsidRPr="00A4767E">
        <w:rPr>
          <w:noProof/>
        </w:rPr>
        <w:t>4.</w:t>
      </w:r>
      <w:r w:rsidRPr="00A4767E">
        <w:rPr>
          <w:rFonts w:asciiTheme="minorHAnsi" w:eastAsiaTheme="minorEastAsia" w:hAnsiTheme="minorHAnsi" w:cstheme="minorBidi"/>
          <w:noProof/>
        </w:rPr>
        <w:tab/>
      </w:r>
      <w:r w:rsidRPr="00A4767E">
        <w:rPr>
          <w:noProof/>
        </w:rPr>
        <w:t>Methodology</w:t>
      </w:r>
      <w:r w:rsidRPr="00A4767E">
        <w:rPr>
          <w:noProof/>
        </w:rPr>
        <w:tab/>
      </w:r>
      <w:r w:rsidR="00674A35" w:rsidRPr="00A4767E">
        <w:rPr>
          <w:noProof/>
        </w:rPr>
        <w:t>6</w:t>
      </w:r>
    </w:p>
    <w:p w14:paraId="5EA87545" w14:textId="3B726A46" w:rsidR="0040149D" w:rsidRPr="00A4767E" w:rsidRDefault="0040149D" w:rsidP="009902BA">
      <w:pPr>
        <w:pStyle w:val="TOC1"/>
        <w:rPr>
          <w:rFonts w:asciiTheme="minorHAnsi" w:eastAsiaTheme="minorEastAsia" w:hAnsiTheme="minorHAnsi" w:cstheme="minorBidi"/>
          <w:noProof/>
        </w:rPr>
      </w:pPr>
      <w:r w:rsidRPr="00A4767E">
        <w:rPr>
          <w:noProof/>
        </w:rPr>
        <w:t>5.</w:t>
      </w:r>
      <w:r w:rsidRPr="00A4767E">
        <w:rPr>
          <w:rFonts w:asciiTheme="minorHAnsi" w:eastAsiaTheme="minorEastAsia" w:hAnsiTheme="minorHAnsi" w:cstheme="minorBidi"/>
          <w:noProof/>
        </w:rPr>
        <w:tab/>
      </w:r>
      <w:r w:rsidRPr="00A4767E">
        <w:rPr>
          <w:noProof/>
        </w:rPr>
        <w:t>Outputs Required</w:t>
      </w:r>
      <w:r w:rsidR="002A2059" w:rsidRPr="00A4767E">
        <w:rPr>
          <w:noProof/>
        </w:rPr>
        <w:t xml:space="preserve"> and Timetable</w:t>
      </w:r>
      <w:r w:rsidRPr="00A4767E">
        <w:rPr>
          <w:noProof/>
        </w:rPr>
        <w:tab/>
      </w:r>
      <w:r w:rsidR="00674A35" w:rsidRPr="00A4767E">
        <w:rPr>
          <w:noProof/>
        </w:rPr>
        <w:t>7</w:t>
      </w:r>
    </w:p>
    <w:p w14:paraId="5EA87547" w14:textId="3B3095E1" w:rsidR="0040149D" w:rsidRPr="00A4767E" w:rsidRDefault="002A2059" w:rsidP="009902BA">
      <w:pPr>
        <w:pStyle w:val="TOC1"/>
        <w:rPr>
          <w:rFonts w:asciiTheme="minorHAnsi" w:eastAsiaTheme="minorEastAsia" w:hAnsiTheme="minorHAnsi" w:cstheme="minorBidi"/>
          <w:noProof/>
        </w:rPr>
      </w:pPr>
      <w:r w:rsidRPr="00A4767E">
        <w:rPr>
          <w:noProof/>
        </w:rPr>
        <w:t>6</w:t>
      </w:r>
      <w:r w:rsidR="0040149D" w:rsidRPr="00A4767E">
        <w:rPr>
          <w:noProof/>
        </w:rPr>
        <w:t>.</w:t>
      </w:r>
      <w:r w:rsidR="0040149D" w:rsidRPr="00A4767E">
        <w:rPr>
          <w:rFonts w:asciiTheme="minorHAnsi" w:eastAsiaTheme="minorEastAsia" w:hAnsiTheme="minorHAnsi" w:cstheme="minorBidi"/>
          <w:noProof/>
        </w:rPr>
        <w:tab/>
      </w:r>
      <w:r w:rsidR="0040149D" w:rsidRPr="00A4767E">
        <w:rPr>
          <w:noProof/>
        </w:rPr>
        <w:t>Quality Assurance</w:t>
      </w:r>
      <w:r w:rsidR="0040149D" w:rsidRPr="00A4767E">
        <w:rPr>
          <w:noProof/>
        </w:rPr>
        <w:tab/>
      </w:r>
      <w:r w:rsidR="00674A35" w:rsidRPr="00A4767E">
        <w:rPr>
          <w:noProof/>
        </w:rPr>
        <w:t>7</w:t>
      </w:r>
    </w:p>
    <w:p w14:paraId="46C349A6" w14:textId="51F2B07B" w:rsidR="002A2059" w:rsidRPr="00A4767E" w:rsidRDefault="002A2059" w:rsidP="009902BA">
      <w:pPr>
        <w:pStyle w:val="TOC1"/>
        <w:rPr>
          <w:rFonts w:asciiTheme="minorHAnsi" w:eastAsiaTheme="minorEastAsia" w:hAnsiTheme="minorHAnsi" w:cstheme="minorBidi"/>
          <w:noProof/>
        </w:rPr>
      </w:pPr>
      <w:r w:rsidRPr="00A4767E">
        <w:rPr>
          <w:noProof/>
        </w:rPr>
        <w:t>7</w:t>
      </w:r>
      <w:r w:rsidR="0040149D" w:rsidRPr="00A4767E">
        <w:rPr>
          <w:noProof/>
        </w:rPr>
        <w:t>.</w:t>
      </w:r>
      <w:r w:rsidR="0040149D" w:rsidRPr="00A4767E">
        <w:rPr>
          <w:rFonts w:asciiTheme="minorHAnsi" w:eastAsiaTheme="minorEastAsia" w:hAnsiTheme="minorHAnsi" w:cstheme="minorBidi"/>
          <w:noProof/>
        </w:rPr>
        <w:tab/>
      </w:r>
      <w:r w:rsidRPr="00A4767E">
        <w:rPr>
          <w:rFonts w:eastAsiaTheme="minorEastAsia"/>
          <w:noProof/>
        </w:rPr>
        <w:t>Challenges</w:t>
      </w:r>
      <w:r w:rsidR="009902BA" w:rsidRPr="00A4767E">
        <w:rPr>
          <w:rFonts w:eastAsiaTheme="minorEastAsia"/>
          <w:noProof/>
        </w:rPr>
        <w:tab/>
        <w:t>7</w:t>
      </w:r>
    </w:p>
    <w:p w14:paraId="5EA8754B" w14:textId="65EFE448" w:rsidR="0040149D" w:rsidRPr="00A4767E" w:rsidRDefault="002A2059" w:rsidP="009902BA">
      <w:pPr>
        <w:pStyle w:val="TOC1"/>
        <w:rPr>
          <w:rFonts w:asciiTheme="minorHAnsi" w:eastAsiaTheme="minorEastAsia" w:hAnsiTheme="minorHAnsi" w:cstheme="minorBidi"/>
          <w:noProof/>
        </w:rPr>
      </w:pPr>
      <w:r w:rsidRPr="00A4767E">
        <w:rPr>
          <w:rFonts w:eastAsiaTheme="minorEastAsia"/>
          <w:noProof/>
        </w:rPr>
        <w:t>8.</w:t>
      </w:r>
      <w:r w:rsidRPr="00A4767E">
        <w:rPr>
          <w:rFonts w:asciiTheme="minorHAnsi" w:eastAsiaTheme="minorEastAsia" w:hAnsiTheme="minorHAnsi" w:cstheme="minorBidi"/>
          <w:noProof/>
        </w:rPr>
        <w:tab/>
      </w:r>
      <w:r w:rsidR="0040149D" w:rsidRPr="00A4767E">
        <w:rPr>
          <w:noProof/>
        </w:rPr>
        <w:t>Working Arrangements</w:t>
      </w:r>
      <w:r w:rsidR="0040149D" w:rsidRPr="00A4767E">
        <w:rPr>
          <w:noProof/>
        </w:rPr>
        <w:tab/>
      </w:r>
      <w:r w:rsidR="00674A35" w:rsidRPr="00A4767E">
        <w:rPr>
          <w:noProof/>
        </w:rPr>
        <w:t>8</w:t>
      </w:r>
    </w:p>
    <w:p w14:paraId="5EA8754C" w14:textId="3F157D9E" w:rsidR="0040149D" w:rsidRPr="00A4767E" w:rsidRDefault="002A2059" w:rsidP="009902BA">
      <w:pPr>
        <w:pStyle w:val="TOC1"/>
        <w:rPr>
          <w:rFonts w:asciiTheme="minorHAnsi" w:eastAsiaTheme="minorEastAsia" w:hAnsiTheme="minorHAnsi" w:cstheme="minorBidi"/>
          <w:noProof/>
        </w:rPr>
      </w:pPr>
      <w:r w:rsidRPr="00A4767E">
        <w:rPr>
          <w:noProof/>
        </w:rPr>
        <w:t>9</w:t>
      </w:r>
      <w:r w:rsidR="0040149D" w:rsidRPr="00A4767E">
        <w:rPr>
          <w:noProof/>
        </w:rPr>
        <w:t>.</w:t>
      </w:r>
      <w:r w:rsidR="00674A35" w:rsidRPr="00A4767E">
        <w:rPr>
          <w:noProof/>
        </w:rPr>
        <w:tab/>
      </w:r>
      <w:r w:rsidR="0040149D" w:rsidRPr="00A4767E">
        <w:rPr>
          <w:noProof/>
        </w:rPr>
        <w:t>Skills</w:t>
      </w:r>
      <w:r w:rsidR="00674A35" w:rsidRPr="00A4767E">
        <w:rPr>
          <w:noProof/>
        </w:rPr>
        <w:t xml:space="preserve"> and experience</w:t>
      </w:r>
      <w:r w:rsidR="0040149D" w:rsidRPr="00A4767E">
        <w:rPr>
          <w:noProof/>
        </w:rPr>
        <w:tab/>
      </w:r>
      <w:r w:rsidR="00674A35" w:rsidRPr="00A4767E">
        <w:rPr>
          <w:noProof/>
        </w:rPr>
        <w:t>8</w:t>
      </w:r>
    </w:p>
    <w:p w14:paraId="5EA8754D" w14:textId="3680D99C" w:rsidR="0040149D" w:rsidRPr="00A4767E" w:rsidRDefault="0040149D" w:rsidP="009902BA">
      <w:pPr>
        <w:pStyle w:val="TOC1"/>
        <w:rPr>
          <w:rFonts w:asciiTheme="minorHAnsi" w:eastAsiaTheme="minorEastAsia" w:hAnsiTheme="minorHAnsi" w:cstheme="minorBidi"/>
          <w:noProof/>
        </w:rPr>
      </w:pPr>
      <w:r w:rsidRPr="00A4767E">
        <w:rPr>
          <w:noProof/>
        </w:rPr>
        <w:t>1</w:t>
      </w:r>
      <w:r w:rsidR="002A2059" w:rsidRPr="00A4767E">
        <w:rPr>
          <w:noProof/>
        </w:rPr>
        <w:t>0</w:t>
      </w:r>
      <w:r w:rsidRPr="00A4767E">
        <w:rPr>
          <w:noProof/>
        </w:rPr>
        <w:t>.</w:t>
      </w:r>
      <w:r w:rsidRPr="00A4767E">
        <w:rPr>
          <w:rFonts w:asciiTheme="minorHAnsi" w:eastAsiaTheme="minorEastAsia" w:hAnsiTheme="minorHAnsi" w:cstheme="minorBidi"/>
          <w:noProof/>
        </w:rPr>
        <w:tab/>
      </w:r>
      <w:r w:rsidRPr="00A4767E">
        <w:rPr>
          <w:noProof/>
        </w:rPr>
        <w:t>Consortium Bids</w:t>
      </w:r>
      <w:r w:rsidRPr="00A4767E">
        <w:rPr>
          <w:noProof/>
        </w:rPr>
        <w:tab/>
      </w:r>
      <w:r w:rsidR="00674A35" w:rsidRPr="00A4767E">
        <w:rPr>
          <w:noProof/>
        </w:rPr>
        <w:t>8</w:t>
      </w:r>
    </w:p>
    <w:p w14:paraId="5EA8754E" w14:textId="08290CE4" w:rsidR="0040149D" w:rsidRPr="00A4767E" w:rsidRDefault="0040149D" w:rsidP="009902BA">
      <w:pPr>
        <w:pStyle w:val="TOC1"/>
        <w:rPr>
          <w:rFonts w:asciiTheme="minorHAnsi" w:eastAsiaTheme="minorEastAsia" w:hAnsiTheme="minorHAnsi" w:cstheme="minorBidi"/>
          <w:noProof/>
        </w:rPr>
      </w:pPr>
      <w:r w:rsidRPr="00A4767E">
        <w:rPr>
          <w:noProof/>
        </w:rPr>
        <w:t>1</w:t>
      </w:r>
      <w:r w:rsidR="002A2059" w:rsidRPr="00A4767E">
        <w:rPr>
          <w:noProof/>
        </w:rPr>
        <w:t>1</w:t>
      </w:r>
      <w:r w:rsidRPr="00A4767E">
        <w:rPr>
          <w:noProof/>
        </w:rPr>
        <w:t>.</w:t>
      </w:r>
      <w:r w:rsidRPr="00A4767E">
        <w:rPr>
          <w:rFonts w:asciiTheme="minorHAnsi" w:eastAsiaTheme="minorEastAsia" w:hAnsiTheme="minorHAnsi" w:cstheme="minorBidi"/>
          <w:noProof/>
        </w:rPr>
        <w:tab/>
      </w:r>
      <w:r w:rsidRPr="00A4767E">
        <w:rPr>
          <w:noProof/>
        </w:rPr>
        <w:t>Budget</w:t>
      </w:r>
      <w:r w:rsidRPr="00A4767E">
        <w:rPr>
          <w:noProof/>
        </w:rPr>
        <w:tab/>
      </w:r>
      <w:r w:rsidR="00674A35" w:rsidRPr="00A4767E">
        <w:rPr>
          <w:noProof/>
        </w:rPr>
        <w:t>9</w:t>
      </w:r>
    </w:p>
    <w:p w14:paraId="5EA8754F" w14:textId="29E04ACA" w:rsidR="0040149D" w:rsidRPr="00A4767E" w:rsidRDefault="0040149D" w:rsidP="009902BA">
      <w:pPr>
        <w:pStyle w:val="TOC1"/>
        <w:rPr>
          <w:rFonts w:asciiTheme="minorHAnsi" w:eastAsiaTheme="minorEastAsia" w:hAnsiTheme="minorHAnsi" w:cstheme="minorBidi"/>
          <w:noProof/>
        </w:rPr>
      </w:pPr>
      <w:r w:rsidRPr="00A4767E">
        <w:rPr>
          <w:noProof/>
        </w:rPr>
        <w:t>1</w:t>
      </w:r>
      <w:r w:rsidR="002A2059" w:rsidRPr="00A4767E">
        <w:rPr>
          <w:noProof/>
        </w:rPr>
        <w:t>2</w:t>
      </w:r>
      <w:r w:rsidRPr="00A4767E">
        <w:rPr>
          <w:noProof/>
        </w:rPr>
        <w:t>.</w:t>
      </w:r>
      <w:r w:rsidRPr="00A4767E">
        <w:rPr>
          <w:rFonts w:asciiTheme="minorHAnsi" w:eastAsiaTheme="minorEastAsia" w:hAnsiTheme="minorHAnsi" w:cstheme="minorBidi"/>
          <w:noProof/>
        </w:rPr>
        <w:tab/>
      </w:r>
      <w:r w:rsidRPr="00A4767E">
        <w:rPr>
          <w:noProof/>
        </w:rPr>
        <w:t>Evaluation of Tenders</w:t>
      </w:r>
      <w:r w:rsidRPr="00A4767E">
        <w:rPr>
          <w:noProof/>
        </w:rPr>
        <w:tab/>
      </w:r>
      <w:r w:rsidR="00674A35" w:rsidRPr="00A4767E">
        <w:rPr>
          <w:noProof/>
        </w:rPr>
        <w:t>9</w:t>
      </w:r>
    </w:p>
    <w:p w14:paraId="5EA87550" w14:textId="77777777" w:rsidR="00630A46" w:rsidRPr="00A4767E" w:rsidRDefault="000744BD" w:rsidP="00014519">
      <w:pPr>
        <w:pStyle w:val="Numbered"/>
        <w:widowControl/>
        <w:rPr>
          <w:rFonts w:cs="Arial"/>
          <w:sz w:val="24"/>
          <w:szCs w:val="24"/>
        </w:rPr>
      </w:pPr>
      <w:r w:rsidRPr="00A4767E">
        <w:rPr>
          <w:rFonts w:cs="Arial"/>
          <w:sz w:val="24"/>
          <w:szCs w:val="24"/>
        </w:rPr>
        <w:fldChar w:fldCharType="end"/>
      </w:r>
      <w:r w:rsidR="00014519" w:rsidRPr="00A4767E">
        <w:rPr>
          <w:rFonts w:cs="Arial"/>
          <w:sz w:val="24"/>
          <w:szCs w:val="24"/>
        </w:rPr>
        <w:tab/>
      </w:r>
      <w:r w:rsidR="00014519" w:rsidRPr="00A4767E">
        <w:rPr>
          <w:rFonts w:cs="Arial"/>
          <w:sz w:val="24"/>
          <w:szCs w:val="24"/>
        </w:rPr>
        <w:tab/>
      </w:r>
    </w:p>
    <w:p w14:paraId="5EA87551" w14:textId="77777777" w:rsidR="00980288" w:rsidRPr="00A4767E" w:rsidRDefault="00980288" w:rsidP="00842A67">
      <w:pPr>
        <w:pStyle w:val="Numbered"/>
        <w:widowControl/>
        <w:rPr>
          <w:rFonts w:cs="Arial"/>
          <w:bCs/>
          <w:sz w:val="24"/>
          <w:szCs w:val="24"/>
        </w:rPr>
      </w:pPr>
      <w:r w:rsidRPr="00A4767E">
        <w:rPr>
          <w:rFonts w:cs="Arial"/>
          <w:bCs/>
          <w:sz w:val="24"/>
          <w:szCs w:val="24"/>
        </w:rPr>
        <w:tab/>
      </w:r>
    </w:p>
    <w:p w14:paraId="5EA87552" w14:textId="77777777" w:rsidR="00F80A85" w:rsidRPr="00A4767E" w:rsidRDefault="00B546EF" w:rsidP="00842A67">
      <w:pPr>
        <w:pStyle w:val="Numbered"/>
        <w:widowControl/>
        <w:rPr>
          <w:rFonts w:cs="Arial"/>
          <w:bCs/>
          <w:sz w:val="24"/>
          <w:szCs w:val="24"/>
        </w:rPr>
      </w:pPr>
      <w:r w:rsidRPr="00A4767E">
        <w:rPr>
          <w:rFonts w:cs="Arial"/>
          <w:bCs/>
          <w:sz w:val="24"/>
          <w:szCs w:val="24"/>
        </w:rPr>
        <w:tab/>
      </w:r>
    </w:p>
    <w:p w14:paraId="5EA87553" w14:textId="77777777" w:rsidR="00842A67" w:rsidRPr="00A4767E" w:rsidRDefault="00842A67" w:rsidP="00842A67">
      <w:pPr>
        <w:pStyle w:val="Numbered"/>
        <w:widowControl/>
        <w:rPr>
          <w:rFonts w:cs="Arial"/>
          <w:bCs/>
          <w:sz w:val="24"/>
          <w:szCs w:val="24"/>
        </w:rPr>
      </w:pPr>
    </w:p>
    <w:p w14:paraId="5EA87554" w14:textId="77777777" w:rsidR="00016416" w:rsidRPr="00A4767E" w:rsidRDefault="00096B2D" w:rsidP="00842A67">
      <w:pPr>
        <w:pStyle w:val="Numbered"/>
        <w:widowControl/>
        <w:rPr>
          <w:rFonts w:cs="Arial"/>
          <w:b/>
          <w:bCs/>
        </w:rPr>
      </w:pPr>
      <w:r w:rsidRPr="00A4767E">
        <w:rPr>
          <w:rFonts w:cs="Arial"/>
          <w:b/>
          <w:bCs/>
        </w:rPr>
        <w:tab/>
      </w:r>
      <w:r w:rsidRPr="00A4767E">
        <w:rPr>
          <w:rFonts w:cs="Arial"/>
          <w:b/>
          <w:bCs/>
        </w:rPr>
        <w:tab/>
      </w:r>
      <w:r w:rsidRPr="00A4767E">
        <w:rPr>
          <w:rFonts w:cs="Arial"/>
          <w:b/>
          <w:bCs/>
        </w:rPr>
        <w:tab/>
      </w:r>
    </w:p>
    <w:p w14:paraId="5EA87555" w14:textId="77777777" w:rsidR="00123880" w:rsidRPr="00A4767E" w:rsidRDefault="00FF13A1" w:rsidP="00BB6317">
      <w:pPr>
        <w:pStyle w:val="Norma"/>
        <w:shd w:val="clear" w:color="auto" w:fill="FFFFFF"/>
        <w:spacing w:line="312" w:lineRule="atLeast"/>
        <w:rPr>
          <w:rFonts w:cs="Arial"/>
          <w:b/>
          <w:bCs/>
        </w:rPr>
      </w:pPr>
      <w:r w:rsidRPr="00A4767E">
        <w:rPr>
          <w:rFonts w:cs="Arial"/>
          <w:b/>
          <w:bCs/>
        </w:rPr>
        <w:tab/>
      </w:r>
    </w:p>
    <w:p w14:paraId="5EA87556" w14:textId="0AD29420" w:rsidR="00FE1227" w:rsidRPr="00A4767E" w:rsidRDefault="00EB43D8" w:rsidP="008A2F2D">
      <w:pPr>
        <w:pStyle w:val="Heading1"/>
        <w:numPr>
          <w:ilvl w:val="0"/>
          <w:numId w:val="1"/>
        </w:numPr>
        <w:rPr>
          <w:rFonts w:ascii="Arial" w:hAnsi="Arial" w:cs="Arial"/>
          <w:sz w:val="24"/>
          <w:szCs w:val="24"/>
        </w:rPr>
      </w:pPr>
      <w:r w:rsidRPr="00A4767E">
        <w:br w:type="page"/>
      </w:r>
      <w:bookmarkStart w:id="3" w:name="SectionTwo"/>
      <w:r w:rsidR="00DD521A" w:rsidRPr="00A4767E">
        <w:rPr>
          <w:rFonts w:ascii="Arial" w:hAnsi="Arial" w:cs="Arial"/>
          <w:sz w:val="24"/>
          <w:szCs w:val="24"/>
        </w:rPr>
        <w:lastRenderedPageBreak/>
        <w:t xml:space="preserve"> Preamble</w:t>
      </w:r>
    </w:p>
    <w:p w14:paraId="2B4F7458" w14:textId="77777777" w:rsidR="00DD521A" w:rsidRPr="00A4767E" w:rsidRDefault="00DD521A" w:rsidP="00DD521A">
      <w:pPr>
        <w:pStyle w:val="Norma"/>
      </w:pPr>
    </w:p>
    <w:p w14:paraId="4F11553E" w14:textId="65F57DDB" w:rsidR="00DD521A" w:rsidRPr="00A4767E" w:rsidRDefault="007831D3" w:rsidP="00DD521A">
      <w:pPr>
        <w:pStyle w:val="Norma"/>
      </w:pPr>
      <w:r w:rsidRPr="00A4767E">
        <w:t>The Committee on Climate Change (CCC) is an independent, statutory body established under the 2008 Climate Change Act. The CCC is tasked with:</w:t>
      </w:r>
    </w:p>
    <w:p w14:paraId="2F1579FC" w14:textId="5CFAF976" w:rsidR="007831D3" w:rsidRPr="00A4767E" w:rsidRDefault="007831D3" w:rsidP="008A2F2D">
      <w:pPr>
        <w:pStyle w:val="Norma"/>
        <w:numPr>
          <w:ilvl w:val="0"/>
          <w:numId w:val="4"/>
        </w:numPr>
      </w:pPr>
      <w:r w:rsidRPr="00A4767E">
        <w:t xml:space="preserve">Providing independent advice to Government on setting and meeting carbon budgets and preparing for Climate change. </w:t>
      </w:r>
    </w:p>
    <w:p w14:paraId="2341117D" w14:textId="1248B849" w:rsidR="007831D3" w:rsidRPr="00A4767E" w:rsidRDefault="007831D3" w:rsidP="008A2F2D">
      <w:pPr>
        <w:pStyle w:val="Norma"/>
        <w:numPr>
          <w:ilvl w:val="0"/>
          <w:numId w:val="4"/>
        </w:numPr>
      </w:pPr>
      <w:r w:rsidRPr="00A4767E">
        <w:t>Monitoring progress in reducing emissions and achieving Carbon Budgets.</w:t>
      </w:r>
    </w:p>
    <w:p w14:paraId="5EA87557" w14:textId="77777777" w:rsidR="00622E6B" w:rsidRPr="00A4767E" w:rsidRDefault="00622E6B" w:rsidP="00622E6B">
      <w:pPr>
        <w:pStyle w:val="Norma"/>
      </w:pPr>
    </w:p>
    <w:p w14:paraId="5EA87558" w14:textId="77777777" w:rsidR="001F4630" w:rsidRPr="00A4767E" w:rsidRDefault="001F4630" w:rsidP="008A2F2D">
      <w:pPr>
        <w:pStyle w:val="Heading1"/>
        <w:numPr>
          <w:ilvl w:val="0"/>
          <w:numId w:val="1"/>
        </w:numPr>
        <w:rPr>
          <w:rFonts w:ascii="Arial" w:hAnsi="Arial" w:cs="Arial"/>
          <w:sz w:val="24"/>
          <w:szCs w:val="24"/>
        </w:rPr>
      </w:pPr>
      <w:bookmarkStart w:id="4" w:name="_Ref357535668"/>
      <w:bookmarkStart w:id="5" w:name="_Toc381969507"/>
      <w:bookmarkStart w:id="6" w:name="_Toc405888456"/>
      <w:r w:rsidRPr="00A4767E">
        <w:rPr>
          <w:rFonts w:ascii="Arial" w:hAnsi="Arial" w:cs="Arial"/>
          <w:sz w:val="24"/>
          <w:szCs w:val="24"/>
        </w:rPr>
        <w:t>Background</w:t>
      </w:r>
      <w:bookmarkEnd w:id="4"/>
      <w:bookmarkEnd w:id="5"/>
      <w:bookmarkEnd w:id="6"/>
    </w:p>
    <w:p w14:paraId="1A3B8E93" w14:textId="77777777" w:rsidR="00DD521A" w:rsidRPr="00A4767E" w:rsidRDefault="00DD521A" w:rsidP="00DD521A">
      <w:pPr>
        <w:pStyle w:val="Norma"/>
      </w:pPr>
    </w:p>
    <w:p w14:paraId="6B9CC13A" w14:textId="205DD9C0" w:rsidR="006F2154" w:rsidRPr="00A4767E" w:rsidRDefault="00750186" w:rsidP="00DD521A">
      <w:pPr>
        <w:pStyle w:val="Norma"/>
      </w:pPr>
      <w:r w:rsidRPr="00A4767E">
        <w:t>In leaving the EU, t</w:t>
      </w:r>
      <w:r w:rsidR="006F2154" w:rsidRPr="00A4767E">
        <w:t>he UK is expected to leave the EU Emissions Trading Sy</w:t>
      </w:r>
      <w:r w:rsidR="00482FA1" w:rsidRPr="00A4767E">
        <w:t>stem (EU</w:t>
      </w:r>
      <w:r w:rsidR="00F960E1" w:rsidRPr="00A4767E">
        <w:t xml:space="preserve"> </w:t>
      </w:r>
      <w:r w:rsidR="00482FA1" w:rsidRPr="00A4767E">
        <w:t>ETS)</w:t>
      </w:r>
      <w:r w:rsidRPr="00A4767E">
        <w:t>. P</w:t>
      </w:r>
      <w:r w:rsidR="00482FA1" w:rsidRPr="00A4767E">
        <w:t>olicy mechanisms to replace the price signal currently provided by the EU</w:t>
      </w:r>
      <w:r w:rsidR="00F960E1" w:rsidRPr="00A4767E">
        <w:t xml:space="preserve"> </w:t>
      </w:r>
      <w:r w:rsidR="00482FA1" w:rsidRPr="00A4767E">
        <w:t xml:space="preserve">ETS are under consideration. The UK Government </w:t>
      </w:r>
      <w:r w:rsidR="002A2059" w:rsidRPr="00A4767E">
        <w:t>has</w:t>
      </w:r>
      <w:r w:rsidR="00482FA1" w:rsidRPr="00A4767E">
        <w:t xml:space="preserve"> launch</w:t>
      </w:r>
      <w:r w:rsidR="002A2059" w:rsidRPr="00A4767E">
        <w:t>ed</w:t>
      </w:r>
      <w:r w:rsidR="00482FA1" w:rsidRPr="00A4767E">
        <w:t xml:space="preserve"> a consultation on a national carbon trading scheme </w:t>
      </w:r>
      <w:r w:rsidR="003C4B72" w:rsidRPr="00A4767E">
        <w:t>(a UK ETS)</w:t>
      </w:r>
      <w:r w:rsidR="00482FA1" w:rsidRPr="00A4767E">
        <w:t>.</w:t>
      </w:r>
      <w:r w:rsidR="001B3579" w:rsidRPr="00A4767E">
        <w:rPr>
          <w:rStyle w:val="FootnoteReference"/>
        </w:rPr>
        <w:footnoteReference w:id="1"/>
      </w:r>
    </w:p>
    <w:p w14:paraId="02B1CA70" w14:textId="77777777" w:rsidR="00482FA1" w:rsidRPr="00A4767E" w:rsidRDefault="00482FA1" w:rsidP="00DD521A">
      <w:pPr>
        <w:pStyle w:val="Norma"/>
      </w:pPr>
    </w:p>
    <w:p w14:paraId="6C4C5306" w14:textId="58696A21" w:rsidR="00482FA1" w:rsidRPr="00A4767E" w:rsidRDefault="00482FA1" w:rsidP="00DD521A">
      <w:pPr>
        <w:pStyle w:val="Norma"/>
      </w:pPr>
      <w:r w:rsidRPr="00A4767E">
        <w:t>Under the terms of the Climate Change Act (2008), if the UK Government wishes to make provision for a trading scheme then it is required to:</w:t>
      </w:r>
    </w:p>
    <w:p w14:paraId="66E0C81A" w14:textId="77777777" w:rsidR="00482FA1" w:rsidRPr="00A4767E" w:rsidRDefault="00482FA1" w:rsidP="00DD521A">
      <w:pPr>
        <w:pStyle w:val="Norma"/>
      </w:pPr>
    </w:p>
    <w:p w14:paraId="5F196847" w14:textId="3F6FEC3A" w:rsidR="00482FA1" w:rsidRPr="00A4767E" w:rsidRDefault="00482FA1" w:rsidP="00482FA1">
      <w:pPr>
        <w:pStyle w:val="Norma"/>
        <w:numPr>
          <w:ilvl w:val="0"/>
          <w:numId w:val="25"/>
        </w:numPr>
      </w:pPr>
      <w:r w:rsidRPr="00A4767E">
        <w:t>Obtain the advice of the Committee on Climate Change (Section 48(1)(a);</w:t>
      </w:r>
    </w:p>
    <w:p w14:paraId="00D9D292" w14:textId="3AC3A82F" w:rsidR="00482FA1" w:rsidRPr="00A4767E" w:rsidRDefault="00482FA1" w:rsidP="00482FA1">
      <w:pPr>
        <w:pStyle w:val="Norma"/>
        <w:numPr>
          <w:ilvl w:val="0"/>
          <w:numId w:val="25"/>
        </w:numPr>
      </w:pPr>
      <w:r w:rsidRPr="00A4767E">
        <w:t>Before setting a limit on the total amount of activities to which a trading scheme applies for a trading period or periods, obtain Committee on Climate Change advice on the amount of that limit (Section 48(2)).</w:t>
      </w:r>
    </w:p>
    <w:p w14:paraId="43C647F6" w14:textId="77777777" w:rsidR="00482FA1" w:rsidRPr="00A4767E" w:rsidRDefault="00482FA1" w:rsidP="00482FA1">
      <w:pPr>
        <w:pStyle w:val="Norma"/>
      </w:pPr>
    </w:p>
    <w:p w14:paraId="4E04D44B" w14:textId="4F2C185C" w:rsidR="008505F9" w:rsidRPr="00A4767E" w:rsidRDefault="008505F9" w:rsidP="001D6B67">
      <w:pPr>
        <w:pStyle w:val="Norma"/>
      </w:pPr>
      <w:r w:rsidRPr="00A4767E">
        <w:t>The Governments of the UK, Scotland and Wales have requested advice from the CCC on the establishment of a UK scheme.</w:t>
      </w:r>
      <w:r w:rsidR="001B3579" w:rsidRPr="00A4767E">
        <w:rPr>
          <w:rStyle w:val="FootnoteReference"/>
        </w:rPr>
        <w:footnoteReference w:id="2"/>
      </w:r>
    </w:p>
    <w:p w14:paraId="2A51268D" w14:textId="77777777" w:rsidR="008505F9" w:rsidRPr="00A4767E" w:rsidRDefault="008505F9" w:rsidP="001D6B67">
      <w:pPr>
        <w:pStyle w:val="Norma"/>
      </w:pPr>
    </w:p>
    <w:p w14:paraId="6D44D57F" w14:textId="69AF5BA2" w:rsidR="00482FA1" w:rsidRPr="00A4767E" w:rsidRDefault="00482FA1" w:rsidP="001D6B67">
      <w:pPr>
        <w:pStyle w:val="Norma"/>
      </w:pPr>
      <w:r w:rsidRPr="00A4767E">
        <w:t xml:space="preserve">The CCC wishes to obtain consultancy support to work closely with its secretariat to </w:t>
      </w:r>
      <w:r w:rsidR="00CF6E25" w:rsidRPr="00A4767E">
        <w:t>inform</w:t>
      </w:r>
      <w:r w:rsidRPr="00A4767E">
        <w:t xml:space="preserve"> </w:t>
      </w:r>
      <w:r w:rsidR="00CF6E25" w:rsidRPr="00A4767E">
        <w:t>this advice.</w:t>
      </w:r>
      <w:r w:rsidR="001D6B67" w:rsidRPr="00A4767E">
        <w:t xml:space="preserve"> We are looking for a person (or persons) to work in and with the team, rather than an externally delivered report.</w:t>
      </w:r>
      <w:r w:rsidR="00750186" w:rsidRPr="00A4767E">
        <w:t xml:space="preserve"> </w:t>
      </w:r>
    </w:p>
    <w:p w14:paraId="5D069C45" w14:textId="77777777" w:rsidR="006F2154" w:rsidRPr="00A4767E" w:rsidRDefault="006F2154" w:rsidP="00DD521A">
      <w:pPr>
        <w:pStyle w:val="Norma"/>
      </w:pPr>
    </w:p>
    <w:p w14:paraId="5EA8755A" w14:textId="77777777" w:rsidR="00FE1227" w:rsidRPr="00A4767E" w:rsidRDefault="00016416" w:rsidP="008A2F2D">
      <w:pPr>
        <w:pStyle w:val="Heading1"/>
        <w:numPr>
          <w:ilvl w:val="0"/>
          <w:numId w:val="1"/>
        </w:numPr>
        <w:jc w:val="both"/>
        <w:rPr>
          <w:rFonts w:ascii="Arial" w:hAnsi="Arial" w:cs="Arial"/>
          <w:sz w:val="24"/>
          <w:szCs w:val="24"/>
        </w:rPr>
      </w:pPr>
      <w:bookmarkStart w:id="7" w:name="_Ref357535689"/>
      <w:bookmarkStart w:id="8" w:name="_Toc381969508"/>
      <w:bookmarkStart w:id="9" w:name="_Toc405888457"/>
      <w:r w:rsidRPr="00A4767E">
        <w:rPr>
          <w:rFonts w:ascii="Arial" w:hAnsi="Arial" w:cs="Arial"/>
          <w:sz w:val="24"/>
          <w:szCs w:val="24"/>
        </w:rPr>
        <w:t>Aims and Objectives</w:t>
      </w:r>
      <w:bookmarkEnd w:id="7"/>
      <w:bookmarkEnd w:id="8"/>
      <w:bookmarkEnd w:id="9"/>
    </w:p>
    <w:p w14:paraId="6E6B5A2E" w14:textId="77777777" w:rsidR="00F430E0" w:rsidRPr="00A4767E" w:rsidRDefault="00F430E0" w:rsidP="00DD521A">
      <w:pPr>
        <w:pStyle w:val="Norma"/>
      </w:pPr>
    </w:p>
    <w:p w14:paraId="66A5A429" w14:textId="77777777" w:rsidR="003C4B72" w:rsidRPr="00A4767E" w:rsidRDefault="00F430E0" w:rsidP="00DD521A">
      <w:pPr>
        <w:pStyle w:val="Norma"/>
      </w:pPr>
      <w:r w:rsidRPr="00A4767E">
        <w:t xml:space="preserve">The key aim of the project is to assess </w:t>
      </w:r>
      <w:r w:rsidR="003C4B72" w:rsidRPr="00A4767E">
        <w:t>and make recommendations for design of a UK ETS, to inform recommendations that the CCC will make to Government.</w:t>
      </w:r>
    </w:p>
    <w:p w14:paraId="06B3251C" w14:textId="77777777" w:rsidR="003C4B72" w:rsidRPr="00A4767E" w:rsidRDefault="003C4B72" w:rsidP="00DD521A">
      <w:pPr>
        <w:pStyle w:val="Norma"/>
      </w:pPr>
    </w:p>
    <w:p w14:paraId="21A36808" w14:textId="231E4418" w:rsidR="003C4B72" w:rsidRPr="00A4767E" w:rsidRDefault="003C4B72" w:rsidP="00DD521A">
      <w:pPr>
        <w:pStyle w:val="Norma"/>
      </w:pPr>
      <w:r w:rsidRPr="00A4767E">
        <w:t>This assessment should consider 2 key scenarios: (1) a standalone UK ETS; (2) a UK ETS linked to the EU</w:t>
      </w:r>
      <w:r w:rsidR="00F960E1" w:rsidRPr="00A4767E">
        <w:t xml:space="preserve"> </w:t>
      </w:r>
      <w:r w:rsidRPr="00A4767E">
        <w:t>ETS.</w:t>
      </w:r>
    </w:p>
    <w:p w14:paraId="29B619D8" w14:textId="77777777" w:rsidR="003C4B72" w:rsidRPr="00A4767E" w:rsidRDefault="003C4B72" w:rsidP="00DD521A">
      <w:pPr>
        <w:pStyle w:val="Norma"/>
      </w:pPr>
    </w:p>
    <w:p w14:paraId="4A0A4BE2" w14:textId="77777777" w:rsidR="003C4B72" w:rsidRPr="00A4767E" w:rsidRDefault="003C4B72" w:rsidP="00DD521A">
      <w:pPr>
        <w:pStyle w:val="Norma"/>
      </w:pPr>
      <w:r w:rsidRPr="00A4767E">
        <w:t xml:space="preserve">The design and operational issues on which we are seeking to </w:t>
      </w:r>
      <w:proofErr w:type="gramStart"/>
      <w:r w:rsidRPr="00A4767E">
        <w:t>advise</w:t>
      </w:r>
      <w:proofErr w:type="gramEnd"/>
      <w:r w:rsidRPr="00A4767E">
        <w:t xml:space="preserve"> include:</w:t>
      </w:r>
    </w:p>
    <w:p w14:paraId="1CB5B6FB" w14:textId="77777777" w:rsidR="003C4B72" w:rsidRPr="00A4767E" w:rsidRDefault="003C4B72" w:rsidP="00DD521A">
      <w:pPr>
        <w:pStyle w:val="Norma"/>
      </w:pPr>
    </w:p>
    <w:p w14:paraId="0239824B" w14:textId="7C5FD3E2" w:rsidR="003C4B72" w:rsidRPr="00A4767E" w:rsidRDefault="003C4B72" w:rsidP="003C4B72">
      <w:pPr>
        <w:pStyle w:val="Norma"/>
        <w:numPr>
          <w:ilvl w:val="0"/>
          <w:numId w:val="26"/>
        </w:numPr>
      </w:pPr>
      <w:r w:rsidRPr="00A4767E">
        <w:t>Design: emissions cap and trajectory over time; supply flexibility and price management; distribution of allowances as between auction and free allowances; free allocation methodology; benchmarks; small emitter opt-out and ultra-small emitter exemption</w:t>
      </w:r>
      <w:r w:rsidR="008505F9" w:rsidRPr="00A4767E">
        <w:t>; phases and review periods; the possibility of monetising the allowances to fund UK industrial decarbonisation</w:t>
      </w:r>
      <w:r w:rsidRPr="00A4767E">
        <w:t>.</w:t>
      </w:r>
    </w:p>
    <w:p w14:paraId="07C2F9B5" w14:textId="5A7DF4A6" w:rsidR="003C4B72" w:rsidRPr="00A4767E" w:rsidRDefault="003C4B72" w:rsidP="003C4B72">
      <w:pPr>
        <w:pStyle w:val="Norma"/>
        <w:numPr>
          <w:ilvl w:val="0"/>
          <w:numId w:val="26"/>
        </w:numPr>
      </w:pPr>
      <w:r w:rsidRPr="00A4767E">
        <w:lastRenderedPageBreak/>
        <w:t xml:space="preserve">Operation: </w:t>
      </w:r>
      <w:r w:rsidR="00D7029E" w:rsidRPr="00A4767E">
        <w:t>MRV; auctioning and market rules; banking and borrowing; governance; practical arrangements; registry.</w:t>
      </w:r>
    </w:p>
    <w:p w14:paraId="6063E251" w14:textId="37A6F005" w:rsidR="00D7029E" w:rsidRPr="00A4767E" w:rsidRDefault="00D7029E" w:rsidP="003C4B72">
      <w:pPr>
        <w:pStyle w:val="Norma"/>
        <w:numPr>
          <w:ilvl w:val="0"/>
          <w:numId w:val="26"/>
        </w:numPr>
      </w:pPr>
      <w:r w:rsidRPr="00A4767E">
        <w:t xml:space="preserve">Methodology </w:t>
      </w:r>
      <w:r w:rsidR="00A600B4" w:rsidRPr="00A4767E">
        <w:t>and implications of</w:t>
      </w:r>
      <w:r w:rsidRPr="00A4767E">
        <w:t xml:space="preserve"> inclusion of aviation.</w:t>
      </w:r>
    </w:p>
    <w:p w14:paraId="1A52C610" w14:textId="77E80703" w:rsidR="00A600B4" w:rsidRPr="00A4767E" w:rsidRDefault="00A600B4" w:rsidP="003C4B72">
      <w:pPr>
        <w:pStyle w:val="Norma"/>
        <w:numPr>
          <w:ilvl w:val="0"/>
          <w:numId w:val="26"/>
        </w:numPr>
      </w:pPr>
      <w:r w:rsidRPr="00A4767E">
        <w:t>Implications for abatement in Scotland, Wales, Northern Ireland and England.</w:t>
      </w:r>
    </w:p>
    <w:p w14:paraId="7348392E" w14:textId="77777777" w:rsidR="003C4B72" w:rsidRPr="00A4767E" w:rsidRDefault="003C4B72" w:rsidP="00DD521A">
      <w:pPr>
        <w:pStyle w:val="Norma"/>
      </w:pPr>
    </w:p>
    <w:p w14:paraId="1673D80B" w14:textId="075B4A5E" w:rsidR="00D7029E" w:rsidRPr="00A4767E" w:rsidRDefault="00D7029E" w:rsidP="00DD521A">
      <w:pPr>
        <w:pStyle w:val="Norma"/>
      </w:pPr>
      <w:r w:rsidRPr="00A4767E">
        <w:t>It is envisaged that scope of the scheme will be the same, or very close to, the existing rules for the EU</w:t>
      </w:r>
      <w:r w:rsidR="00F960E1" w:rsidRPr="00A4767E">
        <w:t xml:space="preserve"> </w:t>
      </w:r>
      <w:r w:rsidRPr="00A4767E">
        <w:t xml:space="preserve">ETS </w:t>
      </w:r>
      <w:r w:rsidR="00F960E1" w:rsidRPr="00A4767E">
        <w:t>(</w:t>
      </w:r>
      <w:r w:rsidRPr="00A4767E">
        <w:t>i.e. that the Government is not looking, at this stage, to bring others sectors into the scheme</w:t>
      </w:r>
      <w:r w:rsidR="00F960E1" w:rsidRPr="00A4767E">
        <w:t>)</w:t>
      </w:r>
      <w:r w:rsidRPr="00A4767E">
        <w:t>.</w:t>
      </w:r>
    </w:p>
    <w:p w14:paraId="2829B664" w14:textId="77777777" w:rsidR="00554A05" w:rsidRPr="00A4767E" w:rsidRDefault="00554A05" w:rsidP="00DD521A">
      <w:pPr>
        <w:pStyle w:val="Norma"/>
      </w:pPr>
    </w:p>
    <w:p w14:paraId="24DD01BF" w14:textId="6939FA3D" w:rsidR="00554A05" w:rsidRPr="00A4767E" w:rsidRDefault="00554A05" w:rsidP="00DD521A">
      <w:pPr>
        <w:pStyle w:val="Norma"/>
      </w:pPr>
      <w:r w:rsidRPr="00A4767E">
        <w:t>One of the key issues will be to advise on the level and trajectory for the emissions cap over time. We will want to advise on the carbon price implications of the suggested cap. To provide such an assessment we hope to be able to draw on BEIS model</w:t>
      </w:r>
      <w:r w:rsidR="0000518A" w:rsidRPr="00A4767E">
        <w:t>s</w:t>
      </w:r>
      <w:r w:rsidRPr="00A4767E">
        <w:t>. But it would be helpful if the successful contractor had access to an alternative modelling facility to provide such forecasts.</w:t>
      </w:r>
    </w:p>
    <w:p w14:paraId="19343453" w14:textId="2B03B599" w:rsidR="00DD521A" w:rsidRPr="00A4767E" w:rsidRDefault="00F430E0" w:rsidP="00DD521A">
      <w:pPr>
        <w:pStyle w:val="Norma"/>
      </w:pPr>
      <w:r w:rsidRPr="00A4767E">
        <w:t xml:space="preserve"> </w:t>
      </w:r>
    </w:p>
    <w:p w14:paraId="3BA46568" w14:textId="3159A92D" w:rsidR="00F430E0" w:rsidRPr="00A4767E" w:rsidRDefault="00D7029E" w:rsidP="00DD521A">
      <w:pPr>
        <w:pStyle w:val="Norma"/>
      </w:pPr>
      <w:r w:rsidRPr="00A4767E">
        <w:t>We are looking for the successful contractor to provide resource (staff with existing understanding of emissions trading schemes and associated issues) to work alongside the Committee secretariat, on a tight timeline, to inform Committee advice.</w:t>
      </w:r>
    </w:p>
    <w:p w14:paraId="549AD9F9" w14:textId="77777777" w:rsidR="009D6C16" w:rsidRPr="00A4767E" w:rsidRDefault="009D6C16" w:rsidP="00DD521A">
      <w:pPr>
        <w:pStyle w:val="Norma"/>
      </w:pPr>
    </w:p>
    <w:p w14:paraId="1A7FBBF0" w14:textId="2D502290" w:rsidR="00D7029E" w:rsidRPr="00A4767E" w:rsidRDefault="00554A05" w:rsidP="00DD521A">
      <w:pPr>
        <w:pStyle w:val="Norma"/>
      </w:pPr>
      <w:r w:rsidRPr="00A4767E">
        <w:t>If a UK</w:t>
      </w:r>
      <w:r w:rsidR="00F960E1" w:rsidRPr="00A4767E">
        <w:t xml:space="preserve"> </w:t>
      </w:r>
      <w:r w:rsidRPr="00A4767E">
        <w:t>ETS goes ahead, the UK Government will be looking for the scheme to start in January 2021, so rules that are close to existing EU</w:t>
      </w:r>
      <w:r w:rsidR="00F960E1" w:rsidRPr="00A4767E">
        <w:t xml:space="preserve"> </w:t>
      </w:r>
      <w:r w:rsidRPr="00A4767E">
        <w:t>ETS rules are likely to be easier to bring into effect than rules requiring significant changes. But the Committee will want to be aware of any constraints introduced by such timing and weigh such considerations against effective design of a UK</w:t>
      </w:r>
      <w:r w:rsidR="00F960E1" w:rsidRPr="00A4767E">
        <w:t xml:space="preserve"> </w:t>
      </w:r>
      <w:r w:rsidRPr="00A4767E">
        <w:t xml:space="preserve">ETS scheme.   </w:t>
      </w:r>
    </w:p>
    <w:p w14:paraId="5EA8755C" w14:textId="77777777" w:rsidR="00C4141B" w:rsidRPr="00A4767E" w:rsidRDefault="00E85ED1" w:rsidP="008A2F2D">
      <w:pPr>
        <w:pStyle w:val="Heading1"/>
        <w:numPr>
          <w:ilvl w:val="0"/>
          <w:numId w:val="3"/>
        </w:numPr>
        <w:rPr>
          <w:rFonts w:ascii="Arial" w:hAnsi="Arial" w:cs="Arial"/>
          <w:sz w:val="24"/>
          <w:szCs w:val="24"/>
        </w:rPr>
      </w:pPr>
      <w:bookmarkStart w:id="10" w:name="_Toc381969509"/>
      <w:bookmarkStart w:id="11" w:name="_Toc405888458"/>
      <w:r w:rsidRPr="00A4767E">
        <w:rPr>
          <w:rFonts w:ascii="Arial" w:hAnsi="Arial" w:cs="Arial"/>
          <w:sz w:val="24"/>
          <w:szCs w:val="24"/>
        </w:rPr>
        <w:t>Methodology</w:t>
      </w:r>
      <w:bookmarkEnd w:id="10"/>
      <w:bookmarkEnd w:id="11"/>
    </w:p>
    <w:p w14:paraId="5A1BB8BA" w14:textId="77777777" w:rsidR="00DD521A" w:rsidRPr="00A4767E" w:rsidRDefault="00DD521A" w:rsidP="00DD521A">
      <w:pPr>
        <w:pStyle w:val="Norma"/>
      </w:pPr>
    </w:p>
    <w:p w14:paraId="748A917B" w14:textId="01D3575F" w:rsidR="00DD521A" w:rsidRPr="00A4767E" w:rsidRDefault="008633F2" w:rsidP="00DD521A">
      <w:pPr>
        <w:pStyle w:val="Norma"/>
      </w:pPr>
      <w:r w:rsidRPr="00A4767E">
        <w:t xml:space="preserve">As part of your tender, you should set out your </w:t>
      </w:r>
      <w:r w:rsidR="00A1067F" w:rsidRPr="00A4767E">
        <w:t>experience and capability to contribute to the following tasks.</w:t>
      </w:r>
      <w:r w:rsidRPr="00A4767E">
        <w:t xml:space="preserve"> </w:t>
      </w:r>
      <w:r w:rsidR="0000518A" w:rsidRPr="00A4767E">
        <w:t>In all tasks, even where not explicitly drawn out below, there will be a need to have in mind and consider the design and operational issues summarised in section 3 (and set out in the government request to the CCC).</w:t>
      </w:r>
    </w:p>
    <w:p w14:paraId="7E31F23A" w14:textId="77777777" w:rsidR="008F7A1F" w:rsidRPr="00A4767E" w:rsidRDefault="008F7A1F" w:rsidP="00DD521A">
      <w:pPr>
        <w:pStyle w:val="Norma"/>
      </w:pPr>
    </w:p>
    <w:p w14:paraId="36C16CC3" w14:textId="1E3E34FC" w:rsidR="005E6208" w:rsidRPr="00A4767E" w:rsidRDefault="008F7A1F" w:rsidP="005E6208">
      <w:pPr>
        <w:pStyle w:val="Norma"/>
        <w:rPr>
          <w:b/>
        </w:rPr>
      </w:pPr>
      <w:r w:rsidRPr="00A4767E">
        <w:rPr>
          <w:b/>
        </w:rPr>
        <w:t xml:space="preserve">Task 1: </w:t>
      </w:r>
      <w:bookmarkStart w:id="12" w:name="_Ref357541705"/>
      <w:bookmarkStart w:id="13" w:name="_Toc381969510"/>
      <w:bookmarkStart w:id="14" w:name="_Toc405888459"/>
      <w:r w:rsidR="005E6208" w:rsidRPr="00A4767E">
        <w:rPr>
          <w:b/>
        </w:rPr>
        <w:t>Respective merits of a UK standalone scheme or scheme linked to the EU</w:t>
      </w:r>
      <w:r w:rsidR="00F960E1" w:rsidRPr="00A4767E">
        <w:rPr>
          <w:b/>
        </w:rPr>
        <w:t xml:space="preserve"> </w:t>
      </w:r>
      <w:r w:rsidR="005E6208" w:rsidRPr="00A4767E">
        <w:rPr>
          <w:b/>
        </w:rPr>
        <w:t>ETS.</w:t>
      </w:r>
    </w:p>
    <w:p w14:paraId="12DE271E" w14:textId="77777777" w:rsidR="005E6208" w:rsidRPr="00A4767E" w:rsidRDefault="005E6208" w:rsidP="005E6208">
      <w:pPr>
        <w:pStyle w:val="Norma"/>
        <w:rPr>
          <w:b/>
        </w:rPr>
      </w:pPr>
    </w:p>
    <w:p w14:paraId="508904D1" w14:textId="681B1BF6" w:rsidR="005E6208" w:rsidRPr="00A4767E" w:rsidRDefault="005E6208" w:rsidP="005E6208">
      <w:pPr>
        <w:pStyle w:val="Norma"/>
      </w:pPr>
      <w:r w:rsidRPr="00A4767E">
        <w:t xml:space="preserve">What are the potential benefits in terms of cost reduction of a wider market? What are the implications of a wider market for overall emissions reduction in the UK and EU? </w:t>
      </w:r>
      <w:r w:rsidR="005E1B5E" w:rsidRPr="00A4767E">
        <w:t>What are the implications for UK domestic action through other measures? What are the implications – whether benefits or costs – for wider international action and co-operation?</w:t>
      </w:r>
    </w:p>
    <w:p w14:paraId="0729398D" w14:textId="77777777" w:rsidR="005E1B5E" w:rsidRPr="00A4767E" w:rsidRDefault="005E1B5E" w:rsidP="005E6208">
      <w:pPr>
        <w:pStyle w:val="Norma"/>
      </w:pPr>
    </w:p>
    <w:p w14:paraId="53919B61" w14:textId="1402CB2E" w:rsidR="005E1B5E" w:rsidRPr="00A4767E" w:rsidRDefault="005E1B5E" w:rsidP="005E6208">
      <w:pPr>
        <w:pStyle w:val="Norma"/>
      </w:pPr>
      <w:r w:rsidRPr="00A4767E">
        <w:t>What other considerations are key to this assessment?</w:t>
      </w:r>
    </w:p>
    <w:p w14:paraId="730CA12D" w14:textId="77777777" w:rsidR="005E1B5E" w:rsidRPr="00A4767E" w:rsidRDefault="005E1B5E" w:rsidP="005E6208">
      <w:pPr>
        <w:pStyle w:val="Norma"/>
      </w:pPr>
    </w:p>
    <w:p w14:paraId="4690425E" w14:textId="26618B49" w:rsidR="005E1B5E" w:rsidRPr="00A4767E" w:rsidRDefault="005E1B5E" w:rsidP="005E6208">
      <w:pPr>
        <w:pStyle w:val="Norma"/>
      </w:pPr>
      <w:r w:rsidRPr="00A4767E">
        <w:t>In the time available we are not necessarily looking for a review of the literature to inform such assessment. But knowledge of the key evidence and literature on which to draw, and to support the assessment, will be required.</w:t>
      </w:r>
    </w:p>
    <w:p w14:paraId="15EFD6CC" w14:textId="77777777" w:rsidR="005E1B5E" w:rsidRPr="00A4767E" w:rsidRDefault="005E1B5E" w:rsidP="005E6208">
      <w:pPr>
        <w:pStyle w:val="Norma"/>
      </w:pPr>
    </w:p>
    <w:p w14:paraId="69C960BC" w14:textId="2B74EE4B" w:rsidR="005E6208" w:rsidRPr="00A4767E" w:rsidRDefault="005E1B5E" w:rsidP="005E6208">
      <w:pPr>
        <w:pStyle w:val="Norma"/>
        <w:rPr>
          <w:b/>
        </w:rPr>
      </w:pPr>
      <w:r w:rsidRPr="00A4767E">
        <w:rPr>
          <w:b/>
        </w:rPr>
        <w:t xml:space="preserve">Task 2: </w:t>
      </w:r>
      <w:r w:rsidR="006D21FB" w:rsidRPr="00A4767E">
        <w:rPr>
          <w:b/>
        </w:rPr>
        <w:t xml:space="preserve">Assessment of an </w:t>
      </w:r>
      <w:r w:rsidRPr="00A4767E">
        <w:rPr>
          <w:b/>
        </w:rPr>
        <w:t>appropriate cap for a UK</w:t>
      </w:r>
      <w:r w:rsidR="00F960E1" w:rsidRPr="00A4767E">
        <w:rPr>
          <w:b/>
        </w:rPr>
        <w:t xml:space="preserve"> </w:t>
      </w:r>
      <w:r w:rsidRPr="00A4767E">
        <w:rPr>
          <w:b/>
        </w:rPr>
        <w:t xml:space="preserve">ETS and its trajectory from </w:t>
      </w:r>
      <w:r w:rsidR="0000518A" w:rsidRPr="00A4767E">
        <w:rPr>
          <w:b/>
        </w:rPr>
        <w:t xml:space="preserve">start </w:t>
      </w:r>
      <w:r w:rsidRPr="00A4767E">
        <w:rPr>
          <w:b/>
        </w:rPr>
        <w:t>202</w:t>
      </w:r>
      <w:r w:rsidR="0000518A" w:rsidRPr="00A4767E">
        <w:rPr>
          <w:b/>
        </w:rPr>
        <w:t>1</w:t>
      </w:r>
      <w:r w:rsidRPr="00A4767E">
        <w:rPr>
          <w:b/>
        </w:rPr>
        <w:t xml:space="preserve"> to 203</w:t>
      </w:r>
      <w:r w:rsidR="0000518A" w:rsidRPr="00A4767E">
        <w:rPr>
          <w:b/>
        </w:rPr>
        <w:t>0</w:t>
      </w:r>
    </w:p>
    <w:p w14:paraId="3A0B0F2E" w14:textId="77777777" w:rsidR="005E1B5E" w:rsidRPr="00A4767E" w:rsidRDefault="005E1B5E" w:rsidP="005E6208">
      <w:pPr>
        <w:pStyle w:val="Norma"/>
      </w:pPr>
    </w:p>
    <w:p w14:paraId="4AA03E49" w14:textId="636A6895" w:rsidR="005E1B5E" w:rsidRPr="00A4767E" w:rsidRDefault="005E1B5E" w:rsidP="005E6208">
      <w:pPr>
        <w:pStyle w:val="Norma"/>
      </w:pPr>
      <w:r w:rsidRPr="00A4767E">
        <w:t xml:space="preserve">To inform advice on the level of a cap </w:t>
      </w:r>
      <w:r w:rsidR="0000518A" w:rsidRPr="00A4767E">
        <w:t xml:space="preserve">(under either a standalone scheme or a linked scheme) </w:t>
      </w:r>
      <w:r w:rsidRPr="00A4767E">
        <w:t>we expect that a good starting point will be estimates of the cost-effective path for the traded sectors of the economy, as estimated by the CCC to inform its 5th carbon budget advice. The successful contractor will have access to the Committee’s work for this trajectory and more recent evidence that might lead to an adjustment of this trajectory:</w:t>
      </w:r>
    </w:p>
    <w:p w14:paraId="281A2640" w14:textId="77777777" w:rsidR="005E1B5E" w:rsidRPr="00A4767E" w:rsidRDefault="005E1B5E" w:rsidP="005E6208">
      <w:pPr>
        <w:pStyle w:val="Norma"/>
      </w:pPr>
    </w:p>
    <w:p w14:paraId="6720DA3D" w14:textId="7F81268E" w:rsidR="005E1B5E" w:rsidRPr="00A4767E" w:rsidRDefault="005E1B5E" w:rsidP="005E1B5E">
      <w:pPr>
        <w:pStyle w:val="Norma"/>
        <w:numPr>
          <w:ilvl w:val="0"/>
          <w:numId w:val="29"/>
        </w:numPr>
      </w:pPr>
      <w:r w:rsidRPr="00A4767E">
        <w:t>The Committee’s 5</w:t>
      </w:r>
      <w:r w:rsidRPr="00A4767E">
        <w:rPr>
          <w:vertAlign w:val="superscript"/>
        </w:rPr>
        <w:t>th</w:t>
      </w:r>
      <w:r w:rsidRPr="00A4767E">
        <w:t xml:space="preserve"> carbon budget trajectory for the traded sectors of the economy;</w:t>
      </w:r>
    </w:p>
    <w:p w14:paraId="616BCC15" w14:textId="00B88BEA" w:rsidR="005E1B5E" w:rsidRPr="00A4767E" w:rsidRDefault="006D21FB" w:rsidP="005E1B5E">
      <w:pPr>
        <w:pStyle w:val="Norma"/>
        <w:numPr>
          <w:ilvl w:val="0"/>
          <w:numId w:val="29"/>
        </w:numPr>
      </w:pPr>
      <w:r w:rsidRPr="00A4767E">
        <w:t>More recent evidence of abatement potential, since the Committee’s 5</w:t>
      </w:r>
      <w:r w:rsidRPr="00A4767E">
        <w:rPr>
          <w:vertAlign w:val="superscript"/>
        </w:rPr>
        <w:t>th</w:t>
      </w:r>
      <w:r w:rsidRPr="00A4767E">
        <w:t xml:space="preserve"> carbon budget advice;</w:t>
      </w:r>
    </w:p>
    <w:p w14:paraId="050089F1" w14:textId="189CAC22" w:rsidR="006D21FB" w:rsidRPr="00A4767E" w:rsidRDefault="006D21FB" w:rsidP="005E1B5E">
      <w:pPr>
        <w:pStyle w:val="Norma"/>
        <w:numPr>
          <w:ilvl w:val="0"/>
          <w:numId w:val="29"/>
        </w:numPr>
      </w:pPr>
      <w:r w:rsidRPr="00A4767E">
        <w:t>Updated evidence of actual emissions;</w:t>
      </w:r>
    </w:p>
    <w:p w14:paraId="42DC4DAD" w14:textId="6AA9D4CF" w:rsidR="006D21FB" w:rsidRPr="00A4767E" w:rsidRDefault="006D21FB" w:rsidP="005E1B5E">
      <w:pPr>
        <w:pStyle w:val="Norma"/>
        <w:numPr>
          <w:ilvl w:val="0"/>
          <w:numId w:val="29"/>
        </w:numPr>
      </w:pPr>
      <w:r w:rsidRPr="00A4767E">
        <w:t>Updated BEIS energy and emission projections.</w:t>
      </w:r>
    </w:p>
    <w:p w14:paraId="4D8461D4" w14:textId="77777777" w:rsidR="006D21FB" w:rsidRPr="00A4767E" w:rsidRDefault="006D21FB" w:rsidP="006D21FB">
      <w:pPr>
        <w:pStyle w:val="Norma"/>
      </w:pPr>
    </w:p>
    <w:p w14:paraId="1055FE64" w14:textId="62BD2BD1" w:rsidR="006D21FB" w:rsidRPr="00A4767E" w:rsidRDefault="006D21FB" w:rsidP="006D21FB">
      <w:pPr>
        <w:pStyle w:val="Norma"/>
        <w:rPr>
          <w:b/>
        </w:rPr>
      </w:pPr>
      <w:r w:rsidRPr="00A4767E">
        <w:rPr>
          <w:b/>
        </w:rPr>
        <w:t>Task 3: Implications of the cap for carbon prices in the UK</w:t>
      </w:r>
    </w:p>
    <w:p w14:paraId="4E0CF91A" w14:textId="77777777" w:rsidR="006D21FB" w:rsidRPr="00A4767E" w:rsidRDefault="006D21FB" w:rsidP="006D21FB">
      <w:pPr>
        <w:pStyle w:val="Norma"/>
      </w:pPr>
    </w:p>
    <w:p w14:paraId="0E46D4CF" w14:textId="04687DAB" w:rsidR="006D21FB" w:rsidRPr="00A4767E" w:rsidRDefault="000F017A" w:rsidP="006D21FB">
      <w:pPr>
        <w:pStyle w:val="Norma"/>
      </w:pPr>
      <w:r w:rsidRPr="00A4767E">
        <w:t>Any assessment of an appropriate level of UK</w:t>
      </w:r>
      <w:r w:rsidR="00A37D9F" w:rsidRPr="00A4767E">
        <w:t xml:space="preserve"> </w:t>
      </w:r>
      <w:r w:rsidRPr="00A4767E">
        <w:t xml:space="preserve">ETS cap should be informed by assessment of implications for carbon prices. </w:t>
      </w:r>
    </w:p>
    <w:p w14:paraId="61C5B8E7" w14:textId="77777777" w:rsidR="000F017A" w:rsidRPr="00A4767E" w:rsidRDefault="000F017A" w:rsidP="006D21FB">
      <w:pPr>
        <w:pStyle w:val="Norma"/>
      </w:pPr>
    </w:p>
    <w:p w14:paraId="0DDF6ED4" w14:textId="4E2A7EFE" w:rsidR="000F017A" w:rsidRPr="00A4767E" w:rsidRDefault="000F017A" w:rsidP="006D21FB">
      <w:pPr>
        <w:pStyle w:val="Norma"/>
      </w:pPr>
      <w:r w:rsidRPr="00A4767E">
        <w:t>For a range of assumptions for the level of a cap we should expect to cover, for a standalone scheme and for a linked scheme:</w:t>
      </w:r>
    </w:p>
    <w:p w14:paraId="4FAB7BAE" w14:textId="77777777" w:rsidR="000F017A" w:rsidRPr="00A4767E" w:rsidRDefault="000F017A" w:rsidP="006D21FB">
      <w:pPr>
        <w:pStyle w:val="Norma"/>
      </w:pPr>
    </w:p>
    <w:p w14:paraId="2A6C2090" w14:textId="2AB3C8C9" w:rsidR="000F017A" w:rsidRPr="00A4767E" w:rsidRDefault="000F017A" w:rsidP="000F017A">
      <w:pPr>
        <w:pStyle w:val="Norma"/>
        <w:numPr>
          <w:ilvl w:val="0"/>
          <w:numId w:val="30"/>
        </w:numPr>
      </w:pPr>
      <w:r w:rsidRPr="00A4767E">
        <w:t>Implications for scheme carbon price;</w:t>
      </w:r>
    </w:p>
    <w:p w14:paraId="7289C768" w14:textId="18714772" w:rsidR="000F017A" w:rsidRPr="00A4767E" w:rsidRDefault="008E7482" w:rsidP="000F017A">
      <w:pPr>
        <w:pStyle w:val="Norma"/>
        <w:numPr>
          <w:ilvl w:val="0"/>
          <w:numId w:val="30"/>
        </w:numPr>
      </w:pPr>
      <w:r w:rsidRPr="00A4767E">
        <w:t xml:space="preserve">Sensitivity of scheme carbon price to variation in assumptions for (a) baseline emissions; (b) </w:t>
      </w:r>
      <w:r w:rsidR="00D53205" w:rsidRPr="00A4767E">
        <w:t xml:space="preserve">abatement potential and costs; (c) </w:t>
      </w:r>
      <w:r w:rsidRPr="00A4767E">
        <w:t xml:space="preserve">fossil fuel </w:t>
      </w:r>
      <w:r w:rsidR="00D53205" w:rsidRPr="00A4767E">
        <w:t>prices; (d</w:t>
      </w:r>
      <w:r w:rsidRPr="00A4767E">
        <w:t>) other UK policy instruments.</w:t>
      </w:r>
    </w:p>
    <w:p w14:paraId="18A8075F" w14:textId="5AC3FCE9" w:rsidR="008E7482" w:rsidRPr="00A4767E" w:rsidRDefault="008E7482" w:rsidP="000F017A">
      <w:pPr>
        <w:pStyle w:val="Norma"/>
        <w:numPr>
          <w:ilvl w:val="0"/>
          <w:numId w:val="30"/>
        </w:numPr>
      </w:pPr>
      <w:r w:rsidRPr="00A4767E">
        <w:t>Uncertainties in price pathway and how these might be ameliorated.</w:t>
      </w:r>
    </w:p>
    <w:p w14:paraId="705728C5" w14:textId="77777777" w:rsidR="008E7482" w:rsidRPr="00A4767E" w:rsidRDefault="008E7482" w:rsidP="008E7482">
      <w:pPr>
        <w:pStyle w:val="Norma"/>
      </w:pPr>
    </w:p>
    <w:p w14:paraId="2BCA4D7D" w14:textId="2A9E1974" w:rsidR="008E7482" w:rsidRPr="00A4767E" w:rsidRDefault="00EB5CC7" w:rsidP="008E7482">
      <w:pPr>
        <w:pStyle w:val="Norma"/>
      </w:pPr>
      <w:r w:rsidRPr="00A4767E">
        <w:t xml:space="preserve">Modelling capability to assess UK carbon prices from a UK scheme will therefore be required. </w:t>
      </w:r>
    </w:p>
    <w:p w14:paraId="03AD4E36" w14:textId="77777777" w:rsidR="00EB5CC7" w:rsidRPr="00A4767E" w:rsidRDefault="00EB5CC7" w:rsidP="008E7482">
      <w:pPr>
        <w:pStyle w:val="Norma"/>
      </w:pPr>
    </w:p>
    <w:p w14:paraId="0E433496" w14:textId="08976F80" w:rsidR="00EB5CC7" w:rsidRPr="00A4767E" w:rsidRDefault="00EB5CC7" w:rsidP="00EB5CC7">
      <w:pPr>
        <w:pStyle w:val="Norma"/>
        <w:numPr>
          <w:ilvl w:val="0"/>
          <w:numId w:val="31"/>
        </w:numPr>
      </w:pPr>
      <w:r w:rsidRPr="00A4767E">
        <w:t>In the first instance, we expect such capability to be provided by BEIS through their carbon pricing model. The role of the appointed contractor will be to:</w:t>
      </w:r>
    </w:p>
    <w:p w14:paraId="3830AEFC" w14:textId="77777777" w:rsidR="00D53205" w:rsidRPr="00A4767E" w:rsidRDefault="00D53205" w:rsidP="00D53205">
      <w:pPr>
        <w:pStyle w:val="Norma"/>
      </w:pPr>
    </w:p>
    <w:p w14:paraId="2DE06F50" w14:textId="742A22FC" w:rsidR="00EB5CC7" w:rsidRPr="00A4767E" w:rsidRDefault="00EB5CC7" w:rsidP="00EB5CC7">
      <w:pPr>
        <w:pStyle w:val="Norma"/>
        <w:numPr>
          <w:ilvl w:val="1"/>
          <w:numId w:val="31"/>
        </w:numPr>
      </w:pPr>
      <w:r w:rsidRPr="00A4767E">
        <w:t>Liaise with BEIS and their contractors to inform runs of the BEIS model to CCC assumptions for the level of baseline emissions; the level of the cap; other design assumptions.</w:t>
      </w:r>
    </w:p>
    <w:p w14:paraId="2DA85562" w14:textId="77777777" w:rsidR="00EB5CC7" w:rsidRPr="00A4767E" w:rsidRDefault="00EB5CC7" w:rsidP="00EB5CC7">
      <w:pPr>
        <w:pStyle w:val="Norma"/>
      </w:pPr>
    </w:p>
    <w:p w14:paraId="2D6F44E7" w14:textId="10BADF8E" w:rsidR="00EB5CC7" w:rsidRPr="00A4767E" w:rsidRDefault="00EB5CC7" w:rsidP="00D53205">
      <w:pPr>
        <w:pStyle w:val="Norma"/>
        <w:numPr>
          <w:ilvl w:val="1"/>
          <w:numId w:val="31"/>
        </w:numPr>
      </w:pPr>
      <w:r w:rsidRPr="00A4767E">
        <w:t>Assess the capability and robustness of the BEIS model and input assumptions to inform CCC understanding of the results, and assessment of the weight to be given to any results.</w:t>
      </w:r>
    </w:p>
    <w:p w14:paraId="38362875" w14:textId="73132FB4" w:rsidR="00EB5CC7" w:rsidRPr="00A4767E" w:rsidRDefault="00EB5CC7" w:rsidP="00EB5CC7">
      <w:pPr>
        <w:pStyle w:val="Norma"/>
        <w:ind w:left="720"/>
      </w:pPr>
    </w:p>
    <w:p w14:paraId="6C1F1643" w14:textId="0B83F67D" w:rsidR="00EB5CC7" w:rsidRPr="00A4767E" w:rsidRDefault="001D6B67" w:rsidP="00EB5CC7">
      <w:pPr>
        <w:pStyle w:val="Norma"/>
        <w:numPr>
          <w:ilvl w:val="0"/>
          <w:numId w:val="31"/>
        </w:numPr>
      </w:pPr>
      <w:r w:rsidRPr="00A4767E">
        <w:t>Ideally, t</w:t>
      </w:r>
      <w:r w:rsidR="00D53205" w:rsidRPr="00A4767E">
        <w:t xml:space="preserve">he contractor should provide an alternative source/modelling capability to assess </w:t>
      </w:r>
      <w:r w:rsidR="00A600B4" w:rsidRPr="00A4767E">
        <w:t xml:space="preserve">UK </w:t>
      </w:r>
      <w:r w:rsidR="00D53205" w:rsidRPr="00A4767E">
        <w:t>carbon prices. The response to this tender should outline what this facility will be. It should outline the capability of the model to consider different assumptions for baseline emissions, abatement potential and costs; fossil fuel prices; other design parameters.</w:t>
      </w:r>
      <w:r w:rsidRPr="00A4767E">
        <w:t xml:space="preserve"> </w:t>
      </w:r>
      <w:r w:rsidR="008879DD" w:rsidRPr="00A4767E">
        <w:t xml:space="preserve">We are aware, however, that modelling capability of this kind may be in short supply. </w:t>
      </w:r>
      <w:r w:rsidRPr="00A4767E">
        <w:t xml:space="preserve">If </w:t>
      </w:r>
      <w:r w:rsidR="008879DD" w:rsidRPr="00A4767E">
        <w:t>un</w:t>
      </w:r>
      <w:r w:rsidRPr="00A4767E">
        <w:t xml:space="preserve">available, it would be helpful for the contractor to set out what other sources it would expect to draw on to consider </w:t>
      </w:r>
      <w:r w:rsidR="008879DD" w:rsidRPr="00A4767E">
        <w:t xml:space="preserve">price implications of a UK cap. </w:t>
      </w:r>
      <w:r w:rsidRPr="00A4767E">
        <w:t xml:space="preserve"> </w:t>
      </w:r>
    </w:p>
    <w:p w14:paraId="7A979C21" w14:textId="77777777" w:rsidR="009C56C1" w:rsidRPr="00A4767E" w:rsidRDefault="009C56C1" w:rsidP="005E6208">
      <w:pPr>
        <w:pStyle w:val="Norma"/>
      </w:pPr>
    </w:p>
    <w:p w14:paraId="108F0F8B" w14:textId="62145288" w:rsidR="002875BD" w:rsidRPr="00A4767E" w:rsidRDefault="002875BD" w:rsidP="005E6208">
      <w:pPr>
        <w:pStyle w:val="Norma"/>
      </w:pPr>
      <w:r w:rsidRPr="00A4767E">
        <w:t>Alongside technical modelling capability, however, there will be a need to consider market behaviour (e.g. hedging, banking, borrowing, foresight) and how this might impact prices and design.</w:t>
      </w:r>
    </w:p>
    <w:p w14:paraId="5B53F739" w14:textId="77777777" w:rsidR="002875BD" w:rsidRPr="00A4767E" w:rsidRDefault="002875BD" w:rsidP="005E6208">
      <w:pPr>
        <w:pStyle w:val="Norma"/>
        <w:rPr>
          <w:b/>
        </w:rPr>
      </w:pPr>
    </w:p>
    <w:p w14:paraId="254D9F51" w14:textId="77777777" w:rsidR="009C56C1" w:rsidRPr="00A4767E" w:rsidRDefault="009C56C1" w:rsidP="005E6208">
      <w:pPr>
        <w:pStyle w:val="Norma"/>
        <w:rPr>
          <w:b/>
        </w:rPr>
      </w:pPr>
      <w:r w:rsidRPr="00A4767E">
        <w:rPr>
          <w:b/>
        </w:rPr>
        <w:t>Task 4: Competitiveness implications</w:t>
      </w:r>
    </w:p>
    <w:p w14:paraId="5F44E272" w14:textId="77777777" w:rsidR="009C56C1" w:rsidRPr="00A4767E" w:rsidRDefault="009C56C1" w:rsidP="005E6208">
      <w:pPr>
        <w:pStyle w:val="Norma"/>
      </w:pPr>
    </w:p>
    <w:p w14:paraId="77D1343E" w14:textId="77777777" w:rsidR="00A600B4" w:rsidRPr="00A4767E" w:rsidRDefault="00A600B4" w:rsidP="005E6208">
      <w:pPr>
        <w:pStyle w:val="Norma"/>
      </w:pPr>
      <w:r w:rsidRPr="00A4767E">
        <w:t xml:space="preserve">Implications of UK carbon prices will feed through to an assessment of costs to participants and competitiveness. </w:t>
      </w:r>
    </w:p>
    <w:p w14:paraId="12ACF54A" w14:textId="77777777" w:rsidR="00A600B4" w:rsidRPr="00A4767E" w:rsidRDefault="00A600B4" w:rsidP="005E6208">
      <w:pPr>
        <w:pStyle w:val="Norma"/>
      </w:pPr>
    </w:p>
    <w:p w14:paraId="104AC298" w14:textId="6B416DCC" w:rsidR="00A600B4" w:rsidRPr="00A4767E" w:rsidRDefault="00A600B4" w:rsidP="005E6208">
      <w:pPr>
        <w:pStyle w:val="Norma"/>
      </w:pPr>
      <w:r w:rsidRPr="00A4767E">
        <w:t>This will need to consider scenarios for carbon prices outside the UK</w:t>
      </w:r>
      <w:r w:rsidR="008879DD" w:rsidRPr="00A4767E">
        <w:t>, and competitiveness concerns are likely to vary, for example, as between a UK only and a linked scheme.</w:t>
      </w:r>
    </w:p>
    <w:p w14:paraId="7826BEE6" w14:textId="77777777" w:rsidR="00A600B4" w:rsidRPr="00A4767E" w:rsidRDefault="00A600B4" w:rsidP="005E6208">
      <w:pPr>
        <w:pStyle w:val="Norma"/>
      </w:pPr>
    </w:p>
    <w:p w14:paraId="01766CAD" w14:textId="5F09D121" w:rsidR="00A600B4" w:rsidRPr="00A4767E" w:rsidRDefault="008879DD" w:rsidP="005E6208">
      <w:pPr>
        <w:pStyle w:val="Norma"/>
      </w:pPr>
      <w:r w:rsidRPr="00A4767E">
        <w:t>The task will be to assess the scale and nature of competitiveness issues, and h</w:t>
      </w:r>
      <w:r w:rsidR="00A600B4" w:rsidRPr="00A4767E">
        <w:t xml:space="preserve">ow </w:t>
      </w:r>
      <w:r w:rsidRPr="00A4767E">
        <w:t xml:space="preserve">they </w:t>
      </w:r>
      <w:r w:rsidR="00A600B4" w:rsidRPr="00A4767E">
        <w:t>might be ameliorated?</w:t>
      </w:r>
      <w:r w:rsidR="002875BD" w:rsidRPr="00A4767E">
        <w:t xml:space="preserve"> This could include consideration of other design issues in section 3, such as methods for allocation of allowances and use of revenues.</w:t>
      </w:r>
    </w:p>
    <w:p w14:paraId="5DC014FE" w14:textId="77777777" w:rsidR="00A600B4" w:rsidRPr="00A4767E" w:rsidRDefault="00A600B4" w:rsidP="005E6208">
      <w:pPr>
        <w:pStyle w:val="Norma"/>
      </w:pPr>
    </w:p>
    <w:p w14:paraId="10017935" w14:textId="2CF24784" w:rsidR="00675E72" w:rsidRPr="00A4767E" w:rsidRDefault="00A600B4" w:rsidP="005E6208">
      <w:pPr>
        <w:pStyle w:val="Norma"/>
      </w:pPr>
      <w:r w:rsidRPr="00A4767E">
        <w:t>In the time available we are not necessarily looking for a review of the literature to inform such assessment. But knowledge of the key evidence and literature on which to draw, and to support the assessment, will be required.</w:t>
      </w:r>
    </w:p>
    <w:p w14:paraId="3ED37318" w14:textId="77777777" w:rsidR="0057609A" w:rsidRPr="00A4767E" w:rsidRDefault="0057609A" w:rsidP="005E6208">
      <w:pPr>
        <w:pStyle w:val="Norma"/>
      </w:pPr>
    </w:p>
    <w:p w14:paraId="50F34013" w14:textId="2CEA4DA4" w:rsidR="0057609A" w:rsidRPr="00A4767E" w:rsidRDefault="0057609A" w:rsidP="005E6208">
      <w:pPr>
        <w:pStyle w:val="Norma"/>
        <w:rPr>
          <w:b/>
        </w:rPr>
      </w:pPr>
      <w:r w:rsidRPr="00A4767E">
        <w:rPr>
          <w:b/>
        </w:rPr>
        <w:t>Task 5: Overall recommendations</w:t>
      </w:r>
    </w:p>
    <w:p w14:paraId="1EEE095F" w14:textId="77777777" w:rsidR="0057609A" w:rsidRPr="00A4767E" w:rsidRDefault="0057609A" w:rsidP="005E6208">
      <w:pPr>
        <w:pStyle w:val="Norma"/>
      </w:pPr>
    </w:p>
    <w:p w14:paraId="33B15509" w14:textId="349D2624" w:rsidR="0057609A" w:rsidRPr="00A4767E" w:rsidRDefault="0057609A" w:rsidP="005E6208">
      <w:pPr>
        <w:pStyle w:val="Norma"/>
      </w:pPr>
      <w:r w:rsidRPr="00A4767E">
        <w:t xml:space="preserve">There is likely to be a degree of iteration between tasks 1-4. But emerging from these assessments </w:t>
      </w:r>
      <w:r w:rsidR="00A37D9F" w:rsidRPr="00A4767E">
        <w:t>-</w:t>
      </w:r>
      <w:r w:rsidR="002875BD" w:rsidRPr="00A4767E">
        <w:t xml:space="preserve"> and concurrent work on design and operational issues to which the contractor will contribute - </w:t>
      </w:r>
      <w:r w:rsidRPr="00A4767E">
        <w:t>we would seek to draw out key conclusions and recommendations for a UK scheme (whether standalone or linked to the EU</w:t>
      </w:r>
      <w:r w:rsidR="00A37D9F" w:rsidRPr="00A4767E">
        <w:t xml:space="preserve"> </w:t>
      </w:r>
      <w:r w:rsidRPr="00A4767E">
        <w:t>ETS).</w:t>
      </w:r>
    </w:p>
    <w:p w14:paraId="3D7ACB72" w14:textId="77777777" w:rsidR="0057609A" w:rsidRPr="00A4767E" w:rsidRDefault="0057609A" w:rsidP="005E6208">
      <w:pPr>
        <w:pStyle w:val="Norma"/>
      </w:pPr>
    </w:p>
    <w:p w14:paraId="3BEC3036" w14:textId="77777777" w:rsidR="0057609A" w:rsidRPr="00A4767E" w:rsidRDefault="0057609A" w:rsidP="005E6208">
      <w:pPr>
        <w:pStyle w:val="Norma"/>
      </w:pPr>
      <w:r w:rsidRPr="00A4767E">
        <w:t>We would expect those recommendations to cover:</w:t>
      </w:r>
    </w:p>
    <w:p w14:paraId="46E933A1" w14:textId="77777777" w:rsidR="0057609A" w:rsidRPr="00A4767E" w:rsidRDefault="0057609A" w:rsidP="005E6208">
      <w:pPr>
        <w:pStyle w:val="Norma"/>
      </w:pPr>
    </w:p>
    <w:p w14:paraId="4A25D4DC" w14:textId="01D2FC95" w:rsidR="0057609A" w:rsidRPr="00A4767E" w:rsidRDefault="0057609A" w:rsidP="0057609A">
      <w:pPr>
        <w:pStyle w:val="Norma"/>
        <w:numPr>
          <w:ilvl w:val="0"/>
          <w:numId w:val="32"/>
        </w:numPr>
      </w:pPr>
      <w:r w:rsidRPr="00A4767E">
        <w:t>the design and operational parameters set out in section 3;</w:t>
      </w:r>
    </w:p>
    <w:p w14:paraId="02BF5956" w14:textId="5EA1A0BD" w:rsidR="0057609A" w:rsidRPr="00A4767E" w:rsidRDefault="0057609A" w:rsidP="0057609A">
      <w:pPr>
        <w:pStyle w:val="Norma"/>
        <w:numPr>
          <w:ilvl w:val="0"/>
          <w:numId w:val="32"/>
        </w:numPr>
      </w:pPr>
      <w:r w:rsidRPr="00A4767E">
        <w:t>methodology and implications for inclusion of aviation;</w:t>
      </w:r>
    </w:p>
    <w:p w14:paraId="56E12B44" w14:textId="022F6223" w:rsidR="002875BD" w:rsidRPr="00A4767E" w:rsidRDefault="002875BD" w:rsidP="0057609A">
      <w:pPr>
        <w:pStyle w:val="Norma"/>
        <w:numPr>
          <w:ilvl w:val="0"/>
          <w:numId w:val="32"/>
        </w:numPr>
      </w:pPr>
      <w:r w:rsidRPr="00A4767E">
        <w:t>use of revenues to fund industrial deca</w:t>
      </w:r>
      <w:r w:rsidR="003A716C" w:rsidRPr="00A4767E">
        <w:t>r</w:t>
      </w:r>
      <w:r w:rsidRPr="00A4767E">
        <w:t>bonisation;</w:t>
      </w:r>
    </w:p>
    <w:p w14:paraId="1630866C" w14:textId="1847D5BB" w:rsidR="0057609A" w:rsidRPr="00A4767E" w:rsidRDefault="0057609A" w:rsidP="0057609A">
      <w:pPr>
        <w:pStyle w:val="Norma"/>
        <w:numPr>
          <w:ilvl w:val="0"/>
          <w:numId w:val="32"/>
        </w:numPr>
      </w:pPr>
      <w:r w:rsidRPr="00A4767E">
        <w:t>implications for the devolved administrations;</w:t>
      </w:r>
    </w:p>
    <w:p w14:paraId="79A05E1F" w14:textId="51DA845B" w:rsidR="0057609A" w:rsidRPr="00A4767E" w:rsidRDefault="0057609A" w:rsidP="0057609A">
      <w:pPr>
        <w:pStyle w:val="Norma"/>
        <w:numPr>
          <w:ilvl w:val="0"/>
          <w:numId w:val="32"/>
        </w:numPr>
      </w:pPr>
      <w:r w:rsidRPr="00A4767E">
        <w:t>implications for other UK policy instruments and for overall carbon prices (taking account of interactions with other instruments);</w:t>
      </w:r>
    </w:p>
    <w:p w14:paraId="65A2F562" w14:textId="4F6F8B3A" w:rsidR="002875BD" w:rsidRPr="00A4767E" w:rsidRDefault="002875BD" w:rsidP="0057609A">
      <w:pPr>
        <w:pStyle w:val="Norma"/>
        <w:numPr>
          <w:ilvl w:val="0"/>
          <w:numId w:val="32"/>
        </w:numPr>
      </w:pPr>
      <w:r w:rsidRPr="00A4767E">
        <w:t>overall implications for competitiveness</w:t>
      </w:r>
      <w:r w:rsidR="003A716C" w:rsidRPr="00A4767E">
        <w:t xml:space="preserve"> (taking account of design as a whole);</w:t>
      </w:r>
    </w:p>
    <w:p w14:paraId="34418D67" w14:textId="758121A1" w:rsidR="0057609A" w:rsidRPr="00A4767E" w:rsidRDefault="0057609A" w:rsidP="0057609A">
      <w:pPr>
        <w:pStyle w:val="Norma"/>
        <w:numPr>
          <w:ilvl w:val="0"/>
          <w:numId w:val="32"/>
        </w:numPr>
      </w:pPr>
      <w:r w:rsidRPr="00A4767E">
        <w:t>any practical issues attached to the transition to the new UK scheme;</w:t>
      </w:r>
    </w:p>
    <w:p w14:paraId="47146C07" w14:textId="73E39977" w:rsidR="0057609A" w:rsidRPr="00A4767E" w:rsidRDefault="00CF672D" w:rsidP="0057609A">
      <w:pPr>
        <w:pStyle w:val="Norma"/>
        <w:numPr>
          <w:ilvl w:val="0"/>
          <w:numId w:val="32"/>
        </w:numPr>
      </w:pPr>
      <w:proofErr w:type="gramStart"/>
      <w:r w:rsidRPr="00A4767E">
        <w:t>estimated</w:t>
      </w:r>
      <w:proofErr w:type="gramEnd"/>
      <w:r w:rsidRPr="00A4767E">
        <w:t xml:space="preserve"> UK abatement.</w:t>
      </w:r>
    </w:p>
    <w:p w14:paraId="40C5809B" w14:textId="77777777" w:rsidR="00CF672D" w:rsidRPr="00A4767E" w:rsidRDefault="00CF672D" w:rsidP="00CF672D">
      <w:pPr>
        <w:pStyle w:val="Norma"/>
      </w:pPr>
    </w:p>
    <w:p w14:paraId="069483DA" w14:textId="0BCD061A" w:rsidR="00CF672D" w:rsidRPr="00A4767E" w:rsidRDefault="00CF672D" w:rsidP="00CF672D">
      <w:pPr>
        <w:pStyle w:val="Norma"/>
      </w:pPr>
      <w:r w:rsidRPr="00A4767E">
        <w:t>It will also be necessary to cover practical issues attached to the tightening of the cap in a UK scheme over time (</w:t>
      </w:r>
      <w:proofErr w:type="spellStart"/>
      <w:r w:rsidRPr="00A4767E">
        <w:t>i.e</w:t>
      </w:r>
      <w:proofErr w:type="spellEnd"/>
      <w:r w:rsidRPr="00A4767E">
        <w:t xml:space="preserve"> practicality and mechanisms for tightening the cap beyond any level initially proposed). In particular, it is likely that this CCC advice will be provided before the UK, Scottish and Welsh government responses to CCC advice on the level of the UK’s long-term emission reduction targets are known</w:t>
      </w:r>
      <w:r w:rsidR="00A37D9F" w:rsidRPr="00A4767E">
        <w:t>.</w:t>
      </w:r>
      <w:r w:rsidRPr="00A4767E">
        <w:rPr>
          <w:rStyle w:val="FootnoteReference"/>
        </w:rPr>
        <w:footnoteReference w:id="3"/>
      </w:r>
      <w:r w:rsidRPr="00A4767E">
        <w:t xml:space="preserve"> It will be before CCC advice on the level of the 6</w:t>
      </w:r>
      <w:r w:rsidRPr="00A4767E">
        <w:rPr>
          <w:vertAlign w:val="superscript"/>
        </w:rPr>
        <w:t>th</w:t>
      </w:r>
      <w:r w:rsidRPr="00A4767E">
        <w:t xml:space="preserve"> carbon budget (2033-37) is provided (advice due by the end of 2020). Should that advice, and government decisions, imply a tightening of the trajectory beyond that required for the existing legislated budgets, how might that be best achieved?</w:t>
      </w:r>
    </w:p>
    <w:p w14:paraId="28A5741F" w14:textId="2DE5ADAF" w:rsidR="005E6208" w:rsidRPr="00A4767E" w:rsidRDefault="005E6208" w:rsidP="005E6208">
      <w:pPr>
        <w:pStyle w:val="Norma"/>
      </w:pPr>
      <w:r w:rsidRPr="00A4767E">
        <w:t xml:space="preserve">  </w:t>
      </w:r>
    </w:p>
    <w:p w14:paraId="6E6496BD" w14:textId="4277F9A3" w:rsidR="005E6208" w:rsidRPr="00A4767E" w:rsidRDefault="005E6208" w:rsidP="005E6208">
      <w:pPr>
        <w:pStyle w:val="Heading1"/>
        <w:numPr>
          <w:ilvl w:val="0"/>
          <w:numId w:val="3"/>
        </w:numPr>
        <w:rPr>
          <w:rFonts w:ascii="Arial" w:hAnsi="Arial" w:cs="Arial"/>
          <w:sz w:val="24"/>
          <w:szCs w:val="24"/>
        </w:rPr>
      </w:pPr>
      <w:r w:rsidRPr="00A4767E">
        <w:rPr>
          <w:rFonts w:ascii="Arial" w:hAnsi="Arial" w:cs="Arial"/>
          <w:sz w:val="24"/>
          <w:szCs w:val="24"/>
        </w:rPr>
        <w:t>Outputs Required and Timetable</w:t>
      </w:r>
    </w:p>
    <w:p w14:paraId="23F7B1D8" w14:textId="77777777" w:rsidR="005E6208" w:rsidRPr="00A4767E" w:rsidRDefault="005E6208" w:rsidP="005E6208">
      <w:pPr>
        <w:pStyle w:val="Norma"/>
      </w:pPr>
    </w:p>
    <w:bookmarkEnd w:id="12"/>
    <w:bookmarkEnd w:id="13"/>
    <w:bookmarkEnd w:id="14"/>
    <w:p w14:paraId="6C38745F" w14:textId="77777777" w:rsidR="008E4854" w:rsidRPr="00A4767E" w:rsidRDefault="008E4854" w:rsidP="008E4854">
      <w:pPr>
        <w:pStyle w:val="Norma"/>
      </w:pPr>
    </w:p>
    <w:p w14:paraId="43CF41D9" w14:textId="77777777" w:rsidR="008E4854" w:rsidRPr="00A4767E" w:rsidRDefault="008E4854" w:rsidP="008E4854">
      <w:pPr>
        <w:rPr>
          <w:rFonts w:ascii="Arial" w:hAnsi="Arial" w:cs="Arial"/>
          <w:sz w:val="22"/>
          <w:szCs w:val="22"/>
        </w:rPr>
      </w:pPr>
      <w:r w:rsidRPr="00A4767E">
        <w:rPr>
          <w:rFonts w:ascii="Arial" w:hAnsi="Arial" w:cs="Arial"/>
          <w:sz w:val="22"/>
          <w:szCs w:val="22"/>
        </w:rPr>
        <w:t>The outputs from the project will include:</w:t>
      </w:r>
    </w:p>
    <w:p w14:paraId="738B9F2A" w14:textId="77777777" w:rsidR="00A37D9F" w:rsidRPr="00A4767E" w:rsidRDefault="00A37D9F" w:rsidP="008E4854">
      <w:pPr>
        <w:rPr>
          <w:rFonts w:ascii="Arial" w:hAnsi="Arial" w:cs="Arial"/>
          <w:sz w:val="22"/>
          <w:szCs w:val="22"/>
        </w:rPr>
      </w:pPr>
    </w:p>
    <w:p w14:paraId="4DD562A7" w14:textId="50C69F60" w:rsidR="00CF672D" w:rsidRPr="00A4767E" w:rsidRDefault="00CF672D" w:rsidP="008E4854">
      <w:pPr>
        <w:pStyle w:val="ListParagraph"/>
        <w:numPr>
          <w:ilvl w:val="0"/>
          <w:numId w:val="7"/>
        </w:numPr>
        <w:rPr>
          <w:i/>
        </w:rPr>
      </w:pPr>
      <w:r w:rsidRPr="00A4767E">
        <w:rPr>
          <w:rFonts w:ascii="Arial" w:hAnsi="Arial" w:cs="Arial"/>
        </w:rPr>
        <w:t>Interim advice throughout the contract period to CCC to inform secretariat and Committee considerations.</w:t>
      </w:r>
    </w:p>
    <w:p w14:paraId="5C829A56" w14:textId="048EA4EC" w:rsidR="001919F1" w:rsidRPr="00A4767E" w:rsidRDefault="001919F1" w:rsidP="008E4854">
      <w:pPr>
        <w:pStyle w:val="ListParagraph"/>
        <w:numPr>
          <w:ilvl w:val="0"/>
          <w:numId w:val="7"/>
        </w:numPr>
        <w:rPr>
          <w:i/>
        </w:rPr>
      </w:pPr>
      <w:r w:rsidRPr="00A4767E">
        <w:rPr>
          <w:rFonts w:ascii="Arial" w:hAnsi="Arial" w:cs="Arial"/>
        </w:rPr>
        <w:t>(Possible) preparation of presentations to the Committee to inform its advice.</w:t>
      </w:r>
    </w:p>
    <w:p w14:paraId="0904EE3F" w14:textId="6F5991A7" w:rsidR="001919F1" w:rsidRPr="00A4767E" w:rsidRDefault="001919F1" w:rsidP="008E4854">
      <w:pPr>
        <w:pStyle w:val="ListParagraph"/>
        <w:numPr>
          <w:ilvl w:val="0"/>
          <w:numId w:val="7"/>
        </w:numPr>
        <w:rPr>
          <w:i/>
        </w:rPr>
      </w:pPr>
      <w:r w:rsidRPr="00A4767E">
        <w:rPr>
          <w:rFonts w:ascii="Arial" w:hAnsi="Arial" w:cs="Arial"/>
        </w:rPr>
        <w:t>A final report, pulling together key analysis to accompany (on-line or as an annex) Committee advice to the UK Government.</w:t>
      </w:r>
    </w:p>
    <w:p w14:paraId="12127885" w14:textId="2BF685B7" w:rsidR="008E4854" w:rsidRPr="00A4767E" w:rsidRDefault="008E4854" w:rsidP="003F4601">
      <w:pPr>
        <w:rPr>
          <w:rFonts w:ascii="Arial" w:hAnsi="Arial" w:cs="Arial"/>
          <w:sz w:val="22"/>
          <w:szCs w:val="22"/>
        </w:rPr>
      </w:pPr>
      <w:r w:rsidRPr="00A4767E">
        <w:rPr>
          <w:rFonts w:ascii="Arial" w:hAnsi="Arial" w:cs="Arial"/>
          <w:sz w:val="22"/>
          <w:szCs w:val="22"/>
        </w:rPr>
        <w:t xml:space="preserve">The proposed timetable for the project is set out in the following table. </w:t>
      </w:r>
    </w:p>
    <w:p w14:paraId="10118152" w14:textId="77777777" w:rsidR="00A37D9F" w:rsidRPr="00A4767E" w:rsidRDefault="00A37D9F" w:rsidP="003F4601">
      <w:pPr>
        <w:rPr>
          <w:rFonts w:ascii="Arial" w:hAnsi="Arial" w:cs="Arial"/>
          <w:sz w:val="22"/>
          <w:szCs w:val="22"/>
        </w:rPr>
      </w:pPr>
    </w:p>
    <w:p w14:paraId="0A9AE68E" w14:textId="77777777" w:rsidR="00A37D9F" w:rsidRPr="00A4767E" w:rsidRDefault="00A37D9F" w:rsidP="003F4601">
      <w:pPr>
        <w:rPr>
          <w:rFonts w:ascii="Arial" w:hAnsi="Arial" w:cs="Arial"/>
        </w:rPr>
      </w:pPr>
    </w:p>
    <w:tbl>
      <w:tblPr>
        <w:tblStyle w:val="TableGrid"/>
        <w:tblW w:w="0" w:type="auto"/>
        <w:tblLook w:val="04A0" w:firstRow="1" w:lastRow="0" w:firstColumn="1" w:lastColumn="0" w:noHBand="0" w:noVBand="1"/>
      </w:tblPr>
      <w:tblGrid>
        <w:gridCol w:w="4491"/>
        <w:gridCol w:w="4525"/>
      </w:tblGrid>
      <w:tr w:rsidR="00A4767E" w:rsidRPr="00A4767E" w14:paraId="3B1CAD03" w14:textId="77777777" w:rsidTr="000E74A8">
        <w:tc>
          <w:tcPr>
            <w:tcW w:w="4491" w:type="dxa"/>
            <w:shd w:val="clear" w:color="auto" w:fill="A6A6A6" w:themeFill="background1" w:themeFillShade="A6"/>
          </w:tcPr>
          <w:p w14:paraId="6F802853" w14:textId="156247AF" w:rsidR="008E4854" w:rsidRPr="00A4767E" w:rsidRDefault="008E4854" w:rsidP="008E4854">
            <w:pPr>
              <w:rPr>
                <w:rFonts w:ascii="Arial" w:hAnsi="Arial" w:cs="Arial"/>
                <w:b/>
              </w:rPr>
            </w:pPr>
            <w:r w:rsidRPr="00A4767E">
              <w:rPr>
                <w:rFonts w:ascii="Arial" w:hAnsi="Arial" w:cs="Arial"/>
                <w:b/>
              </w:rPr>
              <w:t>Date</w:t>
            </w:r>
          </w:p>
        </w:tc>
        <w:tc>
          <w:tcPr>
            <w:tcW w:w="4525" w:type="dxa"/>
            <w:shd w:val="clear" w:color="auto" w:fill="A6A6A6" w:themeFill="background1" w:themeFillShade="A6"/>
          </w:tcPr>
          <w:p w14:paraId="2297F848" w14:textId="7664D292" w:rsidR="008E4854" w:rsidRPr="00A4767E" w:rsidRDefault="008E4854" w:rsidP="008E4854">
            <w:pPr>
              <w:rPr>
                <w:rFonts w:ascii="Arial" w:hAnsi="Arial" w:cs="Arial"/>
                <w:b/>
              </w:rPr>
            </w:pPr>
            <w:r w:rsidRPr="00A4767E">
              <w:rPr>
                <w:rFonts w:ascii="Arial" w:hAnsi="Arial" w:cs="Arial"/>
                <w:b/>
              </w:rPr>
              <w:t>Action/Deliverable</w:t>
            </w:r>
          </w:p>
        </w:tc>
      </w:tr>
      <w:tr w:rsidR="00A4767E" w:rsidRPr="00A4767E" w14:paraId="01A57543" w14:textId="77777777" w:rsidTr="000E74A8">
        <w:tc>
          <w:tcPr>
            <w:tcW w:w="4491" w:type="dxa"/>
          </w:tcPr>
          <w:p w14:paraId="2C252115" w14:textId="40D691BD" w:rsidR="008E4854" w:rsidRPr="00A4767E" w:rsidRDefault="003A716C" w:rsidP="00A83CC9">
            <w:pPr>
              <w:rPr>
                <w:rFonts w:ascii="Arial" w:hAnsi="Arial" w:cs="Arial"/>
              </w:rPr>
            </w:pPr>
            <w:r w:rsidRPr="00A4767E">
              <w:rPr>
                <w:rFonts w:ascii="Arial" w:hAnsi="Arial" w:cs="Arial"/>
              </w:rPr>
              <w:t>2</w:t>
            </w:r>
            <w:r w:rsidR="00A83CC9" w:rsidRPr="00A4767E">
              <w:rPr>
                <w:rFonts w:ascii="Arial" w:hAnsi="Arial" w:cs="Arial"/>
              </w:rPr>
              <w:t>7</w:t>
            </w:r>
            <w:r w:rsidR="001919F1" w:rsidRPr="00A4767E">
              <w:rPr>
                <w:rFonts w:ascii="Arial" w:hAnsi="Arial" w:cs="Arial"/>
              </w:rPr>
              <w:t xml:space="preserve"> May</w:t>
            </w:r>
            <w:r w:rsidR="00BA314D" w:rsidRPr="00A4767E">
              <w:rPr>
                <w:rFonts w:ascii="Arial" w:hAnsi="Arial" w:cs="Arial"/>
              </w:rPr>
              <w:t xml:space="preserve"> </w:t>
            </w:r>
          </w:p>
        </w:tc>
        <w:tc>
          <w:tcPr>
            <w:tcW w:w="4525" w:type="dxa"/>
          </w:tcPr>
          <w:p w14:paraId="2772FECB" w14:textId="73AECF21" w:rsidR="008E4854" w:rsidRPr="00A4767E" w:rsidRDefault="000E74A8" w:rsidP="000E74A8">
            <w:pPr>
              <w:rPr>
                <w:rFonts w:ascii="Arial" w:hAnsi="Arial" w:cs="Arial"/>
              </w:rPr>
            </w:pPr>
            <w:r w:rsidRPr="00A4767E">
              <w:rPr>
                <w:rFonts w:ascii="Arial" w:hAnsi="Arial" w:cs="Arial"/>
              </w:rPr>
              <w:t>Deadline for responses to tender</w:t>
            </w:r>
          </w:p>
        </w:tc>
      </w:tr>
      <w:tr w:rsidR="00A4767E" w:rsidRPr="00A4767E" w14:paraId="15CF8AA2" w14:textId="77777777" w:rsidTr="000E74A8">
        <w:tc>
          <w:tcPr>
            <w:tcW w:w="4491" w:type="dxa"/>
          </w:tcPr>
          <w:p w14:paraId="2BE1B66A" w14:textId="3F69EAEC" w:rsidR="008E4854" w:rsidRPr="00A4767E" w:rsidRDefault="00512123" w:rsidP="003A716C">
            <w:pPr>
              <w:rPr>
                <w:rFonts w:ascii="Arial" w:hAnsi="Arial" w:cs="Arial"/>
              </w:rPr>
            </w:pPr>
            <w:r>
              <w:rPr>
                <w:rFonts w:ascii="Arial" w:hAnsi="Arial" w:cs="Arial"/>
              </w:rPr>
              <w:t>w/c</w:t>
            </w:r>
            <w:r w:rsidR="001919F1" w:rsidRPr="00A4767E">
              <w:rPr>
                <w:rFonts w:ascii="Arial" w:hAnsi="Arial" w:cs="Arial"/>
              </w:rPr>
              <w:t xml:space="preserve"> </w:t>
            </w:r>
            <w:r w:rsidR="003A716C" w:rsidRPr="00A4767E">
              <w:rPr>
                <w:rFonts w:ascii="Arial" w:hAnsi="Arial" w:cs="Arial"/>
              </w:rPr>
              <w:t>27</w:t>
            </w:r>
            <w:r w:rsidR="00AB5BCA" w:rsidRPr="00A4767E">
              <w:rPr>
                <w:rFonts w:ascii="Arial" w:hAnsi="Arial" w:cs="Arial"/>
              </w:rPr>
              <w:t xml:space="preserve"> Ma</w:t>
            </w:r>
            <w:r w:rsidR="00BA314D" w:rsidRPr="00A4767E">
              <w:rPr>
                <w:rFonts w:ascii="Arial" w:hAnsi="Arial" w:cs="Arial"/>
              </w:rPr>
              <w:t>y</w:t>
            </w:r>
          </w:p>
        </w:tc>
        <w:tc>
          <w:tcPr>
            <w:tcW w:w="4525" w:type="dxa"/>
          </w:tcPr>
          <w:p w14:paraId="0D1FBE2D" w14:textId="2229FA12" w:rsidR="008E4854" w:rsidRPr="00A4767E" w:rsidRDefault="00BA314D" w:rsidP="008E4854">
            <w:pPr>
              <w:rPr>
                <w:rFonts w:ascii="Arial" w:hAnsi="Arial" w:cs="Arial"/>
              </w:rPr>
            </w:pPr>
            <w:r w:rsidRPr="00A4767E">
              <w:rPr>
                <w:rFonts w:ascii="Arial" w:hAnsi="Arial" w:cs="Arial"/>
              </w:rPr>
              <w:t>Interviews</w:t>
            </w:r>
          </w:p>
        </w:tc>
      </w:tr>
      <w:tr w:rsidR="00A4767E" w:rsidRPr="00A4767E" w14:paraId="3B930D9E" w14:textId="77777777" w:rsidTr="000E74A8">
        <w:tc>
          <w:tcPr>
            <w:tcW w:w="4491" w:type="dxa"/>
          </w:tcPr>
          <w:p w14:paraId="56062ADD" w14:textId="160DB614" w:rsidR="008E4854" w:rsidRPr="00A4767E" w:rsidRDefault="00AB5BCA" w:rsidP="003A716C">
            <w:pPr>
              <w:rPr>
                <w:rFonts w:ascii="Arial" w:hAnsi="Arial" w:cs="Arial"/>
              </w:rPr>
            </w:pPr>
            <w:r w:rsidRPr="00A4767E">
              <w:rPr>
                <w:rFonts w:ascii="Arial" w:hAnsi="Arial" w:cs="Arial"/>
              </w:rPr>
              <w:t xml:space="preserve">Asap after </w:t>
            </w:r>
            <w:r w:rsidR="003A716C" w:rsidRPr="00A4767E">
              <w:rPr>
                <w:rFonts w:ascii="Arial" w:hAnsi="Arial" w:cs="Arial"/>
              </w:rPr>
              <w:t>27</w:t>
            </w:r>
            <w:r w:rsidRPr="00A4767E">
              <w:rPr>
                <w:rFonts w:ascii="Arial" w:hAnsi="Arial" w:cs="Arial"/>
              </w:rPr>
              <w:t xml:space="preserve"> May decision</w:t>
            </w:r>
          </w:p>
        </w:tc>
        <w:tc>
          <w:tcPr>
            <w:tcW w:w="4525" w:type="dxa"/>
          </w:tcPr>
          <w:p w14:paraId="45A73B19" w14:textId="270EED25" w:rsidR="008E4854" w:rsidRPr="00A4767E" w:rsidRDefault="00AB5BCA" w:rsidP="00AB5BCA">
            <w:pPr>
              <w:rPr>
                <w:rFonts w:ascii="Arial" w:hAnsi="Arial" w:cs="Arial"/>
              </w:rPr>
            </w:pPr>
            <w:r w:rsidRPr="00A4767E">
              <w:rPr>
                <w:rFonts w:ascii="Arial" w:hAnsi="Arial" w:cs="Arial"/>
              </w:rPr>
              <w:t>Start work with CCC</w:t>
            </w:r>
          </w:p>
        </w:tc>
      </w:tr>
      <w:tr w:rsidR="00E07B7A" w:rsidRPr="00A4767E" w14:paraId="54AA933C" w14:textId="77777777" w:rsidTr="000E74A8">
        <w:tc>
          <w:tcPr>
            <w:tcW w:w="4491" w:type="dxa"/>
          </w:tcPr>
          <w:p w14:paraId="67791013" w14:textId="2A05F4EA" w:rsidR="00E07B7A" w:rsidRPr="00A4767E" w:rsidRDefault="003A716C" w:rsidP="003A716C">
            <w:pPr>
              <w:rPr>
                <w:rFonts w:ascii="Arial" w:hAnsi="Arial" w:cs="Arial"/>
              </w:rPr>
            </w:pPr>
            <w:r w:rsidRPr="00A4767E">
              <w:rPr>
                <w:rFonts w:ascii="Arial" w:hAnsi="Arial" w:cs="Arial"/>
              </w:rPr>
              <w:t>End</w:t>
            </w:r>
            <w:r w:rsidR="001919F1" w:rsidRPr="00A4767E">
              <w:rPr>
                <w:rFonts w:ascii="Arial" w:hAnsi="Arial" w:cs="Arial"/>
              </w:rPr>
              <w:t>-July</w:t>
            </w:r>
          </w:p>
        </w:tc>
        <w:tc>
          <w:tcPr>
            <w:tcW w:w="4525" w:type="dxa"/>
          </w:tcPr>
          <w:p w14:paraId="2A6A8CDC" w14:textId="41917899" w:rsidR="00E07B7A" w:rsidRPr="00A4767E" w:rsidRDefault="00E07B7A" w:rsidP="00A37D9F">
            <w:pPr>
              <w:rPr>
                <w:rFonts w:ascii="Arial" w:hAnsi="Arial" w:cs="Arial"/>
              </w:rPr>
            </w:pPr>
            <w:r w:rsidRPr="00A4767E">
              <w:rPr>
                <w:rFonts w:ascii="Arial" w:hAnsi="Arial" w:cs="Arial"/>
              </w:rPr>
              <w:t>CCC</w:t>
            </w:r>
            <w:r w:rsidR="001919F1" w:rsidRPr="00A4767E">
              <w:rPr>
                <w:rFonts w:ascii="Arial" w:hAnsi="Arial" w:cs="Arial"/>
              </w:rPr>
              <w:t xml:space="preserve"> advice to UK Government – to be accompanied by final report</w:t>
            </w:r>
          </w:p>
        </w:tc>
      </w:tr>
    </w:tbl>
    <w:p w14:paraId="69A641F5" w14:textId="2FF747F0" w:rsidR="008E4854" w:rsidRPr="00A4767E" w:rsidRDefault="008E4854" w:rsidP="008E4854">
      <w:pPr>
        <w:rPr>
          <w:rFonts w:ascii="Arial" w:hAnsi="Arial" w:cs="Arial"/>
          <w:sz w:val="22"/>
          <w:szCs w:val="22"/>
        </w:rPr>
      </w:pPr>
    </w:p>
    <w:p w14:paraId="5EA87562" w14:textId="77777777" w:rsidR="006700D3" w:rsidRPr="00A4767E" w:rsidRDefault="00936F29" w:rsidP="005E6208">
      <w:pPr>
        <w:pStyle w:val="Heading1"/>
        <w:numPr>
          <w:ilvl w:val="0"/>
          <w:numId w:val="3"/>
        </w:numPr>
        <w:rPr>
          <w:rFonts w:ascii="Arial" w:hAnsi="Arial" w:cs="Arial"/>
          <w:sz w:val="24"/>
          <w:szCs w:val="24"/>
        </w:rPr>
      </w:pPr>
      <w:bookmarkStart w:id="15" w:name="_Ref373505205"/>
      <w:bookmarkStart w:id="16" w:name="_Ref357541720"/>
      <w:r w:rsidRPr="00A4767E">
        <w:rPr>
          <w:rFonts w:ascii="Arial" w:hAnsi="Arial" w:cs="Arial"/>
          <w:sz w:val="24"/>
          <w:szCs w:val="24"/>
        </w:rPr>
        <w:t>Quality Assurance</w:t>
      </w:r>
      <w:r w:rsidR="00AB7905" w:rsidRPr="00A4767E">
        <w:rPr>
          <w:rFonts w:ascii="Arial" w:hAnsi="Arial" w:cs="Arial"/>
          <w:sz w:val="24"/>
          <w:szCs w:val="24"/>
        </w:rPr>
        <w:t xml:space="preserve"> </w:t>
      </w:r>
      <w:bookmarkEnd w:id="15"/>
    </w:p>
    <w:p w14:paraId="7C05295D" w14:textId="77777777" w:rsidR="00DD521A" w:rsidRPr="00A4767E" w:rsidRDefault="00DD521A" w:rsidP="00DD521A">
      <w:pPr>
        <w:pStyle w:val="Norma"/>
      </w:pPr>
    </w:p>
    <w:p w14:paraId="0F6DDE39" w14:textId="4B0F25B5" w:rsidR="00DD521A" w:rsidRPr="00A4767E" w:rsidRDefault="007524CC" w:rsidP="00DD521A">
      <w:pPr>
        <w:pStyle w:val="Norma"/>
      </w:pPr>
      <w:r w:rsidRPr="00A4767E">
        <w:t>All research tasks and modelling must be quality assured and documented. Contractors should:</w:t>
      </w:r>
    </w:p>
    <w:p w14:paraId="52397E29" w14:textId="77777777" w:rsidR="00D567A8" w:rsidRPr="00A4767E" w:rsidRDefault="00D567A8" w:rsidP="00DD521A">
      <w:pPr>
        <w:pStyle w:val="Norma"/>
      </w:pPr>
    </w:p>
    <w:p w14:paraId="17419C20" w14:textId="385FC682" w:rsidR="007524CC" w:rsidRPr="00A4767E" w:rsidRDefault="007524CC" w:rsidP="007524CC">
      <w:pPr>
        <w:pStyle w:val="Norma"/>
        <w:numPr>
          <w:ilvl w:val="0"/>
          <w:numId w:val="8"/>
        </w:numPr>
      </w:pPr>
      <w:r w:rsidRPr="00A4767E">
        <w:t xml:space="preserve">Include a quality assurance (QA) plan that they will apply to the </w:t>
      </w:r>
      <w:r w:rsidR="009C2C67" w:rsidRPr="00A4767E">
        <w:t xml:space="preserve">analysis and any </w:t>
      </w:r>
      <w:r w:rsidRPr="00A4767E">
        <w:t>modelling</w:t>
      </w:r>
    </w:p>
    <w:p w14:paraId="52023289" w14:textId="37053D6C" w:rsidR="007524CC" w:rsidRPr="00A4767E" w:rsidRDefault="007524CC" w:rsidP="007524CC">
      <w:pPr>
        <w:pStyle w:val="Norma"/>
        <w:numPr>
          <w:ilvl w:val="0"/>
          <w:numId w:val="8"/>
        </w:numPr>
      </w:pPr>
      <w:r w:rsidRPr="00A4767E">
        <w:t xml:space="preserve">Specify who will take lead responsibility for ensuring quality assurance. This responsibility should rest with an individual not directly involved in the research, analysis or model development. </w:t>
      </w:r>
    </w:p>
    <w:p w14:paraId="7B2AE0F6" w14:textId="54CABA98" w:rsidR="007524CC" w:rsidRPr="00A4767E" w:rsidRDefault="007524CC" w:rsidP="007524CC">
      <w:pPr>
        <w:pStyle w:val="Norma"/>
        <w:numPr>
          <w:ilvl w:val="0"/>
          <w:numId w:val="8"/>
        </w:numPr>
      </w:pPr>
      <w:r w:rsidRPr="00A4767E">
        <w:t xml:space="preserve">Provide a QA log to demonstrate the QA undertaken, which must identify who undertook the QA and the scope, type and level of QA that has been undertaken. </w:t>
      </w:r>
    </w:p>
    <w:p w14:paraId="48ABF25C" w14:textId="77777777" w:rsidR="007524CC" w:rsidRPr="00A4767E" w:rsidRDefault="007524CC" w:rsidP="007524CC">
      <w:pPr>
        <w:pStyle w:val="Norma"/>
      </w:pPr>
    </w:p>
    <w:p w14:paraId="077D7EBB" w14:textId="46E6689D" w:rsidR="007524CC" w:rsidRPr="00A4767E" w:rsidRDefault="007524CC" w:rsidP="007524CC">
      <w:pPr>
        <w:pStyle w:val="Norma"/>
      </w:pPr>
      <w:r w:rsidRPr="00A4767E">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10482CEC" w14:textId="77777777" w:rsidR="007524CC" w:rsidRPr="00A4767E" w:rsidRDefault="007524CC" w:rsidP="007524CC">
      <w:pPr>
        <w:pStyle w:val="Norma"/>
      </w:pPr>
    </w:p>
    <w:p w14:paraId="3BF02410" w14:textId="06A45AD9" w:rsidR="007524CC" w:rsidRPr="00A4767E" w:rsidRDefault="007524CC" w:rsidP="007524CC">
      <w:pPr>
        <w:pStyle w:val="Norma"/>
      </w:pPr>
      <w:r w:rsidRPr="00A4767E">
        <w:t xml:space="preserve">The successful bidder will be responsible for any work supplied by sub-contractors and should therefore provide assurance that all work in the contact is undertaken in accordance with the quality assurance expectation agreed at the beginning of the project. </w:t>
      </w:r>
    </w:p>
    <w:p w14:paraId="5F121C0B" w14:textId="77777777" w:rsidR="007524CC" w:rsidRPr="00A4767E" w:rsidRDefault="007524CC" w:rsidP="007524CC">
      <w:pPr>
        <w:pStyle w:val="Norma"/>
        <w:ind w:left="360"/>
      </w:pPr>
    </w:p>
    <w:bookmarkEnd w:id="16"/>
    <w:p w14:paraId="72044152" w14:textId="5C006953" w:rsidR="00DD521A" w:rsidRPr="00A4767E" w:rsidRDefault="007524CC" w:rsidP="007963DA">
      <w:pPr>
        <w:pStyle w:val="Norma"/>
      </w:pPr>
      <w:r w:rsidRPr="00A4767E">
        <w:t>The CCC expects that:</w:t>
      </w:r>
    </w:p>
    <w:p w14:paraId="02A9C0B1" w14:textId="77777777" w:rsidR="00D567A8" w:rsidRPr="00A4767E" w:rsidRDefault="00D567A8" w:rsidP="007963DA">
      <w:pPr>
        <w:pStyle w:val="Norma"/>
      </w:pPr>
    </w:p>
    <w:p w14:paraId="30A5C520" w14:textId="22EE0B01" w:rsidR="007524CC" w:rsidRPr="00A4767E" w:rsidRDefault="007524CC" w:rsidP="007524CC">
      <w:pPr>
        <w:pStyle w:val="Norma"/>
        <w:numPr>
          <w:ilvl w:val="0"/>
          <w:numId w:val="9"/>
        </w:numPr>
      </w:pPr>
      <w:r w:rsidRPr="00A4767E">
        <w:t xml:space="preserve">Economic analysis must be delivered in a simple, transparent Excel spreadsheet, where key assumptions (agreed with the CCC) can be varied. All assumptions and figures should be adequately referenced, and include any supporting workings. This spreadsheet will be the property of the CCC. </w:t>
      </w:r>
    </w:p>
    <w:p w14:paraId="2128ED72" w14:textId="3A681131" w:rsidR="007524CC" w:rsidRPr="00A4767E" w:rsidRDefault="007524CC" w:rsidP="007524CC">
      <w:pPr>
        <w:pStyle w:val="Norma"/>
        <w:numPr>
          <w:ilvl w:val="0"/>
          <w:numId w:val="9"/>
        </w:numPr>
      </w:pPr>
      <w:r w:rsidRPr="00A4767E">
        <w:t xml:space="preserve">Existing analysis and work regarding technical challenges and deployment constraints should be reviewed (e.g. including technology options and barriers developed by the CCC) and incorporated into this assignment. </w:t>
      </w:r>
    </w:p>
    <w:p w14:paraId="5EA87566" w14:textId="77777777" w:rsidR="002F59AC" w:rsidRPr="00A4767E" w:rsidRDefault="004C7039" w:rsidP="005E6208">
      <w:pPr>
        <w:pStyle w:val="Heading1"/>
        <w:numPr>
          <w:ilvl w:val="0"/>
          <w:numId w:val="3"/>
        </w:numPr>
        <w:rPr>
          <w:rFonts w:ascii="Arial" w:hAnsi="Arial" w:cs="Arial"/>
          <w:sz w:val="24"/>
          <w:szCs w:val="24"/>
        </w:rPr>
      </w:pPr>
      <w:bookmarkStart w:id="17" w:name="_Ref357541731"/>
      <w:bookmarkStart w:id="18" w:name="_Toc381969514"/>
      <w:bookmarkStart w:id="19" w:name="_Toc405888463"/>
      <w:r w:rsidRPr="00A4767E">
        <w:rPr>
          <w:rFonts w:ascii="Arial" w:hAnsi="Arial" w:cs="Arial"/>
          <w:sz w:val="24"/>
          <w:szCs w:val="24"/>
        </w:rPr>
        <w:t>C</w:t>
      </w:r>
      <w:r w:rsidR="002F59AC" w:rsidRPr="00A4767E">
        <w:rPr>
          <w:rFonts w:ascii="Arial" w:hAnsi="Arial" w:cs="Arial"/>
          <w:sz w:val="24"/>
          <w:szCs w:val="24"/>
        </w:rPr>
        <w:t>hallenges</w:t>
      </w:r>
      <w:bookmarkEnd w:id="17"/>
      <w:bookmarkEnd w:id="18"/>
      <w:bookmarkEnd w:id="19"/>
    </w:p>
    <w:p w14:paraId="4551F8F4" w14:textId="77777777" w:rsidR="00D567A8" w:rsidRPr="00A4767E" w:rsidRDefault="00D567A8" w:rsidP="00A4767E">
      <w:pPr>
        <w:pStyle w:val="Norma"/>
      </w:pPr>
    </w:p>
    <w:p w14:paraId="0AF0870C" w14:textId="487988F6" w:rsidR="002F4596" w:rsidRPr="00A4767E" w:rsidRDefault="002F4596" w:rsidP="00DD521A">
      <w:pPr>
        <w:pStyle w:val="Norma"/>
      </w:pPr>
      <w:r w:rsidRPr="00A4767E">
        <w:t xml:space="preserve">Tenderers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 </w:t>
      </w:r>
    </w:p>
    <w:p w14:paraId="5EA87567" w14:textId="77777777" w:rsidR="00585DA5" w:rsidRPr="00A4767E" w:rsidRDefault="00585DA5" w:rsidP="007963DA">
      <w:pPr>
        <w:pStyle w:val="Norma"/>
        <w:jc w:val="both"/>
        <w:rPr>
          <w:rFonts w:cs="Arial"/>
          <w:b/>
          <w:bCs/>
          <w:iCs/>
          <w:sz w:val="24"/>
          <w:szCs w:val="24"/>
        </w:rPr>
      </w:pPr>
    </w:p>
    <w:p w14:paraId="5EA87572" w14:textId="77777777" w:rsidR="00D75586" w:rsidRPr="00A4767E" w:rsidRDefault="00D75586" w:rsidP="002D32D5">
      <w:pPr>
        <w:pStyle w:val="ListParagraph"/>
        <w:spacing w:after="0" w:line="240" w:lineRule="auto"/>
        <w:ind w:left="0"/>
        <w:contextualSpacing w:val="0"/>
        <w:jc w:val="both"/>
        <w:rPr>
          <w:rFonts w:ascii="Arial" w:hAnsi="Arial" w:cs="Arial"/>
          <w:sz w:val="24"/>
          <w:szCs w:val="24"/>
        </w:rPr>
      </w:pPr>
      <w:bookmarkStart w:id="20" w:name="_Toc271272913"/>
    </w:p>
    <w:p w14:paraId="74C87A63" w14:textId="77777777" w:rsidR="00D567A8" w:rsidRPr="00A4767E" w:rsidRDefault="00D567A8" w:rsidP="002D32D5">
      <w:pPr>
        <w:pStyle w:val="ListParagraph"/>
        <w:spacing w:after="0" w:line="240" w:lineRule="auto"/>
        <w:ind w:left="0"/>
        <w:contextualSpacing w:val="0"/>
        <w:jc w:val="both"/>
        <w:rPr>
          <w:rFonts w:ascii="Arial" w:hAnsi="Arial" w:cs="Arial"/>
          <w:sz w:val="24"/>
          <w:szCs w:val="24"/>
        </w:rPr>
      </w:pPr>
    </w:p>
    <w:p w14:paraId="6DAAE668" w14:textId="77777777" w:rsidR="00D567A8" w:rsidRPr="00A4767E" w:rsidRDefault="00D567A8"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A4767E" w:rsidRDefault="00E070AD" w:rsidP="005E6208">
      <w:pPr>
        <w:pStyle w:val="Heading1"/>
        <w:numPr>
          <w:ilvl w:val="0"/>
          <w:numId w:val="3"/>
        </w:numPr>
        <w:rPr>
          <w:rFonts w:ascii="Arial" w:hAnsi="Arial" w:cs="Arial"/>
          <w:sz w:val="24"/>
          <w:szCs w:val="24"/>
        </w:rPr>
      </w:pPr>
      <w:bookmarkStart w:id="21" w:name="_Ref338852517"/>
      <w:bookmarkStart w:id="22" w:name="_Toc381969516"/>
      <w:bookmarkStart w:id="23" w:name="_Toc405888465"/>
      <w:bookmarkEnd w:id="20"/>
      <w:r w:rsidRPr="00A4767E">
        <w:rPr>
          <w:rFonts w:ascii="Arial" w:hAnsi="Arial" w:cs="Arial"/>
          <w:sz w:val="24"/>
          <w:szCs w:val="24"/>
        </w:rPr>
        <w:lastRenderedPageBreak/>
        <w:t>Working Arrangements</w:t>
      </w:r>
      <w:bookmarkEnd w:id="21"/>
      <w:bookmarkEnd w:id="22"/>
      <w:bookmarkEnd w:id="23"/>
    </w:p>
    <w:p w14:paraId="5EA87574" w14:textId="77777777" w:rsidR="00AA62E8" w:rsidRPr="00A4767E" w:rsidRDefault="00AA62E8" w:rsidP="005A7FBC">
      <w:pPr>
        <w:pStyle w:val="Norma"/>
        <w:jc w:val="both"/>
        <w:rPr>
          <w:rFonts w:cs="Arial"/>
          <w:b/>
          <w:bCs/>
          <w:iCs/>
          <w:sz w:val="24"/>
          <w:szCs w:val="24"/>
        </w:rPr>
      </w:pPr>
    </w:p>
    <w:p w14:paraId="7B38FA3C" w14:textId="2557566C" w:rsidR="00F5143B" w:rsidRPr="00A4767E" w:rsidRDefault="00AA62E8" w:rsidP="00293D12">
      <w:pPr>
        <w:pStyle w:val="Norma"/>
        <w:ind w:left="360"/>
        <w:jc w:val="both"/>
        <w:rPr>
          <w:rFonts w:cs="Arial"/>
          <w:bCs/>
          <w:sz w:val="24"/>
          <w:szCs w:val="24"/>
        </w:rPr>
      </w:pPr>
      <w:r w:rsidRPr="00A4767E">
        <w:rPr>
          <w:rFonts w:cs="Arial"/>
          <w:bCs/>
          <w:sz w:val="24"/>
          <w:szCs w:val="24"/>
        </w:rPr>
        <w:t>The successful contrac</w:t>
      </w:r>
      <w:r w:rsidR="00F5143B" w:rsidRPr="00A4767E">
        <w:rPr>
          <w:rFonts w:cs="Arial"/>
          <w:bCs/>
          <w:sz w:val="24"/>
          <w:szCs w:val="24"/>
        </w:rPr>
        <w:t>tor will be expected to identify:</w:t>
      </w:r>
    </w:p>
    <w:p w14:paraId="08970995" w14:textId="77777777" w:rsidR="00F5143B" w:rsidRPr="00A4767E" w:rsidRDefault="00F5143B" w:rsidP="00293D12">
      <w:pPr>
        <w:pStyle w:val="Norma"/>
        <w:ind w:left="360"/>
        <w:jc w:val="both"/>
        <w:rPr>
          <w:rFonts w:cs="Arial"/>
          <w:bCs/>
          <w:sz w:val="24"/>
          <w:szCs w:val="24"/>
        </w:rPr>
      </w:pPr>
    </w:p>
    <w:p w14:paraId="37225B7A" w14:textId="77777777" w:rsidR="00F5143B" w:rsidRPr="00A4767E" w:rsidRDefault="00F5143B" w:rsidP="00F5143B">
      <w:pPr>
        <w:pStyle w:val="Norma"/>
        <w:numPr>
          <w:ilvl w:val="0"/>
          <w:numId w:val="34"/>
        </w:numPr>
        <w:jc w:val="both"/>
        <w:rPr>
          <w:rFonts w:cs="Arial"/>
          <w:bCs/>
          <w:sz w:val="24"/>
          <w:szCs w:val="24"/>
        </w:rPr>
      </w:pPr>
      <w:r w:rsidRPr="00A4767E">
        <w:rPr>
          <w:rFonts w:cs="Arial"/>
          <w:bCs/>
          <w:sz w:val="24"/>
          <w:szCs w:val="24"/>
        </w:rPr>
        <w:t xml:space="preserve">A named member(s) of </w:t>
      </w:r>
      <w:r w:rsidR="00AB5BCA" w:rsidRPr="00A4767E">
        <w:rPr>
          <w:rFonts w:cs="Arial"/>
          <w:bCs/>
          <w:sz w:val="24"/>
          <w:szCs w:val="24"/>
        </w:rPr>
        <w:t>staff who will be assigned to the project to work (day-to-day) with the CCC</w:t>
      </w:r>
      <w:r w:rsidRPr="00A4767E">
        <w:rPr>
          <w:rFonts w:cs="Arial"/>
          <w:bCs/>
          <w:sz w:val="24"/>
          <w:szCs w:val="24"/>
        </w:rPr>
        <w:t>, and for a significant amount of this time embedded with the CCC</w:t>
      </w:r>
    </w:p>
    <w:p w14:paraId="4D11E2B9" w14:textId="04CC49EC" w:rsidR="00F5143B" w:rsidRPr="00A4767E" w:rsidRDefault="00F5143B" w:rsidP="00F5143B">
      <w:pPr>
        <w:pStyle w:val="Norma"/>
        <w:numPr>
          <w:ilvl w:val="0"/>
          <w:numId w:val="34"/>
        </w:numPr>
        <w:jc w:val="both"/>
        <w:rPr>
          <w:rFonts w:cs="Arial"/>
          <w:bCs/>
          <w:sz w:val="24"/>
          <w:szCs w:val="24"/>
        </w:rPr>
      </w:pPr>
      <w:r w:rsidRPr="00A4767E">
        <w:rPr>
          <w:rFonts w:cs="Arial"/>
          <w:bCs/>
          <w:sz w:val="24"/>
          <w:szCs w:val="24"/>
        </w:rPr>
        <w:t>A</w:t>
      </w:r>
      <w:r w:rsidR="00AA62E8" w:rsidRPr="00A4767E">
        <w:rPr>
          <w:rFonts w:cs="Arial"/>
          <w:bCs/>
          <w:sz w:val="24"/>
          <w:szCs w:val="24"/>
        </w:rPr>
        <w:t xml:space="preserve"> </w:t>
      </w:r>
      <w:r w:rsidRPr="00A4767E">
        <w:rPr>
          <w:rFonts w:cs="Arial"/>
          <w:bCs/>
          <w:sz w:val="24"/>
          <w:szCs w:val="24"/>
        </w:rPr>
        <w:t xml:space="preserve">further </w:t>
      </w:r>
      <w:r w:rsidR="00AA62E8" w:rsidRPr="00A4767E">
        <w:rPr>
          <w:rFonts w:cs="Arial"/>
          <w:bCs/>
          <w:sz w:val="24"/>
          <w:szCs w:val="24"/>
        </w:rPr>
        <w:t>named point of contact through</w:t>
      </w:r>
      <w:r w:rsidR="005A7FBC" w:rsidRPr="00A4767E">
        <w:rPr>
          <w:rFonts w:cs="Arial"/>
          <w:bCs/>
          <w:sz w:val="24"/>
          <w:szCs w:val="24"/>
        </w:rPr>
        <w:t xml:space="preserve"> </w:t>
      </w:r>
      <w:r w:rsidR="00AA62E8" w:rsidRPr="00A4767E">
        <w:rPr>
          <w:rFonts w:cs="Arial"/>
          <w:bCs/>
          <w:sz w:val="24"/>
          <w:szCs w:val="24"/>
        </w:rPr>
        <w:t>whom all e</w:t>
      </w:r>
      <w:r w:rsidR="0097210C" w:rsidRPr="00A4767E">
        <w:rPr>
          <w:rFonts w:cs="Arial"/>
          <w:bCs/>
          <w:sz w:val="24"/>
          <w:szCs w:val="24"/>
        </w:rPr>
        <w:t xml:space="preserve">nquiries </w:t>
      </w:r>
      <w:r w:rsidRPr="00A4767E">
        <w:rPr>
          <w:rFonts w:cs="Arial"/>
          <w:bCs/>
          <w:sz w:val="24"/>
          <w:szCs w:val="24"/>
        </w:rPr>
        <w:t xml:space="preserve">or requests over performance or levels of support required </w:t>
      </w:r>
      <w:r w:rsidR="0097210C" w:rsidRPr="00A4767E">
        <w:rPr>
          <w:rFonts w:cs="Arial"/>
          <w:bCs/>
          <w:sz w:val="24"/>
          <w:szCs w:val="24"/>
        </w:rPr>
        <w:t xml:space="preserve">can be filtered. </w:t>
      </w:r>
    </w:p>
    <w:p w14:paraId="53CD33AB" w14:textId="77777777" w:rsidR="00F5143B" w:rsidRPr="00A4767E" w:rsidRDefault="00F5143B" w:rsidP="00F5143B">
      <w:pPr>
        <w:pStyle w:val="Norma"/>
        <w:ind w:left="1140"/>
        <w:jc w:val="both"/>
        <w:rPr>
          <w:rFonts w:cs="Arial"/>
          <w:bCs/>
          <w:sz w:val="24"/>
          <w:szCs w:val="24"/>
        </w:rPr>
      </w:pPr>
    </w:p>
    <w:p w14:paraId="5EA87575" w14:textId="4233AEFF" w:rsidR="00AA62E8" w:rsidRPr="00A4767E" w:rsidRDefault="0097210C" w:rsidP="00F5143B">
      <w:pPr>
        <w:pStyle w:val="Norma"/>
        <w:ind w:left="360"/>
        <w:rPr>
          <w:sz w:val="24"/>
          <w:szCs w:val="24"/>
        </w:rPr>
      </w:pPr>
      <w:r w:rsidRPr="00A4767E">
        <w:rPr>
          <w:sz w:val="24"/>
          <w:szCs w:val="24"/>
        </w:rPr>
        <w:t>A CCC</w:t>
      </w:r>
      <w:r w:rsidR="00AA62E8" w:rsidRPr="00A4767E">
        <w:rPr>
          <w:sz w:val="24"/>
          <w:szCs w:val="24"/>
        </w:rPr>
        <w:t xml:space="preserve"> project manager will be assigned to the project and will be the central point of contact. </w:t>
      </w:r>
    </w:p>
    <w:p w14:paraId="72060D43" w14:textId="77777777" w:rsidR="00AB5BCA" w:rsidRPr="00A4767E" w:rsidRDefault="00AB5BCA" w:rsidP="00293D12">
      <w:pPr>
        <w:pStyle w:val="Norma"/>
        <w:ind w:left="360"/>
        <w:jc w:val="both"/>
        <w:rPr>
          <w:rFonts w:cs="Arial"/>
          <w:bCs/>
          <w:sz w:val="24"/>
          <w:szCs w:val="24"/>
        </w:rPr>
      </w:pPr>
    </w:p>
    <w:p w14:paraId="5EA87578" w14:textId="77777777" w:rsidR="00AA62E8" w:rsidRPr="00A4767E" w:rsidRDefault="00AA62E8" w:rsidP="00AA62E8">
      <w:pPr>
        <w:pStyle w:val="ListParagraph"/>
        <w:ind w:left="0"/>
        <w:rPr>
          <w:rFonts w:eastAsia="Times New Roman" w:cs="Calibri"/>
        </w:rPr>
      </w:pPr>
    </w:p>
    <w:p w14:paraId="5EA87579" w14:textId="77777777" w:rsidR="003C1CE8" w:rsidRPr="00A4767E" w:rsidRDefault="007A7010" w:rsidP="005E6208">
      <w:pPr>
        <w:pStyle w:val="Heading1"/>
        <w:numPr>
          <w:ilvl w:val="0"/>
          <w:numId w:val="3"/>
        </w:numPr>
        <w:rPr>
          <w:rFonts w:ascii="Arial" w:hAnsi="Arial" w:cs="Arial"/>
          <w:sz w:val="24"/>
          <w:szCs w:val="24"/>
        </w:rPr>
      </w:pPr>
      <w:r w:rsidRPr="00A4767E">
        <w:rPr>
          <w:rFonts w:ascii="Arial" w:hAnsi="Arial" w:cs="Arial"/>
          <w:sz w:val="24"/>
          <w:szCs w:val="24"/>
        </w:rPr>
        <w:t>Skills and experience</w:t>
      </w:r>
    </w:p>
    <w:p w14:paraId="5EA8757A" w14:textId="77777777" w:rsidR="00427AFA" w:rsidRPr="00A4767E" w:rsidRDefault="00427AFA" w:rsidP="00B960BC">
      <w:pPr>
        <w:pStyle w:val="Norma"/>
        <w:ind w:left="360"/>
        <w:jc w:val="both"/>
        <w:rPr>
          <w:rFonts w:cs="Arial"/>
          <w:sz w:val="24"/>
          <w:szCs w:val="24"/>
        </w:rPr>
      </w:pPr>
    </w:p>
    <w:p w14:paraId="5EA8757B" w14:textId="5FB8080B" w:rsidR="00FA702B" w:rsidRPr="00A4767E" w:rsidRDefault="0097210C" w:rsidP="00E72DB1">
      <w:pPr>
        <w:pStyle w:val="PTablebodyCharCharChar"/>
        <w:tabs>
          <w:tab w:val="clear" w:pos="7823"/>
          <w:tab w:val="right" w:pos="709"/>
        </w:tabs>
        <w:spacing w:after="0"/>
        <w:ind w:left="360"/>
        <w:rPr>
          <w:rFonts w:cs="Arial"/>
          <w:highlight w:val="yellow"/>
        </w:rPr>
      </w:pPr>
      <w:r w:rsidRPr="00A4767E">
        <w:rPr>
          <w:rFonts w:ascii="Arial" w:hAnsi="Arial" w:cs="Arial"/>
        </w:rPr>
        <w:t>C</w:t>
      </w:r>
      <w:r w:rsidR="004B3AD5" w:rsidRPr="00A4767E">
        <w:rPr>
          <w:rFonts w:ascii="Arial" w:hAnsi="Arial" w:cs="Arial"/>
        </w:rPr>
        <w:t xml:space="preserve">CC </w:t>
      </w:r>
      <w:r w:rsidR="007A7010" w:rsidRPr="00A4767E">
        <w:rPr>
          <w:rFonts w:ascii="Arial" w:hAnsi="Arial" w:cs="Arial"/>
        </w:rPr>
        <w:t xml:space="preserve">would like you to demonstrate that you have </w:t>
      </w:r>
      <w:r w:rsidR="009F7CC0" w:rsidRPr="00A4767E">
        <w:rPr>
          <w:rFonts w:ascii="Arial" w:hAnsi="Arial" w:cs="Arial"/>
        </w:rPr>
        <w:t>the experience and capabilities to undertake the project</w:t>
      </w:r>
      <w:r w:rsidR="007A7010" w:rsidRPr="00A4767E">
        <w:rPr>
          <w:rFonts w:ascii="Arial" w:hAnsi="Arial" w:cs="Arial"/>
        </w:rPr>
        <w:t xml:space="preserve">. Your tender response should include a summary of </w:t>
      </w:r>
      <w:r w:rsidR="009F7CC0" w:rsidRPr="00A4767E">
        <w:rPr>
          <w:rFonts w:ascii="Arial" w:hAnsi="Arial" w:cs="Arial"/>
        </w:rPr>
        <w:t>each proposed team members experience</w:t>
      </w:r>
      <w:r w:rsidR="007A7010" w:rsidRPr="00A4767E">
        <w:rPr>
          <w:rFonts w:ascii="Arial" w:hAnsi="Arial" w:cs="Arial"/>
        </w:rPr>
        <w:t xml:space="preserve"> </w:t>
      </w:r>
      <w:r w:rsidR="009F7CC0" w:rsidRPr="00A4767E">
        <w:rPr>
          <w:rFonts w:ascii="Arial" w:hAnsi="Arial" w:cs="Arial"/>
        </w:rPr>
        <w:t>and capabilities</w:t>
      </w:r>
      <w:r w:rsidR="007A7010" w:rsidRPr="00A4767E">
        <w:rPr>
          <w:rFonts w:ascii="Arial" w:hAnsi="Arial" w:cs="Arial"/>
        </w:rPr>
        <w:t>.</w:t>
      </w:r>
      <w:r w:rsidR="00816371" w:rsidRPr="00A4767E">
        <w:rPr>
          <w:rFonts w:cs="Arial"/>
          <w:highlight w:val="yellow"/>
        </w:rPr>
        <w:t xml:space="preserve"> </w:t>
      </w:r>
    </w:p>
    <w:p w14:paraId="5EA8757C" w14:textId="77777777" w:rsidR="00FA702B" w:rsidRPr="00A4767E" w:rsidRDefault="00FA702B" w:rsidP="00B960BC">
      <w:pPr>
        <w:pStyle w:val="PTablebodyCharCharChar"/>
        <w:spacing w:after="0"/>
        <w:ind w:left="0"/>
        <w:rPr>
          <w:rFonts w:ascii="Arial" w:hAnsi="Arial" w:cs="Arial"/>
        </w:rPr>
      </w:pPr>
    </w:p>
    <w:p w14:paraId="5EA8757D" w14:textId="77777777" w:rsidR="003C1CE8" w:rsidRPr="00A4767E" w:rsidRDefault="003C1CE8" w:rsidP="00E72DB1">
      <w:pPr>
        <w:pStyle w:val="PTablebodyCharCharChar"/>
        <w:tabs>
          <w:tab w:val="clear" w:pos="7823"/>
          <w:tab w:val="right" w:pos="709"/>
        </w:tabs>
        <w:spacing w:after="0"/>
        <w:ind w:left="360"/>
        <w:rPr>
          <w:rFonts w:ascii="Arial" w:hAnsi="Arial" w:cs="Arial"/>
        </w:rPr>
      </w:pPr>
      <w:r w:rsidRPr="00A4767E">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A4767E" w:rsidRDefault="003C1CE8" w:rsidP="00B960BC">
      <w:pPr>
        <w:pStyle w:val="PTablebodyCharCharChar"/>
        <w:spacing w:after="0"/>
        <w:ind w:left="0"/>
        <w:rPr>
          <w:rFonts w:ascii="Arial" w:hAnsi="Arial" w:cs="Arial"/>
        </w:rPr>
      </w:pPr>
    </w:p>
    <w:p w14:paraId="5EA8757F" w14:textId="77777777" w:rsidR="00D64BB0" w:rsidRPr="00A4767E" w:rsidRDefault="003C1CE8" w:rsidP="00E72DB1">
      <w:pPr>
        <w:pStyle w:val="Norma"/>
        <w:ind w:left="360"/>
        <w:jc w:val="both"/>
        <w:rPr>
          <w:rFonts w:cs="Arial"/>
          <w:sz w:val="24"/>
          <w:szCs w:val="24"/>
        </w:rPr>
      </w:pPr>
      <w:r w:rsidRPr="00A4767E">
        <w:rPr>
          <w:rFonts w:cs="Arial"/>
          <w:sz w:val="24"/>
          <w:szCs w:val="24"/>
        </w:rPr>
        <w:t>Contractors should identify the individual(s) who will be responsible for managing the project.</w:t>
      </w:r>
      <w:bookmarkStart w:id="24" w:name="_Ref338852499"/>
    </w:p>
    <w:p w14:paraId="5EA87580" w14:textId="77777777" w:rsidR="00986070" w:rsidRPr="00A4767E" w:rsidRDefault="00986070" w:rsidP="00D64BB0">
      <w:pPr>
        <w:pStyle w:val="Norma"/>
        <w:jc w:val="both"/>
        <w:rPr>
          <w:rFonts w:ascii="Calibri" w:hAnsi="Calibri" w:cs="Calibri"/>
        </w:rPr>
      </w:pPr>
    </w:p>
    <w:p w14:paraId="5EA87581" w14:textId="77777777" w:rsidR="003043AD" w:rsidRPr="00A4767E" w:rsidRDefault="00D64BB0" w:rsidP="005E6208">
      <w:pPr>
        <w:pStyle w:val="Heading1"/>
        <w:numPr>
          <w:ilvl w:val="0"/>
          <w:numId w:val="3"/>
        </w:numPr>
        <w:rPr>
          <w:rFonts w:ascii="Arial" w:hAnsi="Arial" w:cs="Arial"/>
          <w:sz w:val="24"/>
          <w:szCs w:val="24"/>
        </w:rPr>
      </w:pPr>
      <w:bookmarkStart w:id="25" w:name="_Ref373505239"/>
      <w:bookmarkStart w:id="26" w:name="_Toc381969518"/>
      <w:bookmarkStart w:id="27" w:name="_Toc405888467"/>
      <w:r w:rsidRPr="00A4767E">
        <w:rPr>
          <w:rFonts w:ascii="Arial" w:hAnsi="Arial" w:cs="Arial"/>
          <w:sz w:val="24"/>
          <w:szCs w:val="24"/>
        </w:rPr>
        <w:t>C</w:t>
      </w:r>
      <w:r w:rsidR="00A64B82" w:rsidRPr="00A4767E">
        <w:rPr>
          <w:rFonts w:ascii="Arial" w:hAnsi="Arial" w:cs="Arial"/>
          <w:sz w:val="24"/>
          <w:szCs w:val="24"/>
        </w:rPr>
        <w:t>onsortium Bids</w:t>
      </w:r>
      <w:bookmarkEnd w:id="25"/>
      <w:bookmarkEnd w:id="26"/>
      <w:bookmarkEnd w:id="27"/>
    </w:p>
    <w:p w14:paraId="5EA87582" w14:textId="77777777" w:rsidR="00D64BB0" w:rsidRPr="00A4767E" w:rsidRDefault="00D64BB0" w:rsidP="00E4650D">
      <w:pPr>
        <w:pStyle w:val="Norma"/>
        <w:jc w:val="both"/>
        <w:rPr>
          <w:rFonts w:cs="Arial"/>
          <w:sz w:val="24"/>
          <w:szCs w:val="24"/>
        </w:rPr>
      </w:pPr>
    </w:p>
    <w:p w14:paraId="5EA87583" w14:textId="77777777" w:rsidR="00D65A99" w:rsidRPr="00A4767E" w:rsidRDefault="003043AD" w:rsidP="00E72DB1">
      <w:pPr>
        <w:pStyle w:val="FootnoteText"/>
        <w:ind w:left="360"/>
        <w:jc w:val="both"/>
        <w:rPr>
          <w:rFonts w:ascii="Arial" w:hAnsi="Arial" w:cs="Arial"/>
          <w:sz w:val="24"/>
          <w:szCs w:val="24"/>
          <w:lang w:eastAsia="en-GB"/>
        </w:rPr>
      </w:pPr>
      <w:r w:rsidRPr="00A4767E">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A4767E">
        <w:rPr>
          <w:rFonts w:ascii="Arial" w:hAnsi="Arial" w:cs="Arial"/>
          <w:sz w:val="24"/>
          <w:szCs w:val="24"/>
          <w:lang w:eastAsia="en-GB"/>
        </w:rPr>
        <w:t xml:space="preserve">  We </w:t>
      </w:r>
      <w:r w:rsidR="00D65A99" w:rsidRPr="00A4767E">
        <w:rPr>
          <w:rFonts w:ascii="Arial" w:hAnsi="Arial" w:cs="Arial"/>
          <w:sz w:val="24"/>
          <w:szCs w:val="24"/>
        </w:rPr>
        <w:t>expect the bidder to indicate who in the consortium will be th</w:t>
      </w:r>
      <w:r w:rsidR="00CD651A" w:rsidRPr="00A4767E">
        <w:rPr>
          <w:rFonts w:ascii="Arial" w:hAnsi="Arial" w:cs="Arial"/>
          <w:sz w:val="24"/>
          <w:szCs w:val="24"/>
        </w:rPr>
        <w:t xml:space="preserve">e </w:t>
      </w:r>
      <w:r w:rsidR="00CD651A" w:rsidRPr="00A4767E">
        <w:rPr>
          <w:rFonts w:ascii="Arial" w:hAnsi="Arial" w:cs="Arial"/>
          <w:sz w:val="24"/>
          <w:szCs w:val="24"/>
          <w:lang w:eastAsia="en-GB"/>
        </w:rPr>
        <w:t>lead contact for this project, and the organisation and governance associated with the consortia.</w:t>
      </w:r>
    </w:p>
    <w:p w14:paraId="5EA87584" w14:textId="77777777" w:rsidR="003043AD" w:rsidRPr="00A4767E" w:rsidRDefault="003043AD" w:rsidP="00E4650D">
      <w:pPr>
        <w:pStyle w:val="FootnoteText"/>
        <w:ind w:left="567"/>
        <w:jc w:val="both"/>
        <w:rPr>
          <w:rFonts w:ascii="Arial" w:hAnsi="Arial" w:cs="Arial"/>
          <w:sz w:val="24"/>
          <w:szCs w:val="24"/>
          <w:lang w:eastAsia="en-GB"/>
        </w:rPr>
      </w:pPr>
    </w:p>
    <w:p w14:paraId="5EA87585" w14:textId="77777777" w:rsidR="003043AD" w:rsidRPr="00A4767E" w:rsidRDefault="003043AD" w:rsidP="00E72DB1">
      <w:pPr>
        <w:pStyle w:val="FootnoteText"/>
        <w:ind w:left="360"/>
        <w:jc w:val="both"/>
        <w:rPr>
          <w:rFonts w:ascii="Arial" w:hAnsi="Arial" w:cs="Arial"/>
          <w:sz w:val="24"/>
          <w:szCs w:val="24"/>
          <w:lang w:eastAsia="en-GB"/>
        </w:rPr>
      </w:pPr>
      <w:r w:rsidRPr="00A4767E">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A4767E" w:rsidRDefault="003043AD" w:rsidP="00E4650D">
      <w:pPr>
        <w:pStyle w:val="FootnoteText"/>
        <w:ind w:left="567"/>
        <w:jc w:val="both"/>
        <w:rPr>
          <w:rFonts w:ascii="Arial" w:hAnsi="Arial" w:cs="Arial"/>
          <w:sz w:val="24"/>
          <w:szCs w:val="24"/>
          <w:lang w:eastAsia="en-GB"/>
        </w:rPr>
      </w:pPr>
    </w:p>
    <w:p w14:paraId="5EA87587" w14:textId="79EB2CDE" w:rsidR="00AD130E" w:rsidRPr="00A4767E" w:rsidRDefault="00AD130E" w:rsidP="00E72DB1">
      <w:pPr>
        <w:pStyle w:val="NoSpacing"/>
        <w:ind w:left="360"/>
        <w:jc w:val="both"/>
        <w:rPr>
          <w:rFonts w:ascii="Arial" w:hAnsi="Arial" w:cs="Arial"/>
          <w:sz w:val="24"/>
          <w:szCs w:val="24"/>
        </w:rPr>
      </w:pPr>
      <w:r w:rsidRPr="00A4767E">
        <w:rPr>
          <w:rFonts w:ascii="Arial" w:hAnsi="Arial" w:cs="Arial"/>
          <w:sz w:val="24"/>
          <w:szCs w:val="24"/>
        </w:rPr>
        <w:t>If a consortium is not proposing to form a corporate entity, full details of alternative proposed arran</w:t>
      </w:r>
      <w:r w:rsidR="007A11CB" w:rsidRPr="00A4767E">
        <w:rPr>
          <w:rFonts w:ascii="Arial" w:hAnsi="Arial" w:cs="Arial"/>
          <w:sz w:val="24"/>
          <w:szCs w:val="24"/>
        </w:rPr>
        <w:t>gements should be provided</w:t>
      </w:r>
      <w:r w:rsidR="0097210C" w:rsidRPr="00A4767E">
        <w:rPr>
          <w:rFonts w:ascii="Arial" w:hAnsi="Arial" w:cs="Arial"/>
          <w:sz w:val="24"/>
          <w:szCs w:val="24"/>
        </w:rPr>
        <w:t>. However, please note C</w:t>
      </w:r>
      <w:r w:rsidRPr="00A4767E">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A4767E" w:rsidRDefault="00AD130E" w:rsidP="00E4650D">
      <w:pPr>
        <w:pStyle w:val="NoSpacing"/>
        <w:jc w:val="both"/>
        <w:rPr>
          <w:rFonts w:ascii="Arial" w:hAnsi="Arial" w:cs="Arial"/>
          <w:sz w:val="24"/>
          <w:szCs w:val="24"/>
        </w:rPr>
      </w:pPr>
    </w:p>
    <w:p w14:paraId="5EA87589" w14:textId="40024243" w:rsidR="00AD130E" w:rsidRPr="00A4767E" w:rsidRDefault="0097210C" w:rsidP="00E72DB1">
      <w:pPr>
        <w:pStyle w:val="NoSpacing"/>
        <w:ind w:left="360"/>
        <w:jc w:val="both"/>
        <w:rPr>
          <w:rFonts w:ascii="Arial" w:hAnsi="Arial" w:cs="Arial"/>
          <w:sz w:val="24"/>
          <w:szCs w:val="24"/>
        </w:rPr>
      </w:pPr>
      <w:r w:rsidRPr="00A4767E">
        <w:rPr>
          <w:rFonts w:ascii="Arial" w:hAnsi="Arial" w:cs="Arial"/>
          <w:sz w:val="24"/>
          <w:szCs w:val="24"/>
        </w:rPr>
        <w:lastRenderedPageBreak/>
        <w:t>C</w:t>
      </w:r>
      <w:r w:rsidR="00AD130E" w:rsidRPr="00A4767E">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A4767E">
        <w:rPr>
          <w:rFonts w:ascii="Arial" w:hAnsi="Arial" w:cs="Arial"/>
          <w:sz w:val="24"/>
          <w:szCs w:val="24"/>
        </w:rPr>
        <w:t>consortia must be notified to C</w:t>
      </w:r>
      <w:r w:rsidR="00AD130E" w:rsidRPr="00A4767E">
        <w:rPr>
          <w:rFonts w:ascii="Arial" w:hAnsi="Arial" w:cs="Arial"/>
          <w:sz w:val="24"/>
          <w:szCs w:val="24"/>
        </w:rPr>
        <w:t xml:space="preserve">CC so that it can make a further assessment by applying the selection criteria to the new information provided. </w:t>
      </w:r>
    </w:p>
    <w:p w14:paraId="5EA8758A" w14:textId="77777777" w:rsidR="004A2B75" w:rsidRPr="00A4767E" w:rsidRDefault="004A2B75" w:rsidP="00053592">
      <w:pPr>
        <w:pStyle w:val="FootnoteText"/>
        <w:rPr>
          <w:rFonts w:cs="Calibri"/>
          <w:sz w:val="22"/>
          <w:szCs w:val="22"/>
          <w:lang w:eastAsia="en-GB"/>
        </w:rPr>
      </w:pPr>
    </w:p>
    <w:p w14:paraId="5EA8758B" w14:textId="77777777" w:rsidR="00F0291F" w:rsidRPr="00A4767E" w:rsidRDefault="00F0291F" w:rsidP="005E6208">
      <w:pPr>
        <w:pStyle w:val="Heading1"/>
        <w:numPr>
          <w:ilvl w:val="0"/>
          <w:numId w:val="3"/>
        </w:numPr>
        <w:rPr>
          <w:rFonts w:ascii="Arial" w:hAnsi="Arial" w:cs="Arial"/>
          <w:sz w:val="24"/>
          <w:szCs w:val="24"/>
        </w:rPr>
      </w:pPr>
      <w:bookmarkStart w:id="28" w:name="_Ref357541811"/>
      <w:bookmarkStart w:id="29" w:name="_Toc381969519"/>
      <w:bookmarkStart w:id="30" w:name="_Toc405888468"/>
      <w:bookmarkStart w:id="31" w:name="_Toc246831559"/>
      <w:bookmarkStart w:id="32" w:name="_Toc271272917"/>
      <w:bookmarkStart w:id="33" w:name="_Ref338852577"/>
      <w:bookmarkEnd w:id="24"/>
      <w:r w:rsidRPr="00A4767E">
        <w:rPr>
          <w:rFonts w:ascii="Arial" w:hAnsi="Arial" w:cs="Arial"/>
          <w:sz w:val="24"/>
          <w:szCs w:val="24"/>
        </w:rPr>
        <w:t>Budget</w:t>
      </w:r>
      <w:bookmarkEnd w:id="28"/>
      <w:bookmarkEnd w:id="29"/>
      <w:bookmarkEnd w:id="30"/>
      <w:r w:rsidRPr="00A4767E">
        <w:rPr>
          <w:rFonts w:ascii="Arial" w:hAnsi="Arial" w:cs="Arial"/>
          <w:sz w:val="24"/>
          <w:szCs w:val="24"/>
        </w:rPr>
        <w:t xml:space="preserve"> </w:t>
      </w:r>
    </w:p>
    <w:p w14:paraId="5EA8758C" w14:textId="77777777" w:rsidR="004335BC" w:rsidRPr="00A4767E" w:rsidRDefault="004335BC" w:rsidP="004335BC">
      <w:pPr>
        <w:pStyle w:val="Norma"/>
        <w:rPr>
          <w:rFonts w:ascii="Calibri" w:hAnsi="Calibri" w:cs="Calibri"/>
          <w:b/>
          <w:bCs/>
          <w:iCs/>
        </w:rPr>
      </w:pPr>
    </w:p>
    <w:p w14:paraId="5EA8758D" w14:textId="2C3C8906" w:rsidR="003C1CE8" w:rsidRPr="00A4767E" w:rsidRDefault="003C1CE8" w:rsidP="007A11CB">
      <w:pPr>
        <w:pStyle w:val="Paragraph"/>
        <w:ind w:hanging="360"/>
      </w:pPr>
      <w:r w:rsidRPr="00A4767E">
        <w:t xml:space="preserve">The </w:t>
      </w:r>
      <w:r w:rsidR="009C2C67" w:rsidRPr="00A4767E">
        <w:t xml:space="preserve">maximum </w:t>
      </w:r>
      <w:r w:rsidRPr="00A4767E">
        <w:t>budget for this project</w:t>
      </w:r>
      <w:r w:rsidR="00DC7901" w:rsidRPr="00A4767E">
        <w:t xml:space="preserve"> is </w:t>
      </w:r>
      <w:r w:rsidR="00293D12" w:rsidRPr="00A4767E">
        <w:t>£</w:t>
      </w:r>
      <w:r w:rsidR="009C2C67" w:rsidRPr="00A4767E">
        <w:t>100</w:t>
      </w:r>
      <w:r w:rsidR="00DC7901" w:rsidRPr="00A4767E">
        <w:t>,000</w:t>
      </w:r>
      <w:r w:rsidR="00685B87" w:rsidRPr="00A4767E">
        <w:t xml:space="preserve"> excluding VAT</w:t>
      </w:r>
      <w:r w:rsidRPr="00A4767E">
        <w:t>.</w:t>
      </w:r>
    </w:p>
    <w:p w14:paraId="5EA8758E" w14:textId="77777777" w:rsidR="00B00EA2" w:rsidRPr="00A4767E" w:rsidRDefault="00B00EA2" w:rsidP="00E4650D">
      <w:pPr>
        <w:pStyle w:val="ListParagraph"/>
        <w:spacing w:line="240" w:lineRule="auto"/>
        <w:ind w:left="0"/>
        <w:jc w:val="both"/>
        <w:rPr>
          <w:rFonts w:ascii="Arial" w:hAnsi="Arial" w:cs="Arial"/>
          <w:sz w:val="24"/>
          <w:szCs w:val="24"/>
        </w:rPr>
      </w:pPr>
    </w:p>
    <w:p w14:paraId="73F1C0F6" w14:textId="77777777" w:rsidR="00AB5BCA" w:rsidRPr="00A4767E" w:rsidRDefault="003C1CE8" w:rsidP="00E72DB1">
      <w:pPr>
        <w:pStyle w:val="ListParagraph"/>
        <w:spacing w:line="240" w:lineRule="auto"/>
        <w:ind w:left="360"/>
        <w:jc w:val="both"/>
        <w:rPr>
          <w:rFonts w:ascii="Arial" w:hAnsi="Arial" w:cs="Arial"/>
          <w:sz w:val="24"/>
          <w:szCs w:val="24"/>
        </w:rPr>
      </w:pPr>
      <w:r w:rsidRPr="00A4767E">
        <w:rPr>
          <w:rFonts w:ascii="Arial" w:hAnsi="Arial" w:cs="Arial"/>
          <w:sz w:val="24"/>
          <w:szCs w:val="24"/>
        </w:rPr>
        <w:t>Contractors should provide a full and detailed breakdown of costs (including options where appropriate). This should include staff (and day rate) allocated to specific tasks.</w:t>
      </w:r>
      <w:r w:rsidR="00AB5BCA" w:rsidRPr="00A4767E">
        <w:rPr>
          <w:rFonts w:ascii="Arial" w:hAnsi="Arial" w:cs="Arial"/>
          <w:sz w:val="24"/>
          <w:szCs w:val="24"/>
        </w:rPr>
        <w:t xml:space="preserve"> In particular it would be helpful to set out:</w:t>
      </w:r>
    </w:p>
    <w:p w14:paraId="2541EB83" w14:textId="77777777" w:rsidR="00AB5BCA" w:rsidRPr="00A4767E" w:rsidRDefault="00AB5BCA" w:rsidP="00E72DB1">
      <w:pPr>
        <w:pStyle w:val="ListParagraph"/>
        <w:spacing w:line="240" w:lineRule="auto"/>
        <w:ind w:left="360"/>
        <w:jc w:val="both"/>
        <w:rPr>
          <w:rFonts w:ascii="Arial" w:hAnsi="Arial" w:cs="Arial"/>
          <w:sz w:val="24"/>
          <w:szCs w:val="24"/>
        </w:rPr>
      </w:pPr>
    </w:p>
    <w:p w14:paraId="6CF4C17A" w14:textId="4A8EF0D8" w:rsidR="00AB5BCA" w:rsidRPr="00A4767E" w:rsidRDefault="00AB5BCA" w:rsidP="00AB5BCA">
      <w:pPr>
        <w:pStyle w:val="ListParagraph"/>
        <w:numPr>
          <w:ilvl w:val="0"/>
          <w:numId w:val="33"/>
        </w:numPr>
        <w:spacing w:line="240" w:lineRule="auto"/>
        <w:jc w:val="both"/>
        <w:rPr>
          <w:rFonts w:ascii="Arial" w:hAnsi="Arial" w:cs="Arial"/>
          <w:sz w:val="24"/>
          <w:szCs w:val="24"/>
        </w:rPr>
      </w:pPr>
      <w:r w:rsidRPr="00A4767E">
        <w:rPr>
          <w:rFonts w:ascii="Arial" w:hAnsi="Arial" w:cs="Arial"/>
          <w:sz w:val="24"/>
          <w:szCs w:val="24"/>
        </w:rPr>
        <w:t>The element of costs attached to staff time embedded (part or full-time) with the CCC</w:t>
      </w:r>
    </w:p>
    <w:p w14:paraId="4AA22C6B" w14:textId="558D0ADB" w:rsidR="00AB5BCA" w:rsidRPr="00A4767E" w:rsidRDefault="00AB5BCA" w:rsidP="00AB5BCA">
      <w:pPr>
        <w:pStyle w:val="ListParagraph"/>
        <w:numPr>
          <w:ilvl w:val="0"/>
          <w:numId w:val="33"/>
        </w:numPr>
        <w:spacing w:line="240" w:lineRule="auto"/>
        <w:jc w:val="both"/>
        <w:rPr>
          <w:rFonts w:ascii="Arial" w:hAnsi="Arial" w:cs="Arial"/>
          <w:sz w:val="24"/>
          <w:szCs w:val="24"/>
        </w:rPr>
      </w:pPr>
      <w:r w:rsidRPr="00A4767E">
        <w:rPr>
          <w:rFonts w:ascii="Arial" w:hAnsi="Arial" w:cs="Arial"/>
          <w:sz w:val="24"/>
          <w:szCs w:val="24"/>
        </w:rPr>
        <w:t>The element of any costs attached to literature review, should these be felt necessary</w:t>
      </w:r>
    </w:p>
    <w:p w14:paraId="005EF296" w14:textId="41C60A93" w:rsidR="00AB5BCA" w:rsidRPr="00A4767E" w:rsidRDefault="00AB5BCA" w:rsidP="00AB5BCA">
      <w:pPr>
        <w:pStyle w:val="ListParagraph"/>
        <w:numPr>
          <w:ilvl w:val="0"/>
          <w:numId w:val="33"/>
        </w:numPr>
        <w:spacing w:line="240" w:lineRule="auto"/>
        <w:jc w:val="both"/>
        <w:rPr>
          <w:rFonts w:ascii="Arial" w:hAnsi="Arial" w:cs="Arial"/>
          <w:sz w:val="24"/>
          <w:szCs w:val="24"/>
        </w:rPr>
      </w:pPr>
      <w:r w:rsidRPr="00A4767E">
        <w:rPr>
          <w:rFonts w:ascii="Arial" w:hAnsi="Arial" w:cs="Arial"/>
          <w:sz w:val="24"/>
          <w:szCs w:val="24"/>
        </w:rPr>
        <w:t>The element of cost attached to provision of a modelling capability</w:t>
      </w:r>
      <w:r w:rsidR="008879DD" w:rsidRPr="00A4767E">
        <w:rPr>
          <w:rFonts w:ascii="Arial" w:hAnsi="Arial" w:cs="Arial"/>
          <w:sz w:val="24"/>
          <w:szCs w:val="24"/>
        </w:rPr>
        <w:t>, or alternative sources,</w:t>
      </w:r>
      <w:r w:rsidRPr="00A4767E">
        <w:rPr>
          <w:rFonts w:ascii="Arial" w:hAnsi="Arial" w:cs="Arial"/>
          <w:sz w:val="24"/>
          <w:szCs w:val="24"/>
        </w:rPr>
        <w:t xml:space="preserve"> to assess UK carbon prices.</w:t>
      </w:r>
    </w:p>
    <w:p w14:paraId="5EA8758F" w14:textId="1C849481" w:rsidR="0089058C" w:rsidRPr="00A4767E" w:rsidRDefault="003C1CE8" w:rsidP="00E72DB1">
      <w:pPr>
        <w:pStyle w:val="ListParagraph"/>
        <w:spacing w:line="240" w:lineRule="auto"/>
        <w:ind w:left="360"/>
        <w:jc w:val="both"/>
        <w:rPr>
          <w:rFonts w:ascii="Arial" w:hAnsi="Arial" w:cs="Arial"/>
          <w:sz w:val="24"/>
          <w:szCs w:val="24"/>
        </w:rPr>
      </w:pPr>
      <w:r w:rsidRPr="00A4767E">
        <w:rPr>
          <w:rFonts w:ascii="Arial" w:hAnsi="Arial" w:cs="Arial"/>
          <w:sz w:val="24"/>
          <w:szCs w:val="24"/>
        </w:rPr>
        <w:t xml:space="preserve"> </w:t>
      </w:r>
      <w:bookmarkEnd w:id="31"/>
      <w:bookmarkEnd w:id="32"/>
      <w:bookmarkEnd w:id="33"/>
    </w:p>
    <w:p w14:paraId="5EA87591" w14:textId="77777777" w:rsidR="00220792" w:rsidRPr="00A4767E" w:rsidRDefault="00220792" w:rsidP="00E72DB1">
      <w:pPr>
        <w:pStyle w:val="ListParagraph"/>
        <w:spacing w:line="240" w:lineRule="auto"/>
        <w:ind w:left="360"/>
        <w:jc w:val="both"/>
        <w:rPr>
          <w:rFonts w:ascii="Arial" w:hAnsi="Arial" w:cs="Arial"/>
          <w:sz w:val="24"/>
          <w:szCs w:val="24"/>
        </w:rPr>
      </w:pPr>
      <w:r w:rsidRPr="00A4767E">
        <w:rPr>
          <w:rFonts w:ascii="Arial" w:hAnsi="Arial" w:cs="Arial"/>
          <w:sz w:val="24"/>
          <w:szCs w:val="24"/>
        </w:rPr>
        <w:t>Cost will be a criterion against which bids which will be assessed.</w:t>
      </w:r>
    </w:p>
    <w:p w14:paraId="5EA87592" w14:textId="77777777" w:rsidR="00220792" w:rsidRPr="00A4767E" w:rsidRDefault="00220792" w:rsidP="00E4650D">
      <w:pPr>
        <w:pStyle w:val="ListParagraph"/>
        <w:spacing w:line="240" w:lineRule="auto"/>
        <w:ind w:left="0"/>
        <w:jc w:val="both"/>
        <w:rPr>
          <w:rFonts w:ascii="Arial" w:hAnsi="Arial" w:cs="Arial"/>
          <w:sz w:val="24"/>
          <w:szCs w:val="24"/>
        </w:rPr>
      </w:pPr>
    </w:p>
    <w:p w14:paraId="5EA87593" w14:textId="4D3B8DF5" w:rsidR="00272E19" w:rsidRPr="00A4767E" w:rsidRDefault="00272E19" w:rsidP="00E72DB1">
      <w:pPr>
        <w:pStyle w:val="ListParagraph"/>
        <w:spacing w:after="0" w:line="240" w:lineRule="auto"/>
        <w:ind w:left="360"/>
        <w:jc w:val="both"/>
        <w:rPr>
          <w:rFonts w:ascii="Arial" w:hAnsi="Arial" w:cs="Arial"/>
          <w:sz w:val="24"/>
          <w:szCs w:val="24"/>
        </w:rPr>
      </w:pPr>
      <w:r w:rsidRPr="00A4767E">
        <w:rPr>
          <w:rFonts w:ascii="Arial" w:hAnsi="Arial" w:cs="Arial"/>
          <w:sz w:val="24"/>
          <w:szCs w:val="24"/>
        </w:rPr>
        <w:t xml:space="preserve">Payments will be linked to delivery of key milestones. The indicative milestones and phasing of payments </w:t>
      </w:r>
      <w:r w:rsidR="00DC39C6" w:rsidRPr="00A4767E">
        <w:rPr>
          <w:rFonts w:ascii="Arial" w:hAnsi="Arial" w:cs="Arial"/>
          <w:sz w:val="24"/>
          <w:szCs w:val="24"/>
        </w:rPr>
        <w:t>can be adjusted and agreed with the contractor</w:t>
      </w:r>
      <w:r w:rsidR="007A11CB" w:rsidRPr="00A4767E">
        <w:rPr>
          <w:rFonts w:ascii="Arial" w:hAnsi="Arial" w:cs="Arial"/>
          <w:sz w:val="24"/>
          <w:szCs w:val="24"/>
        </w:rPr>
        <w:t xml:space="preserve"> and Project Manager. </w:t>
      </w:r>
      <w:r w:rsidR="00E41E71" w:rsidRPr="00A4767E">
        <w:rPr>
          <w:rFonts w:ascii="Arial" w:hAnsi="Arial" w:cs="Arial"/>
          <w:sz w:val="24"/>
          <w:szCs w:val="24"/>
        </w:rPr>
        <w:t>P</w:t>
      </w:r>
      <w:r w:rsidR="00DC39C6" w:rsidRPr="00A4767E">
        <w:rPr>
          <w:rFonts w:ascii="Arial" w:hAnsi="Arial" w:cs="Arial"/>
          <w:sz w:val="24"/>
          <w:szCs w:val="24"/>
        </w:rPr>
        <w:t>lease advise in your tender response how this breakdown reflects your usual payment processes</w:t>
      </w:r>
      <w:r w:rsidRPr="00A4767E">
        <w:rPr>
          <w:rFonts w:ascii="Arial" w:hAnsi="Arial" w:cs="Arial"/>
          <w:sz w:val="24"/>
          <w:szCs w:val="24"/>
        </w:rPr>
        <w:t>:</w:t>
      </w:r>
    </w:p>
    <w:p w14:paraId="5EA87594" w14:textId="77777777" w:rsidR="00DC39C6" w:rsidRPr="00A4767E" w:rsidRDefault="00DC39C6" w:rsidP="00DC39C6">
      <w:pPr>
        <w:pStyle w:val="ListParagraph"/>
        <w:spacing w:after="0" w:line="240" w:lineRule="auto"/>
        <w:ind w:left="0"/>
        <w:jc w:val="both"/>
        <w:rPr>
          <w:rFonts w:ascii="Arial" w:hAnsi="Arial" w:cs="Arial"/>
          <w:sz w:val="24"/>
          <w:szCs w:val="24"/>
        </w:rPr>
      </w:pPr>
    </w:p>
    <w:p w14:paraId="5EA87595" w14:textId="77777777" w:rsidR="008261E0" w:rsidRPr="00A4767E" w:rsidRDefault="003C06AA" w:rsidP="00E72DB1">
      <w:pPr>
        <w:pStyle w:val="Norma"/>
        <w:ind w:left="360"/>
        <w:jc w:val="both"/>
        <w:rPr>
          <w:rFonts w:eastAsia="MS Mincho" w:cs="Arial"/>
          <w:sz w:val="24"/>
          <w:szCs w:val="24"/>
          <w:lang w:eastAsia="en-US"/>
        </w:rPr>
      </w:pPr>
      <w:r w:rsidRPr="00A4767E">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A4767E" w:rsidRDefault="00532695" w:rsidP="00E4650D">
      <w:pPr>
        <w:pStyle w:val="Norma"/>
        <w:jc w:val="both"/>
        <w:rPr>
          <w:rFonts w:eastAsia="MS Mincho" w:cs="Arial"/>
          <w:sz w:val="24"/>
          <w:szCs w:val="24"/>
          <w:lang w:eastAsia="en-US"/>
        </w:rPr>
      </w:pPr>
    </w:p>
    <w:p w14:paraId="5EA87597" w14:textId="77777777" w:rsidR="00443DE6" w:rsidRPr="00A4767E" w:rsidRDefault="008261E0" w:rsidP="00E72DB1">
      <w:pPr>
        <w:pStyle w:val="Norma"/>
        <w:ind w:left="360"/>
        <w:jc w:val="both"/>
        <w:rPr>
          <w:rFonts w:eastAsia="MS Mincho" w:cs="Arial"/>
          <w:sz w:val="24"/>
          <w:szCs w:val="24"/>
          <w:lang w:eastAsia="en-US"/>
        </w:rPr>
      </w:pPr>
      <w:r w:rsidRPr="00A4767E">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4767E">
        <w:rPr>
          <w:rFonts w:eastAsia="MS Mincho" w:cs="Arial"/>
          <w:sz w:val="24"/>
          <w:szCs w:val="24"/>
          <w:lang w:eastAsia="en-US"/>
        </w:rPr>
        <w:t>.</w:t>
      </w:r>
    </w:p>
    <w:p w14:paraId="5EA87598" w14:textId="77777777" w:rsidR="003C06AA" w:rsidRPr="00A4767E" w:rsidRDefault="003C06AA" w:rsidP="003C1CE8">
      <w:pPr>
        <w:pStyle w:val="Norma"/>
        <w:jc w:val="both"/>
        <w:rPr>
          <w:rFonts w:ascii="Calibri" w:hAnsi="Calibri" w:cs="Calibri"/>
          <w:highlight w:val="yellow"/>
        </w:rPr>
      </w:pPr>
    </w:p>
    <w:p w14:paraId="5EA87599" w14:textId="77777777" w:rsidR="003C1CE8" w:rsidRPr="00A4767E" w:rsidRDefault="005C6FBA" w:rsidP="005E6208">
      <w:pPr>
        <w:pStyle w:val="Heading1"/>
        <w:numPr>
          <w:ilvl w:val="0"/>
          <w:numId w:val="3"/>
        </w:numPr>
        <w:rPr>
          <w:rFonts w:ascii="Arial" w:hAnsi="Arial" w:cs="Arial"/>
          <w:sz w:val="24"/>
          <w:szCs w:val="24"/>
        </w:rPr>
      </w:pPr>
      <w:bookmarkStart w:id="34" w:name="_Ref357541836"/>
      <w:bookmarkStart w:id="35" w:name="_Toc381969520"/>
      <w:bookmarkStart w:id="36" w:name="_Toc405888469"/>
      <w:r w:rsidRPr="00A4767E">
        <w:rPr>
          <w:rFonts w:ascii="Arial" w:hAnsi="Arial" w:cs="Arial"/>
          <w:sz w:val="24"/>
          <w:szCs w:val="24"/>
        </w:rPr>
        <w:t>Evaluation of Tenders</w:t>
      </w:r>
      <w:bookmarkEnd w:id="34"/>
      <w:bookmarkEnd w:id="35"/>
      <w:bookmarkEnd w:id="36"/>
    </w:p>
    <w:p w14:paraId="5EA8759A" w14:textId="77777777" w:rsidR="003C1CE8" w:rsidRPr="00A4767E" w:rsidRDefault="003C1CE8" w:rsidP="00E4650D">
      <w:pPr>
        <w:pStyle w:val="Norma"/>
        <w:jc w:val="both"/>
        <w:rPr>
          <w:rFonts w:cs="Arial"/>
          <w:sz w:val="24"/>
          <w:szCs w:val="24"/>
        </w:rPr>
      </w:pPr>
    </w:p>
    <w:p w14:paraId="5EA8759F" w14:textId="66D1713C" w:rsidR="00002825" w:rsidRPr="00A4767E" w:rsidRDefault="0097210C" w:rsidP="00804221">
      <w:pPr>
        <w:pStyle w:val="NoSpacing"/>
        <w:ind w:left="360"/>
        <w:rPr>
          <w:rFonts w:ascii="Arial" w:hAnsi="Arial" w:cs="Arial"/>
          <w:sz w:val="24"/>
          <w:szCs w:val="24"/>
        </w:rPr>
      </w:pPr>
      <w:r w:rsidRPr="00A4767E">
        <w:rPr>
          <w:rFonts w:ascii="Arial" w:hAnsi="Arial" w:cs="Arial"/>
          <w:sz w:val="24"/>
          <w:szCs w:val="24"/>
        </w:rPr>
        <w:t>C</w:t>
      </w:r>
      <w:r w:rsidR="003C54D5" w:rsidRPr="00A4767E">
        <w:rPr>
          <w:rFonts w:ascii="Arial" w:hAnsi="Arial" w:cs="Arial"/>
          <w:sz w:val="24"/>
          <w:szCs w:val="24"/>
        </w:rPr>
        <w:t xml:space="preserve">CC will select the bidder that </w:t>
      </w:r>
      <w:r w:rsidR="007C2B17" w:rsidRPr="00A4767E">
        <w:rPr>
          <w:rFonts w:ascii="Arial" w:hAnsi="Arial" w:cs="Arial"/>
          <w:sz w:val="24"/>
          <w:szCs w:val="24"/>
        </w:rPr>
        <w:t>scores highest against the</w:t>
      </w:r>
      <w:r w:rsidR="003C54D5" w:rsidRPr="00A4767E">
        <w:rPr>
          <w:rFonts w:ascii="Arial" w:hAnsi="Arial" w:cs="Arial"/>
          <w:sz w:val="24"/>
          <w:szCs w:val="24"/>
        </w:rPr>
        <w:t xml:space="preserve"> crit</w:t>
      </w:r>
      <w:r w:rsidR="00804221" w:rsidRPr="00A4767E">
        <w:rPr>
          <w:rFonts w:ascii="Arial" w:hAnsi="Arial" w:cs="Arial"/>
          <w:sz w:val="24"/>
          <w:szCs w:val="24"/>
        </w:rPr>
        <w:t>eria and weighting listed below, s</w:t>
      </w:r>
      <w:r w:rsidR="00002825" w:rsidRPr="00A4767E">
        <w:rPr>
          <w:rFonts w:ascii="Arial" w:hAnsi="Arial" w:cs="Arial"/>
          <w:sz w:val="24"/>
          <w:szCs w:val="24"/>
        </w:rPr>
        <w:t xml:space="preserve">ee </w:t>
      </w:r>
      <w:r w:rsidR="00EE50B0" w:rsidRPr="00A4767E">
        <w:rPr>
          <w:rFonts w:ascii="Arial" w:hAnsi="Arial" w:cs="Arial"/>
          <w:sz w:val="24"/>
          <w:szCs w:val="24"/>
        </w:rPr>
        <w:t>the ITT</w:t>
      </w:r>
      <w:r w:rsidR="00002825" w:rsidRPr="00A4767E">
        <w:rPr>
          <w:rFonts w:ascii="Arial" w:hAnsi="Arial" w:cs="Arial"/>
          <w:sz w:val="24"/>
          <w:szCs w:val="24"/>
        </w:rPr>
        <w:t xml:space="preserve"> for further information</w:t>
      </w:r>
      <w:r w:rsidR="00804221" w:rsidRPr="00A4767E">
        <w:rPr>
          <w:rFonts w:ascii="Arial" w:hAnsi="Arial" w:cs="Arial"/>
          <w:sz w:val="24"/>
          <w:szCs w:val="24"/>
        </w:rPr>
        <w:t>.</w:t>
      </w:r>
    </w:p>
    <w:p w14:paraId="5EA875A0" w14:textId="77777777" w:rsidR="001623B7" w:rsidRPr="00A4767E"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Pr="00A4767E" w:rsidRDefault="001623B7" w:rsidP="001623B7">
      <w:pPr>
        <w:pStyle w:val="Norma"/>
        <w:spacing w:line="276" w:lineRule="auto"/>
        <w:rPr>
          <w:rFonts w:cs="Arial"/>
          <w:b/>
        </w:rPr>
      </w:pPr>
    </w:p>
    <w:p w14:paraId="1073718B" w14:textId="77777777" w:rsidR="00D567A8" w:rsidRPr="00A4767E" w:rsidRDefault="00D567A8" w:rsidP="001623B7">
      <w:pPr>
        <w:pStyle w:val="Norma"/>
        <w:spacing w:line="276" w:lineRule="auto"/>
        <w:rPr>
          <w:rFonts w:cs="Arial"/>
          <w:b/>
        </w:rPr>
      </w:pPr>
    </w:p>
    <w:p w14:paraId="37D79918" w14:textId="77777777" w:rsidR="00D567A8" w:rsidRPr="00A4767E" w:rsidRDefault="00D567A8" w:rsidP="001623B7">
      <w:pPr>
        <w:pStyle w:val="Norma"/>
        <w:spacing w:line="276" w:lineRule="auto"/>
        <w:rPr>
          <w:rFonts w:cs="Arial"/>
          <w:b/>
        </w:rPr>
      </w:pPr>
    </w:p>
    <w:p w14:paraId="6518FF04" w14:textId="77777777" w:rsidR="00D567A8" w:rsidRPr="00A4767E" w:rsidRDefault="00D567A8" w:rsidP="001623B7">
      <w:pPr>
        <w:pStyle w:val="Norma"/>
        <w:spacing w:line="276" w:lineRule="auto"/>
        <w:rPr>
          <w:rFonts w:cs="Arial"/>
          <w:b/>
        </w:rPr>
      </w:pPr>
    </w:p>
    <w:p w14:paraId="0AFC195E" w14:textId="77777777" w:rsidR="00D567A8" w:rsidRPr="00A4767E" w:rsidRDefault="00D567A8" w:rsidP="001623B7">
      <w:pPr>
        <w:pStyle w:val="Norma"/>
        <w:spacing w:line="276" w:lineRule="auto"/>
        <w:rPr>
          <w:rFonts w:cs="Arial"/>
          <w:b/>
        </w:rPr>
      </w:pPr>
    </w:p>
    <w:p w14:paraId="5EA875A2" w14:textId="77777777" w:rsidR="001623B7" w:rsidRPr="00A4767E" w:rsidRDefault="001623B7" w:rsidP="00941465">
      <w:pPr>
        <w:pStyle w:val="Norma"/>
        <w:spacing w:line="276" w:lineRule="auto"/>
        <w:ind w:left="360"/>
        <w:rPr>
          <w:rFonts w:cs="Arial"/>
          <w:b/>
        </w:rPr>
      </w:pPr>
      <w:r w:rsidRPr="00A4767E">
        <w:rPr>
          <w:rFonts w:cs="Arial"/>
          <w:b/>
        </w:rPr>
        <w:lastRenderedPageBreak/>
        <w:t>EVALUATION CRITERIA AND SCORING METHODOLOGY</w:t>
      </w:r>
    </w:p>
    <w:p w14:paraId="5EA875A3" w14:textId="77777777" w:rsidR="001623B7" w:rsidRPr="00A4767E" w:rsidRDefault="001623B7" w:rsidP="001623B7">
      <w:pPr>
        <w:pStyle w:val="Norma"/>
        <w:spacing w:line="276" w:lineRule="auto"/>
        <w:rPr>
          <w:rFonts w:cs="Arial"/>
          <w:b/>
        </w:rPr>
      </w:pPr>
    </w:p>
    <w:p w14:paraId="5EA875A9" w14:textId="77777777" w:rsidR="001623B7" w:rsidRPr="00A4767E" w:rsidRDefault="001623B7" w:rsidP="001623B7">
      <w:pPr>
        <w:pStyle w:val="Norma"/>
        <w:ind w:left="1197"/>
        <w:rPr>
          <w:rFonts w:cs="Arial"/>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A4767E" w:rsidRPr="00A4767E" w14:paraId="5EA875AD" w14:textId="77777777" w:rsidTr="00CA6CE0">
        <w:tc>
          <w:tcPr>
            <w:tcW w:w="1133" w:type="dxa"/>
          </w:tcPr>
          <w:p w14:paraId="5EA875AA" w14:textId="77777777" w:rsidR="001623B7" w:rsidRPr="00A4767E" w:rsidRDefault="001623B7" w:rsidP="00E00797">
            <w:pPr>
              <w:pStyle w:val="Heading4"/>
              <w:rPr>
                <w:rFonts w:ascii="Arial" w:hAnsi="Arial" w:cs="Arial"/>
                <w:color w:val="auto"/>
              </w:rPr>
            </w:pPr>
            <w:bookmarkStart w:id="37" w:name="p2"/>
            <w:r w:rsidRPr="00A4767E">
              <w:rPr>
                <w:rFonts w:ascii="Arial" w:hAnsi="Arial" w:cs="Arial"/>
                <w:color w:val="auto"/>
              </w:rPr>
              <w:t>Criterion</w:t>
            </w:r>
            <w:bookmarkEnd w:id="37"/>
          </w:p>
        </w:tc>
        <w:tc>
          <w:tcPr>
            <w:tcW w:w="5927" w:type="dxa"/>
            <w:shd w:val="clear" w:color="auto" w:fill="auto"/>
          </w:tcPr>
          <w:p w14:paraId="5EA875AB" w14:textId="77777777" w:rsidR="001623B7" w:rsidRPr="00A4767E" w:rsidRDefault="001623B7" w:rsidP="00E00797">
            <w:pPr>
              <w:pStyle w:val="Heading4"/>
              <w:rPr>
                <w:rFonts w:ascii="Arial" w:hAnsi="Arial" w:cs="Arial"/>
                <w:color w:val="auto"/>
              </w:rPr>
            </w:pPr>
            <w:r w:rsidRPr="00A4767E">
              <w:rPr>
                <w:rFonts w:ascii="Arial" w:hAnsi="Arial" w:cs="Arial"/>
                <w:color w:val="auto"/>
              </w:rPr>
              <w:t>Description</w:t>
            </w:r>
          </w:p>
        </w:tc>
        <w:tc>
          <w:tcPr>
            <w:tcW w:w="2262" w:type="dxa"/>
            <w:shd w:val="clear" w:color="auto" w:fill="auto"/>
          </w:tcPr>
          <w:p w14:paraId="5EA875AC" w14:textId="77777777" w:rsidR="001623B7" w:rsidRPr="00A4767E" w:rsidRDefault="001623B7" w:rsidP="00E00797">
            <w:pPr>
              <w:pStyle w:val="Heading4"/>
              <w:rPr>
                <w:rFonts w:ascii="Arial" w:hAnsi="Arial" w:cs="Arial"/>
                <w:color w:val="auto"/>
              </w:rPr>
            </w:pPr>
            <w:r w:rsidRPr="00A4767E">
              <w:rPr>
                <w:rFonts w:ascii="Arial" w:hAnsi="Arial" w:cs="Arial"/>
                <w:color w:val="auto"/>
              </w:rPr>
              <w:t>Weighting</w:t>
            </w:r>
          </w:p>
        </w:tc>
      </w:tr>
      <w:tr w:rsidR="00A4767E" w:rsidRPr="00A4767E" w14:paraId="5EA875B1" w14:textId="77777777" w:rsidTr="00CA6CE0">
        <w:tc>
          <w:tcPr>
            <w:tcW w:w="1133" w:type="dxa"/>
          </w:tcPr>
          <w:p w14:paraId="5EA875AE" w14:textId="699A64BB" w:rsidR="001623B7" w:rsidRPr="00A4767E" w:rsidRDefault="00F81BC1" w:rsidP="00E00797">
            <w:pPr>
              <w:pStyle w:val="Norma"/>
              <w:rPr>
                <w:rFonts w:cs="Arial"/>
              </w:rPr>
            </w:pPr>
            <w:r w:rsidRPr="00A4767E">
              <w:rPr>
                <w:rFonts w:cs="Arial"/>
              </w:rPr>
              <w:t>1</w:t>
            </w:r>
          </w:p>
        </w:tc>
        <w:tc>
          <w:tcPr>
            <w:tcW w:w="5927" w:type="dxa"/>
            <w:shd w:val="clear" w:color="auto" w:fill="auto"/>
          </w:tcPr>
          <w:p w14:paraId="5EA875AF" w14:textId="644AFD13" w:rsidR="001623B7" w:rsidRPr="00A4767E" w:rsidRDefault="00F81BC1" w:rsidP="00E00797">
            <w:pPr>
              <w:pStyle w:val="Norma"/>
              <w:rPr>
                <w:rFonts w:cs="Arial"/>
              </w:rPr>
            </w:pPr>
            <w:r w:rsidRPr="00A4767E">
              <w:rPr>
                <w:rFonts w:ascii="Calibri" w:hAnsi="Calibri"/>
                <w:b/>
              </w:rPr>
              <w:t>RELEVANT EXPERIENCE / DEMONSTRATION OF CABABILITY</w:t>
            </w:r>
          </w:p>
        </w:tc>
        <w:tc>
          <w:tcPr>
            <w:tcW w:w="2262" w:type="dxa"/>
            <w:shd w:val="clear" w:color="auto" w:fill="auto"/>
          </w:tcPr>
          <w:p w14:paraId="5EA875B0" w14:textId="5CF66DFA" w:rsidR="001623B7" w:rsidRPr="00A4767E" w:rsidRDefault="002F4596" w:rsidP="00E00797">
            <w:pPr>
              <w:pStyle w:val="Norma"/>
              <w:rPr>
                <w:rFonts w:cs="Arial"/>
              </w:rPr>
            </w:pPr>
            <w:r w:rsidRPr="00A4767E">
              <w:rPr>
                <w:rFonts w:cs="Arial"/>
              </w:rPr>
              <w:t>15</w:t>
            </w:r>
            <w:r w:rsidR="00DE76AF" w:rsidRPr="00A4767E">
              <w:rPr>
                <w:rFonts w:cs="Arial"/>
              </w:rPr>
              <w:t>%</w:t>
            </w:r>
          </w:p>
        </w:tc>
      </w:tr>
      <w:tr w:rsidR="00A4767E" w:rsidRPr="00A4767E" w14:paraId="5EA875B5" w14:textId="77777777" w:rsidTr="00CA6CE0">
        <w:tc>
          <w:tcPr>
            <w:tcW w:w="1133" w:type="dxa"/>
          </w:tcPr>
          <w:p w14:paraId="5EA875B2" w14:textId="587E5247" w:rsidR="001623B7" w:rsidRPr="00A4767E" w:rsidRDefault="00F81BC1" w:rsidP="00E00797">
            <w:pPr>
              <w:pStyle w:val="Norma"/>
              <w:rPr>
                <w:rFonts w:cs="Arial"/>
              </w:rPr>
            </w:pPr>
            <w:r w:rsidRPr="00A4767E">
              <w:rPr>
                <w:rFonts w:cs="Arial"/>
              </w:rPr>
              <w:t>2</w:t>
            </w:r>
          </w:p>
        </w:tc>
        <w:tc>
          <w:tcPr>
            <w:tcW w:w="5927" w:type="dxa"/>
            <w:shd w:val="clear" w:color="auto" w:fill="auto"/>
          </w:tcPr>
          <w:p w14:paraId="5EA875B3" w14:textId="382A88F7" w:rsidR="001623B7" w:rsidRPr="00A4767E" w:rsidRDefault="00F81BC1" w:rsidP="00E00797">
            <w:pPr>
              <w:pStyle w:val="Norma"/>
              <w:rPr>
                <w:rFonts w:cs="Arial"/>
              </w:rPr>
            </w:pPr>
            <w:r w:rsidRPr="00A4767E">
              <w:rPr>
                <w:rFonts w:ascii="Calibri" w:hAnsi="Calibri"/>
                <w:b/>
              </w:rPr>
              <w:t>MANAGING YOUR RELATIONSHIP WITH THE CCC</w:t>
            </w:r>
          </w:p>
        </w:tc>
        <w:tc>
          <w:tcPr>
            <w:tcW w:w="2262" w:type="dxa"/>
            <w:shd w:val="clear" w:color="auto" w:fill="auto"/>
          </w:tcPr>
          <w:p w14:paraId="5EA875B4" w14:textId="7FE22855" w:rsidR="001623B7" w:rsidRPr="00A4767E" w:rsidRDefault="00DE76AF" w:rsidP="00E00797">
            <w:pPr>
              <w:pStyle w:val="Norma"/>
              <w:rPr>
                <w:rFonts w:cs="Arial"/>
              </w:rPr>
            </w:pPr>
            <w:r w:rsidRPr="00A4767E">
              <w:rPr>
                <w:rFonts w:cs="Arial"/>
              </w:rPr>
              <w:t>10%</w:t>
            </w:r>
          </w:p>
        </w:tc>
      </w:tr>
      <w:tr w:rsidR="00A4767E" w:rsidRPr="00A4767E" w14:paraId="5EA875B9" w14:textId="77777777" w:rsidTr="00CA6CE0">
        <w:tc>
          <w:tcPr>
            <w:tcW w:w="1133" w:type="dxa"/>
          </w:tcPr>
          <w:p w14:paraId="5EA875B6" w14:textId="5CBFCED4" w:rsidR="001623B7" w:rsidRPr="00A4767E" w:rsidRDefault="00F81BC1" w:rsidP="00E00797">
            <w:pPr>
              <w:pStyle w:val="Norma"/>
              <w:rPr>
                <w:rFonts w:cs="Arial"/>
              </w:rPr>
            </w:pPr>
            <w:r w:rsidRPr="00A4767E">
              <w:rPr>
                <w:rFonts w:cs="Arial"/>
              </w:rPr>
              <w:t>3</w:t>
            </w:r>
          </w:p>
        </w:tc>
        <w:tc>
          <w:tcPr>
            <w:tcW w:w="5927" w:type="dxa"/>
            <w:shd w:val="clear" w:color="auto" w:fill="auto"/>
          </w:tcPr>
          <w:p w14:paraId="5EA875B7" w14:textId="2D79AC43" w:rsidR="001623B7" w:rsidRPr="00A4767E" w:rsidRDefault="00F81BC1" w:rsidP="00E00797">
            <w:pPr>
              <w:pStyle w:val="Norma"/>
              <w:rPr>
                <w:rFonts w:cs="Arial"/>
              </w:rPr>
            </w:pPr>
            <w:r w:rsidRPr="00A4767E">
              <w:rPr>
                <w:rFonts w:ascii="Calibri" w:hAnsi="Calibri"/>
                <w:b/>
              </w:rPr>
              <w:t>QUALITY ASSURING THE SERVICES YOU PROVIDE</w:t>
            </w:r>
          </w:p>
        </w:tc>
        <w:tc>
          <w:tcPr>
            <w:tcW w:w="2262" w:type="dxa"/>
            <w:shd w:val="clear" w:color="auto" w:fill="auto"/>
          </w:tcPr>
          <w:p w14:paraId="5EA875B8" w14:textId="22323499" w:rsidR="001623B7" w:rsidRPr="00A4767E" w:rsidRDefault="00DE76AF" w:rsidP="00E00797">
            <w:pPr>
              <w:pStyle w:val="Norma"/>
              <w:rPr>
                <w:rFonts w:cs="Arial"/>
              </w:rPr>
            </w:pPr>
            <w:r w:rsidRPr="00A4767E">
              <w:rPr>
                <w:rFonts w:cs="Arial"/>
              </w:rPr>
              <w:t>10%</w:t>
            </w:r>
          </w:p>
        </w:tc>
      </w:tr>
      <w:tr w:rsidR="00A4767E" w:rsidRPr="00A4767E" w14:paraId="5EA875BD" w14:textId="77777777" w:rsidTr="00CA6CE0">
        <w:tc>
          <w:tcPr>
            <w:tcW w:w="1133" w:type="dxa"/>
          </w:tcPr>
          <w:p w14:paraId="5EA875BA" w14:textId="3E205DAC" w:rsidR="002F4596" w:rsidRPr="00A4767E" w:rsidRDefault="002F4596" w:rsidP="00E00797">
            <w:pPr>
              <w:pStyle w:val="Norma"/>
              <w:rPr>
                <w:rFonts w:cs="Arial"/>
              </w:rPr>
            </w:pPr>
            <w:r w:rsidRPr="00A4767E">
              <w:rPr>
                <w:rFonts w:cs="Arial"/>
              </w:rPr>
              <w:t>4</w:t>
            </w:r>
          </w:p>
        </w:tc>
        <w:tc>
          <w:tcPr>
            <w:tcW w:w="5927" w:type="dxa"/>
            <w:shd w:val="clear" w:color="auto" w:fill="auto"/>
          </w:tcPr>
          <w:p w14:paraId="5EA875BB" w14:textId="74E5FABD" w:rsidR="002F4596" w:rsidRPr="00A4767E" w:rsidRDefault="002F4596" w:rsidP="00E00797">
            <w:pPr>
              <w:pStyle w:val="Norma"/>
              <w:rPr>
                <w:rFonts w:cs="Arial"/>
              </w:rPr>
            </w:pPr>
            <w:r w:rsidRPr="00A4767E">
              <w:rPr>
                <w:rFonts w:ascii="Calibri" w:hAnsi="Calibri"/>
                <w:b/>
              </w:rPr>
              <w:t>PROJECT TEAM – SKILLS AND KNOWLEDGE</w:t>
            </w:r>
          </w:p>
        </w:tc>
        <w:tc>
          <w:tcPr>
            <w:tcW w:w="2262" w:type="dxa"/>
            <w:shd w:val="clear" w:color="auto" w:fill="auto"/>
          </w:tcPr>
          <w:p w14:paraId="5EA875BC" w14:textId="7F4FA0F7" w:rsidR="002F4596" w:rsidRPr="00A4767E" w:rsidRDefault="00F5143B" w:rsidP="00E00797">
            <w:pPr>
              <w:pStyle w:val="Norma"/>
              <w:rPr>
                <w:rFonts w:cs="Arial"/>
              </w:rPr>
            </w:pPr>
            <w:r w:rsidRPr="00A4767E">
              <w:rPr>
                <w:rFonts w:cs="Arial"/>
              </w:rPr>
              <w:t>2</w:t>
            </w:r>
            <w:r w:rsidR="002F4596" w:rsidRPr="00A4767E">
              <w:rPr>
                <w:rFonts w:cs="Arial"/>
              </w:rPr>
              <w:t>5%</w:t>
            </w:r>
          </w:p>
        </w:tc>
      </w:tr>
      <w:tr w:rsidR="00A4767E" w:rsidRPr="00A4767E" w14:paraId="5EA875C1" w14:textId="77777777" w:rsidTr="00CA6CE0">
        <w:tc>
          <w:tcPr>
            <w:tcW w:w="1133" w:type="dxa"/>
          </w:tcPr>
          <w:p w14:paraId="5EA875BE" w14:textId="7AB65F34" w:rsidR="002F4596" w:rsidRPr="00A4767E" w:rsidRDefault="002F4596" w:rsidP="00E00797">
            <w:pPr>
              <w:pStyle w:val="Norma"/>
              <w:rPr>
                <w:rFonts w:cs="Arial"/>
              </w:rPr>
            </w:pPr>
            <w:r w:rsidRPr="00A4767E">
              <w:rPr>
                <w:rFonts w:cs="Arial"/>
              </w:rPr>
              <w:t>5</w:t>
            </w:r>
          </w:p>
        </w:tc>
        <w:tc>
          <w:tcPr>
            <w:tcW w:w="5927" w:type="dxa"/>
            <w:shd w:val="clear" w:color="auto" w:fill="auto"/>
          </w:tcPr>
          <w:p w14:paraId="5EA875BF" w14:textId="5328DC76" w:rsidR="002F4596" w:rsidRPr="00A4767E" w:rsidRDefault="002F4596" w:rsidP="00E00797">
            <w:pPr>
              <w:pStyle w:val="Norma"/>
              <w:rPr>
                <w:rFonts w:cs="Arial"/>
              </w:rPr>
            </w:pPr>
            <w:r w:rsidRPr="00A4767E">
              <w:rPr>
                <w:rFonts w:ascii="Calibri" w:hAnsi="Calibri"/>
                <w:b/>
              </w:rPr>
              <w:t xml:space="preserve">METHOD, ABILITY AND TECHNICAL CAPACITY </w:t>
            </w:r>
          </w:p>
        </w:tc>
        <w:tc>
          <w:tcPr>
            <w:tcW w:w="2262" w:type="dxa"/>
            <w:shd w:val="clear" w:color="auto" w:fill="auto"/>
          </w:tcPr>
          <w:p w14:paraId="5EA875C0" w14:textId="08CE29DA" w:rsidR="002F4596" w:rsidRPr="00A4767E" w:rsidRDefault="00F5143B" w:rsidP="00E00797">
            <w:pPr>
              <w:pStyle w:val="Norma"/>
              <w:rPr>
                <w:rFonts w:cs="Arial"/>
              </w:rPr>
            </w:pPr>
            <w:r w:rsidRPr="00A4767E">
              <w:rPr>
                <w:rFonts w:cs="Arial"/>
              </w:rPr>
              <w:t>2</w:t>
            </w:r>
            <w:r w:rsidR="002F4596" w:rsidRPr="00A4767E">
              <w:rPr>
                <w:rFonts w:cs="Arial"/>
              </w:rPr>
              <w:t>0%</w:t>
            </w:r>
          </w:p>
        </w:tc>
      </w:tr>
      <w:tr w:rsidR="00A4767E" w:rsidRPr="00A4767E" w14:paraId="5EA875C5" w14:textId="77777777" w:rsidTr="00CA6CE0">
        <w:tc>
          <w:tcPr>
            <w:tcW w:w="1133" w:type="dxa"/>
          </w:tcPr>
          <w:p w14:paraId="5EA875C2" w14:textId="416F5849" w:rsidR="002F4596" w:rsidRPr="00A4767E" w:rsidRDefault="002F4596" w:rsidP="00E00797">
            <w:pPr>
              <w:pStyle w:val="Norma"/>
              <w:rPr>
                <w:rFonts w:cs="Arial"/>
              </w:rPr>
            </w:pPr>
            <w:r w:rsidRPr="00A4767E">
              <w:rPr>
                <w:rFonts w:cs="Arial"/>
              </w:rPr>
              <w:t>6</w:t>
            </w:r>
          </w:p>
        </w:tc>
        <w:tc>
          <w:tcPr>
            <w:tcW w:w="5927" w:type="dxa"/>
            <w:shd w:val="clear" w:color="auto" w:fill="auto"/>
          </w:tcPr>
          <w:p w14:paraId="5EA875C3" w14:textId="20A9FBB5" w:rsidR="002F4596" w:rsidRPr="00A4767E" w:rsidRDefault="002F4596" w:rsidP="00E00797">
            <w:pPr>
              <w:pStyle w:val="Norma"/>
              <w:rPr>
                <w:rFonts w:cs="Arial"/>
              </w:rPr>
            </w:pPr>
            <w:r w:rsidRPr="00A4767E">
              <w:rPr>
                <w:rFonts w:ascii="Calibri" w:hAnsi="Calibri"/>
                <w:b/>
              </w:rPr>
              <w:t>UNDERSTANDING OF REQUIREMENTS</w:t>
            </w:r>
          </w:p>
        </w:tc>
        <w:tc>
          <w:tcPr>
            <w:tcW w:w="2262" w:type="dxa"/>
            <w:shd w:val="clear" w:color="auto" w:fill="auto"/>
          </w:tcPr>
          <w:p w14:paraId="5EA875C4" w14:textId="342A078D" w:rsidR="002F4596" w:rsidRPr="00A4767E" w:rsidRDefault="002F4596" w:rsidP="00E00797">
            <w:pPr>
              <w:pStyle w:val="Norma"/>
              <w:rPr>
                <w:rFonts w:cs="Arial"/>
              </w:rPr>
            </w:pPr>
            <w:r w:rsidRPr="00A4767E">
              <w:rPr>
                <w:rFonts w:cs="Arial"/>
              </w:rPr>
              <w:t>10%</w:t>
            </w:r>
          </w:p>
        </w:tc>
      </w:tr>
      <w:tr w:rsidR="00A4767E" w:rsidRPr="00A4767E" w14:paraId="5EA875C9" w14:textId="77777777" w:rsidTr="00CA6CE0">
        <w:tc>
          <w:tcPr>
            <w:tcW w:w="1133" w:type="dxa"/>
          </w:tcPr>
          <w:p w14:paraId="5EA875C6" w14:textId="679AAEE0" w:rsidR="002F4596" w:rsidRPr="00A4767E" w:rsidRDefault="002F4596" w:rsidP="00E00797">
            <w:pPr>
              <w:pStyle w:val="Norma"/>
              <w:rPr>
                <w:rFonts w:cs="Arial"/>
              </w:rPr>
            </w:pPr>
            <w:r w:rsidRPr="00A4767E">
              <w:rPr>
                <w:rFonts w:cs="Arial"/>
              </w:rPr>
              <w:t>7</w:t>
            </w:r>
          </w:p>
        </w:tc>
        <w:tc>
          <w:tcPr>
            <w:tcW w:w="5927" w:type="dxa"/>
            <w:shd w:val="clear" w:color="auto" w:fill="auto"/>
          </w:tcPr>
          <w:p w14:paraId="5EA875C7" w14:textId="4B7079EC" w:rsidR="002F4596" w:rsidRPr="00A4767E" w:rsidRDefault="002F4596" w:rsidP="00E00797">
            <w:pPr>
              <w:pStyle w:val="Norma"/>
              <w:rPr>
                <w:rFonts w:cs="Arial"/>
              </w:rPr>
            </w:pPr>
            <w:r w:rsidRPr="00A4767E">
              <w:rPr>
                <w:rFonts w:ascii="Calibri" w:hAnsi="Calibri"/>
                <w:b/>
              </w:rPr>
              <w:t>RISK AND CHALLENGES</w:t>
            </w:r>
          </w:p>
        </w:tc>
        <w:tc>
          <w:tcPr>
            <w:tcW w:w="2262" w:type="dxa"/>
            <w:shd w:val="clear" w:color="auto" w:fill="auto"/>
          </w:tcPr>
          <w:p w14:paraId="5EA875C8" w14:textId="35023A70" w:rsidR="002F4596" w:rsidRPr="00A4767E" w:rsidRDefault="002F4596" w:rsidP="00E00797">
            <w:pPr>
              <w:pStyle w:val="Norma"/>
              <w:rPr>
                <w:rFonts w:cs="Arial"/>
              </w:rPr>
            </w:pPr>
            <w:r w:rsidRPr="00A4767E">
              <w:rPr>
                <w:rFonts w:cs="Arial"/>
              </w:rPr>
              <w:t>10%</w:t>
            </w:r>
          </w:p>
        </w:tc>
      </w:tr>
      <w:tr w:rsidR="002F4596" w:rsidRPr="00A4767E" w14:paraId="5EA875CC" w14:textId="77777777" w:rsidTr="00CA6CE0">
        <w:tc>
          <w:tcPr>
            <w:tcW w:w="7060" w:type="dxa"/>
            <w:gridSpan w:val="2"/>
          </w:tcPr>
          <w:p w14:paraId="5EA875CA" w14:textId="77777777" w:rsidR="002F4596" w:rsidRPr="00A4767E" w:rsidRDefault="002F4596" w:rsidP="00E00797">
            <w:pPr>
              <w:pStyle w:val="Norma"/>
              <w:rPr>
                <w:rFonts w:cs="Arial"/>
              </w:rPr>
            </w:pPr>
          </w:p>
        </w:tc>
        <w:tc>
          <w:tcPr>
            <w:tcW w:w="2262" w:type="dxa"/>
            <w:shd w:val="clear" w:color="auto" w:fill="auto"/>
          </w:tcPr>
          <w:p w14:paraId="5EA875CB" w14:textId="45738F50" w:rsidR="002F4596" w:rsidRPr="00A4767E" w:rsidRDefault="002F4596" w:rsidP="00E00797">
            <w:pPr>
              <w:pStyle w:val="Norma"/>
              <w:rPr>
                <w:rFonts w:cs="Arial"/>
              </w:rPr>
            </w:pPr>
            <w:r w:rsidRPr="00A4767E">
              <w:rPr>
                <w:rFonts w:cs="Arial"/>
              </w:rPr>
              <w:t>100%</w:t>
            </w:r>
          </w:p>
        </w:tc>
      </w:tr>
    </w:tbl>
    <w:p w14:paraId="5EA875CD" w14:textId="77777777" w:rsidR="001623B7" w:rsidRPr="00A4767E" w:rsidRDefault="001623B7" w:rsidP="001623B7">
      <w:pPr>
        <w:pStyle w:val="Norma"/>
      </w:pPr>
    </w:p>
    <w:p w14:paraId="405ED9CC" w14:textId="77777777" w:rsidR="0089389E" w:rsidRPr="00A4767E" w:rsidRDefault="0089389E" w:rsidP="00F129F3">
      <w:pPr>
        <w:pStyle w:val="Norma"/>
        <w:jc w:val="both"/>
        <w:rPr>
          <w:rFonts w:cs="Arial"/>
          <w:b/>
          <w:bCs/>
          <w:sz w:val="24"/>
          <w:szCs w:val="24"/>
        </w:rPr>
      </w:pPr>
    </w:p>
    <w:p w14:paraId="5EA875CE" w14:textId="77777777" w:rsidR="00F129F3" w:rsidRPr="00A4767E" w:rsidRDefault="00F129F3" w:rsidP="00F129F3">
      <w:pPr>
        <w:pStyle w:val="Norma"/>
        <w:jc w:val="both"/>
        <w:rPr>
          <w:rFonts w:cs="Arial"/>
          <w:b/>
          <w:bCs/>
          <w:sz w:val="24"/>
          <w:szCs w:val="24"/>
        </w:rPr>
      </w:pPr>
      <w:r w:rsidRPr="00A4767E">
        <w:rPr>
          <w:rFonts w:cs="Arial"/>
          <w:b/>
          <w:bCs/>
          <w:sz w:val="24"/>
          <w:szCs w:val="24"/>
        </w:rPr>
        <w:t>Scoring Method</w:t>
      </w:r>
    </w:p>
    <w:p w14:paraId="5EA875CF" w14:textId="77777777" w:rsidR="00F129F3" w:rsidRPr="00A4767E" w:rsidRDefault="00F129F3" w:rsidP="00F129F3">
      <w:pPr>
        <w:pStyle w:val="Norma"/>
        <w:jc w:val="both"/>
        <w:rPr>
          <w:rFonts w:cs="Arial"/>
          <w:b/>
          <w:bCs/>
          <w:sz w:val="24"/>
          <w:szCs w:val="24"/>
        </w:rPr>
      </w:pPr>
    </w:p>
    <w:p w14:paraId="5EA875D0" w14:textId="77777777" w:rsidR="00F129F3" w:rsidRPr="00A4767E" w:rsidRDefault="00F129F3" w:rsidP="00F129F3">
      <w:pPr>
        <w:pStyle w:val="Norma"/>
        <w:jc w:val="both"/>
        <w:rPr>
          <w:rFonts w:cs="Arial"/>
          <w:bCs/>
          <w:sz w:val="24"/>
          <w:szCs w:val="24"/>
        </w:rPr>
      </w:pPr>
      <w:r w:rsidRPr="00A4767E">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A4767E" w:rsidRDefault="00F129F3" w:rsidP="00F129F3">
      <w:pPr>
        <w:pStyle w:val="Norma"/>
        <w:jc w:val="both"/>
        <w:rPr>
          <w:rFonts w:cs="Arial"/>
          <w:bCs/>
          <w:sz w:val="24"/>
          <w:szCs w:val="24"/>
        </w:rPr>
      </w:pPr>
    </w:p>
    <w:p w14:paraId="5EA875D2" w14:textId="77777777" w:rsidR="00F129F3" w:rsidRPr="00A4767E" w:rsidRDefault="00F129F3" w:rsidP="00F129F3">
      <w:pPr>
        <w:pStyle w:val="Norma"/>
        <w:jc w:val="both"/>
        <w:rPr>
          <w:rFonts w:cs="Arial"/>
          <w:sz w:val="24"/>
          <w:szCs w:val="24"/>
        </w:rPr>
      </w:pPr>
      <w:r w:rsidRPr="00A4767E">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A4767E" w:rsidRDefault="0089389E" w:rsidP="00F129F3">
      <w:pPr>
        <w:pStyle w:val="Norma"/>
        <w:jc w:val="both"/>
        <w:rPr>
          <w:rFonts w:cs="Arial"/>
          <w:sz w:val="24"/>
          <w:szCs w:val="24"/>
        </w:rPr>
      </w:pPr>
    </w:p>
    <w:p w14:paraId="5EA875D3" w14:textId="77777777" w:rsidR="00F129F3" w:rsidRPr="00A4767E" w:rsidRDefault="00F129F3" w:rsidP="00F129F3">
      <w:pPr>
        <w:pStyle w:val="Norma"/>
        <w:spacing w:line="276" w:lineRule="auto"/>
        <w:rPr>
          <w:rFonts w:ascii="Calibri" w:hAnsi="Calibri" w:cs="Calibri"/>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A4767E" w:rsidRPr="00A4767E" w14:paraId="5EA875D6" w14:textId="77777777" w:rsidTr="00E00797">
        <w:tc>
          <w:tcPr>
            <w:tcW w:w="816" w:type="dxa"/>
          </w:tcPr>
          <w:p w14:paraId="5EA875D4" w14:textId="77777777" w:rsidR="00F129F3" w:rsidRPr="00A4767E" w:rsidRDefault="00F129F3" w:rsidP="00E00797">
            <w:pPr>
              <w:pStyle w:val="Norma"/>
              <w:spacing w:line="276" w:lineRule="auto"/>
              <w:jc w:val="both"/>
              <w:rPr>
                <w:rFonts w:cs="Arial"/>
                <w:b/>
                <w:sz w:val="24"/>
                <w:szCs w:val="24"/>
              </w:rPr>
            </w:pPr>
            <w:r w:rsidRPr="00A4767E">
              <w:rPr>
                <w:rFonts w:cs="Arial"/>
                <w:b/>
                <w:sz w:val="24"/>
                <w:szCs w:val="24"/>
              </w:rPr>
              <w:t>Score</w:t>
            </w:r>
          </w:p>
        </w:tc>
        <w:tc>
          <w:tcPr>
            <w:tcW w:w="7939" w:type="dxa"/>
          </w:tcPr>
          <w:p w14:paraId="5EA875D5" w14:textId="77777777" w:rsidR="00F129F3" w:rsidRPr="00A4767E" w:rsidRDefault="00F129F3" w:rsidP="00E00797">
            <w:pPr>
              <w:pStyle w:val="Norma"/>
              <w:spacing w:line="276" w:lineRule="auto"/>
              <w:jc w:val="both"/>
              <w:rPr>
                <w:rFonts w:cs="Arial"/>
                <w:b/>
                <w:sz w:val="24"/>
                <w:szCs w:val="24"/>
              </w:rPr>
            </w:pPr>
            <w:r w:rsidRPr="00A4767E">
              <w:rPr>
                <w:rFonts w:cs="Arial"/>
                <w:b/>
                <w:sz w:val="24"/>
                <w:szCs w:val="24"/>
              </w:rPr>
              <w:t>Description</w:t>
            </w:r>
          </w:p>
        </w:tc>
      </w:tr>
      <w:tr w:rsidR="00A4767E" w:rsidRPr="00A4767E" w14:paraId="5EA875D9" w14:textId="77777777" w:rsidTr="00E00797">
        <w:trPr>
          <w:trHeight w:val="313"/>
        </w:trPr>
        <w:tc>
          <w:tcPr>
            <w:tcW w:w="816" w:type="dxa"/>
          </w:tcPr>
          <w:p w14:paraId="5EA875D7" w14:textId="77777777" w:rsidR="00F129F3" w:rsidRPr="00A4767E" w:rsidRDefault="00F129F3" w:rsidP="00E00797">
            <w:pPr>
              <w:pStyle w:val="Norma"/>
              <w:spacing w:line="276" w:lineRule="auto"/>
              <w:jc w:val="both"/>
              <w:rPr>
                <w:rFonts w:cs="Arial"/>
                <w:sz w:val="24"/>
                <w:szCs w:val="24"/>
              </w:rPr>
            </w:pPr>
            <w:r w:rsidRPr="00A4767E">
              <w:rPr>
                <w:rFonts w:cs="Arial"/>
                <w:sz w:val="24"/>
                <w:szCs w:val="24"/>
              </w:rPr>
              <w:t>1</w:t>
            </w:r>
          </w:p>
        </w:tc>
        <w:tc>
          <w:tcPr>
            <w:tcW w:w="7939" w:type="dxa"/>
          </w:tcPr>
          <w:p w14:paraId="5EA875D8" w14:textId="77777777" w:rsidR="00F129F3" w:rsidRPr="00A4767E" w:rsidRDefault="00F129F3" w:rsidP="00E00797">
            <w:pPr>
              <w:pStyle w:val="NoSpacing"/>
              <w:rPr>
                <w:rFonts w:ascii="Arial" w:hAnsi="Arial" w:cs="Arial"/>
                <w:sz w:val="24"/>
                <w:szCs w:val="24"/>
              </w:rPr>
            </w:pPr>
            <w:r w:rsidRPr="00A4767E">
              <w:rPr>
                <w:rFonts w:ascii="Arial" w:hAnsi="Arial" w:cs="Arial"/>
                <w:sz w:val="24"/>
                <w:szCs w:val="24"/>
              </w:rPr>
              <w:t>Not Satisfactory: Proposal contains significant shortcomings and does not meet the required standard</w:t>
            </w:r>
          </w:p>
        </w:tc>
      </w:tr>
      <w:tr w:rsidR="00A4767E" w:rsidRPr="00A4767E" w14:paraId="5EA875DC" w14:textId="77777777" w:rsidTr="00E00797">
        <w:tc>
          <w:tcPr>
            <w:tcW w:w="816" w:type="dxa"/>
          </w:tcPr>
          <w:p w14:paraId="5EA875DA" w14:textId="77777777" w:rsidR="00F129F3" w:rsidRPr="00A4767E" w:rsidRDefault="00F129F3" w:rsidP="00E00797">
            <w:pPr>
              <w:pStyle w:val="Norma"/>
              <w:spacing w:line="276" w:lineRule="auto"/>
              <w:jc w:val="both"/>
              <w:rPr>
                <w:rFonts w:cs="Arial"/>
                <w:sz w:val="24"/>
                <w:szCs w:val="24"/>
              </w:rPr>
            </w:pPr>
            <w:r w:rsidRPr="00A4767E">
              <w:rPr>
                <w:rFonts w:cs="Arial"/>
                <w:sz w:val="24"/>
                <w:szCs w:val="24"/>
              </w:rPr>
              <w:t>2</w:t>
            </w:r>
          </w:p>
        </w:tc>
        <w:tc>
          <w:tcPr>
            <w:tcW w:w="7939" w:type="dxa"/>
          </w:tcPr>
          <w:p w14:paraId="5EA875DB" w14:textId="77777777" w:rsidR="00F129F3" w:rsidRPr="00A4767E" w:rsidRDefault="00F129F3" w:rsidP="00E00797">
            <w:pPr>
              <w:pStyle w:val="NoSpacing"/>
              <w:rPr>
                <w:rFonts w:ascii="Arial" w:hAnsi="Arial" w:cs="Arial"/>
                <w:sz w:val="24"/>
                <w:szCs w:val="24"/>
              </w:rPr>
            </w:pPr>
            <w:r w:rsidRPr="00A4767E">
              <w:rPr>
                <w:rFonts w:ascii="Arial" w:hAnsi="Arial" w:cs="Arial"/>
                <w:sz w:val="24"/>
                <w:szCs w:val="24"/>
              </w:rPr>
              <w:t xml:space="preserve">Partially Satisfactory: Proposal partially meets the required standard, with one or more moderate weaknesses or gaps </w:t>
            </w:r>
          </w:p>
        </w:tc>
      </w:tr>
      <w:tr w:rsidR="00A4767E" w:rsidRPr="00A4767E" w14:paraId="5EA875DF" w14:textId="77777777" w:rsidTr="00E00797">
        <w:tc>
          <w:tcPr>
            <w:tcW w:w="816" w:type="dxa"/>
          </w:tcPr>
          <w:p w14:paraId="5EA875DD" w14:textId="77777777" w:rsidR="00F129F3" w:rsidRPr="00A4767E" w:rsidRDefault="00F129F3" w:rsidP="00E00797">
            <w:pPr>
              <w:pStyle w:val="Norma"/>
              <w:spacing w:line="276" w:lineRule="auto"/>
              <w:jc w:val="both"/>
              <w:rPr>
                <w:rFonts w:cs="Arial"/>
                <w:sz w:val="24"/>
                <w:szCs w:val="24"/>
              </w:rPr>
            </w:pPr>
            <w:r w:rsidRPr="00A4767E">
              <w:rPr>
                <w:rFonts w:cs="Arial"/>
                <w:sz w:val="24"/>
                <w:szCs w:val="24"/>
              </w:rPr>
              <w:t>3</w:t>
            </w:r>
          </w:p>
        </w:tc>
        <w:tc>
          <w:tcPr>
            <w:tcW w:w="7939" w:type="dxa"/>
          </w:tcPr>
          <w:p w14:paraId="5EA875DE" w14:textId="77777777" w:rsidR="00F129F3" w:rsidRPr="00A4767E" w:rsidRDefault="00F129F3" w:rsidP="00E00797">
            <w:pPr>
              <w:pStyle w:val="NoSpacing"/>
              <w:rPr>
                <w:rFonts w:ascii="Arial" w:hAnsi="Arial" w:cs="Arial"/>
                <w:sz w:val="24"/>
                <w:szCs w:val="24"/>
              </w:rPr>
            </w:pPr>
            <w:r w:rsidRPr="00A4767E">
              <w:rPr>
                <w:rFonts w:ascii="Arial" w:hAnsi="Arial" w:cs="Arial"/>
                <w:sz w:val="24"/>
                <w:szCs w:val="24"/>
              </w:rPr>
              <w:t>Satisfactory: Proposal mostly meets the required standard, with one or more minor weaknesses or gaps.</w:t>
            </w:r>
          </w:p>
        </w:tc>
      </w:tr>
      <w:tr w:rsidR="00A4767E" w:rsidRPr="00A4767E" w14:paraId="5EA875E2" w14:textId="77777777" w:rsidTr="00E00797">
        <w:tc>
          <w:tcPr>
            <w:tcW w:w="816" w:type="dxa"/>
          </w:tcPr>
          <w:p w14:paraId="5EA875E0" w14:textId="77777777" w:rsidR="00F129F3" w:rsidRPr="00A4767E" w:rsidRDefault="00F129F3" w:rsidP="00E00797">
            <w:pPr>
              <w:pStyle w:val="Norma"/>
              <w:spacing w:line="276" w:lineRule="auto"/>
              <w:jc w:val="both"/>
              <w:rPr>
                <w:rFonts w:cs="Arial"/>
                <w:sz w:val="24"/>
                <w:szCs w:val="24"/>
              </w:rPr>
            </w:pPr>
            <w:r w:rsidRPr="00A4767E">
              <w:rPr>
                <w:rFonts w:cs="Arial"/>
                <w:sz w:val="24"/>
                <w:szCs w:val="24"/>
              </w:rPr>
              <w:t>4</w:t>
            </w:r>
          </w:p>
        </w:tc>
        <w:tc>
          <w:tcPr>
            <w:tcW w:w="7939" w:type="dxa"/>
          </w:tcPr>
          <w:p w14:paraId="5EA875E1" w14:textId="77777777" w:rsidR="00F129F3" w:rsidRPr="00A4767E" w:rsidRDefault="00F129F3" w:rsidP="00E00797">
            <w:pPr>
              <w:pStyle w:val="NoSpacing"/>
              <w:rPr>
                <w:rFonts w:ascii="Arial" w:hAnsi="Arial" w:cs="Arial"/>
                <w:sz w:val="24"/>
                <w:szCs w:val="24"/>
              </w:rPr>
            </w:pPr>
            <w:r w:rsidRPr="00A4767E">
              <w:rPr>
                <w:rFonts w:ascii="Arial" w:hAnsi="Arial" w:cs="Arial"/>
                <w:sz w:val="24"/>
                <w:szCs w:val="24"/>
              </w:rPr>
              <w:t>Good: Proposal meets the required standard, with moderate levels of assurance</w:t>
            </w:r>
          </w:p>
        </w:tc>
      </w:tr>
      <w:tr w:rsidR="00F129F3" w:rsidRPr="00A4767E" w14:paraId="5EA875E5" w14:textId="77777777" w:rsidTr="00E00797">
        <w:tc>
          <w:tcPr>
            <w:tcW w:w="816" w:type="dxa"/>
          </w:tcPr>
          <w:p w14:paraId="5EA875E3" w14:textId="77777777" w:rsidR="00F129F3" w:rsidRPr="00A4767E" w:rsidRDefault="00F129F3" w:rsidP="00E00797">
            <w:pPr>
              <w:pStyle w:val="Norma"/>
              <w:spacing w:line="276" w:lineRule="auto"/>
              <w:jc w:val="both"/>
              <w:rPr>
                <w:rFonts w:cs="Arial"/>
                <w:sz w:val="24"/>
                <w:szCs w:val="24"/>
              </w:rPr>
            </w:pPr>
            <w:r w:rsidRPr="00A4767E">
              <w:rPr>
                <w:rFonts w:cs="Arial"/>
                <w:sz w:val="24"/>
                <w:szCs w:val="24"/>
              </w:rPr>
              <w:t>5</w:t>
            </w:r>
          </w:p>
        </w:tc>
        <w:tc>
          <w:tcPr>
            <w:tcW w:w="7939" w:type="dxa"/>
          </w:tcPr>
          <w:p w14:paraId="5EA875E4" w14:textId="77777777" w:rsidR="00F129F3" w:rsidRPr="00A4767E" w:rsidRDefault="00F129F3" w:rsidP="00E00797">
            <w:pPr>
              <w:pStyle w:val="NoSpacing"/>
              <w:rPr>
                <w:rFonts w:ascii="Arial" w:hAnsi="Arial" w:cs="Arial"/>
                <w:sz w:val="24"/>
                <w:szCs w:val="24"/>
              </w:rPr>
            </w:pPr>
            <w:r w:rsidRPr="00A4767E">
              <w:rPr>
                <w:rFonts w:ascii="Arial" w:hAnsi="Arial" w:cs="Arial"/>
                <w:sz w:val="24"/>
                <w:szCs w:val="24"/>
              </w:rPr>
              <w:t>Excellent: Proposal fully meets the required standard with high levels of assurance</w:t>
            </w:r>
          </w:p>
        </w:tc>
      </w:tr>
    </w:tbl>
    <w:p w14:paraId="5EA87614" w14:textId="77777777" w:rsidR="001623B7" w:rsidRPr="00A4767E" w:rsidRDefault="001623B7" w:rsidP="001623B7">
      <w:pPr>
        <w:pStyle w:val="Norma"/>
        <w:widowControl/>
        <w:overflowPunct/>
        <w:autoSpaceDE/>
        <w:autoSpaceDN/>
        <w:adjustRightInd/>
        <w:jc w:val="both"/>
        <w:textAlignment w:val="auto"/>
        <w:rPr>
          <w:rFonts w:cs="Arial"/>
          <w:sz w:val="24"/>
          <w:szCs w:val="24"/>
        </w:rPr>
      </w:pPr>
      <w:bookmarkStart w:id="38" w:name="nine01"/>
      <w:bookmarkEnd w:id="38"/>
    </w:p>
    <w:p w14:paraId="5EA87615" w14:textId="77777777" w:rsidR="004A2B75" w:rsidRPr="00A4767E" w:rsidRDefault="004A2B75" w:rsidP="00E4650D">
      <w:pPr>
        <w:pStyle w:val="Norma"/>
        <w:jc w:val="both"/>
        <w:rPr>
          <w:rFonts w:cs="Arial"/>
          <w:b/>
          <w:sz w:val="24"/>
          <w:szCs w:val="24"/>
        </w:rPr>
      </w:pPr>
    </w:p>
    <w:p w14:paraId="5EA87616" w14:textId="77777777" w:rsidR="00BD1875" w:rsidRPr="00A4767E" w:rsidRDefault="00BD1875" w:rsidP="00E4650D">
      <w:pPr>
        <w:pStyle w:val="Norma"/>
        <w:jc w:val="both"/>
        <w:rPr>
          <w:rFonts w:cs="Arial"/>
          <w:b/>
          <w:sz w:val="24"/>
          <w:szCs w:val="24"/>
        </w:rPr>
      </w:pPr>
      <w:r w:rsidRPr="00A4767E">
        <w:rPr>
          <w:rFonts w:cs="Arial"/>
          <w:b/>
          <w:sz w:val="24"/>
          <w:szCs w:val="24"/>
        </w:rPr>
        <w:t>Structure of Tenders</w:t>
      </w:r>
    </w:p>
    <w:p w14:paraId="5EA87617" w14:textId="77777777" w:rsidR="00BD1875" w:rsidRPr="00A4767E" w:rsidRDefault="00BD1875" w:rsidP="00E4650D">
      <w:pPr>
        <w:pStyle w:val="Norma"/>
        <w:jc w:val="both"/>
        <w:rPr>
          <w:rFonts w:cs="Arial"/>
          <w:sz w:val="24"/>
          <w:szCs w:val="24"/>
        </w:rPr>
      </w:pPr>
    </w:p>
    <w:p w14:paraId="5EA87618" w14:textId="6E218984" w:rsidR="00D648EC" w:rsidRPr="00A4767E" w:rsidRDefault="007B668D" w:rsidP="00E4650D">
      <w:pPr>
        <w:pStyle w:val="Norma"/>
        <w:jc w:val="both"/>
        <w:rPr>
          <w:rFonts w:eastAsia="Calibri" w:cs="Arial"/>
          <w:sz w:val="24"/>
          <w:szCs w:val="24"/>
          <w:lang w:eastAsia="en-US"/>
        </w:rPr>
      </w:pPr>
      <w:r w:rsidRPr="00A4767E">
        <w:rPr>
          <w:rFonts w:cs="Arial"/>
          <w:sz w:val="24"/>
          <w:szCs w:val="24"/>
        </w:rPr>
        <w:t>Contractors are strongly advised to structure their tender submissions to cover</w:t>
      </w:r>
      <w:r w:rsidR="000B765B" w:rsidRPr="00A4767E">
        <w:rPr>
          <w:rFonts w:cs="Arial"/>
          <w:sz w:val="24"/>
          <w:szCs w:val="24"/>
        </w:rPr>
        <w:t xml:space="preserve"> each of</w:t>
      </w:r>
      <w:r w:rsidRPr="00A4767E">
        <w:rPr>
          <w:rFonts w:cs="Arial"/>
          <w:sz w:val="24"/>
          <w:szCs w:val="24"/>
        </w:rPr>
        <w:t xml:space="preserve"> the criteria above</w:t>
      </w:r>
      <w:r w:rsidR="00F81BC1" w:rsidRPr="00A4767E">
        <w:rPr>
          <w:rFonts w:cs="Arial"/>
          <w:sz w:val="24"/>
          <w:szCs w:val="24"/>
        </w:rPr>
        <w:t xml:space="preserve"> and supply a price </w:t>
      </w:r>
      <w:r w:rsidR="006D62F6" w:rsidRPr="00A4767E">
        <w:rPr>
          <w:rFonts w:eastAsia="Calibri" w:cs="Arial"/>
          <w:sz w:val="24"/>
          <w:szCs w:val="24"/>
          <w:lang w:eastAsia="en-US"/>
        </w:rPr>
        <w:t xml:space="preserve">schedule </w:t>
      </w:r>
      <w:r w:rsidR="00D648EC" w:rsidRPr="00A4767E">
        <w:rPr>
          <w:rFonts w:eastAsia="Calibri" w:cs="Arial"/>
          <w:sz w:val="24"/>
          <w:szCs w:val="24"/>
          <w:lang w:eastAsia="en-US"/>
        </w:rPr>
        <w:t xml:space="preserve">specifying the daily rates (ex-VAT) you will charge for each level of your staff. </w:t>
      </w:r>
    </w:p>
    <w:p w14:paraId="5EA87619" w14:textId="77777777" w:rsidR="003C1CE8" w:rsidRPr="00A4767E" w:rsidRDefault="003C1CE8" w:rsidP="003C1CE8">
      <w:pPr>
        <w:pStyle w:val="Norma"/>
        <w:rPr>
          <w:rFonts w:ascii="Calibri" w:hAnsi="Calibri" w:cs="Calibri"/>
        </w:rPr>
      </w:pPr>
    </w:p>
    <w:p w14:paraId="5EA8761A" w14:textId="77777777" w:rsidR="003B5CAF" w:rsidRPr="00A4767E" w:rsidRDefault="003B5CAF" w:rsidP="003C1CE8">
      <w:pPr>
        <w:pStyle w:val="Norma"/>
        <w:jc w:val="both"/>
        <w:rPr>
          <w:rFonts w:ascii="Calibri" w:hAnsi="Calibri" w:cs="Calibri"/>
          <w:b/>
        </w:rPr>
      </w:pPr>
    </w:p>
    <w:p w14:paraId="69FCA3FB" w14:textId="77777777" w:rsidR="00D567A8" w:rsidRPr="00A4767E" w:rsidRDefault="00D567A8" w:rsidP="003C1CE8">
      <w:pPr>
        <w:pStyle w:val="Norma"/>
        <w:jc w:val="both"/>
        <w:rPr>
          <w:rFonts w:ascii="Calibri" w:hAnsi="Calibri" w:cs="Calibri"/>
          <w:b/>
        </w:rPr>
      </w:pPr>
    </w:p>
    <w:p w14:paraId="23D6415D" w14:textId="77777777" w:rsidR="00D567A8" w:rsidRPr="00A4767E" w:rsidRDefault="00D567A8" w:rsidP="003C1CE8">
      <w:pPr>
        <w:pStyle w:val="Norma"/>
        <w:jc w:val="both"/>
        <w:rPr>
          <w:rFonts w:ascii="Calibri" w:hAnsi="Calibri" w:cs="Calibri"/>
          <w:b/>
        </w:rPr>
      </w:pPr>
    </w:p>
    <w:p w14:paraId="07BB773D" w14:textId="77777777" w:rsidR="00D567A8" w:rsidRPr="00A4767E" w:rsidRDefault="00D567A8" w:rsidP="003C1CE8">
      <w:pPr>
        <w:pStyle w:val="Norma"/>
        <w:jc w:val="both"/>
        <w:rPr>
          <w:rFonts w:ascii="Calibri" w:hAnsi="Calibri" w:cs="Calibri"/>
          <w:b/>
        </w:rPr>
      </w:pPr>
    </w:p>
    <w:p w14:paraId="5EA8761B" w14:textId="77777777" w:rsidR="000B02C5" w:rsidRPr="00A4767E" w:rsidRDefault="000B02C5" w:rsidP="008A0415">
      <w:pPr>
        <w:pStyle w:val="Norma"/>
        <w:jc w:val="both"/>
        <w:rPr>
          <w:rFonts w:cs="Arial"/>
          <w:b/>
          <w:sz w:val="24"/>
          <w:szCs w:val="24"/>
        </w:rPr>
      </w:pPr>
      <w:r w:rsidRPr="00A4767E">
        <w:rPr>
          <w:rFonts w:cs="Arial"/>
          <w:b/>
          <w:sz w:val="24"/>
          <w:szCs w:val="24"/>
        </w:rPr>
        <w:lastRenderedPageBreak/>
        <w:t>Evaluation for Interviews</w:t>
      </w:r>
      <w:r w:rsidR="00CF00CA" w:rsidRPr="00A4767E">
        <w:rPr>
          <w:rFonts w:cs="Arial"/>
          <w:b/>
          <w:sz w:val="24"/>
          <w:szCs w:val="24"/>
        </w:rPr>
        <w:t>, if held</w:t>
      </w:r>
      <w:r w:rsidRPr="00A4767E">
        <w:rPr>
          <w:rFonts w:cs="Arial"/>
          <w:b/>
          <w:sz w:val="24"/>
          <w:szCs w:val="24"/>
        </w:rPr>
        <w:t xml:space="preserve"> </w:t>
      </w:r>
    </w:p>
    <w:p w14:paraId="5EA8761C" w14:textId="77777777" w:rsidR="000B02C5" w:rsidRPr="00A4767E" w:rsidRDefault="000B02C5" w:rsidP="008A0415">
      <w:pPr>
        <w:pStyle w:val="Norma"/>
        <w:jc w:val="both"/>
        <w:rPr>
          <w:rFonts w:cs="Arial"/>
          <w:b/>
          <w:sz w:val="24"/>
          <w:szCs w:val="24"/>
        </w:rPr>
      </w:pPr>
    </w:p>
    <w:p w14:paraId="5EA8761D" w14:textId="4BB87FDC" w:rsidR="002E198B" w:rsidRPr="00A4767E" w:rsidRDefault="0097210C" w:rsidP="008A0415">
      <w:pPr>
        <w:pStyle w:val="Norma"/>
        <w:jc w:val="both"/>
        <w:rPr>
          <w:rFonts w:cs="Arial"/>
          <w:sz w:val="24"/>
          <w:szCs w:val="24"/>
        </w:rPr>
      </w:pPr>
      <w:r w:rsidRPr="00A4767E">
        <w:rPr>
          <w:rFonts w:cs="Arial"/>
          <w:sz w:val="24"/>
          <w:szCs w:val="24"/>
        </w:rPr>
        <w:t>C</w:t>
      </w:r>
      <w:r w:rsidR="00222DF8" w:rsidRPr="00A4767E">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A4767E" w:rsidRDefault="002E198B" w:rsidP="008A0415">
      <w:pPr>
        <w:pStyle w:val="Norma"/>
        <w:jc w:val="both"/>
        <w:rPr>
          <w:rFonts w:cs="Arial"/>
          <w:sz w:val="24"/>
          <w:szCs w:val="24"/>
        </w:rPr>
      </w:pPr>
    </w:p>
    <w:p w14:paraId="3DADA445" w14:textId="1C2D8E85" w:rsidR="00802C0A" w:rsidRPr="00A4767E" w:rsidRDefault="00802C0A" w:rsidP="00802C0A">
      <w:pPr>
        <w:pStyle w:val="Norma"/>
        <w:jc w:val="both"/>
        <w:rPr>
          <w:rFonts w:cs="Arial"/>
          <w:sz w:val="24"/>
          <w:szCs w:val="24"/>
        </w:rPr>
      </w:pPr>
      <w:r w:rsidRPr="00A4767E">
        <w:rPr>
          <w:rFonts w:cs="Arial"/>
          <w:sz w:val="24"/>
          <w:szCs w:val="24"/>
        </w:rPr>
        <w:t xml:space="preserve">Should interviews go ahead, CCC will shortlist the top three suppliers with the highest marks from the written proposals. Interviews are provisionally expected to be held on </w:t>
      </w:r>
      <w:r w:rsidR="00D9448B" w:rsidRPr="00A4767E">
        <w:rPr>
          <w:rFonts w:cs="Arial"/>
          <w:sz w:val="24"/>
          <w:szCs w:val="24"/>
        </w:rPr>
        <w:t>28</w:t>
      </w:r>
      <w:r w:rsidR="00AB5BCA" w:rsidRPr="00A4767E">
        <w:rPr>
          <w:rFonts w:cs="Arial"/>
          <w:sz w:val="24"/>
          <w:szCs w:val="24"/>
        </w:rPr>
        <w:t xml:space="preserve"> </w:t>
      </w:r>
      <w:r w:rsidR="002F4596" w:rsidRPr="00A4767E">
        <w:rPr>
          <w:rFonts w:cs="Arial"/>
          <w:sz w:val="24"/>
          <w:szCs w:val="24"/>
        </w:rPr>
        <w:t xml:space="preserve">or </w:t>
      </w:r>
      <w:r w:rsidR="00D9448B" w:rsidRPr="00A4767E">
        <w:rPr>
          <w:rFonts w:cs="Arial"/>
          <w:sz w:val="24"/>
          <w:szCs w:val="24"/>
        </w:rPr>
        <w:t>29</w:t>
      </w:r>
      <w:r w:rsidR="00AB5BCA" w:rsidRPr="00A4767E">
        <w:rPr>
          <w:rFonts w:cs="Arial"/>
          <w:sz w:val="24"/>
          <w:szCs w:val="24"/>
        </w:rPr>
        <w:t xml:space="preserve"> May</w:t>
      </w:r>
      <w:r w:rsidR="002F4596" w:rsidRPr="00A4767E">
        <w:rPr>
          <w:rFonts w:cs="Arial"/>
          <w:sz w:val="24"/>
          <w:szCs w:val="24"/>
        </w:rPr>
        <w:t>.</w:t>
      </w:r>
      <w:r w:rsidRPr="00A4767E">
        <w:rPr>
          <w:rFonts w:cs="Arial"/>
          <w:sz w:val="24"/>
          <w:szCs w:val="24"/>
        </w:rPr>
        <w:t xml:space="preserve"> If this date changes, CCC will notify applicants. </w:t>
      </w:r>
    </w:p>
    <w:p w14:paraId="1D18D5ED" w14:textId="77777777" w:rsidR="00802C0A" w:rsidRPr="00A4767E" w:rsidRDefault="00802C0A" w:rsidP="008A0415">
      <w:pPr>
        <w:pStyle w:val="Norma"/>
        <w:jc w:val="both"/>
        <w:rPr>
          <w:rFonts w:cs="Arial"/>
          <w:sz w:val="24"/>
          <w:szCs w:val="24"/>
        </w:rPr>
      </w:pPr>
    </w:p>
    <w:p w14:paraId="5EA87621" w14:textId="335D7D1B" w:rsidR="006C44C2" w:rsidRPr="00A4767E" w:rsidRDefault="006C44C2" w:rsidP="008A0415">
      <w:pPr>
        <w:pStyle w:val="Norma"/>
        <w:jc w:val="both"/>
        <w:rPr>
          <w:rFonts w:cs="Arial"/>
          <w:sz w:val="24"/>
          <w:szCs w:val="24"/>
        </w:rPr>
      </w:pPr>
      <w:r w:rsidRPr="00A4767E">
        <w:rPr>
          <w:rFonts w:cs="Arial"/>
          <w:sz w:val="24"/>
          <w:szCs w:val="24"/>
        </w:rPr>
        <w:t>The areas to be covered in the interview, and markings allocated to each topic area will be sent to the shortlisted supplier prior to interview.</w:t>
      </w:r>
    </w:p>
    <w:p w14:paraId="5EA87622" w14:textId="77777777" w:rsidR="006C44C2" w:rsidRPr="00A4767E" w:rsidRDefault="006C44C2" w:rsidP="008A0415">
      <w:pPr>
        <w:pStyle w:val="Norma"/>
        <w:jc w:val="both"/>
        <w:rPr>
          <w:rFonts w:cs="Arial"/>
          <w:sz w:val="24"/>
          <w:szCs w:val="24"/>
        </w:rPr>
      </w:pPr>
    </w:p>
    <w:p w14:paraId="5EA87623" w14:textId="77777777" w:rsidR="00A54FFC" w:rsidRPr="00A4767E" w:rsidRDefault="00222DF8" w:rsidP="008A0415">
      <w:pPr>
        <w:pStyle w:val="Norma"/>
        <w:jc w:val="both"/>
        <w:rPr>
          <w:rFonts w:cs="Arial"/>
          <w:sz w:val="24"/>
          <w:szCs w:val="24"/>
        </w:rPr>
      </w:pPr>
      <w:r w:rsidRPr="00A4767E">
        <w:rPr>
          <w:rFonts w:cs="Arial"/>
          <w:sz w:val="24"/>
          <w:szCs w:val="24"/>
        </w:rPr>
        <w:t>Further details of interview</w:t>
      </w:r>
      <w:r w:rsidR="000967DA" w:rsidRPr="00A4767E">
        <w:rPr>
          <w:rFonts w:cs="Arial"/>
          <w:sz w:val="24"/>
          <w:szCs w:val="24"/>
        </w:rPr>
        <w:t>s</w:t>
      </w:r>
      <w:r w:rsidRPr="00A4767E">
        <w:rPr>
          <w:rFonts w:cs="Arial"/>
          <w:sz w:val="24"/>
          <w:szCs w:val="24"/>
        </w:rPr>
        <w:t xml:space="preserve"> will be sent to successful applicants on selection.</w:t>
      </w:r>
      <w:r w:rsidR="001C6E36" w:rsidRPr="00A4767E">
        <w:rPr>
          <w:rFonts w:cs="Arial"/>
          <w:sz w:val="24"/>
          <w:szCs w:val="24"/>
        </w:rPr>
        <w:t xml:space="preserve"> </w:t>
      </w:r>
    </w:p>
    <w:p w14:paraId="5EA87624" w14:textId="77777777" w:rsidR="00A54FFC" w:rsidRPr="00A4767E" w:rsidRDefault="00A54FFC" w:rsidP="008A0415">
      <w:pPr>
        <w:pStyle w:val="Norma"/>
        <w:jc w:val="both"/>
        <w:rPr>
          <w:rFonts w:cs="Arial"/>
          <w:sz w:val="24"/>
          <w:szCs w:val="24"/>
        </w:rPr>
      </w:pPr>
    </w:p>
    <w:p w14:paraId="5EA87625" w14:textId="77777777" w:rsidR="003C1CE8" w:rsidRPr="00A4767E" w:rsidRDefault="003C1CE8" w:rsidP="003C1CE8">
      <w:pPr>
        <w:pStyle w:val="Norma"/>
        <w:jc w:val="both"/>
        <w:rPr>
          <w:rFonts w:ascii="Calibri" w:hAnsi="Calibri" w:cs="Calibri"/>
        </w:rPr>
      </w:pPr>
    </w:p>
    <w:p w14:paraId="5EA87626" w14:textId="77777777" w:rsidR="00480D1F" w:rsidRPr="00A4767E"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A4767E">
        <w:rPr>
          <w:rFonts w:cs="Arial"/>
          <w:b/>
          <w:sz w:val="24"/>
          <w:szCs w:val="24"/>
        </w:rPr>
        <w:t>Feedback</w:t>
      </w:r>
    </w:p>
    <w:p w14:paraId="5EA87627" w14:textId="77777777" w:rsidR="00480D1F" w:rsidRPr="00A4767E"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Pr="00A4767E"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A4767E">
        <w:rPr>
          <w:rFonts w:cs="Arial"/>
          <w:sz w:val="24"/>
          <w:szCs w:val="24"/>
        </w:rPr>
        <w:t>F</w:t>
      </w:r>
      <w:r w:rsidR="00480D1F" w:rsidRPr="00A4767E">
        <w:rPr>
          <w:rFonts w:cs="Arial"/>
          <w:sz w:val="24"/>
          <w:szCs w:val="24"/>
        </w:rPr>
        <w:t xml:space="preserve">eedback </w:t>
      </w:r>
      <w:r w:rsidR="000967DA" w:rsidRPr="00A4767E">
        <w:rPr>
          <w:rFonts w:cs="Arial"/>
          <w:sz w:val="24"/>
          <w:szCs w:val="24"/>
        </w:rPr>
        <w:t>will be given in the</w:t>
      </w:r>
      <w:r w:rsidRPr="00A4767E">
        <w:rPr>
          <w:rFonts w:cs="Arial"/>
          <w:sz w:val="24"/>
          <w:szCs w:val="24"/>
        </w:rPr>
        <w:t xml:space="preserve"> unsuccessful letters</w:t>
      </w:r>
      <w:r w:rsidRPr="00A4767E" w:rsidDel="00AA6AF5">
        <w:rPr>
          <w:rFonts w:cs="Arial"/>
          <w:sz w:val="24"/>
          <w:szCs w:val="24"/>
        </w:rPr>
        <w:t xml:space="preserve"> </w:t>
      </w:r>
      <w:r w:rsidR="000967DA" w:rsidRPr="00A4767E">
        <w:rPr>
          <w:rFonts w:cs="Arial"/>
          <w:sz w:val="24"/>
          <w:szCs w:val="24"/>
        </w:rPr>
        <w:t>or emails.</w:t>
      </w:r>
      <w:bookmarkEnd w:id="3"/>
    </w:p>
    <w:p w14:paraId="5EA87629" w14:textId="77777777" w:rsidR="00A10F62" w:rsidRPr="00A4767E"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RPr="00A4767E" w:rsidSect="005F738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FDDC2" w14:textId="77777777" w:rsidR="00D67C98" w:rsidRDefault="00D67C98" w:rsidP="00EB43D8">
      <w:pPr>
        <w:pStyle w:val="Norma"/>
      </w:pPr>
      <w:r>
        <w:separator/>
      </w:r>
    </w:p>
  </w:endnote>
  <w:endnote w:type="continuationSeparator" w:id="0">
    <w:p w14:paraId="15DC8E19" w14:textId="77777777" w:rsidR="00D67C98" w:rsidRDefault="00D67C98"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512123">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C07C8" w14:textId="77777777" w:rsidR="00D67C98" w:rsidRDefault="00D67C98" w:rsidP="00EB43D8">
      <w:pPr>
        <w:pStyle w:val="Norma"/>
      </w:pPr>
      <w:r>
        <w:separator/>
      </w:r>
    </w:p>
  </w:footnote>
  <w:footnote w:type="continuationSeparator" w:id="0">
    <w:p w14:paraId="00B268C3" w14:textId="77777777" w:rsidR="00D67C98" w:rsidRDefault="00D67C98" w:rsidP="00EB43D8">
      <w:pPr>
        <w:pStyle w:val="Norma"/>
      </w:pPr>
      <w:r>
        <w:continuationSeparator/>
      </w:r>
    </w:p>
  </w:footnote>
  <w:footnote w:id="1">
    <w:p w14:paraId="04A16B6F" w14:textId="10C91EE9" w:rsidR="001B3579" w:rsidRDefault="001B3579">
      <w:pPr>
        <w:pStyle w:val="FootnoteText"/>
      </w:pPr>
      <w:r>
        <w:rPr>
          <w:rStyle w:val="FootnoteReference"/>
        </w:rPr>
        <w:footnoteRef/>
      </w:r>
      <w:r>
        <w:t xml:space="preserve"> </w:t>
      </w:r>
      <w:hyperlink r:id="rId1" w:history="1">
        <w:r w:rsidRPr="00EE0859">
          <w:rPr>
            <w:rStyle w:val="Hyperlink"/>
          </w:rPr>
          <w:t>https://assets.publishing.service.gov.uk/government/uploads/system/uploads/attachment_data/file/799573/THE_FUTURE_OF_UK_CARBON_PRICING.pdf</w:t>
        </w:r>
      </w:hyperlink>
    </w:p>
  </w:footnote>
  <w:footnote w:id="2">
    <w:p w14:paraId="14B45386" w14:textId="36943EA7" w:rsidR="001B3579" w:rsidRDefault="001B3579">
      <w:pPr>
        <w:pStyle w:val="FootnoteText"/>
      </w:pPr>
      <w:r>
        <w:rPr>
          <w:rStyle w:val="FootnoteReference"/>
        </w:rPr>
        <w:footnoteRef/>
      </w:r>
      <w:r>
        <w:t xml:space="preserve"> </w:t>
      </w:r>
      <w:hyperlink r:id="rId2" w:history="1">
        <w:r w:rsidR="00F960E1" w:rsidRPr="00AB7D48">
          <w:rPr>
            <w:rStyle w:val="Hyperlink"/>
          </w:rPr>
          <w:t>https://assets.publishing.service.gov.uk/government/uploads/system/uploads/attachment_data/file/799576/Final_CCC_Commission_letter_020519_v2.pdf</w:t>
        </w:r>
      </w:hyperlink>
      <w:r w:rsidR="00F960E1">
        <w:t xml:space="preserve"> </w:t>
      </w:r>
    </w:p>
  </w:footnote>
  <w:footnote w:id="3">
    <w:p w14:paraId="3B74EBF2" w14:textId="5828AD76" w:rsidR="00CF672D" w:rsidRDefault="00CF672D">
      <w:pPr>
        <w:pStyle w:val="FootnoteText"/>
      </w:pPr>
      <w:r>
        <w:rPr>
          <w:rStyle w:val="FootnoteReference"/>
        </w:rPr>
        <w:footnoteRef/>
      </w:r>
      <w:r>
        <w:t xml:space="preserve"> The CCC long-term targets advice w</w:t>
      </w:r>
      <w:r w:rsidR="003A716C">
        <w:t>as</w:t>
      </w:r>
      <w:r>
        <w:t xml:space="preserve"> provided on 2 May, so </w:t>
      </w:r>
      <w:r w:rsidR="003A716C">
        <w:t>is</w:t>
      </w:r>
      <w:r>
        <w:t xml:space="preserve"> know</w:t>
      </w:r>
      <w:r w:rsidR="003A716C">
        <w:t>n</w:t>
      </w:r>
      <w:r>
        <w:t>.</w:t>
      </w:r>
      <w:r w:rsidR="003A716C">
        <w:t xml:space="preserve"> The Scottish Government has accepted the advice.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00AF"/>
    <w:multiLevelType w:val="hybridMultilevel"/>
    <w:tmpl w:val="E86E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F53D0"/>
    <w:multiLevelType w:val="hybridMultilevel"/>
    <w:tmpl w:val="50067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AB1566"/>
    <w:multiLevelType w:val="hybridMultilevel"/>
    <w:tmpl w:val="32CC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F199F"/>
    <w:multiLevelType w:val="hybridMultilevel"/>
    <w:tmpl w:val="38DE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32DB"/>
    <w:multiLevelType w:val="hybridMultilevel"/>
    <w:tmpl w:val="868C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91212"/>
    <w:multiLevelType w:val="hybridMultilevel"/>
    <w:tmpl w:val="C7C0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A3E9B"/>
    <w:multiLevelType w:val="hybridMultilevel"/>
    <w:tmpl w:val="EC9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9633C"/>
    <w:multiLevelType w:val="hybridMultilevel"/>
    <w:tmpl w:val="5BF2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46536"/>
    <w:multiLevelType w:val="hybridMultilevel"/>
    <w:tmpl w:val="3D0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61E27"/>
    <w:multiLevelType w:val="hybridMultilevel"/>
    <w:tmpl w:val="F036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379A"/>
    <w:multiLevelType w:val="hybridMultilevel"/>
    <w:tmpl w:val="B910133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23BE76A7"/>
    <w:multiLevelType w:val="hybridMultilevel"/>
    <w:tmpl w:val="5DEA3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72AC6"/>
    <w:multiLevelType w:val="hybridMultilevel"/>
    <w:tmpl w:val="37726BD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34C64125"/>
    <w:multiLevelType w:val="hybridMultilevel"/>
    <w:tmpl w:val="B4D6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57EE1"/>
    <w:multiLevelType w:val="hybridMultilevel"/>
    <w:tmpl w:val="9F38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C1F02"/>
    <w:multiLevelType w:val="hybridMultilevel"/>
    <w:tmpl w:val="9972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B3AC4"/>
    <w:multiLevelType w:val="hybridMultilevel"/>
    <w:tmpl w:val="4B08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3FFE2BA0"/>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505FF"/>
    <w:multiLevelType w:val="hybridMultilevel"/>
    <w:tmpl w:val="4C4A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44B7E"/>
    <w:multiLevelType w:val="hybridMultilevel"/>
    <w:tmpl w:val="201C2C64"/>
    <w:lvl w:ilvl="0" w:tplc="08090001">
      <w:start w:val="1"/>
      <w:numFmt w:val="bullet"/>
      <w:lvlText w:val=""/>
      <w:lvlJc w:val="left"/>
      <w:pPr>
        <w:ind w:left="720" w:hanging="360"/>
      </w:pPr>
      <w:rPr>
        <w:rFonts w:ascii="Symbol" w:hAnsi="Symbol" w:hint="default"/>
      </w:rPr>
    </w:lvl>
    <w:lvl w:ilvl="1" w:tplc="539A8E46">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D6FEA"/>
    <w:multiLevelType w:val="hybridMultilevel"/>
    <w:tmpl w:val="D2A0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6E23F1"/>
    <w:multiLevelType w:val="hybridMultilevel"/>
    <w:tmpl w:val="A0B276B4"/>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4E13E8"/>
    <w:multiLevelType w:val="hybridMultilevel"/>
    <w:tmpl w:val="A56ED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C3CE8"/>
    <w:multiLevelType w:val="hybridMultilevel"/>
    <w:tmpl w:val="CFCE8F62"/>
    <w:lvl w:ilvl="0" w:tplc="BBFC35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841B6"/>
    <w:multiLevelType w:val="hybridMultilevel"/>
    <w:tmpl w:val="4F68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BF17F8"/>
    <w:multiLevelType w:val="hybridMultilevel"/>
    <w:tmpl w:val="85C8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D08F8"/>
    <w:multiLevelType w:val="hybridMultilevel"/>
    <w:tmpl w:val="A4CCC31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3C3D3D"/>
    <w:multiLevelType w:val="hybridMultilevel"/>
    <w:tmpl w:val="17F8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1736B"/>
    <w:multiLevelType w:val="hybridMultilevel"/>
    <w:tmpl w:val="E692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6D573B"/>
    <w:multiLevelType w:val="hybridMultilevel"/>
    <w:tmpl w:val="83DE46C8"/>
    <w:lvl w:ilvl="0" w:tplc="539A8E46">
      <w:start w:val="1"/>
      <w:numFmt w:val="bullet"/>
      <w:lvlText w:val="-"/>
      <w:lvlJc w:val="left"/>
      <w:pPr>
        <w:ind w:left="780" w:hanging="360"/>
      </w:pPr>
      <w:rPr>
        <w:rFonts w:ascii="Arial" w:hAnsi="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4"/>
  </w:num>
  <w:num w:numId="2">
    <w:abstractNumId w:val="19"/>
  </w:num>
  <w:num w:numId="3">
    <w:abstractNumId w:val="25"/>
  </w:num>
  <w:num w:numId="4">
    <w:abstractNumId w:val="8"/>
  </w:num>
  <w:num w:numId="5">
    <w:abstractNumId w:val="9"/>
  </w:num>
  <w:num w:numId="6">
    <w:abstractNumId w:val="17"/>
  </w:num>
  <w:num w:numId="7">
    <w:abstractNumId w:val="14"/>
  </w:num>
  <w:num w:numId="8">
    <w:abstractNumId w:val="11"/>
  </w:num>
  <w:num w:numId="9">
    <w:abstractNumId w:val="10"/>
  </w:num>
  <w:num w:numId="10">
    <w:abstractNumId w:val="0"/>
  </w:num>
  <w:num w:numId="11">
    <w:abstractNumId w:val="4"/>
  </w:num>
  <w:num w:numId="12">
    <w:abstractNumId w:val="7"/>
  </w:num>
  <w:num w:numId="13">
    <w:abstractNumId w:val="21"/>
  </w:num>
  <w:num w:numId="14">
    <w:abstractNumId w:val="6"/>
  </w:num>
  <w:num w:numId="15">
    <w:abstractNumId w:val="23"/>
  </w:num>
  <w:num w:numId="16">
    <w:abstractNumId w:val="29"/>
  </w:num>
  <w:num w:numId="17">
    <w:abstractNumId w:val="18"/>
  </w:num>
  <w:num w:numId="18">
    <w:abstractNumId w:val="26"/>
  </w:num>
  <w:num w:numId="19">
    <w:abstractNumId w:val="13"/>
  </w:num>
  <w:num w:numId="20">
    <w:abstractNumId w:val="31"/>
  </w:num>
  <w:num w:numId="21">
    <w:abstractNumId w:val="2"/>
  </w:num>
  <w:num w:numId="22">
    <w:abstractNumId w:val="27"/>
  </w:num>
  <w:num w:numId="23">
    <w:abstractNumId w:val="28"/>
  </w:num>
  <w:num w:numId="24">
    <w:abstractNumId w:val="16"/>
  </w:num>
  <w:num w:numId="25">
    <w:abstractNumId w:val="32"/>
  </w:num>
  <w:num w:numId="26">
    <w:abstractNumId w:val="15"/>
  </w:num>
  <w:num w:numId="27">
    <w:abstractNumId w:val="30"/>
  </w:num>
  <w:num w:numId="28">
    <w:abstractNumId w:val="20"/>
  </w:num>
  <w:num w:numId="29">
    <w:abstractNumId w:val="3"/>
  </w:num>
  <w:num w:numId="30">
    <w:abstractNumId w:val="5"/>
  </w:num>
  <w:num w:numId="31">
    <w:abstractNumId w:val="22"/>
  </w:num>
  <w:num w:numId="32">
    <w:abstractNumId w:val="33"/>
  </w:num>
  <w:num w:numId="33">
    <w:abstractNumId w:val="1"/>
  </w:num>
  <w:num w:numId="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518A"/>
    <w:rsid w:val="00006192"/>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6BF"/>
    <w:rsid w:val="000249BF"/>
    <w:rsid w:val="00025795"/>
    <w:rsid w:val="00025B72"/>
    <w:rsid w:val="000260AD"/>
    <w:rsid w:val="00026111"/>
    <w:rsid w:val="00026F2A"/>
    <w:rsid w:val="00030381"/>
    <w:rsid w:val="00030A13"/>
    <w:rsid w:val="00031104"/>
    <w:rsid w:val="00031ABF"/>
    <w:rsid w:val="00032E86"/>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33"/>
    <w:rsid w:val="000C55C9"/>
    <w:rsid w:val="000C5627"/>
    <w:rsid w:val="000C61CC"/>
    <w:rsid w:val="000C7B32"/>
    <w:rsid w:val="000D0180"/>
    <w:rsid w:val="000D1BC1"/>
    <w:rsid w:val="000D2428"/>
    <w:rsid w:val="000D2726"/>
    <w:rsid w:val="000D524E"/>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4A8"/>
    <w:rsid w:val="000F017A"/>
    <w:rsid w:val="000F0C97"/>
    <w:rsid w:val="000F0F87"/>
    <w:rsid w:val="000F1810"/>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07A9A"/>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3FDD"/>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467"/>
    <w:rsid w:val="00151AE3"/>
    <w:rsid w:val="00151E59"/>
    <w:rsid w:val="0015335C"/>
    <w:rsid w:val="001536B8"/>
    <w:rsid w:val="001546D0"/>
    <w:rsid w:val="00154910"/>
    <w:rsid w:val="00155064"/>
    <w:rsid w:val="00155D7E"/>
    <w:rsid w:val="0015685E"/>
    <w:rsid w:val="0015786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4A39"/>
    <w:rsid w:val="00176556"/>
    <w:rsid w:val="00177003"/>
    <w:rsid w:val="0018093D"/>
    <w:rsid w:val="00180A58"/>
    <w:rsid w:val="00182296"/>
    <w:rsid w:val="001825DA"/>
    <w:rsid w:val="00183D41"/>
    <w:rsid w:val="00183E6B"/>
    <w:rsid w:val="00187A2E"/>
    <w:rsid w:val="0019065C"/>
    <w:rsid w:val="00190748"/>
    <w:rsid w:val="001911B4"/>
    <w:rsid w:val="001914C9"/>
    <w:rsid w:val="001919F1"/>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579"/>
    <w:rsid w:val="001B3E8F"/>
    <w:rsid w:val="001B4108"/>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622"/>
    <w:rsid w:val="001C7A0A"/>
    <w:rsid w:val="001D26F4"/>
    <w:rsid w:val="001D28C6"/>
    <w:rsid w:val="001D2E3F"/>
    <w:rsid w:val="001D4DDF"/>
    <w:rsid w:val="001D5D04"/>
    <w:rsid w:val="001D5D56"/>
    <w:rsid w:val="001D6493"/>
    <w:rsid w:val="001D6B67"/>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373A2"/>
    <w:rsid w:val="00240136"/>
    <w:rsid w:val="002403A0"/>
    <w:rsid w:val="002411A0"/>
    <w:rsid w:val="00242001"/>
    <w:rsid w:val="002437E8"/>
    <w:rsid w:val="002445CE"/>
    <w:rsid w:val="00244FDA"/>
    <w:rsid w:val="00245373"/>
    <w:rsid w:val="0024564B"/>
    <w:rsid w:val="002459FA"/>
    <w:rsid w:val="0024686C"/>
    <w:rsid w:val="0025019A"/>
    <w:rsid w:val="0025083B"/>
    <w:rsid w:val="0025111D"/>
    <w:rsid w:val="00252244"/>
    <w:rsid w:val="00252C4B"/>
    <w:rsid w:val="00253106"/>
    <w:rsid w:val="002540A3"/>
    <w:rsid w:val="00255013"/>
    <w:rsid w:val="00255185"/>
    <w:rsid w:val="002563B4"/>
    <w:rsid w:val="0025697D"/>
    <w:rsid w:val="00257700"/>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9EB"/>
    <w:rsid w:val="00281F3E"/>
    <w:rsid w:val="00282D61"/>
    <w:rsid w:val="00282F6D"/>
    <w:rsid w:val="002847E2"/>
    <w:rsid w:val="00284D34"/>
    <w:rsid w:val="00285474"/>
    <w:rsid w:val="0028563C"/>
    <w:rsid w:val="002856D6"/>
    <w:rsid w:val="002860F4"/>
    <w:rsid w:val="0028676E"/>
    <w:rsid w:val="00286815"/>
    <w:rsid w:val="00286DE6"/>
    <w:rsid w:val="002875BD"/>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9CD"/>
    <w:rsid w:val="0029549D"/>
    <w:rsid w:val="00295C67"/>
    <w:rsid w:val="002A0116"/>
    <w:rsid w:val="002A0203"/>
    <w:rsid w:val="002A1DE6"/>
    <w:rsid w:val="002A2059"/>
    <w:rsid w:val="002A2229"/>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4596"/>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67789"/>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51E2"/>
    <w:rsid w:val="003A649D"/>
    <w:rsid w:val="003A66CE"/>
    <w:rsid w:val="003A716C"/>
    <w:rsid w:val="003A790B"/>
    <w:rsid w:val="003B04D5"/>
    <w:rsid w:val="003B062C"/>
    <w:rsid w:val="003B253D"/>
    <w:rsid w:val="003B25D7"/>
    <w:rsid w:val="003B26B9"/>
    <w:rsid w:val="003B286E"/>
    <w:rsid w:val="003B2B9B"/>
    <w:rsid w:val="003B2FE3"/>
    <w:rsid w:val="003B3848"/>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B72"/>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601"/>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8D"/>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2FA1"/>
    <w:rsid w:val="004841E6"/>
    <w:rsid w:val="00484B4E"/>
    <w:rsid w:val="00485BB3"/>
    <w:rsid w:val="004861B6"/>
    <w:rsid w:val="004864F0"/>
    <w:rsid w:val="00487199"/>
    <w:rsid w:val="00490156"/>
    <w:rsid w:val="00490FCF"/>
    <w:rsid w:val="00492A89"/>
    <w:rsid w:val="00492ED8"/>
    <w:rsid w:val="004931CB"/>
    <w:rsid w:val="004940CD"/>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123"/>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A05"/>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09A"/>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44E6"/>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B5E"/>
    <w:rsid w:val="005E1D7F"/>
    <w:rsid w:val="005E2414"/>
    <w:rsid w:val="005E3549"/>
    <w:rsid w:val="005E4F42"/>
    <w:rsid w:val="005E6208"/>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4E5D"/>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4A35"/>
    <w:rsid w:val="00675067"/>
    <w:rsid w:val="0067520E"/>
    <w:rsid w:val="00675CDC"/>
    <w:rsid w:val="00675E72"/>
    <w:rsid w:val="006766CA"/>
    <w:rsid w:val="006775D4"/>
    <w:rsid w:val="00677816"/>
    <w:rsid w:val="006779F8"/>
    <w:rsid w:val="006803EF"/>
    <w:rsid w:val="00680DC1"/>
    <w:rsid w:val="00680EA6"/>
    <w:rsid w:val="00682893"/>
    <w:rsid w:val="006828EE"/>
    <w:rsid w:val="00682A0B"/>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1BD"/>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21FB"/>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154"/>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08CF"/>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0186"/>
    <w:rsid w:val="00751B62"/>
    <w:rsid w:val="007524CC"/>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4589"/>
    <w:rsid w:val="007762E4"/>
    <w:rsid w:val="00776BDD"/>
    <w:rsid w:val="00777503"/>
    <w:rsid w:val="00777A99"/>
    <w:rsid w:val="00780375"/>
    <w:rsid w:val="0078042F"/>
    <w:rsid w:val="00781BF5"/>
    <w:rsid w:val="007831D3"/>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A7816"/>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430"/>
    <w:rsid w:val="007D1A3E"/>
    <w:rsid w:val="007D28A7"/>
    <w:rsid w:val="007D3018"/>
    <w:rsid w:val="007D355B"/>
    <w:rsid w:val="007D382F"/>
    <w:rsid w:val="007D4E3C"/>
    <w:rsid w:val="007D5390"/>
    <w:rsid w:val="007D6D9F"/>
    <w:rsid w:val="007D7B16"/>
    <w:rsid w:val="007E0930"/>
    <w:rsid w:val="007E0FD2"/>
    <w:rsid w:val="007E14E4"/>
    <w:rsid w:val="007E1D13"/>
    <w:rsid w:val="007E1F6F"/>
    <w:rsid w:val="007E24B7"/>
    <w:rsid w:val="007E28C3"/>
    <w:rsid w:val="007E2A58"/>
    <w:rsid w:val="007E4DFA"/>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082"/>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0E1"/>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05F9"/>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2C46"/>
    <w:rsid w:val="008633F2"/>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879DD"/>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2F2D"/>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738"/>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854"/>
    <w:rsid w:val="008E4C96"/>
    <w:rsid w:val="008E4CC9"/>
    <w:rsid w:val="008E5033"/>
    <w:rsid w:val="008E5C56"/>
    <w:rsid w:val="008E60B7"/>
    <w:rsid w:val="008E66CC"/>
    <w:rsid w:val="008E72F4"/>
    <w:rsid w:val="008E7482"/>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A1F"/>
    <w:rsid w:val="008F7D73"/>
    <w:rsid w:val="008F7F61"/>
    <w:rsid w:val="009000B6"/>
    <w:rsid w:val="00900F4A"/>
    <w:rsid w:val="00901589"/>
    <w:rsid w:val="00901762"/>
    <w:rsid w:val="009022A6"/>
    <w:rsid w:val="00902B1C"/>
    <w:rsid w:val="00903631"/>
    <w:rsid w:val="00904A50"/>
    <w:rsid w:val="009065BF"/>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C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57D20"/>
    <w:rsid w:val="0096045F"/>
    <w:rsid w:val="0096082B"/>
    <w:rsid w:val="0096099B"/>
    <w:rsid w:val="00960D10"/>
    <w:rsid w:val="00963846"/>
    <w:rsid w:val="00963DF5"/>
    <w:rsid w:val="0096411D"/>
    <w:rsid w:val="009643C9"/>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57D1"/>
    <w:rsid w:val="00986070"/>
    <w:rsid w:val="0098666E"/>
    <w:rsid w:val="00986DFF"/>
    <w:rsid w:val="0098712B"/>
    <w:rsid w:val="009902BA"/>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4AC8"/>
    <w:rsid w:val="009B6070"/>
    <w:rsid w:val="009B740F"/>
    <w:rsid w:val="009B7D2F"/>
    <w:rsid w:val="009B7FBC"/>
    <w:rsid w:val="009C0186"/>
    <w:rsid w:val="009C0932"/>
    <w:rsid w:val="009C2990"/>
    <w:rsid w:val="009C2C67"/>
    <w:rsid w:val="009C3580"/>
    <w:rsid w:val="009C4157"/>
    <w:rsid w:val="009C42E1"/>
    <w:rsid w:val="009C56C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6C16"/>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67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6A0C"/>
    <w:rsid w:val="00A374E1"/>
    <w:rsid w:val="00A37D9F"/>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67E"/>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0B4"/>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452"/>
    <w:rsid w:val="00A83B45"/>
    <w:rsid w:val="00A83CC9"/>
    <w:rsid w:val="00A84886"/>
    <w:rsid w:val="00A8498F"/>
    <w:rsid w:val="00A8521A"/>
    <w:rsid w:val="00A8532C"/>
    <w:rsid w:val="00A85BCE"/>
    <w:rsid w:val="00A867F4"/>
    <w:rsid w:val="00A87A20"/>
    <w:rsid w:val="00A903B4"/>
    <w:rsid w:val="00A924AF"/>
    <w:rsid w:val="00A93336"/>
    <w:rsid w:val="00A9428F"/>
    <w:rsid w:val="00A94703"/>
    <w:rsid w:val="00A95699"/>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BCA"/>
    <w:rsid w:val="00AB7308"/>
    <w:rsid w:val="00AB7905"/>
    <w:rsid w:val="00AB7B99"/>
    <w:rsid w:val="00AC087E"/>
    <w:rsid w:val="00AC0DDA"/>
    <w:rsid w:val="00AC0F4E"/>
    <w:rsid w:val="00AC109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3CA"/>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6BF"/>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5B70"/>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255"/>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314D"/>
    <w:rsid w:val="00BA4288"/>
    <w:rsid w:val="00BA4851"/>
    <w:rsid w:val="00BA4BFF"/>
    <w:rsid w:val="00BA523C"/>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08FD"/>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3FA9"/>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2C47"/>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AB3"/>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6CE0"/>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72D"/>
    <w:rsid w:val="00CF6A64"/>
    <w:rsid w:val="00CF6C2F"/>
    <w:rsid w:val="00CF6E25"/>
    <w:rsid w:val="00CF7103"/>
    <w:rsid w:val="00CF7A4A"/>
    <w:rsid w:val="00D01DBB"/>
    <w:rsid w:val="00D040DD"/>
    <w:rsid w:val="00D05A56"/>
    <w:rsid w:val="00D071A1"/>
    <w:rsid w:val="00D07593"/>
    <w:rsid w:val="00D1059B"/>
    <w:rsid w:val="00D1181D"/>
    <w:rsid w:val="00D13EC9"/>
    <w:rsid w:val="00D145F6"/>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3205"/>
    <w:rsid w:val="00D5455A"/>
    <w:rsid w:val="00D5590C"/>
    <w:rsid w:val="00D567A8"/>
    <w:rsid w:val="00D568CC"/>
    <w:rsid w:val="00D648EC"/>
    <w:rsid w:val="00D64BB0"/>
    <w:rsid w:val="00D64CE0"/>
    <w:rsid w:val="00D65A1E"/>
    <w:rsid w:val="00D65A99"/>
    <w:rsid w:val="00D66A16"/>
    <w:rsid w:val="00D66BC5"/>
    <w:rsid w:val="00D67C98"/>
    <w:rsid w:val="00D67F23"/>
    <w:rsid w:val="00D7029E"/>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48B"/>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901"/>
    <w:rsid w:val="00DC7D19"/>
    <w:rsid w:val="00DD15F0"/>
    <w:rsid w:val="00DD34B0"/>
    <w:rsid w:val="00DD3909"/>
    <w:rsid w:val="00DD5078"/>
    <w:rsid w:val="00DD5099"/>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312"/>
    <w:rsid w:val="00DE76AF"/>
    <w:rsid w:val="00DE7E18"/>
    <w:rsid w:val="00DF1D41"/>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07B7A"/>
    <w:rsid w:val="00E106A8"/>
    <w:rsid w:val="00E1096C"/>
    <w:rsid w:val="00E11679"/>
    <w:rsid w:val="00E12228"/>
    <w:rsid w:val="00E12389"/>
    <w:rsid w:val="00E12519"/>
    <w:rsid w:val="00E1279C"/>
    <w:rsid w:val="00E12BF2"/>
    <w:rsid w:val="00E141E1"/>
    <w:rsid w:val="00E143B8"/>
    <w:rsid w:val="00E145E9"/>
    <w:rsid w:val="00E15478"/>
    <w:rsid w:val="00E15931"/>
    <w:rsid w:val="00E16339"/>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2D3F"/>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1455"/>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5AD5"/>
    <w:rsid w:val="00EB5CC7"/>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45F"/>
    <w:rsid w:val="00F310D0"/>
    <w:rsid w:val="00F31DB0"/>
    <w:rsid w:val="00F32F3C"/>
    <w:rsid w:val="00F334F9"/>
    <w:rsid w:val="00F33EFD"/>
    <w:rsid w:val="00F3423F"/>
    <w:rsid w:val="00F346A4"/>
    <w:rsid w:val="00F34858"/>
    <w:rsid w:val="00F35163"/>
    <w:rsid w:val="00F353D7"/>
    <w:rsid w:val="00F3561B"/>
    <w:rsid w:val="00F35C36"/>
    <w:rsid w:val="00F36EDF"/>
    <w:rsid w:val="00F3791D"/>
    <w:rsid w:val="00F37E3E"/>
    <w:rsid w:val="00F403BC"/>
    <w:rsid w:val="00F42089"/>
    <w:rsid w:val="00F420F5"/>
    <w:rsid w:val="00F430E0"/>
    <w:rsid w:val="00F437AC"/>
    <w:rsid w:val="00F45B75"/>
    <w:rsid w:val="00F46080"/>
    <w:rsid w:val="00F46C82"/>
    <w:rsid w:val="00F46EEE"/>
    <w:rsid w:val="00F47DBA"/>
    <w:rsid w:val="00F507E2"/>
    <w:rsid w:val="00F51100"/>
    <w:rsid w:val="00F5143B"/>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0E1"/>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24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BD0C35ED-185D-4A24-A95F-72B032F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9902BA"/>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character" w:styleId="EndnoteReference">
    <w:name w:val="endnote reference"/>
    <w:basedOn w:val="DefaultParagraphFont"/>
    <w:uiPriority w:val="99"/>
    <w:semiHidden/>
    <w:unhideWhenUsed/>
    <w:rsid w:val="001B3579"/>
    <w:rPr>
      <w:vertAlign w:val="superscript"/>
    </w:rPr>
  </w:style>
  <w:style w:type="character" w:styleId="FollowedHyperlink">
    <w:name w:val="FollowedHyperlink"/>
    <w:basedOn w:val="DefaultParagraphFont"/>
    <w:uiPriority w:val="99"/>
    <w:semiHidden/>
    <w:unhideWhenUsed/>
    <w:rsid w:val="00F96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99576/Final_CCC_Commission_letter_020519_v2.pdf" TargetMode="External"/><Relationship Id="rId1" Type="http://schemas.openxmlformats.org/officeDocument/2006/relationships/hyperlink" Target="https://assets.publishing.service.gov.uk/government/uploads/system/uploads/attachment_data/file/799573/THE_FUTURE_OF_UK_CARBON_PRIC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3C7C27C-8767-400A-8E32-215E8F05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3</cp:revision>
  <cp:lastPrinted>2015-02-09T14:25:00Z</cp:lastPrinted>
  <dcterms:created xsi:type="dcterms:W3CDTF">2019-05-15T13:06:00Z</dcterms:created>
  <dcterms:modified xsi:type="dcterms:W3CDTF">2019-05-15T13:08:00Z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