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FA3A" w14:textId="77777777" w:rsidR="00736A21" w:rsidRDefault="00736A21" w:rsidP="00736A21">
      <w:pPr>
        <w:jc w:val="center"/>
        <w:rPr>
          <w:sz w:val="72"/>
        </w:rPr>
      </w:pPr>
      <w:bookmarkStart w:id="0" w:name="_Hlk96341408"/>
      <w:r>
        <w:rPr>
          <w:sz w:val="72"/>
        </w:rPr>
        <w:t xml:space="preserve">Invitation to Quote: </w:t>
      </w:r>
    </w:p>
    <w:p w14:paraId="17772E3B" w14:textId="77777777" w:rsidR="00736A21" w:rsidRDefault="00736A21" w:rsidP="00736A21">
      <w:pPr>
        <w:jc w:val="center"/>
        <w:rPr>
          <w:sz w:val="72"/>
        </w:rPr>
      </w:pPr>
      <w:r>
        <w:rPr>
          <w:sz w:val="72"/>
        </w:rPr>
        <w:t>Specification</w:t>
      </w:r>
    </w:p>
    <w:p w14:paraId="523558E3" w14:textId="77777777" w:rsidR="00736A21" w:rsidRDefault="00736A21" w:rsidP="00736A21">
      <w:pPr>
        <w:rPr>
          <w:sz w:val="72"/>
        </w:rPr>
      </w:pPr>
    </w:p>
    <w:p w14:paraId="639FD2EE" w14:textId="77777777" w:rsidR="00736A21" w:rsidRDefault="00736A21" w:rsidP="00736A21">
      <w:pPr>
        <w:jc w:val="center"/>
        <w:rPr>
          <w:b/>
          <w:color w:val="548DD4"/>
          <w:sz w:val="72"/>
        </w:rPr>
      </w:pPr>
      <w:r>
        <w:rPr>
          <w:b/>
          <w:color w:val="548DD4"/>
          <w:sz w:val="72"/>
        </w:rPr>
        <w:t>0AR – Logistics Support- Courier Delivery &amp; Collection Service</w:t>
      </w:r>
    </w:p>
    <w:p w14:paraId="056BE5D5" w14:textId="77777777" w:rsidR="00736A21" w:rsidRDefault="00736A21" w:rsidP="00736A21">
      <w:pPr>
        <w:jc w:val="center"/>
        <w:rPr>
          <w:sz w:val="72"/>
        </w:rPr>
      </w:pPr>
    </w:p>
    <w:p w14:paraId="175CC90A" w14:textId="77777777" w:rsidR="00736A21" w:rsidRDefault="00736A21" w:rsidP="00736A21">
      <w:pPr>
        <w:jc w:val="center"/>
        <w:rPr>
          <w:sz w:val="72"/>
        </w:rPr>
      </w:pPr>
    </w:p>
    <w:p w14:paraId="5D9941FF" w14:textId="77777777" w:rsidR="00736A21" w:rsidRDefault="00736A21" w:rsidP="00736A21">
      <w:pPr>
        <w:jc w:val="center"/>
        <w:rPr>
          <w:sz w:val="72"/>
        </w:rPr>
      </w:pPr>
    </w:p>
    <w:p w14:paraId="5B85CAC5" w14:textId="77777777" w:rsidR="00736A21" w:rsidRDefault="00736A21" w:rsidP="00736A21">
      <w:pPr>
        <w:jc w:val="center"/>
        <w:rPr>
          <w:sz w:val="72"/>
        </w:rPr>
      </w:pPr>
    </w:p>
    <w:p w14:paraId="36C0E06D" w14:textId="77777777" w:rsidR="00736A21" w:rsidRDefault="00736A21" w:rsidP="00736A21">
      <w:pPr>
        <w:jc w:val="center"/>
        <w:rPr>
          <w:sz w:val="72"/>
        </w:rPr>
      </w:pPr>
    </w:p>
    <w:p w14:paraId="4C6D6E44" w14:textId="77777777" w:rsidR="00736A21" w:rsidRDefault="00736A21" w:rsidP="00736A21">
      <w:pPr>
        <w:ind w:right="-897"/>
        <w:rPr>
          <w:sz w:val="32"/>
          <w:lang w:eastAsia="en-GB"/>
        </w:rPr>
      </w:pPr>
    </w:p>
    <w:tbl>
      <w:tblPr>
        <w:tblW w:w="10456" w:type="dxa"/>
        <w:tblInd w:w="-709" w:type="dxa"/>
        <w:tblCellMar>
          <w:left w:w="10" w:type="dxa"/>
          <w:right w:w="10" w:type="dxa"/>
        </w:tblCellMar>
        <w:tblLook w:val="0000" w:firstRow="0" w:lastRow="0" w:firstColumn="0" w:lastColumn="0" w:noHBand="0" w:noVBand="0"/>
      </w:tblPr>
      <w:tblGrid>
        <w:gridCol w:w="10456"/>
      </w:tblGrid>
      <w:tr w:rsidR="00736A21" w14:paraId="3A9F575E" w14:textId="77777777" w:rsidTr="003D2C78">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BF694" w14:textId="77777777" w:rsidR="00736A21" w:rsidRDefault="00736A21" w:rsidP="003D2C78">
            <w:pPr>
              <w:spacing w:after="0" w:line="240" w:lineRule="auto"/>
              <w:ind w:right="-897"/>
              <w:rPr>
                <w:b/>
                <w:sz w:val="24"/>
                <w:szCs w:val="24"/>
                <w:lang w:eastAsia="en-GB"/>
              </w:rPr>
            </w:pPr>
            <w:r>
              <w:rPr>
                <w:b/>
                <w:sz w:val="24"/>
                <w:szCs w:val="24"/>
                <w:lang w:eastAsia="en-GB"/>
              </w:rPr>
              <w:t>Background and Introduction</w:t>
            </w:r>
          </w:p>
        </w:tc>
      </w:tr>
      <w:tr w:rsidR="00736A21" w14:paraId="443C00BB" w14:textId="77777777" w:rsidTr="003D2C78">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958E" w14:textId="77777777" w:rsidR="00736A21" w:rsidRDefault="00736A21" w:rsidP="003D2C78">
            <w:pPr>
              <w:spacing w:after="0" w:line="240" w:lineRule="auto"/>
              <w:rPr>
                <w:lang w:eastAsia="en-GB"/>
              </w:rPr>
            </w:pPr>
            <w:r>
              <w:rPr>
                <w:lang w:eastAsia="en-GB"/>
              </w:rPr>
              <w:t xml:space="preserve">NECS has an increasing requirement to deliver IT equipment between corporate and clinical NHS sites and to staff homes. There is also a requirement to collect parcels from similar sites and return these to a NECS facility. </w:t>
            </w:r>
          </w:p>
          <w:p w14:paraId="08612B5A" w14:textId="77777777" w:rsidR="00736A21" w:rsidRDefault="00736A21" w:rsidP="003D2C78">
            <w:pPr>
              <w:spacing w:after="0" w:line="240" w:lineRule="auto"/>
              <w:rPr>
                <w:lang w:eastAsia="en-GB"/>
              </w:rPr>
            </w:pPr>
          </w:p>
          <w:p w14:paraId="12C8C91B" w14:textId="77777777" w:rsidR="00736A21" w:rsidRDefault="00736A21" w:rsidP="003D2C78">
            <w:pPr>
              <w:spacing w:after="0" w:line="240" w:lineRule="auto"/>
              <w:rPr>
                <w:lang w:eastAsia="en-GB"/>
              </w:rPr>
            </w:pPr>
            <w:r>
              <w:rPr>
                <w:lang w:eastAsia="en-GB"/>
              </w:rPr>
              <w:t xml:space="preserve">It is estimated that an average </w:t>
            </w:r>
            <w:proofErr w:type="gramStart"/>
            <w:r>
              <w:rPr>
                <w:lang w:eastAsia="en-GB"/>
              </w:rPr>
              <w:t>1,000  parcels</w:t>
            </w:r>
            <w:proofErr w:type="gramEnd"/>
            <w:r>
              <w:rPr>
                <w:lang w:eastAsia="en-GB"/>
              </w:rPr>
              <w:t xml:space="preserve"> per month would be shipped in either direction, however this volume is subject to change based evolving NHS working practice and through short term project activity. </w:t>
            </w:r>
          </w:p>
          <w:p w14:paraId="3BD7C722" w14:textId="77777777" w:rsidR="00736A21" w:rsidRDefault="00736A21" w:rsidP="003D2C78">
            <w:pPr>
              <w:spacing w:after="0" w:line="240" w:lineRule="auto"/>
              <w:rPr>
                <w:lang w:eastAsia="en-GB"/>
              </w:rPr>
            </w:pPr>
          </w:p>
          <w:p w14:paraId="5FFF3146" w14:textId="77777777" w:rsidR="00736A21" w:rsidRDefault="00736A21" w:rsidP="003D2C78">
            <w:pPr>
              <w:spacing w:after="0" w:line="240" w:lineRule="auto"/>
              <w:rPr>
                <w:lang w:eastAsia="en-GB"/>
              </w:rPr>
            </w:pPr>
            <w:r>
              <w:rPr>
                <w:lang w:eastAsia="en-GB"/>
              </w:rPr>
              <w:t xml:space="preserve">NECS has a need for a reliable courier who can provide safe and efficient deliveries and collections across the whole of the </w:t>
            </w:r>
            <w:proofErr w:type="gramStart"/>
            <w:r>
              <w:rPr>
                <w:lang w:eastAsia="en-GB"/>
              </w:rPr>
              <w:t>UK  to</w:t>
            </w:r>
            <w:proofErr w:type="gramEnd"/>
            <w:r>
              <w:rPr>
                <w:lang w:eastAsia="en-GB"/>
              </w:rPr>
              <w:t xml:space="preserve"> both residential and business addresses by a customer friendly portal. </w:t>
            </w:r>
          </w:p>
          <w:p w14:paraId="5C124709" w14:textId="77777777" w:rsidR="00736A21" w:rsidRDefault="00736A21" w:rsidP="003D2C78">
            <w:pPr>
              <w:spacing w:after="0" w:line="240" w:lineRule="auto"/>
              <w:ind w:right="-897"/>
              <w:rPr>
                <w:i/>
                <w:sz w:val="24"/>
                <w:szCs w:val="24"/>
                <w:lang w:eastAsia="en-GB"/>
              </w:rPr>
            </w:pPr>
          </w:p>
        </w:tc>
      </w:tr>
    </w:tbl>
    <w:p w14:paraId="4CF4E551" w14:textId="77777777" w:rsidR="00736A21" w:rsidRDefault="00736A21" w:rsidP="00736A21">
      <w:pPr>
        <w:spacing w:after="0"/>
        <w:ind w:right="-897"/>
        <w:rPr>
          <w:sz w:val="24"/>
          <w:szCs w:val="24"/>
          <w:lang w:eastAsia="en-GB"/>
        </w:rPr>
      </w:pPr>
    </w:p>
    <w:tbl>
      <w:tblPr>
        <w:tblW w:w="10456" w:type="dxa"/>
        <w:tblInd w:w="-709" w:type="dxa"/>
        <w:tblCellMar>
          <w:left w:w="10" w:type="dxa"/>
          <w:right w:w="10" w:type="dxa"/>
        </w:tblCellMar>
        <w:tblLook w:val="0000" w:firstRow="0" w:lastRow="0" w:firstColumn="0" w:lastColumn="0" w:noHBand="0" w:noVBand="0"/>
      </w:tblPr>
      <w:tblGrid>
        <w:gridCol w:w="10456"/>
      </w:tblGrid>
      <w:tr w:rsidR="00736A21" w14:paraId="3E62093F" w14:textId="77777777" w:rsidTr="003D2C78">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E3707" w14:textId="77777777" w:rsidR="00736A21" w:rsidRDefault="00736A21" w:rsidP="003D2C78">
            <w:pPr>
              <w:spacing w:after="0" w:line="240" w:lineRule="auto"/>
              <w:ind w:left="-709" w:right="-897"/>
              <w:rPr>
                <w:b/>
                <w:sz w:val="24"/>
                <w:szCs w:val="24"/>
                <w:lang w:eastAsia="en-GB"/>
              </w:rPr>
            </w:pPr>
            <w:proofErr w:type="spellStart"/>
            <w:r>
              <w:rPr>
                <w:b/>
                <w:sz w:val="24"/>
                <w:szCs w:val="24"/>
                <w:lang w:eastAsia="en-GB"/>
              </w:rPr>
              <w:t>SThe</w:t>
            </w:r>
            <w:proofErr w:type="spellEnd"/>
            <w:r>
              <w:rPr>
                <w:b/>
                <w:sz w:val="24"/>
                <w:szCs w:val="24"/>
                <w:lang w:eastAsia="en-GB"/>
              </w:rPr>
              <w:t xml:space="preserve">   Standards and Service Specifications</w:t>
            </w:r>
          </w:p>
        </w:tc>
      </w:tr>
      <w:tr w:rsidR="00736A21" w14:paraId="2BD9674E" w14:textId="77777777" w:rsidTr="003D2C78">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7979" w14:textId="77777777" w:rsidR="00736A21" w:rsidRDefault="00736A21" w:rsidP="003D2C78">
            <w:pPr>
              <w:spacing w:after="0" w:line="240" w:lineRule="auto"/>
              <w:rPr>
                <w:color w:val="000000"/>
                <w:lang w:eastAsia="en-GB"/>
              </w:rPr>
            </w:pPr>
            <w:r>
              <w:rPr>
                <w:color w:val="000000"/>
                <w:lang w:eastAsia="en-GB"/>
              </w:rPr>
              <w:t>NECS requires a range of options for delivery and collection of packages largely containing IT equipment (including Laptops, Monitors and Mobile phones) to residential addresses and NHS sites. The service needs to be able to provide the following:</w:t>
            </w:r>
          </w:p>
          <w:p w14:paraId="5085EAA7" w14:textId="77777777" w:rsidR="00736A21" w:rsidRDefault="00736A21" w:rsidP="003D2C78">
            <w:pPr>
              <w:spacing w:after="0" w:line="240" w:lineRule="auto"/>
              <w:rPr>
                <w:color w:val="000000"/>
                <w:lang w:eastAsia="en-GB"/>
              </w:rPr>
            </w:pPr>
          </w:p>
          <w:p w14:paraId="3C87DE63" w14:textId="77777777" w:rsidR="00736A21" w:rsidRDefault="00736A21" w:rsidP="00736A21">
            <w:pPr>
              <w:pStyle w:val="ListParagraph"/>
              <w:numPr>
                <w:ilvl w:val="0"/>
                <w:numId w:val="1"/>
              </w:numPr>
              <w:spacing w:after="0" w:line="240" w:lineRule="auto"/>
              <w:rPr>
                <w:color w:val="000000"/>
                <w:lang w:eastAsia="en-GB"/>
              </w:rPr>
            </w:pPr>
            <w:r>
              <w:rPr>
                <w:color w:val="000000"/>
                <w:lang w:eastAsia="en-GB"/>
              </w:rPr>
              <w:t>Collection and Delivery of parcels weighing up to 10Kg averaging approximately 5KG.</w:t>
            </w:r>
          </w:p>
          <w:p w14:paraId="436B4E03" w14:textId="77777777" w:rsidR="00736A21" w:rsidRDefault="00736A21" w:rsidP="00736A21">
            <w:pPr>
              <w:pStyle w:val="ListParagraph"/>
              <w:numPr>
                <w:ilvl w:val="0"/>
                <w:numId w:val="1"/>
              </w:numPr>
              <w:spacing w:after="0" w:line="240" w:lineRule="auto"/>
              <w:rPr>
                <w:color w:val="000000"/>
                <w:lang w:eastAsia="en-GB"/>
              </w:rPr>
            </w:pPr>
            <w:r>
              <w:rPr>
                <w:color w:val="000000"/>
                <w:lang w:eastAsia="en-GB"/>
              </w:rPr>
              <w:t>Next day delivery of Parcels (including a pre noon delivery option).</w:t>
            </w:r>
          </w:p>
          <w:p w14:paraId="069C9EF6" w14:textId="77777777" w:rsidR="00736A21" w:rsidRDefault="00736A21" w:rsidP="00736A21">
            <w:pPr>
              <w:pStyle w:val="ListParagraph"/>
              <w:numPr>
                <w:ilvl w:val="0"/>
                <w:numId w:val="1"/>
              </w:numPr>
              <w:spacing w:after="0" w:line="240" w:lineRule="auto"/>
              <w:rPr>
                <w:color w:val="000000"/>
                <w:lang w:eastAsia="en-GB"/>
              </w:rPr>
            </w:pPr>
            <w:r>
              <w:rPr>
                <w:color w:val="000000"/>
                <w:lang w:eastAsia="en-GB"/>
              </w:rPr>
              <w:t xml:space="preserve">Text and/or email </w:t>
            </w:r>
            <w:proofErr w:type="spellStart"/>
            <w:r>
              <w:rPr>
                <w:color w:val="000000"/>
                <w:lang w:eastAsia="en-GB"/>
              </w:rPr>
              <w:t>notfications</w:t>
            </w:r>
            <w:proofErr w:type="spellEnd"/>
            <w:r>
              <w:rPr>
                <w:color w:val="000000"/>
                <w:lang w:eastAsia="en-GB"/>
              </w:rPr>
              <w:t xml:space="preserve"> and updates around estimated delivery times and an ability for recipients to reschedule via SMS/web (without needing to call)</w:t>
            </w:r>
          </w:p>
          <w:p w14:paraId="418AFCFD" w14:textId="77777777" w:rsidR="00736A21" w:rsidRDefault="00736A21" w:rsidP="00736A21">
            <w:pPr>
              <w:pStyle w:val="ListParagraph"/>
              <w:numPr>
                <w:ilvl w:val="0"/>
                <w:numId w:val="1"/>
              </w:numPr>
              <w:spacing w:after="0" w:line="240" w:lineRule="auto"/>
              <w:rPr>
                <w:color w:val="000000"/>
                <w:lang w:eastAsia="en-GB"/>
              </w:rPr>
            </w:pPr>
            <w:r>
              <w:rPr>
                <w:color w:val="000000"/>
                <w:lang w:eastAsia="en-GB"/>
              </w:rPr>
              <w:t>Ability for parcel tracking by both the end recipient and authorised NECS staff.</w:t>
            </w:r>
          </w:p>
          <w:p w14:paraId="0C18438A" w14:textId="77777777" w:rsidR="00736A21" w:rsidRDefault="00736A21" w:rsidP="00736A21">
            <w:pPr>
              <w:pStyle w:val="ListParagraph"/>
              <w:numPr>
                <w:ilvl w:val="0"/>
                <w:numId w:val="1"/>
              </w:numPr>
              <w:spacing w:after="0" w:line="240" w:lineRule="auto"/>
              <w:rPr>
                <w:color w:val="000000"/>
                <w:lang w:eastAsia="en-GB"/>
              </w:rPr>
            </w:pPr>
            <w:r>
              <w:rPr>
                <w:color w:val="000000"/>
                <w:lang w:eastAsia="en-GB"/>
              </w:rPr>
              <w:t>Online portal for booking the collection of parcels from offices or private UK home addresses including attributing a NECS reference number to each request.</w:t>
            </w:r>
          </w:p>
          <w:p w14:paraId="19E3BF81" w14:textId="77777777" w:rsidR="00736A21" w:rsidRDefault="00736A21" w:rsidP="00736A21">
            <w:pPr>
              <w:pStyle w:val="ListParagraph"/>
              <w:numPr>
                <w:ilvl w:val="0"/>
                <w:numId w:val="1"/>
              </w:numPr>
              <w:spacing w:after="0" w:line="240" w:lineRule="auto"/>
              <w:rPr>
                <w:color w:val="000000"/>
                <w:lang w:eastAsia="en-GB"/>
              </w:rPr>
            </w:pPr>
            <w:r>
              <w:rPr>
                <w:color w:val="000000"/>
                <w:lang w:eastAsia="en-GB"/>
              </w:rPr>
              <w:t>Doorstep parcel exchange with recipient at private UK home addresses.</w:t>
            </w:r>
          </w:p>
          <w:p w14:paraId="51367E72" w14:textId="77777777" w:rsidR="00736A21" w:rsidRDefault="00736A21" w:rsidP="00736A21">
            <w:pPr>
              <w:pStyle w:val="ListParagraph"/>
              <w:numPr>
                <w:ilvl w:val="0"/>
                <w:numId w:val="1"/>
              </w:numPr>
              <w:spacing w:after="0" w:line="240" w:lineRule="auto"/>
              <w:rPr>
                <w:color w:val="000000"/>
                <w:lang w:eastAsia="en-GB"/>
              </w:rPr>
            </w:pPr>
            <w:r>
              <w:rPr>
                <w:color w:val="000000"/>
                <w:lang w:eastAsia="en-GB"/>
              </w:rPr>
              <w:t>An ability for NECS to charge shipments to multiple accounts/cost centres for ease of billing and cost management</w:t>
            </w:r>
          </w:p>
          <w:p w14:paraId="329DB94D" w14:textId="77777777" w:rsidR="00736A21" w:rsidRDefault="00736A21" w:rsidP="00736A21">
            <w:pPr>
              <w:pStyle w:val="ListParagraph"/>
              <w:numPr>
                <w:ilvl w:val="0"/>
                <w:numId w:val="1"/>
              </w:numPr>
              <w:spacing w:after="0" w:line="240" w:lineRule="auto"/>
              <w:rPr>
                <w:color w:val="000000"/>
                <w:lang w:eastAsia="en-GB"/>
              </w:rPr>
            </w:pPr>
            <w:r>
              <w:rPr>
                <w:color w:val="000000"/>
                <w:lang w:eastAsia="en-GB"/>
              </w:rPr>
              <w:t>A self-service or routinely (minimum weekly) provided full download of all shipment requests as a CSV/XML file that can be analysed offline by NECS. This must include all details of the request and delivery information.</w:t>
            </w:r>
          </w:p>
          <w:p w14:paraId="67DA894D" w14:textId="77777777" w:rsidR="00736A21" w:rsidRDefault="00736A21" w:rsidP="00736A21">
            <w:pPr>
              <w:pStyle w:val="ListParagraph"/>
              <w:numPr>
                <w:ilvl w:val="0"/>
                <w:numId w:val="1"/>
              </w:numPr>
              <w:spacing w:after="0" w:line="240" w:lineRule="auto"/>
            </w:pPr>
            <w:r>
              <w:rPr>
                <w:bCs/>
              </w:rPr>
              <w:t>A customer portal featuring elective collection and delivery dates. To enable auto integration between call logging software an application programme interface would be required.</w:t>
            </w:r>
          </w:p>
          <w:p w14:paraId="45D23001" w14:textId="77777777" w:rsidR="00736A21" w:rsidRDefault="00736A21" w:rsidP="00736A21">
            <w:pPr>
              <w:pStyle w:val="ListParagraph"/>
              <w:numPr>
                <w:ilvl w:val="0"/>
                <w:numId w:val="1"/>
              </w:numPr>
              <w:spacing w:after="0" w:line="240" w:lineRule="auto"/>
            </w:pPr>
            <w:r>
              <w:rPr>
                <w:bCs/>
                <w:iCs/>
              </w:rPr>
              <w:t xml:space="preserve">A minimum period of 15 working days in which to raise a claim for a parcel lost in transit. </w:t>
            </w:r>
          </w:p>
          <w:p w14:paraId="2B8878D2" w14:textId="77777777" w:rsidR="00736A21" w:rsidRDefault="00736A21" w:rsidP="00736A21">
            <w:pPr>
              <w:pStyle w:val="ListParagraph"/>
              <w:numPr>
                <w:ilvl w:val="0"/>
                <w:numId w:val="1"/>
              </w:numPr>
              <w:spacing w:after="0" w:line="240" w:lineRule="auto"/>
              <w:rPr>
                <w:color w:val="000000"/>
                <w:lang w:eastAsia="en-GB"/>
              </w:rPr>
            </w:pPr>
            <w:r>
              <w:rPr>
                <w:color w:val="000000"/>
                <w:lang w:eastAsia="en-GB"/>
              </w:rPr>
              <w:t xml:space="preserve">At least 98% of parcels delivered/collected in line with service levels including periods of peak demand measured </w:t>
            </w:r>
            <w:proofErr w:type="gramStart"/>
            <w:r>
              <w:rPr>
                <w:color w:val="000000"/>
                <w:lang w:eastAsia="en-GB"/>
              </w:rPr>
              <w:t>on a daily basis</w:t>
            </w:r>
            <w:proofErr w:type="gramEnd"/>
            <w:r>
              <w:rPr>
                <w:color w:val="000000"/>
                <w:lang w:eastAsia="en-GB"/>
              </w:rPr>
              <w:t>.</w:t>
            </w:r>
            <w:r>
              <w:rPr>
                <w:color w:val="000000"/>
                <w:lang w:eastAsia="en-GB"/>
              </w:rPr>
              <w:br/>
            </w:r>
          </w:p>
          <w:p w14:paraId="2D8FDDB1" w14:textId="77777777" w:rsidR="00736A21" w:rsidRDefault="00736A21" w:rsidP="003D2C78">
            <w:pPr>
              <w:spacing w:after="0" w:line="240" w:lineRule="auto"/>
              <w:rPr>
                <w:color w:val="000000"/>
                <w:lang w:eastAsia="en-GB"/>
              </w:rPr>
            </w:pPr>
          </w:p>
          <w:p w14:paraId="03389B22" w14:textId="77777777" w:rsidR="00736A21" w:rsidRDefault="00736A21" w:rsidP="003D2C78">
            <w:pPr>
              <w:spacing w:after="0" w:line="240" w:lineRule="auto"/>
            </w:pPr>
            <w:r>
              <w:rPr>
                <w:color w:val="000000"/>
                <w:lang w:eastAsia="en-GB"/>
              </w:rPr>
              <w:t>Pricing (and evaluation of this tender) should be based on the following forecasts however actual usage will dictate the billable charges. 1,000</w:t>
            </w:r>
            <w:r>
              <w:rPr>
                <w:lang w:eastAsia="en-GB"/>
              </w:rPr>
              <w:t xml:space="preserve"> parcels per month on a next day basis split as:</w:t>
            </w:r>
          </w:p>
          <w:p w14:paraId="2DA413EF" w14:textId="77777777" w:rsidR="00736A21" w:rsidRDefault="00736A21" w:rsidP="003D2C78">
            <w:pPr>
              <w:spacing w:after="0" w:line="240" w:lineRule="auto"/>
              <w:rPr>
                <w:lang w:eastAsia="en-GB"/>
              </w:rPr>
            </w:pPr>
          </w:p>
          <w:p w14:paraId="0A9D9497" w14:textId="77777777" w:rsidR="00736A21" w:rsidRDefault="00736A21" w:rsidP="00736A21">
            <w:pPr>
              <w:pStyle w:val="ListParagraph"/>
              <w:numPr>
                <w:ilvl w:val="0"/>
                <w:numId w:val="2"/>
              </w:numPr>
              <w:spacing w:after="0" w:line="240" w:lineRule="auto"/>
            </w:pPr>
            <w:r>
              <w:rPr>
                <w:rFonts w:eastAsia="Times New Roman" w:cs="Calibri"/>
                <w:color w:val="000000"/>
                <w:lang w:eastAsia="en-GB"/>
              </w:rPr>
              <w:t>600 individual parcels (</w:t>
            </w:r>
            <w:proofErr w:type="spellStart"/>
            <w:r>
              <w:rPr>
                <w:rFonts w:eastAsia="Times New Roman" w:cs="Calibri"/>
                <w:color w:val="000000"/>
                <w:lang w:eastAsia="en-GB"/>
              </w:rPr>
              <w:t>upto</w:t>
            </w:r>
            <w:proofErr w:type="spellEnd"/>
            <w:r>
              <w:rPr>
                <w:rFonts w:eastAsia="Times New Roman" w:cs="Calibri"/>
                <w:color w:val="000000"/>
                <w:lang w:eastAsia="en-GB"/>
              </w:rPr>
              <w:t xml:space="preserve"> 10KG) collected from NECS business addresses</w:t>
            </w:r>
          </w:p>
          <w:p w14:paraId="5A5A2A63" w14:textId="77777777" w:rsidR="00736A21" w:rsidRDefault="00736A21" w:rsidP="00736A21">
            <w:pPr>
              <w:pStyle w:val="ListParagraph"/>
              <w:numPr>
                <w:ilvl w:val="0"/>
                <w:numId w:val="2"/>
              </w:numPr>
              <w:spacing w:after="0" w:line="240" w:lineRule="auto"/>
              <w:rPr>
                <w:color w:val="000000"/>
                <w:lang w:eastAsia="en-GB"/>
              </w:rPr>
            </w:pPr>
            <w:r>
              <w:rPr>
                <w:color w:val="000000"/>
                <w:lang w:eastAsia="en-GB"/>
              </w:rPr>
              <w:t>300 individual parcels (</w:t>
            </w:r>
            <w:proofErr w:type="spellStart"/>
            <w:r>
              <w:rPr>
                <w:color w:val="000000"/>
                <w:lang w:eastAsia="en-GB"/>
              </w:rPr>
              <w:t>upto</w:t>
            </w:r>
            <w:proofErr w:type="spellEnd"/>
            <w:r>
              <w:rPr>
                <w:color w:val="000000"/>
                <w:lang w:eastAsia="en-GB"/>
              </w:rPr>
              <w:t xml:space="preserve"> 10KG) collected from home addresses</w:t>
            </w:r>
          </w:p>
          <w:p w14:paraId="50190762" w14:textId="77777777" w:rsidR="00736A21" w:rsidRDefault="00736A21" w:rsidP="00736A21">
            <w:pPr>
              <w:pStyle w:val="ListParagraph"/>
              <w:numPr>
                <w:ilvl w:val="0"/>
                <w:numId w:val="2"/>
              </w:numPr>
              <w:spacing w:after="0" w:line="240" w:lineRule="auto"/>
            </w:pPr>
            <w:r>
              <w:rPr>
                <w:color w:val="000000"/>
                <w:lang w:eastAsia="en-GB"/>
              </w:rPr>
              <w:t xml:space="preserve">100 parcels </w:t>
            </w:r>
            <w:r>
              <w:rPr>
                <w:rFonts w:eastAsia="Times New Roman" w:cs="Calibri"/>
                <w:color w:val="000000"/>
                <w:lang w:eastAsia="en-GB"/>
              </w:rPr>
              <w:t>(</w:t>
            </w:r>
            <w:proofErr w:type="spellStart"/>
            <w:r>
              <w:rPr>
                <w:rFonts w:eastAsia="Times New Roman" w:cs="Calibri"/>
                <w:color w:val="000000"/>
                <w:lang w:eastAsia="en-GB"/>
              </w:rPr>
              <w:t>upto</w:t>
            </w:r>
            <w:proofErr w:type="spellEnd"/>
            <w:r>
              <w:rPr>
                <w:rFonts w:eastAsia="Times New Roman" w:cs="Calibri"/>
                <w:color w:val="000000"/>
                <w:lang w:eastAsia="en-GB"/>
              </w:rPr>
              <w:t xml:space="preserve"> 10KG) c</w:t>
            </w:r>
            <w:r>
              <w:rPr>
                <w:color w:val="000000"/>
                <w:lang w:eastAsia="en-GB"/>
              </w:rPr>
              <w:t>ollected from NECS business address with doorstep exchange at a home address and returned to NECS business address</w:t>
            </w:r>
          </w:p>
          <w:p w14:paraId="6B3D1842" w14:textId="77777777" w:rsidR="00736A21" w:rsidRDefault="00736A21" w:rsidP="003D2C78">
            <w:pPr>
              <w:spacing w:after="0" w:line="240" w:lineRule="auto"/>
              <w:rPr>
                <w:color w:val="000000"/>
                <w:lang w:eastAsia="en-GB"/>
              </w:rPr>
            </w:pPr>
          </w:p>
          <w:p w14:paraId="21D89E21" w14:textId="77777777" w:rsidR="00736A21" w:rsidRDefault="00736A21" w:rsidP="003D2C78">
            <w:pPr>
              <w:spacing w:after="0" w:line="240" w:lineRule="auto"/>
              <w:rPr>
                <w:color w:val="000000"/>
                <w:lang w:eastAsia="en-GB"/>
              </w:rPr>
            </w:pPr>
            <w:r>
              <w:rPr>
                <w:color w:val="000000"/>
                <w:lang w:eastAsia="en-GB"/>
              </w:rPr>
              <w:lastRenderedPageBreak/>
              <w:t>Parcel sizes will vary but it is unlikely any regular parcel would be larger than 60x60x100cms with the majority under 50x50x60cm.</w:t>
            </w:r>
          </w:p>
          <w:p w14:paraId="0E371F19" w14:textId="77777777" w:rsidR="00736A21" w:rsidRDefault="00736A21" w:rsidP="003D2C78">
            <w:pPr>
              <w:spacing w:after="0" w:line="240" w:lineRule="auto"/>
              <w:rPr>
                <w:color w:val="000000"/>
                <w:lang w:eastAsia="en-GB"/>
              </w:rPr>
            </w:pPr>
          </w:p>
          <w:p w14:paraId="73B0C404" w14:textId="77777777" w:rsidR="00736A21" w:rsidRDefault="00736A21" w:rsidP="003D2C78">
            <w:pPr>
              <w:spacing w:after="0" w:line="240" w:lineRule="auto"/>
              <w:rPr>
                <w:color w:val="000000"/>
                <w:lang w:eastAsia="en-GB"/>
              </w:rPr>
            </w:pPr>
          </w:p>
          <w:p w14:paraId="5F5CC7A9" w14:textId="77777777" w:rsidR="00736A21" w:rsidRDefault="00736A21" w:rsidP="003D2C78">
            <w:pPr>
              <w:spacing w:after="0" w:line="240" w:lineRule="auto"/>
              <w:rPr>
                <w:color w:val="000000"/>
                <w:lang w:eastAsia="en-GB"/>
              </w:rPr>
            </w:pPr>
            <w:r>
              <w:rPr>
                <w:color w:val="000000"/>
                <w:lang w:eastAsia="en-GB"/>
              </w:rPr>
              <w:t xml:space="preserve">Given that parcels will contain IT equipment they should not be left with neighbours or in "Safe Places" unless specified in special instructions or the </w:t>
            </w:r>
            <w:proofErr w:type="spellStart"/>
            <w:r>
              <w:rPr>
                <w:color w:val="000000"/>
                <w:lang w:eastAsia="en-GB"/>
              </w:rPr>
              <w:t>recepient</w:t>
            </w:r>
            <w:proofErr w:type="spellEnd"/>
            <w:r>
              <w:rPr>
                <w:color w:val="000000"/>
                <w:lang w:eastAsia="en-GB"/>
              </w:rPr>
              <w:t xml:space="preserve"> has requested so. </w:t>
            </w:r>
            <w:proofErr w:type="spellStart"/>
            <w:r>
              <w:rPr>
                <w:color w:val="000000"/>
                <w:lang w:eastAsia="en-GB"/>
              </w:rPr>
              <w:t>Signiture</w:t>
            </w:r>
            <w:proofErr w:type="spellEnd"/>
            <w:r>
              <w:rPr>
                <w:color w:val="000000"/>
                <w:lang w:eastAsia="en-GB"/>
              </w:rPr>
              <w:t>/proof of acceptance of the parcel is required.</w:t>
            </w:r>
          </w:p>
          <w:p w14:paraId="05648221" w14:textId="77777777" w:rsidR="00736A21" w:rsidRDefault="00736A21" w:rsidP="003D2C78">
            <w:pPr>
              <w:spacing w:after="0" w:line="240" w:lineRule="auto"/>
              <w:rPr>
                <w:color w:val="000000"/>
                <w:lang w:eastAsia="en-GB"/>
              </w:rPr>
            </w:pPr>
          </w:p>
          <w:p w14:paraId="7BE0D665" w14:textId="77777777" w:rsidR="00736A21" w:rsidRDefault="00736A21" w:rsidP="003D2C78">
            <w:pPr>
              <w:spacing w:after="0" w:line="240" w:lineRule="auto"/>
              <w:rPr>
                <w:color w:val="000000"/>
                <w:lang w:eastAsia="en-GB"/>
              </w:rPr>
            </w:pPr>
            <w:r>
              <w:rPr>
                <w:color w:val="000000"/>
                <w:lang w:eastAsia="en-GB"/>
              </w:rPr>
              <w:t>The start date of the contract will be a soon as is practically possible subject to validation checks and any mobilisation processes that need to be implemented.</w:t>
            </w:r>
          </w:p>
          <w:p w14:paraId="7B8DD98C" w14:textId="77777777" w:rsidR="00736A21" w:rsidRDefault="00736A21" w:rsidP="003D2C78">
            <w:pPr>
              <w:spacing w:after="0" w:line="240" w:lineRule="auto"/>
              <w:rPr>
                <w:color w:val="000000"/>
                <w:lang w:eastAsia="en-GB"/>
              </w:rPr>
            </w:pPr>
          </w:p>
          <w:p w14:paraId="0BDFCF9E" w14:textId="77777777" w:rsidR="00736A21" w:rsidRDefault="00736A21" w:rsidP="003D2C78">
            <w:pPr>
              <w:spacing w:after="0" w:line="240" w:lineRule="auto"/>
              <w:rPr>
                <w:color w:val="000000"/>
                <w:lang w:eastAsia="en-GB"/>
              </w:rPr>
            </w:pPr>
            <w:r>
              <w:rPr>
                <w:color w:val="000000"/>
                <w:lang w:eastAsia="en-GB"/>
              </w:rPr>
              <w:t xml:space="preserve">Service levels and credits </w:t>
            </w:r>
            <w:proofErr w:type="gramStart"/>
            <w:r>
              <w:rPr>
                <w:color w:val="000000"/>
                <w:lang w:eastAsia="en-GB"/>
              </w:rPr>
              <w:t>–  It</w:t>
            </w:r>
            <w:proofErr w:type="gramEnd"/>
            <w:r>
              <w:rPr>
                <w:color w:val="000000"/>
                <w:lang w:eastAsia="en-GB"/>
              </w:rPr>
              <w:t xml:space="preserve"> is expected that any failed deliveries due the fault of the supplier or any </w:t>
            </w:r>
            <w:proofErr w:type="spellStart"/>
            <w:r>
              <w:rPr>
                <w:color w:val="000000"/>
                <w:lang w:eastAsia="en-GB"/>
              </w:rPr>
              <w:t>deliveriess</w:t>
            </w:r>
            <w:proofErr w:type="spellEnd"/>
            <w:r>
              <w:rPr>
                <w:color w:val="000000"/>
                <w:lang w:eastAsia="en-GB"/>
              </w:rPr>
              <w:t xml:space="preserve"> not made within the timescale for the service specified will result in a financial credit/refund. For </w:t>
            </w:r>
            <w:proofErr w:type="gramStart"/>
            <w:r>
              <w:rPr>
                <w:color w:val="000000"/>
                <w:lang w:eastAsia="en-GB"/>
              </w:rPr>
              <w:t>example</w:t>
            </w:r>
            <w:proofErr w:type="gramEnd"/>
            <w:r>
              <w:rPr>
                <w:color w:val="000000"/>
                <w:lang w:eastAsia="en-GB"/>
              </w:rPr>
              <w:t xml:space="preserve"> if a parcel send on next day delivery is not received the next working day the cost of that service will be refunded. The supplier will provide regular updates as to </w:t>
            </w:r>
            <w:proofErr w:type="spellStart"/>
            <w:r>
              <w:rPr>
                <w:color w:val="000000"/>
                <w:lang w:eastAsia="en-GB"/>
              </w:rPr>
              <w:t>theit</w:t>
            </w:r>
            <w:proofErr w:type="spellEnd"/>
            <w:r>
              <w:rPr>
                <w:color w:val="000000"/>
                <w:lang w:eastAsia="en-GB"/>
              </w:rPr>
              <w:t xml:space="preserve"> current performance against SLAs.</w:t>
            </w:r>
          </w:p>
          <w:p w14:paraId="242C8856" w14:textId="77777777" w:rsidR="00736A21" w:rsidRDefault="00736A21" w:rsidP="003D2C78">
            <w:pPr>
              <w:spacing w:after="0" w:line="240" w:lineRule="auto"/>
              <w:rPr>
                <w:color w:val="000000"/>
                <w:lang w:eastAsia="en-GB"/>
              </w:rPr>
            </w:pPr>
          </w:p>
          <w:p w14:paraId="5B771DF6" w14:textId="77777777" w:rsidR="00736A21" w:rsidRDefault="00736A21" w:rsidP="003D2C78">
            <w:pPr>
              <w:spacing w:after="0" w:line="240" w:lineRule="auto"/>
              <w:rPr>
                <w:color w:val="000000"/>
                <w:lang w:eastAsia="en-GB"/>
              </w:rPr>
            </w:pPr>
            <w:r>
              <w:rPr>
                <w:color w:val="000000"/>
                <w:lang w:eastAsia="en-GB"/>
              </w:rPr>
              <w:t xml:space="preserve">Account management - NECS will </w:t>
            </w:r>
            <w:proofErr w:type="gramStart"/>
            <w:r>
              <w:rPr>
                <w:color w:val="000000"/>
                <w:lang w:eastAsia="en-GB"/>
              </w:rPr>
              <w:t>undertake  a</w:t>
            </w:r>
            <w:proofErr w:type="gramEnd"/>
            <w:r>
              <w:rPr>
                <w:color w:val="000000"/>
                <w:lang w:eastAsia="en-GB"/>
              </w:rPr>
              <w:t xml:space="preserve"> quarterly service review meeting with the service provider who  would be expected to nominate an </w:t>
            </w:r>
            <w:proofErr w:type="spellStart"/>
            <w:r>
              <w:rPr>
                <w:color w:val="000000"/>
                <w:lang w:eastAsia="en-GB"/>
              </w:rPr>
              <w:t>invidual</w:t>
            </w:r>
            <w:proofErr w:type="spellEnd"/>
            <w:r>
              <w:rPr>
                <w:color w:val="000000"/>
                <w:lang w:eastAsia="en-GB"/>
              </w:rPr>
              <w:t xml:space="preserve"> would to act as an account manager whereby any issues can be raised as an escalation point. </w:t>
            </w:r>
          </w:p>
          <w:p w14:paraId="03C55497" w14:textId="77777777" w:rsidR="00736A21" w:rsidRDefault="00736A21" w:rsidP="003D2C78">
            <w:pPr>
              <w:spacing w:after="0" w:line="240" w:lineRule="auto"/>
              <w:rPr>
                <w:color w:val="000000"/>
                <w:lang w:eastAsia="en-GB"/>
              </w:rPr>
            </w:pPr>
          </w:p>
          <w:p w14:paraId="444ADFC0" w14:textId="77777777" w:rsidR="00736A21" w:rsidRDefault="00736A21" w:rsidP="003D2C78">
            <w:pPr>
              <w:spacing w:after="0" w:line="240" w:lineRule="auto"/>
              <w:rPr>
                <w:color w:val="000000"/>
                <w:lang w:eastAsia="en-GB"/>
              </w:rPr>
            </w:pPr>
            <w:r>
              <w:rPr>
                <w:color w:val="000000"/>
                <w:lang w:eastAsia="en-GB"/>
              </w:rPr>
              <w:t xml:space="preserve">Payment Terms </w:t>
            </w:r>
            <w:proofErr w:type="gramStart"/>
            <w:r>
              <w:rPr>
                <w:color w:val="000000"/>
                <w:lang w:eastAsia="en-GB"/>
              </w:rPr>
              <w:t>-  Services</w:t>
            </w:r>
            <w:proofErr w:type="gramEnd"/>
            <w:r>
              <w:rPr>
                <w:color w:val="000000"/>
                <w:lang w:eastAsia="en-GB"/>
              </w:rPr>
              <w:t xml:space="preserve"> paid for on a consumption basis with weekly or monthly billing with minimum 30 day payment terms </w:t>
            </w:r>
          </w:p>
          <w:p w14:paraId="077699C0" w14:textId="77777777" w:rsidR="00736A21" w:rsidRDefault="00736A21" w:rsidP="003D2C78">
            <w:pPr>
              <w:spacing w:after="0" w:line="240" w:lineRule="auto"/>
              <w:rPr>
                <w:color w:val="000000"/>
                <w:lang w:eastAsia="en-GB"/>
              </w:rPr>
            </w:pPr>
          </w:p>
          <w:p w14:paraId="6BF51BC9" w14:textId="77777777" w:rsidR="00736A21" w:rsidRDefault="00736A21" w:rsidP="003D2C78">
            <w:pPr>
              <w:spacing w:after="0" w:line="240" w:lineRule="auto"/>
              <w:rPr>
                <w:color w:val="000000"/>
                <w:u w:val="single"/>
                <w:lang w:eastAsia="en-GB"/>
              </w:rPr>
            </w:pPr>
            <w:r>
              <w:rPr>
                <w:color w:val="000000"/>
                <w:u w:val="single"/>
                <w:lang w:eastAsia="en-GB"/>
              </w:rPr>
              <w:t>Business Continuity</w:t>
            </w:r>
          </w:p>
          <w:p w14:paraId="3537E156" w14:textId="77777777" w:rsidR="00736A21" w:rsidRDefault="00736A21" w:rsidP="003D2C78">
            <w:pPr>
              <w:spacing w:after="0" w:line="240" w:lineRule="auto"/>
              <w:rPr>
                <w:color w:val="000000"/>
              </w:rPr>
            </w:pPr>
            <w:bookmarkStart w:id="1" w:name="_Toc303949086"/>
            <w:bookmarkStart w:id="2" w:name="_Toc303949850"/>
            <w:bookmarkStart w:id="3" w:name="_Toc303950617"/>
            <w:bookmarkStart w:id="4" w:name="_Toc303951397"/>
            <w:bookmarkStart w:id="5" w:name="_Toc304135480"/>
            <w:r>
              <w:rPr>
                <w:color w:val="000000"/>
              </w:rPr>
              <w:t>The Supplier will be required to use reasonable endeavours to ensure its Business Continuity Plan operates effectively alongside North of England Commissioning Support Unit’ Business Continuity Plan where relevant to the provision of the services in line with the Business Continuity requirements in the contract terms and conditions.</w:t>
            </w:r>
            <w:bookmarkEnd w:id="1"/>
            <w:bookmarkEnd w:id="2"/>
            <w:bookmarkEnd w:id="3"/>
            <w:bookmarkEnd w:id="4"/>
            <w:bookmarkEnd w:id="5"/>
            <w:r>
              <w:rPr>
                <w:color w:val="000000"/>
              </w:rPr>
              <w:t xml:space="preserve"> </w:t>
            </w:r>
          </w:p>
          <w:p w14:paraId="3BCC68B3" w14:textId="77777777" w:rsidR="00736A21" w:rsidRDefault="00736A21" w:rsidP="003D2C78">
            <w:pPr>
              <w:spacing w:after="0" w:line="240" w:lineRule="auto"/>
              <w:ind w:right="-897"/>
              <w:rPr>
                <w:i/>
                <w:sz w:val="24"/>
                <w:szCs w:val="24"/>
                <w:lang w:eastAsia="en-GB"/>
              </w:rPr>
            </w:pPr>
          </w:p>
        </w:tc>
      </w:tr>
    </w:tbl>
    <w:p w14:paraId="4E5CF1BA" w14:textId="77777777" w:rsidR="00736A21" w:rsidRDefault="00736A21" w:rsidP="00736A21">
      <w:pPr>
        <w:spacing w:after="0"/>
        <w:ind w:right="-897"/>
        <w:rPr>
          <w:b/>
          <w:sz w:val="24"/>
          <w:szCs w:val="24"/>
        </w:rPr>
      </w:pPr>
    </w:p>
    <w:tbl>
      <w:tblPr>
        <w:tblW w:w="10456" w:type="dxa"/>
        <w:tblInd w:w="-709" w:type="dxa"/>
        <w:tblCellMar>
          <w:left w:w="10" w:type="dxa"/>
          <w:right w:w="10" w:type="dxa"/>
        </w:tblCellMar>
        <w:tblLook w:val="0000" w:firstRow="0" w:lastRow="0" w:firstColumn="0" w:lastColumn="0" w:noHBand="0" w:noVBand="0"/>
      </w:tblPr>
      <w:tblGrid>
        <w:gridCol w:w="10456"/>
      </w:tblGrid>
      <w:tr w:rsidR="00736A21" w14:paraId="7ABF3F3B" w14:textId="77777777" w:rsidTr="003D2C78">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256F8" w14:textId="77777777" w:rsidR="00736A21" w:rsidRDefault="00736A21" w:rsidP="003D2C78">
            <w:pPr>
              <w:spacing w:after="0" w:line="240" w:lineRule="auto"/>
              <w:ind w:right="-897"/>
              <w:rPr>
                <w:b/>
                <w:sz w:val="24"/>
                <w:szCs w:val="24"/>
              </w:rPr>
            </w:pPr>
            <w:r>
              <w:rPr>
                <w:b/>
                <w:sz w:val="24"/>
                <w:szCs w:val="24"/>
              </w:rPr>
              <w:t>Essential Skills</w:t>
            </w:r>
          </w:p>
        </w:tc>
      </w:tr>
      <w:tr w:rsidR="00736A21" w14:paraId="4C80BB0A" w14:textId="77777777" w:rsidTr="003D2C78">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C428" w14:textId="77777777" w:rsidR="00736A21" w:rsidRDefault="00736A21" w:rsidP="003D2C78">
            <w:pPr>
              <w:spacing w:after="0" w:line="240" w:lineRule="auto"/>
            </w:pPr>
            <w:r>
              <w:t>Safe, reliable, and on-time transportation of IT equipment to residential and business addresses within the</w:t>
            </w:r>
          </w:p>
          <w:p w14:paraId="4416E09D" w14:textId="77777777" w:rsidR="00736A21" w:rsidRDefault="00736A21" w:rsidP="003D2C78">
            <w:pPr>
              <w:spacing w:after="0" w:line="240" w:lineRule="auto"/>
            </w:pPr>
            <w:r>
              <w:t>UK.</w:t>
            </w:r>
          </w:p>
          <w:p w14:paraId="3CB3B5B6" w14:textId="77777777" w:rsidR="00736A21" w:rsidRDefault="00736A21" w:rsidP="003D2C78">
            <w:pPr>
              <w:spacing w:after="0" w:line="240" w:lineRule="auto"/>
            </w:pPr>
          </w:p>
          <w:p w14:paraId="554ED651" w14:textId="77777777" w:rsidR="00736A21" w:rsidRDefault="00736A21" w:rsidP="003D2C78">
            <w:pPr>
              <w:spacing w:after="0" w:line="240" w:lineRule="auto"/>
              <w:ind w:right="-897"/>
              <w:rPr>
                <w:b/>
                <w:sz w:val="24"/>
                <w:szCs w:val="24"/>
              </w:rPr>
            </w:pPr>
          </w:p>
        </w:tc>
      </w:tr>
    </w:tbl>
    <w:p w14:paraId="019451C4" w14:textId="77777777" w:rsidR="00736A21" w:rsidRDefault="00736A21" w:rsidP="00736A21">
      <w:pPr>
        <w:spacing w:after="0"/>
        <w:ind w:left="-709" w:right="-897"/>
        <w:rPr>
          <w:b/>
          <w:sz w:val="24"/>
          <w:szCs w:val="24"/>
        </w:rPr>
      </w:pPr>
    </w:p>
    <w:tbl>
      <w:tblPr>
        <w:tblW w:w="10456" w:type="dxa"/>
        <w:tblInd w:w="-709" w:type="dxa"/>
        <w:tblCellMar>
          <w:left w:w="10" w:type="dxa"/>
          <w:right w:w="10" w:type="dxa"/>
        </w:tblCellMar>
        <w:tblLook w:val="0000" w:firstRow="0" w:lastRow="0" w:firstColumn="0" w:lastColumn="0" w:noHBand="0" w:noVBand="0"/>
      </w:tblPr>
      <w:tblGrid>
        <w:gridCol w:w="10456"/>
      </w:tblGrid>
      <w:tr w:rsidR="00736A21" w14:paraId="66251352" w14:textId="77777777" w:rsidTr="003D2C78">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8B98" w14:textId="77777777" w:rsidR="00736A21" w:rsidRDefault="00736A21" w:rsidP="003D2C78">
            <w:pPr>
              <w:spacing w:after="0" w:line="240" w:lineRule="auto"/>
            </w:pPr>
            <w:r>
              <w:rPr>
                <w:rFonts w:cs="Arial"/>
                <w:b/>
                <w:sz w:val="24"/>
                <w:szCs w:val="24"/>
              </w:rPr>
              <w:t xml:space="preserve">Contract Terms </w:t>
            </w:r>
          </w:p>
        </w:tc>
      </w:tr>
      <w:tr w:rsidR="00736A21" w14:paraId="0549218B" w14:textId="77777777" w:rsidTr="003D2C78">
        <w:trPr>
          <w:trHeight w:val="1125"/>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129C" w14:textId="77777777" w:rsidR="00736A21" w:rsidRDefault="00736A21" w:rsidP="003D2C78">
            <w:pPr>
              <w:spacing w:after="0" w:line="240" w:lineRule="auto"/>
              <w:ind w:right="-897"/>
              <w:rPr>
                <w:b/>
                <w:i/>
                <w:sz w:val="24"/>
                <w:szCs w:val="24"/>
                <w:lang w:eastAsia="en-GB"/>
              </w:rPr>
            </w:pPr>
            <w:r>
              <w:rPr>
                <w:b/>
                <w:i/>
                <w:sz w:val="24"/>
                <w:szCs w:val="24"/>
                <w:lang w:eastAsia="en-GB"/>
              </w:rPr>
              <w:t xml:space="preserve">Service and route to </w:t>
            </w:r>
            <w:proofErr w:type="gramStart"/>
            <w:r>
              <w:rPr>
                <w:b/>
                <w:i/>
                <w:sz w:val="24"/>
                <w:szCs w:val="24"/>
                <w:lang w:eastAsia="en-GB"/>
              </w:rPr>
              <w:t>market:-</w:t>
            </w:r>
            <w:proofErr w:type="gramEnd"/>
          </w:p>
          <w:p w14:paraId="6ECDB659" w14:textId="77777777" w:rsidR="00736A21" w:rsidRDefault="00736A21" w:rsidP="003D2C78">
            <w:pPr>
              <w:spacing w:after="0" w:line="240" w:lineRule="auto"/>
              <w:ind w:right="-897"/>
              <w:rPr>
                <w:i/>
                <w:sz w:val="24"/>
                <w:szCs w:val="24"/>
                <w:lang w:eastAsia="en-GB"/>
              </w:rPr>
            </w:pPr>
          </w:p>
          <w:p w14:paraId="64D95FB4" w14:textId="77777777" w:rsidR="00736A21" w:rsidRDefault="00736A21" w:rsidP="003D2C78">
            <w:pPr>
              <w:spacing w:after="0" w:line="240" w:lineRule="auto"/>
              <w:ind w:right="175"/>
              <w:rPr>
                <w:i/>
                <w:sz w:val="24"/>
                <w:szCs w:val="24"/>
                <w:lang w:eastAsia="en-GB"/>
              </w:rPr>
            </w:pPr>
            <w:r>
              <w:rPr>
                <w:i/>
                <w:sz w:val="24"/>
                <w:szCs w:val="24"/>
                <w:lang w:eastAsia="en-GB"/>
              </w:rPr>
              <w:t>Open tender – advertised on contracts finder</w:t>
            </w:r>
          </w:p>
          <w:p w14:paraId="02396179" w14:textId="77777777" w:rsidR="00736A21" w:rsidRDefault="00736A21" w:rsidP="003D2C78">
            <w:pPr>
              <w:spacing w:after="0" w:line="240" w:lineRule="auto"/>
              <w:ind w:right="175"/>
              <w:rPr>
                <w:b/>
                <w:i/>
                <w:sz w:val="24"/>
                <w:szCs w:val="24"/>
                <w:lang w:eastAsia="en-GB"/>
              </w:rPr>
            </w:pPr>
          </w:p>
          <w:p w14:paraId="6E5D13B4" w14:textId="77777777" w:rsidR="00736A21" w:rsidRDefault="00736A21" w:rsidP="003D2C78">
            <w:pPr>
              <w:spacing w:after="0" w:line="240" w:lineRule="auto"/>
              <w:ind w:right="175"/>
              <w:rPr>
                <w:b/>
                <w:i/>
                <w:sz w:val="24"/>
                <w:szCs w:val="24"/>
                <w:lang w:eastAsia="en-GB"/>
              </w:rPr>
            </w:pPr>
            <w:r>
              <w:rPr>
                <w:b/>
                <w:i/>
                <w:sz w:val="24"/>
                <w:szCs w:val="24"/>
                <w:lang w:eastAsia="en-GB"/>
              </w:rPr>
              <w:t xml:space="preserve">Terms and Conditions to be applied to the </w:t>
            </w:r>
            <w:proofErr w:type="gramStart"/>
            <w:r>
              <w:rPr>
                <w:b/>
                <w:i/>
                <w:sz w:val="24"/>
                <w:szCs w:val="24"/>
                <w:lang w:eastAsia="en-GB"/>
              </w:rPr>
              <w:t>Contract:-</w:t>
            </w:r>
            <w:proofErr w:type="gramEnd"/>
          </w:p>
          <w:p w14:paraId="03C9DBCE" w14:textId="77777777" w:rsidR="00736A21" w:rsidRDefault="00736A21" w:rsidP="003D2C78">
            <w:pPr>
              <w:spacing w:after="0" w:line="240" w:lineRule="auto"/>
              <w:ind w:right="-897"/>
              <w:rPr>
                <w:b/>
                <w:i/>
                <w:sz w:val="24"/>
                <w:szCs w:val="24"/>
                <w:lang w:eastAsia="en-GB"/>
              </w:rPr>
            </w:pPr>
          </w:p>
          <w:p w14:paraId="7202182B" w14:textId="77777777" w:rsidR="00736A21" w:rsidRDefault="00736A21" w:rsidP="003D2C78">
            <w:pPr>
              <w:spacing w:after="0" w:line="240" w:lineRule="auto"/>
              <w:ind w:right="-897"/>
              <w:rPr>
                <w:bCs/>
                <w:i/>
                <w:sz w:val="24"/>
                <w:szCs w:val="24"/>
                <w:lang w:eastAsia="en-GB"/>
              </w:rPr>
            </w:pPr>
            <w:r>
              <w:rPr>
                <w:bCs/>
                <w:i/>
                <w:sz w:val="24"/>
                <w:szCs w:val="24"/>
                <w:lang w:eastAsia="en-GB"/>
              </w:rPr>
              <w:t>NHS Terms and Conditions</w:t>
            </w:r>
          </w:p>
          <w:p w14:paraId="55661B83" w14:textId="77777777" w:rsidR="00736A21" w:rsidRDefault="00736A21" w:rsidP="003D2C78">
            <w:pPr>
              <w:spacing w:after="0" w:line="240" w:lineRule="auto"/>
              <w:ind w:right="-897"/>
              <w:rPr>
                <w:b/>
                <w:i/>
                <w:sz w:val="24"/>
                <w:szCs w:val="24"/>
                <w:lang w:eastAsia="en-GB"/>
              </w:rPr>
            </w:pPr>
          </w:p>
          <w:p w14:paraId="493A4E06" w14:textId="77777777" w:rsidR="00736A21" w:rsidRDefault="00736A21" w:rsidP="003D2C78">
            <w:pPr>
              <w:spacing w:after="0" w:line="240" w:lineRule="auto"/>
              <w:ind w:right="-897"/>
              <w:rPr>
                <w:i/>
                <w:sz w:val="24"/>
                <w:szCs w:val="24"/>
                <w:lang w:eastAsia="en-GB"/>
              </w:rPr>
            </w:pPr>
            <w:r>
              <w:rPr>
                <w:i/>
                <w:sz w:val="24"/>
                <w:szCs w:val="24"/>
                <w:lang w:eastAsia="en-GB"/>
              </w:rPr>
              <w:t xml:space="preserve">NECS reserve the right to use other delivery companies where parcel delivery location, type, speed or </w:t>
            </w:r>
          </w:p>
          <w:p w14:paraId="5CD0296C" w14:textId="77777777" w:rsidR="00736A21" w:rsidRDefault="00736A21" w:rsidP="003D2C78">
            <w:pPr>
              <w:spacing w:after="0" w:line="240" w:lineRule="auto"/>
              <w:ind w:right="-897"/>
              <w:rPr>
                <w:i/>
                <w:sz w:val="24"/>
                <w:szCs w:val="24"/>
                <w:lang w:eastAsia="en-GB"/>
              </w:rPr>
            </w:pPr>
            <w:r>
              <w:rPr>
                <w:i/>
                <w:sz w:val="24"/>
                <w:szCs w:val="24"/>
                <w:lang w:eastAsia="en-GB"/>
              </w:rPr>
              <w:t>volume dictates.</w:t>
            </w:r>
          </w:p>
          <w:p w14:paraId="38D20DFE" w14:textId="77777777" w:rsidR="00736A21" w:rsidRDefault="00736A21" w:rsidP="003D2C78">
            <w:pPr>
              <w:spacing w:after="0" w:line="240" w:lineRule="auto"/>
              <w:ind w:right="-897"/>
              <w:rPr>
                <w:b/>
                <w:i/>
                <w:sz w:val="24"/>
                <w:szCs w:val="24"/>
                <w:lang w:eastAsia="en-GB"/>
              </w:rPr>
            </w:pPr>
          </w:p>
          <w:p w14:paraId="6D6FA97B" w14:textId="77777777" w:rsidR="00736A21" w:rsidRDefault="00736A21" w:rsidP="003D2C78">
            <w:pPr>
              <w:spacing w:after="0" w:line="240" w:lineRule="auto"/>
              <w:ind w:right="-897"/>
              <w:rPr>
                <w:b/>
                <w:i/>
                <w:sz w:val="24"/>
                <w:szCs w:val="24"/>
                <w:lang w:eastAsia="en-GB"/>
              </w:rPr>
            </w:pPr>
            <w:r>
              <w:rPr>
                <w:b/>
                <w:i/>
                <w:sz w:val="24"/>
                <w:szCs w:val="24"/>
                <w:lang w:eastAsia="en-GB"/>
              </w:rPr>
              <w:t xml:space="preserve">Duration/Term of the </w:t>
            </w:r>
            <w:proofErr w:type="gramStart"/>
            <w:r>
              <w:rPr>
                <w:b/>
                <w:i/>
                <w:sz w:val="24"/>
                <w:szCs w:val="24"/>
                <w:lang w:eastAsia="en-GB"/>
              </w:rPr>
              <w:t>Requirement:-</w:t>
            </w:r>
            <w:proofErr w:type="gramEnd"/>
          </w:p>
          <w:p w14:paraId="6FC5B636" w14:textId="77777777" w:rsidR="00736A21" w:rsidRDefault="00736A21" w:rsidP="003D2C78">
            <w:pPr>
              <w:spacing w:after="0" w:line="240" w:lineRule="auto"/>
              <w:ind w:right="-897"/>
              <w:rPr>
                <w:i/>
                <w:sz w:val="24"/>
                <w:szCs w:val="24"/>
                <w:lang w:eastAsia="en-GB"/>
              </w:rPr>
            </w:pPr>
          </w:p>
          <w:p w14:paraId="25A2B1F5" w14:textId="77777777" w:rsidR="00992141" w:rsidRDefault="00736A21" w:rsidP="003D2C78">
            <w:pPr>
              <w:spacing w:after="0" w:line="240" w:lineRule="auto"/>
              <w:ind w:right="-897"/>
              <w:rPr>
                <w:i/>
                <w:sz w:val="24"/>
                <w:szCs w:val="24"/>
                <w:lang w:eastAsia="en-GB"/>
              </w:rPr>
            </w:pPr>
            <w:r>
              <w:rPr>
                <w:i/>
                <w:sz w:val="24"/>
                <w:szCs w:val="24"/>
                <w:lang w:eastAsia="en-GB"/>
              </w:rPr>
              <w:t xml:space="preserve">Commencing following </w:t>
            </w:r>
            <w:r w:rsidR="007406B4">
              <w:rPr>
                <w:i/>
                <w:sz w:val="24"/>
                <w:szCs w:val="24"/>
                <w:lang w:eastAsia="en-GB"/>
              </w:rPr>
              <w:t>successful</w:t>
            </w:r>
            <w:r>
              <w:rPr>
                <w:i/>
                <w:sz w:val="24"/>
                <w:szCs w:val="24"/>
                <w:lang w:eastAsia="en-GB"/>
              </w:rPr>
              <w:t xml:space="preserve"> award of contract and supplier setup NECS would look to continue to </w:t>
            </w:r>
          </w:p>
          <w:p w14:paraId="0EEC306E" w14:textId="68E49E88" w:rsidR="00736A21" w:rsidRDefault="00736A21" w:rsidP="003D2C78">
            <w:pPr>
              <w:spacing w:after="0" w:line="240" w:lineRule="auto"/>
              <w:ind w:right="-897"/>
              <w:rPr>
                <w:i/>
                <w:sz w:val="24"/>
                <w:szCs w:val="24"/>
                <w:lang w:eastAsia="en-GB"/>
              </w:rPr>
            </w:pPr>
            <w:r>
              <w:rPr>
                <w:i/>
                <w:sz w:val="24"/>
                <w:szCs w:val="24"/>
                <w:lang w:eastAsia="en-GB"/>
              </w:rPr>
              <w:t xml:space="preserve">utilise the services provided in this agreement </w:t>
            </w:r>
            <w:r w:rsidR="007406B4">
              <w:rPr>
                <w:i/>
                <w:sz w:val="24"/>
                <w:szCs w:val="24"/>
                <w:lang w:eastAsia="en-GB"/>
              </w:rPr>
              <w:t>for a minimum of 12 months.</w:t>
            </w:r>
          </w:p>
          <w:p w14:paraId="160A945A" w14:textId="77777777" w:rsidR="00736A21" w:rsidRDefault="00736A21" w:rsidP="003D2C78">
            <w:pPr>
              <w:spacing w:after="0" w:line="240" w:lineRule="auto"/>
              <w:ind w:right="-897"/>
              <w:rPr>
                <w:i/>
                <w:sz w:val="24"/>
                <w:szCs w:val="24"/>
                <w:lang w:eastAsia="en-GB"/>
              </w:rPr>
            </w:pPr>
          </w:p>
          <w:p w14:paraId="2EE9F080" w14:textId="77777777" w:rsidR="00736A21" w:rsidRDefault="00736A21" w:rsidP="003D2C78">
            <w:pPr>
              <w:spacing w:after="0" w:line="240" w:lineRule="auto"/>
              <w:ind w:right="-897"/>
              <w:rPr>
                <w:b/>
                <w:i/>
                <w:sz w:val="24"/>
                <w:szCs w:val="24"/>
                <w:lang w:eastAsia="en-GB"/>
              </w:rPr>
            </w:pPr>
            <w:r>
              <w:rPr>
                <w:b/>
                <w:i/>
                <w:sz w:val="24"/>
                <w:szCs w:val="24"/>
                <w:lang w:eastAsia="en-GB"/>
              </w:rPr>
              <w:t xml:space="preserve">Option to extend the </w:t>
            </w:r>
            <w:proofErr w:type="gramStart"/>
            <w:r>
              <w:rPr>
                <w:b/>
                <w:i/>
                <w:sz w:val="24"/>
                <w:szCs w:val="24"/>
                <w:lang w:eastAsia="en-GB"/>
              </w:rPr>
              <w:t>contract:-</w:t>
            </w:r>
            <w:proofErr w:type="gramEnd"/>
          </w:p>
          <w:p w14:paraId="5FBC33FE" w14:textId="77777777" w:rsidR="00736A21" w:rsidRDefault="00736A21" w:rsidP="003D2C78">
            <w:pPr>
              <w:spacing w:after="0" w:line="240" w:lineRule="auto"/>
              <w:ind w:right="-897"/>
              <w:rPr>
                <w:i/>
                <w:sz w:val="24"/>
                <w:szCs w:val="24"/>
                <w:lang w:eastAsia="en-GB"/>
              </w:rPr>
            </w:pPr>
          </w:p>
          <w:p w14:paraId="52237AC7" w14:textId="695DB508" w:rsidR="00736A21" w:rsidRDefault="00736A21" w:rsidP="003D2C78">
            <w:pPr>
              <w:spacing w:after="0" w:line="240" w:lineRule="auto"/>
              <w:ind w:right="-897"/>
              <w:rPr>
                <w:i/>
                <w:sz w:val="24"/>
                <w:szCs w:val="24"/>
                <w:lang w:eastAsia="en-GB"/>
              </w:rPr>
            </w:pPr>
            <w:r>
              <w:rPr>
                <w:i/>
                <w:sz w:val="24"/>
                <w:szCs w:val="24"/>
                <w:lang w:eastAsia="en-GB"/>
              </w:rPr>
              <w:t>NECS would l</w:t>
            </w:r>
            <w:r w:rsidR="007406B4">
              <w:rPr>
                <w:i/>
                <w:sz w:val="24"/>
                <w:szCs w:val="24"/>
                <w:lang w:eastAsia="en-GB"/>
              </w:rPr>
              <w:t xml:space="preserve">ike </w:t>
            </w:r>
            <w:r>
              <w:rPr>
                <w:i/>
                <w:sz w:val="24"/>
                <w:szCs w:val="24"/>
                <w:lang w:eastAsia="en-GB"/>
              </w:rPr>
              <w:t xml:space="preserve">to continue to utilise the services provided in this agreement </w:t>
            </w:r>
          </w:p>
          <w:p w14:paraId="362A0686" w14:textId="2BB10D2C" w:rsidR="00736A21" w:rsidRDefault="007406B4" w:rsidP="003D2C78">
            <w:pPr>
              <w:spacing w:after="0" w:line="240" w:lineRule="auto"/>
              <w:ind w:right="-897"/>
              <w:rPr>
                <w:i/>
                <w:sz w:val="24"/>
                <w:szCs w:val="24"/>
                <w:lang w:eastAsia="en-GB"/>
              </w:rPr>
            </w:pPr>
            <w:r>
              <w:rPr>
                <w:i/>
                <w:sz w:val="24"/>
                <w:szCs w:val="24"/>
                <w:lang w:eastAsia="en-GB"/>
              </w:rPr>
              <w:t>u</w:t>
            </w:r>
            <w:r w:rsidR="00736A21">
              <w:rPr>
                <w:i/>
                <w:sz w:val="24"/>
                <w:szCs w:val="24"/>
                <w:lang w:eastAsia="en-GB"/>
              </w:rPr>
              <w:t>ntil</w:t>
            </w:r>
            <w:r>
              <w:rPr>
                <w:i/>
                <w:sz w:val="24"/>
                <w:szCs w:val="24"/>
                <w:lang w:eastAsia="en-GB"/>
              </w:rPr>
              <w:t xml:space="preserve"> budget</w:t>
            </w:r>
            <w:r w:rsidR="00736A21">
              <w:rPr>
                <w:i/>
                <w:sz w:val="24"/>
                <w:szCs w:val="24"/>
                <w:lang w:eastAsia="en-GB"/>
              </w:rPr>
              <w:t xml:space="preserve"> volumetrics fully utilised</w:t>
            </w:r>
            <w:r>
              <w:rPr>
                <w:i/>
                <w:sz w:val="24"/>
                <w:szCs w:val="24"/>
                <w:lang w:eastAsia="en-GB"/>
              </w:rPr>
              <w:t>, if this is not within 12 months.</w:t>
            </w:r>
          </w:p>
        </w:tc>
      </w:tr>
    </w:tbl>
    <w:p w14:paraId="297AAFC9" w14:textId="77777777" w:rsidR="00736A21" w:rsidRDefault="00736A21" w:rsidP="00736A21">
      <w:pPr>
        <w:spacing w:after="0"/>
        <w:ind w:right="-897"/>
        <w:rPr>
          <w:b/>
          <w:sz w:val="24"/>
          <w:szCs w:val="24"/>
        </w:rPr>
      </w:pPr>
    </w:p>
    <w:p w14:paraId="62B67800" w14:textId="77777777" w:rsidR="00736A21" w:rsidRDefault="00736A21" w:rsidP="00736A21">
      <w:pPr>
        <w:spacing w:after="0"/>
        <w:ind w:right="-897"/>
        <w:rPr>
          <w:sz w:val="24"/>
          <w:szCs w:val="24"/>
        </w:rPr>
      </w:pPr>
    </w:p>
    <w:p w14:paraId="0D268ADE" w14:textId="77777777" w:rsidR="00736A21" w:rsidRDefault="00736A21" w:rsidP="00736A21">
      <w:pPr>
        <w:spacing w:after="0"/>
        <w:ind w:left="-709" w:right="-897"/>
        <w:rPr>
          <w:sz w:val="24"/>
          <w:szCs w:val="24"/>
        </w:rPr>
      </w:pPr>
      <w:r>
        <w:rPr>
          <w:sz w:val="24"/>
          <w:szCs w:val="24"/>
        </w:rPr>
        <w:t>Suppliers of products or services should have the following accreditations or be able to demonstrate that their company operates systems/processes equivalent to such standards. Bidders should supply copies of their accreditation certificates or evidence of their equivalent operating systems.</w:t>
      </w:r>
    </w:p>
    <w:p w14:paraId="1AAA2B96" w14:textId="77777777" w:rsidR="00736A21" w:rsidRDefault="00736A21" w:rsidP="00736A21">
      <w:pPr>
        <w:spacing w:after="0"/>
        <w:ind w:left="-709" w:right="-897"/>
        <w:rPr>
          <w:sz w:val="24"/>
          <w:szCs w:val="24"/>
        </w:rPr>
      </w:pPr>
    </w:p>
    <w:p w14:paraId="0D56D12B" w14:textId="77777777" w:rsidR="00736A21" w:rsidRDefault="00736A21" w:rsidP="00736A21">
      <w:pPr>
        <w:pStyle w:val="ListParagraph"/>
        <w:numPr>
          <w:ilvl w:val="0"/>
          <w:numId w:val="3"/>
        </w:numPr>
        <w:spacing w:after="0"/>
        <w:ind w:right="-897"/>
        <w:rPr>
          <w:sz w:val="24"/>
          <w:szCs w:val="24"/>
        </w:rPr>
      </w:pPr>
      <w:r>
        <w:rPr>
          <w:sz w:val="24"/>
          <w:szCs w:val="24"/>
        </w:rPr>
        <w:t>BS EN ISO 9001</w:t>
      </w:r>
    </w:p>
    <w:p w14:paraId="56A31086" w14:textId="77777777" w:rsidR="00736A21" w:rsidRDefault="00736A21" w:rsidP="00736A21">
      <w:pPr>
        <w:pStyle w:val="ListParagraph"/>
        <w:numPr>
          <w:ilvl w:val="0"/>
          <w:numId w:val="3"/>
        </w:numPr>
        <w:spacing w:after="0"/>
        <w:ind w:right="-897"/>
        <w:rPr>
          <w:sz w:val="24"/>
          <w:szCs w:val="24"/>
        </w:rPr>
      </w:pPr>
      <w:r>
        <w:rPr>
          <w:sz w:val="24"/>
          <w:szCs w:val="24"/>
        </w:rPr>
        <w:t>BS EN ISO 13485</w:t>
      </w:r>
    </w:p>
    <w:p w14:paraId="48BDBD78" w14:textId="77777777" w:rsidR="00736A21" w:rsidRDefault="00736A21" w:rsidP="00736A21">
      <w:pPr>
        <w:pStyle w:val="ListParagraph"/>
        <w:numPr>
          <w:ilvl w:val="0"/>
          <w:numId w:val="3"/>
        </w:numPr>
        <w:spacing w:after="0"/>
        <w:ind w:right="-897"/>
        <w:rPr>
          <w:sz w:val="24"/>
          <w:szCs w:val="24"/>
        </w:rPr>
      </w:pPr>
      <w:r>
        <w:rPr>
          <w:sz w:val="24"/>
          <w:szCs w:val="24"/>
        </w:rPr>
        <w:t>ISO 14001</w:t>
      </w:r>
    </w:p>
    <w:p w14:paraId="321A87CD" w14:textId="77777777" w:rsidR="00736A21" w:rsidRDefault="00736A21" w:rsidP="00736A21">
      <w:pPr>
        <w:spacing w:after="0"/>
        <w:ind w:left="-709" w:right="-897"/>
        <w:rPr>
          <w:sz w:val="24"/>
          <w:szCs w:val="24"/>
        </w:rPr>
      </w:pPr>
    </w:p>
    <w:p w14:paraId="3ED889D5" w14:textId="77777777" w:rsidR="00736A21" w:rsidRDefault="00736A21" w:rsidP="00736A21">
      <w:pPr>
        <w:spacing w:after="0"/>
        <w:ind w:left="-709" w:right="-897"/>
        <w:rPr>
          <w:sz w:val="24"/>
          <w:szCs w:val="24"/>
        </w:rPr>
      </w:pPr>
      <w:r>
        <w:rPr>
          <w:sz w:val="24"/>
          <w:szCs w:val="24"/>
        </w:rPr>
        <w:t>Suppliers must also demonstrate their training programme and their ability to implement these products or services within an NHS organisation as appropriate.   This must be detailed in your response.</w:t>
      </w:r>
    </w:p>
    <w:p w14:paraId="142C795D" w14:textId="77777777" w:rsidR="00736A21" w:rsidRDefault="00736A21" w:rsidP="00736A21">
      <w:pPr>
        <w:spacing w:after="0"/>
        <w:ind w:left="-709" w:right="-897"/>
        <w:rPr>
          <w:sz w:val="24"/>
          <w:szCs w:val="24"/>
        </w:rPr>
      </w:pPr>
    </w:p>
    <w:p w14:paraId="0938951E" w14:textId="77777777" w:rsidR="00736A21" w:rsidRDefault="00736A21" w:rsidP="00736A21">
      <w:pPr>
        <w:spacing w:after="0"/>
        <w:ind w:left="-709" w:right="-897"/>
        <w:rPr>
          <w:b/>
          <w:sz w:val="24"/>
          <w:szCs w:val="24"/>
          <w:u w:val="single"/>
          <w:lang w:val="en-US"/>
        </w:rPr>
      </w:pPr>
      <w:r>
        <w:rPr>
          <w:b/>
          <w:sz w:val="24"/>
          <w:szCs w:val="24"/>
          <w:u w:val="single"/>
          <w:lang w:val="en-US"/>
        </w:rPr>
        <w:t xml:space="preserve">Social Value </w:t>
      </w:r>
    </w:p>
    <w:p w14:paraId="5ABD5971" w14:textId="77777777" w:rsidR="00736A21" w:rsidRDefault="00736A21" w:rsidP="00736A21">
      <w:pPr>
        <w:spacing w:after="0"/>
        <w:ind w:left="-709" w:right="-897"/>
      </w:pPr>
      <w:r>
        <w:rPr>
          <w:sz w:val="24"/>
          <w:szCs w:val="24"/>
          <w:lang w:val="en-US"/>
        </w:rPr>
        <w:t xml:space="preserve">In line with </w:t>
      </w:r>
      <w:r>
        <w:t xml:space="preserve">The Social Value Model set out by </w:t>
      </w:r>
      <w:proofErr w:type="gramStart"/>
      <w:r>
        <w:t>Government</w:t>
      </w:r>
      <w:proofErr w:type="gramEnd"/>
      <w:r>
        <w:t xml:space="preserve"> a</w:t>
      </w:r>
      <w:r>
        <w:rPr>
          <w:sz w:val="24"/>
          <w:szCs w:val="24"/>
          <w:lang w:val="en-US"/>
        </w:rPr>
        <w:t xml:space="preserve"> minimum weighting of 10% will be allocated to the ITQ relating to a Social Value theme which will be relevant to the project. </w:t>
      </w:r>
    </w:p>
    <w:p w14:paraId="2D1D3113" w14:textId="77777777" w:rsidR="00736A21" w:rsidRDefault="00736A21" w:rsidP="00736A21">
      <w:pPr>
        <w:spacing w:after="0"/>
        <w:ind w:left="-709" w:right="-897"/>
        <w:rPr>
          <w:sz w:val="24"/>
          <w:szCs w:val="24"/>
          <w:lang w:val="en-US"/>
        </w:rPr>
      </w:pPr>
    </w:p>
    <w:p w14:paraId="53F06464" w14:textId="77777777" w:rsidR="00736A21" w:rsidRDefault="00736A21" w:rsidP="00736A21">
      <w:pPr>
        <w:spacing w:after="0"/>
        <w:ind w:left="-709" w:right="-897"/>
        <w:rPr>
          <w:sz w:val="24"/>
          <w:szCs w:val="24"/>
          <w:lang w:val="en-US"/>
        </w:rPr>
      </w:pPr>
      <w:r>
        <w:rPr>
          <w:sz w:val="24"/>
          <w:szCs w:val="24"/>
          <w:lang w:val="en-US"/>
        </w:rPr>
        <w:t>Three key aspects of social value are:</w:t>
      </w:r>
    </w:p>
    <w:p w14:paraId="48483CE6" w14:textId="77777777" w:rsidR="00736A21" w:rsidRDefault="00736A21" w:rsidP="00736A21">
      <w:pPr>
        <w:spacing w:after="0"/>
        <w:ind w:left="-709" w:right="-897"/>
        <w:rPr>
          <w:sz w:val="24"/>
          <w:szCs w:val="24"/>
          <w:lang w:val="en-US"/>
        </w:rPr>
      </w:pPr>
      <w:r>
        <w:rPr>
          <w:sz w:val="24"/>
          <w:szCs w:val="24"/>
          <w:lang w:val="en-US"/>
        </w:rPr>
        <w:t xml:space="preserve">● economic (e.g., employment or apprenticeship/training opportunities), </w:t>
      </w:r>
    </w:p>
    <w:p w14:paraId="165524F7" w14:textId="77777777" w:rsidR="00736A21" w:rsidRDefault="00736A21" w:rsidP="00736A21">
      <w:pPr>
        <w:spacing w:after="0"/>
        <w:ind w:left="-709" w:right="-897"/>
        <w:rPr>
          <w:sz w:val="24"/>
          <w:szCs w:val="24"/>
          <w:lang w:val="en-US"/>
        </w:rPr>
      </w:pPr>
      <w:r>
        <w:rPr>
          <w:sz w:val="24"/>
          <w:szCs w:val="24"/>
          <w:lang w:val="en-US"/>
        </w:rPr>
        <w:t>● social (e.g., activities that promote cohesive communities) and</w:t>
      </w:r>
    </w:p>
    <w:p w14:paraId="5B77D04D" w14:textId="77777777" w:rsidR="00736A21" w:rsidRDefault="00736A21" w:rsidP="00736A21">
      <w:pPr>
        <w:spacing w:after="0"/>
        <w:ind w:left="-709" w:right="-897"/>
        <w:rPr>
          <w:sz w:val="24"/>
          <w:szCs w:val="24"/>
          <w:lang w:val="en-US"/>
        </w:rPr>
      </w:pPr>
      <w:r>
        <w:rPr>
          <w:sz w:val="24"/>
          <w:szCs w:val="24"/>
          <w:lang w:val="en-US"/>
        </w:rPr>
        <w:t>● environmental (e.g., efforts in reducing carbon emissions)</w:t>
      </w:r>
    </w:p>
    <w:p w14:paraId="1E7EF922" w14:textId="77777777" w:rsidR="00736A21" w:rsidRDefault="00736A21" w:rsidP="00736A21">
      <w:pPr>
        <w:spacing w:after="0"/>
        <w:ind w:left="-709" w:right="-897"/>
        <w:rPr>
          <w:sz w:val="24"/>
          <w:szCs w:val="24"/>
          <w:lang w:val="en-US"/>
        </w:rPr>
      </w:pPr>
    </w:p>
    <w:p w14:paraId="08285B0E" w14:textId="77777777" w:rsidR="00736A21" w:rsidRDefault="00736A21" w:rsidP="00736A21">
      <w:pPr>
        <w:spacing w:after="0"/>
        <w:ind w:left="-709" w:right="-897"/>
      </w:pPr>
      <w:r>
        <w:rPr>
          <w:sz w:val="24"/>
          <w:szCs w:val="24"/>
          <w:lang w:val="en-US"/>
        </w:rPr>
        <w:t xml:space="preserve">Please note </w:t>
      </w:r>
      <w:r>
        <w:t>Corporate Social Responsibility (CSR) statements, policies and/or case studies as proof of how a bidder intends to deliver the social value policy outcomes are not deemed as acceptable responses to meet Social Values. CSR refers to how the organisation performs corporately and is not contract-specific and therefore will not adequately address the social value evaluation criteria.</w:t>
      </w:r>
    </w:p>
    <w:p w14:paraId="0F39E96D" w14:textId="77777777" w:rsidR="00736A21" w:rsidRDefault="00736A21" w:rsidP="00736A21">
      <w:pPr>
        <w:spacing w:after="0"/>
        <w:ind w:left="-709" w:right="-897"/>
      </w:pPr>
    </w:p>
    <w:p w14:paraId="3BBCBD0F" w14:textId="77777777" w:rsidR="00736A21" w:rsidRDefault="00736A21" w:rsidP="00736A21">
      <w:pPr>
        <w:spacing w:after="0"/>
        <w:ind w:left="-709" w:right="-897"/>
        <w:rPr>
          <w:b/>
          <w:sz w:val="24"/>
          <w:szCs w:val="24"/>
        </w:rPr>
      </w:pPr>
      <w:r>
        <w:rPr>
          <w:b/>
          <w:sz w:val="24"/>
          <w:szCs w:val="24"/>
        </w:rPr>
        <w:t>Evaluation Criteria</w:t>
      </w:r>
    </w:p>
    <w:p w14:paraId="52ADC6B5" w14:textId="77777777" w:rsidR="00736A21" w:rsidRDefault="00736A21" w:rsidP="00736A21">
      <w:pPr>
        <w:spacing w:after="0"/>
        <w:ind w:left="-709" w:right="-897"/>
        <w:rPr>
          <w:sz w:val="24"/>
          <w:szCs w:val="24"/>
        </w:rPr>
      </w:pPr>
    </w:p>
    <w:p w14:paraId="6FACFAEC" w14:textId="77777777" w:rsidR="00736A21" w:rsidRDefault="00736A21" w:rsidP="00736A21">
      <w:pPr>
        <w:spacing w:after="0"/>
        <w:ind w:left="-709" w:right="-897"/>
        <w:rPr>
          <w:sz w:val="24"/>
          <w:szCs w:val="24"/>
          <w:lang w:val="en-US"/>
        </w:rPr>
      </w:pPr>
      <w:r>
        <w:rPr>
          <w:sz w:val="24"/>
          <w:szCs w:val="24"/>
          <w:lang w:val="en-US"/>
        </w:rPr>
        <w:lastRenderedPageBreak/>
        <w:t xml:space="preserve">The purpose of evaluation in the procurement process is to establish which supplier(s) have submitted the best quotation; ensuring that the assessment of quotes is undertaken in a transparent, </w:t>
      </w:r>
      <w:proofErr w:type="gramStart"/>
      <w:r>
        <w:rPr>
          <w:sz w:val="24"/>
          <w:szCs w:val="24"/>
          <w:lang w:val="en-US"/>
        </w:rPr>
        <w:t>fair</w:t>
      </w:r>
      <w:proofErr w:type="gramEnd"/>
      <w:r>
        <w:rPr>
          <w:sz w:val="24"/>
          <w:szCs w:val="24"/>
          <w:lang w:val="en-US"/>
        </w:rPr>
        <w:t xml:space="preserve"> and consistent manner so that an effective comparison can be made. </w:t>
      </w:r>
    </w:p>
    <w:p w14:paraId="5A232286" w14:textId="77777777" w:rsidR="00736A21" w:rsidRDefault="00736A21" w:rsidP="00736A21">
      <w:pPr>
        <w:spacing w:after="0"/>
        <w:ind w:left="-709" w:right="-897"/>
        <w:rPr>
          <w:i/>
          <w:sz w:val="24"/>
          <w:szCs w:val="24"/>
          <w:lang w:val="en-US"/>
        </w:rPr>
      </w:pPr>
    </w:p>
    <w:p w14:paraId="10F05303" w14:textId="77777777" w:rsidR="00736A21" w:rsidRDefault="00736A21" w:rsidP="00736A21">
      <w:pPr>
        <w:spacing w:after="0"/>
        <w:ind w:left="-709" w:right="-897"/>
        <w:rPr>
          <w:sz w:val="24"/>
          <w:szCs w:val="24"/>
          <w:lang w:val="en-US"/>
        </w:rPr>
      </w:pPr>
      <w:r>
        <w:rPr>
          <w:sz w:val="24"/>
          <w:szCs w:val="24"/>
          <w:lang w:val="en-US"/>
        </w:rPr>
        <w:t xml:space="preserve">NHS Shared Business Services on behalf of North of England Commissioning Support Unit, at its sole discretion, reserves the right to accept or reject all or any part of the quotation or if you have failed to provide the information requested in this quotation or submitted any modification or any qualification to the terms and conditions of contract. This includes the Bidders details section of the response document that needs to be </w:t>
      </w:r>
      <w:proofErr w:type="gramStart"/>
      <w:r>
        <w:rPr>
          <w:sz w:val="24"/>
          <w:szCs w:val="24"/>
          <w:lang w:val="en-US"/>
        </w:rPr>
        <w:t>complete</w:t>
      </w:r>
      <w:proofErr w:type="gramEnd"/>
      <w:r>
        <w:rPr>
          <w:sz w:val="24"/>
          <w:szCs w:val="24"/>
          <w:lang w:val="en-US"/>
        </w:rPr>
        <w:t xml:space="preserve"> in full by all bidders to allow the response to be accepted. Any responses not correctly completed in accordance with the requirements of this ITQ and/or containing omissions may be rejected at this point.  Where a response is rejected at this point it will automatically be disqualified and will not be further evaluated. Where full detail is not provided by a bidder NHS Shared Business Services may look to seek further clarity on the response to allow the bidder response to be progressed, however this may potentially still exclude a bidder’s response if evidence provided does not comply with the requirements of North of England CSU. NHS Shared Business Services on behalf of North of England Commissioning Support Unit does not bind itself to accept the lowest priced, or any quotation, nor guarantee any value or volume and shall not be liable to accept any costs you have incurred in the production of your quotation. NHS Shared Business Services on behalf of North of England Commissioning Support Unit will check each quotation for completeness and compliance with the requirements in this Invitation to Quote document, thus you should ensure that you carefully examine this document in full and raise any clarification questions before the close of this quotation process and in line with the timescales for this procurement.  </w:t>
      </w:r>
    </w:p>
    <w:p w14:paraId="6EAD55E1" w14:textId="77777777" w:rsidR="00736A21" w:rsidRDefault="00736A21" w:rsidP="00736A21">
      <w:pPr>
        <w:spacing w:after="0"/>
        <w:ind w:left="-709" w:right="-897"/>
        <w:rPr>
          <w:sz w:val="24"/>
          <w:szCs w:val="24"/>
          <w:lang w:val="en-US"/>
        </w:rPr>
      </w:pPr>
    </w:p>
    <w:p w14:paraId="0AC496FF" w14:textId="77777777" w:rsidR="00736A21" w:rsidRDefault="00736A21" w:rsidP="00736A21">
      <w:pPr>
        <w:spacing w:after="0"/>
        <w:ind w:left="-709" w:right="-897"/>
        <w:rPr>
          <w:sz w:val="24"/>
          <w:szCs w:val="24"/>
          <w:lang w:val="en-US"/>
        </w:rPr>
      </w:pPr>
      <w:r>
        <w:rPr>
          <w:sz w:val="24"/>
          <w:szCs w:val="24"/>
          <w:lang w:val="en-US"/>
        </w:rPr>
        <w:t xml:space="preserve">Quotes will be evaluated on the basis </w:t>
      </w:r>
      <w:proofErr w:type="gramStart"/>
      <w:r>
        <w:rPr>
          <w:sz w:val="24"/>
          <w:szCs w:val="24"/>
          <w:lang w:val="en-US"/>
        </w:rPr>
        <w:t>on</w:t>
      </w:r>
      <w:proofErr w:type="gramEnd"/>
      <w:r>
        <w:rPr>
          <w:sz w:val="24"/>
          <w:szCs w:val="24"/>
          <w:lang w:val="en-US"/>
        </w:rPr>
        <w:t xml:space="preserve"> cost and quality.</w:t>
      </w:r>
    </w:p>
    <w:p w14:paraId="32E16AA9" w14:textId="77777777" w:rsidR="00736A21" w:rsidRDefault="00736A21" w:rsidP="00736A21">
      <w:pPr>
        <w:spacing w:after="0"/>
        <w:ind w:left="-709" w:right="-897"/>
        <w:rPr>
          <w:sz w:val="24"/>
          <w:szCs w:val="24"/>
          <w:lang w:val="en-US"/>
        </w:rPr>
      </w:pPr>
      <w:r>
        <w:rPr>
          <w:sz w:val="24"/>
          <w:szCs w:val="24"/>
          <w:lang w:val="en-US"/>
        </w:rPr>
        <w:t>A weighted scoring system will be applied to the response, the high-level evaluation criteria are given below:</w:t>
      </w:r>
    </w:p>
    <w:p w14:paraId="0CC5ADD0" w14:textId="77777777" w:rsidR="00736A21" w:rsidRDefault="00736A21" w:rsidP="00736A21">
      <w:pPr>
        <w:spacing w:after="0"/>
        <w:ind w:right="-897"/>
        <w:rPr>
          <w:b/>
          <w:sz w:val="24"/>
          <w:szCs w:val="24"/>
          <w:u w:val="single"/>
          <w:lang w:val="en-US"/>
        </w:rPr>
      </w:pPr>
    </w:p>
    <w:p w14:paraId="16A9C4EE" w14:textId="77777777" w:rsidR="00736A21" w:rsidRDefault="00736A21" w:rsidP="00736A21">
      <w:pPr>
        <w:spacing w:after="0"/>
        <w:ind w:left="-709" w:right="-897"/>
        <w:rPr>
          <w:b/>
          <w:sz w:val="24"/>
          <w:szCs w:val="24"/>
          <w:u w:val="single"/>
          <w:lang w:val="en-US"/>
        </w:rPr>
      </w:pPr>
      <w:r>
        <w:rPr>
          <w:b/>
          <w:sz w:val="24"/>
          <w:szCs w:val="24"/>
          <w:u w:val="single"/>
          <w:lang w:val="en-US"/>
        </w:rPr>
        <w:t xml:space="preserve">Price </w:t>
      </w:r>
    </w:p>
    <w:p w14:paraId="09F49310" w14:textId="77777777" w:rsidR="00736A21" w:rsidRDefault="00736A21" w:rsidP="00736A21">
      <w:pPr>
        <w:spacing w:after="0"/>
        <w:ind w:left="-709" w:right="-897"/>
        <w:rPr>
          <w:sz w:val="24"/>
          <w:szCs w:val="24"/>
          <w:lang w:val="en-US"/>
        </w:rPr>
      </w:pPr>
      <w:r>
        <w:rPr>
          <w:sz w:val="24"/>
          <w:szCs w:val="24"/>
          <w:lang w:val="en-US"/>
        </w:rPr>
        <w:t>Price will be evaluated based upon the value for money proposal within the budget, and the total cost of service.  Your score will be based on the relativity of your price based on the overall lowest bid.</w:t>
      </w:r>
    </w:p>
    <w:p w14:paraId="06BA93EC" w14:textId="77777777" w:rsidR="00736A21" w:rsidRDefault="00736A21" w:rsidP="00736A21">
      <w:pPr>
        <w:spacing w:after="0"/>
        <w:ind w:left="-709" w:right="-897"/>
        <w:rPr>
          <w:sz w:val="24"/>
          <w:szCs w:val="24"/>
          <w:lang w:val="en-US"/>
        </w:rPr>
      </w:pPr>
    </w:p>
    <w:p w14:paraId="3EC986AC" w14:textId="77777777" w:rsidR="00736A21" w:rsidRDefault="00736A21" w:rsidP="00736A21">
      <w:pPr>
        <w:spacing w:after="0"/>
        <w:ind w:left="-709" w:right="-897"/>
        <w:rPr>
          <w:b/>
          <w:sz w:val="24"/>
          <w:szCs w:val="24"/>
          <w:lang w:val="en-US"/>
        </w:rPr>
      </w:pPr>
      <w:r>
        <w:rPr>
          <w:b/>
          <w:sz w:val="24"/>
          <w:szCs w:val="24"/>
          <w:lang w:val="en-US"/>
        </w:rPr>
        <w:t>Example of cost evaluation</w:t>
      </w:r>
    </w:p>
    <w:p w14:paraId="54404854" w14:textId="77777777" w:rsidR="00736A21" w:rsidRDefault="00736A21" w:rsidP="00736A21">
      <w:pPr>
        <w:spacing w:after="0"/>
        <w:ind w:left="-709" w:right="-897"/>
        <w:rPr>
          <w:sz w:val="24"/>
          <w:szCs w:val="24"/>
          <w:lang w:val="en-US"/>
        </w:rPr>
      </w:pPr>
      <w:r>
        <w:rPr>
          <w:sz w:val="24"/>
          <w:szCs w:val="24"/>
          <w:lang w:val="en-US"/>
        </w:rPr>
        <w:t>Bidder A submits a total price of £10,000.</w:t>
      </w:r>
    </w:p>
    <w:p w14:paraId="4123A22C" w14:textId="77777777" w:rsidR="00736A21" w:rsidRDefault="00736A21" w:rsidP="00736A21">
      <w:pPr>
        <w:spacing w:after="0"/>
        <w:ind w:left="-709" w:right="-897"/>
        <w:rPr>
          <w:sz w:val="24"/>
          <w:szCs w:val="24"/>
          <w:lang w:val="en-US"/>
        </w:rPr>
      </w:pPr>
      <w:r>
        <w:rPr>
          <w:sz w:val="24"/>
          <w:szCs w:val="24"/>
          <w:lang w:val="en-US"/>
        </w:rPr>
        <w:t>Bidder B submits a total price of £12,500.</w:t>
      </w:r>
    </w:p>
    <w:p w14:paraId="0F113BCB" w14:textId="77777777" w:rsidR="00736A21" w:rsidRDefault="00736A21" w:rsidP="00736A21">
      <w:pPr>
        <w:spacing w:after="0"/>
        <w:ind w:left="-709" w:right="-897"/>
        <w:rPr>
          <w:sz w:val="24"/>
          <w:szCs w:val="24"/>
          <w:lang w:val="en-US"/>
        </w:rPr>
      </w:pPr>
      <w:r>
        <w:rPr>
          <w:sz w:val="24"/>
          <w:szCs w:val="24"/>
          <w:lang w:val="en-US"/>
        </w:rPr>
        <w:t>The score for Bidder A would be 100% as it is the lowest price.  The score for Bidder B would be 75% as the price is 25% greater than the lowest price.</w:t>
      </w:r>
    </w:p>
    <w:p w14:paraId="232F8B01" w14:textId="77777777" w:rsidR="00736A21" w:rsidRDefault="00736A21" w:rsidP="00736A21">
      <w:pPr>
        <w:spacing w:after="0"/>
        <w:ind w:left="-709" w:right="-897"/>
        <w:rPr>
          <w:sz w:val="24"/>
          <w:szCs w:val="24"/>
        </w:rPr>
      </w:pPr>
    </w:p>
    <w:p w14:paraId="71F457F0" w14:textId="77777777" w:rsidR="00736A21" w:rsidRDefault="00736A21" w:rsidP="00736A21">
      <w:pPr>
        <w:spacing w:after="0"/>
        <w:ind w:left="-709" w:right="-897"/>
        <w:rPr>
          <w:b/>
          <w:sz w:val="24"/>
          <w:szCs w:val="24"/>
        </w:rPr>
      </w:pPr>
      <w:r>
        <w:rPr>
          <w:b/>
          <w:sz w:val="24"/>
          <w:szCs w:val="24"/>
        </w:rPr>
        <w:t>Total Scoring Criteria (100%)</w:t>
      </w:r>
    </w:p>
    <w:p w14:paraId="45DE8354" w14:textId="77777777" w:rsidR="00736A21" w:rsidRDefault="00736A21" w:rsidP="00736A21">
      <w:pPr>
        <w:spacing w:after="0"/>
        <w:ind w:left="-709" w:right="-897"/>
        <w:rPr>
          <w:b/>
          <w:sz w:val="24"/>
          <w:szCs w:val="24"/>
        </w:rPr>
      </w:pPr>
      <w:r>
        <w:rPr>
          <w:b/>
          <w:sz w:val="24"/>
          <w:szCs w:val="24"/>
        </w:rPr>
        <w:t xml:space="preserve">Example of evaluation scoring </w:t>
      </w:r>
      <w:proofErr w:type="gramStart"/>
      <w:r>
        <w:rPr>
          <w:b/>
          <w:sz w:val="24"/>
          <w:szCs w:val="24"/>
        </w:rPr>
        <w:t>table;</w:t>
      </w:r>
      <w:proofErr w:type="gramEnd"/>
    </w:p>
    <w:p w14:paraId="04611226" w14:textId="77777777" w:rsidR="00736A21" w:rsidRDefault="00736A21" w:rsidP="00736A21">
      <w:pPr>
        <w:spacing w:after="0"/>
        <w:ind w:left="-709" w:right="-897"/>
        <w:rPr>
          <w:b/>
          <w:sz w:val="24"/>
          <w:szCs w:val="24"/>
        </w:rPr>
      </w:pPr>
    </w:p>
    <w:tbl>
      <w:tblPr>
        <w:tblW w:w="10692" w:type="dxa"/>
        <w:tblInd w:w="-709" w:type="dxa"/>
        <w:tblCellMar>
          <w:left w:w="10" w:type="dxa"/>
          <w:right w:w="10" w:type="dxa"/>
        </w:tblCellMar>
        <w:tblLook w:val="0000" w:firstRow="0" w:lastRow="0" w:firstColumn="0" w:lastColumn="0" w:noHBand="0" w:noVBand="0"/>
      </w:tblPr>
      <w:tblGrid>
        <w:gridCol w:w="2235"/>
        <w:gridCol w:w="2977"/>
        <w:gridCol w:w="2409"/>
        <w:gridCol w:w="3071"/>
      </w:tblGrid>
      <w:tr w:rsidR="00736A21" w14:paraId="00F63AC8" w14:textId="77777777" w:rsidTr="003D2C78">
        <w:trPr>
          <w:trHeight w:val="257"/>
        </w:trPr>
        <w:tc>
          <w:tcPr>
            <w:tcW w:w="223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B01ED1C" w14:textId="77777777" w:rsidR="00736A21" w:rsidRDefault="00736A21" w:rsidP="003D2C78">
            <w:pPr>
              <w:spacing w:after="0" w:line="240" w:lineRule="auto"/>
              <w:ind w:right="-897"/>
              <w:rPr>
                <w:sz w:val="24"/>
                <w:szCs w:val="24"/>
              </w:rPr>
            </w:pPr>
            <w:r>
              <w:rPr>
                <w:sz w:val="24"/>
                <w:szCs w:val="24"/>
              </w:rPr>
              <w:t>Description</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3F21294" w14:textId="77777777" w:rsidR="00736A21" w:rsidRDefault="00736A21" w:rsidP="003D2C78">
            <w:pPr>
              <w:spacing w:after="0" w:line="240" w:lineRule="auto"/>
              <w:ind w:right="-897"/>
              <w:rPr>
                <w:sz w:val="24"/>
                <w:szCs w:val="24"/>
              </w:rPr>
            </w:pPr>
            <w:r>
              <w:rPr>
                <w:sz w:val="24"/>
                <w:szCs w:val="24"/>
              </w:rPr>
              <w:t>% Awarded on each section</w:t>
            </w:r>
          </w:p>
        </w:tc>
        <w:tc>
          <w:tcPr>
            <w:tcW w:w="24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8BF9593" w14:textId="77777777" w:rsidR="00736A21" w:rsidRDefault="00736A21" w:rsidP="003D2C78">
            <w:pPr>
              <w:spacing w:after="0" w:line="240" w:lineRule="auto"/>
              <w:ind w:right="-897"/>
              <w:rPr>
                <w:sz w:val="24"/>
                <w:szCs w:val="24"/>
              </w:rPr>
            </w:pPr>
            <w:r>
              <w:rPr>
                <w:sz w:val="24"/>
                <w:szCs w:val="24"/>
              </w:rPr>
              <w:t>Weighting of question</w:t>
            </w:r>
          </w:p>
        </w:tc>
        <w:tc>
          <w:tcPr>
            <w:tcW w:w="307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8DA1221" w14:textId="77777777" w:rsidR="00736A21" w:rsidRDefault="00736A21" w:rsidP="003D2C78">
            <w:pPr>
              <w:spacing w:after="0" w:line="240" w:lineRule="auto"/>
              <w:ind w:right="-897"/>
              <w:rPr>
                <w:sz w:val="24"/>
                <w:szCs w:val="24"/>
              </w:rPr>
            </w:pPr>
            <w:r>
              <w:rPr>
                <w:sz w:val="24"/>
                <w:szCs w:val="24"/>
              </w:rPr>
              <w:t>Overall percentage score</w:t>
            </w:r>
          </w:p>
        </w:tc>
      </w:tr>
      <w:tr w:rsidR="00736A21" w14:paraId="561AC700" w14:textId="77777777" w:rsidTr="003D2C78">
        <w:trPr>
          <w:trHeight w:val="257"/>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C661" w14:textId="77777777" w:rsidR="00736A21" w:rsidRDefault="00736A21" w:rsidP="003D2C78">
            <w:pPr>
              <w:spacing w:after="0" w:line="240" w:lineRule="auto"/>
              <w:ind w:right="-897"/>
              <w:rPr>
                <w:sz w:val="24"/>
                <w:szCs w:val="24"/>
              </w:rPr>
            </w:pPr>
            <w:r>
              <w:rPr>
                <w:sz w:val="24"/>
                <w:szCs w:val="24"/>
              </w:rPr>
              <w:lastRenderedPageBreak/>
              <w:t>Quality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C21CD" w14:textId="77777777" w:rsidR="00736A21" w:rsidRDefault="00736A21" w:rsidP="003D2C78">
            <w:pPr>
              <w:spacing w:after="0" w:line="240" w:lineRule="auto"/>
              <w:ind w:right="-897"/>
              <w:rPr>
                <w:sz w:val="24"/>
                <w:szCs w:val="24"/>
              </w:rPr>
            </w:pPr>
            <w:r>
              <w:rPr>
                <w:sz w:val="24"/>
                <w:szCs w:val="24"/>
              </w:rPr>
              <w:t>80%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97B0A" w14:textId="77777777" w:rsidR="00736A21" w:rsidRDefault="00736A21" w:rsidP="003D2C78">
            <w:pPr>
              <w:spacing w:after="0" w:line="240" w:lineRule="auto"/>
              <w:ind w:right="-897"/>
              <w:rPr>
                <w:sz w:val="24"/>
                <w:szCs w:val="24"/>
              </w:rPr>
            </w:pPr>
            <w:r>
              <w:rPr>
                <w:sz w:val="24"/>
                <w:szCs w:val="24"/>
              </w:rPr>
              <w:t>50%</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21DB7" w14:textId="77777777" w:rsidR="00736A21" w:rsidRDefault="00736A21" w:rsidP="003D2C78">
            <w:pPr>
              <w:spacing w:after="0" w:line="240" w:lineRule="auto"/>
              <w:ind w:right="-897"/>
              <w:rPr>
                <w:sz w:val="24"/>
                <w:szCs w:val="24"/>
              </w:rPr>
            </w:pPr>
            <w:r>
              <w:rPr>
                <w:sz w:val="24"/>
                <w:szCs w:val="24"/>
              </w:rPr>
              <w:t>(50/</w:t>
            </w:r>
            <w:proofErr w:type="gramStart"/>
            <w:r>
              <w:rPr>
                <w:sz w:val="24"/>
                <w:szCs w:val="24"/>
              </w:rPr>
              <w:t>10)*</w:t>
            </w:r>
            <w:proofErr w:type="gramEnd"/>
            <w:r>
              <w:rPr>
                <w:sz w:val="24"/>
                <w:szCs w:val="24"/>
              </w:rPr>
              <w:t>8 = 40%</w:t>
            </w:r>
          </w:p>
        </w:tc>
      </w:tr>
      <w:tr w:rsidR="00736A21" w14:paraId="1BD3194E" w14:textId="77777777" w:rsidTr="003D2C78">
        <w:trPr>
          <w:trHeight w:val="257"/>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13CD1" w14:textId="77777777" w:rsidR="00736A21" w:rsidRDefault="00736A21" w:rsidP="003D2C78">
            <w:pPr>
              <w:spacing w:after="0" w:line="240" w:lineRule="auto"/>
              <w:ind w:right="-897"/>
              <w:rPr>
                <w:sz w:val="24"/>
                <w:szCs w:val="24"/>
              </w:rPr>
            </w:pPr>
            <w:r>
              <w:rPr>
                <w:sz w:val="24"/>
                <w:szCs w:val="24"/>
              </w:rPr>
              <w:t>Price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F465" w14:textId="77777777" w:rsidR="00736A21" w:rsidRDefault="00736A21" w:rsidP="003D2C78">
            <w:pPr>
              <w:spacing w:after="0" w:line="240" w:lineRule="auto"/>
              <w:ind w:right="-897"/>
              <w:rPr>
                <w:sz w:val="24"/>
                <w:szCs w:val="24"/>
              </w:rPr>
            </w:pPr>
            <w:r>
              <w:rPr>
                <w:sz w:val="24"/>
                <w:szCs w:val="24"/>
              </w:rPr>
              <w:t>100%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91B2" w14:textId="77777777" w:rsidR="00736A21" w:rsidRDefault="00736A21" w:rsidP="003D2C78">
            <w:pPr>
              <w:spacing w:after="0" w:line="240" w:lineRule="auto"/>
              <w:ind w:right="-897"/>
              <w:rPr>
                <w:sz w:val="24"/>
                <w:szCs w:val="24"/>
              </w:rPr>
            </w:pPr>
            <w:r>
              <w:rPr>
                <w:sz w:val="24"/>
                <w:szCs w:val="24"/>
              </w:rPr>
              <w:t>20%</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42CB0" w14:textId="77777777" w:rsidR="00736A21" w:rsidRDefault="00736A21" w:rsidP="003D2C78">
            <w:pPr>
              <w:spacing w:after="0" w:line="240" w:lineRule="auto"/>
              <w:ind w:right="-897"/>
              <w:rPr>
                <w:sz w:val="24"/>
                <w:szCs w:val="24"/>
              </w:rPr>
            </w:pPr>
            <w:r>
              <w:rPr>
                <w:sz w:val="24"/>
                <w:szCs w:val="24"/>
              </w:rPr>
              <w:t>(20/</w:t>
            </w:r>
            <w:proofErr w:type="gramStart"/>
            <w:r>
              <w:rPr>
                <w:sz w:val="24"/>
                <w:szCs w:val="24"/>
              </w:rPr>
              <w:t>10)*</w:t>
            </w:r>
            <w:proofErr w:type="gramEnd"/>
            <w:r>
              <w:rPr>
                <w:sz w:val="24"/>
                <w:szCs w:val="24"/>
              </w:rPr>
              <w:t>10 = 20%</w:t>
            </w:r>
          </w:p>
        </w:tc>
      </w:tr>
      <w:tr w:rsidR="00736A21" w14:paraId="57D991C9" w14:textId="77777777" w:rsidTr="003D2C78">
        <w:trPr>
          <w:trHeight w:val="281"/>
        </w:trPr>
        <w:tc>
          <w:tcPr>
            <w:tcW w:w="223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C7E961D" w14:textId="77777777" w:rsidR="00736A21" w:rsidRDefault="00736A21" w:rsidP="003D2C78">
            <w:pPr>
              <w:spacing w:after="0" w:line="240" w:lineRule="auto"/>
              <w:ind w:right="-897"/>
              <w:rPr>
                <w:b/>
                <w:sz w:val="24"/>
                <w:szCs w:val="24"/>
              </w:rPr>
            </w:pPr>
            <w:r>
              <w:rPr>
                <w:b/>
                <w:sz w:val="24"/>
                <w:szCs w:val="24"/>
              </w:rPr>
              <w:t>Total</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182AA" w14:textId="77777777" w:rsidR="00736A21" w:rsidRDefault="00736A21" w:rsidP="003D2C78">
            <w:pPr>
              <w:spacing w:after="0" w:line="240" w:lineRule="auto"/>
              <w:ind w:right="-897"/>
              <w:rPr>
                <w:b/>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50EB370" w14:textId="77777777" w:rsidR="00736A21" w:rsidRDefault="00736A21" w:rsidP="003D2C78">
            <w:pPr>
              <w:spacing w:after="0" w:line="240" w:lineRule="auto"/>
              <w:ind w:right="-897"/>
              <w:rPr>
                <w:b/>
                <w:sz w:val="24"/>
                <w:szCs w:val="24"/>
              </w:rPr>
            </w:pPr>
            <w:r>
              <w:rPr>
                <w:b/>
                <w:sz w:val="24"/>
                <w:szCs w:val="24"/>
              </w:rPr>
              <w:t>79%</w:t>
            </w:r>
          </w:p>
        </w:tc>
        <w:tc>
          <w:tcPr>
            <w:tcW w:w="307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00696F2" w14:textId="77777777" w:rsidR="00736A21" w:rsidRDefault="00736A21" w:rsidP="003D2C78">
            <w:pPr>
              <w:spacing w:after="0" w:line="240" w:lineRule="auto"/>
              <w:ind w:right="-897"/>
              <w:rPr>
                <w:b/>
                <w:sz w:val="24"/>
                <w:szCs w:val="24"/>
              </w:rPr>
            </w:pPr>
            <w:r>
              <w:rPr>
                <w:b/>
                <w:sz w:val="24"/>
                <w:szCs w:val="24"/>
              </w:rPr>
              <w:t>60%</w:t>
            </w:r>
          </w:p>
        </w:tc>
      </w:tr>
    </w:tbl>
    <w:p w14:paraId="50BABDFC" w14:textId="77777777" w:rsidR="00736A21" w:rsidRDefault="00736A21" w:rsidP="00736A21">
      <w:pPr>
        <w:spacing w:after="0"/>
        <w:ind w:right="-897"/>
        <w:rPr>
          <w:sz w:val="24"/>
          <w:szCs w:val="24"/>
        </w:rPr>
      </w:pPr>
    </w:p>
    <w:p w14:paraId="271750F4" w14:textId="77777777" w:rsidR="00736A21" w:rsidRDefault="00736A21" w:rsidP="00736A21">
      <w:pPr>
        <w:spacing w:after="0"/>
        <w:ind w:right="-897"/>
        <w:rPr>
          <w:sz w:val="24"/>
          <w:szCs w:val="24"/>
        </w:rPr>
      </w:pPr>
    </w:p>
    <w:p w14:paraId="44896367" w14:textId="77777777" w:rsidR="00736A21" w:rsidRDefault="00736A21" w:rsidP="00736A21">
      <w:pPr>
        <w:ind w:left="-709" w:right="-897"/>
        <w:rPr>
          <w:b/>
          <w:sz w:val="24"/>
          <w:szCs w:val="24"/>
        </w:rPr>
      </w:pPr>
      <w:r>
        <w:rPr>
          <w:b/>
          <w:sz w:val="24"/>
          <w:szCs w:val="24"/>
        </w:rPr>
        <w:t>Phases of the Project:</w:t>
      </w:r>
    </w:p>
    <w:tbl>
      <w:tblPr>
        <w:tblW w:w="10258" w:type="dxa"/>
        <w:tblInd w:w="-709" w:type="dxa"/>
        <w:tblCellMar>
          <w:left w:w="10" w:type="dxa"/>
          <w:right w:w="10" w:type="dxa"/>
        </w:tblCellMar>
        <w:tblLook w:val="0000" w:firstRow="0" w:lastRow="0" w:firstColumn="0" w:lastColumn="0" w:noHBand="0" w:noVBand="0"/>
      </w:tblPr>
      <w:tblGrid>
        <w:gridCol w:w="7054"/>
        <w:gridCol w:w="3204"/>
      </w:tblGrid>
      <w:tr w:rsidR="00736A21" w14:paraId="541D398D" w14:textId="77777777" w:rsidTr="003D2C78">
        <w:tc>
          <w:tcPr>
            <w:tcW w:w="705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B73A30" w14:textId="77777777" w:rsidR="00736A21" w:rsidRDefault="00736A21" w:rsidP="003D2C78">
            <w:pPr>
              <w:spacing w:after="0" w:line="240" w:lineRule="auto"/>
              <w:ind w:right="-897"/>
              <w:rPr>
                <w:sz w:val="24"/>
                <w:szCs w:val="24"/>
              </w:rPr>
            </w:pPr>
            <w:r>
              <w:rPr>
                <w:sz w:val="24"/>
                <w:szCs w:val="24"/>
              </w:rPr>
              <w:t xml:space="preserve">Project Start Date: </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2020" w14:textId="77777777" w:rsidR="00736A21" w:rsidRDefault="00736A21" w:rsidP="003D2C78">
            <w:pPr>
              <w:spacing w:after="0" w:line="240" w:lineRule="auto"/>
              <w:ind w:right="-897"/>
              <w:rPr>
                <w:sz w:val="24"/>
                <w:szCs w:val="24"/>
              </w:rPr>
            </w:pPr>
            <w:r>
              <w:rPr>
                <w:sz w:val="24"/>
                <w:szCs w:val="24"/>
              </w:rPr>
              <w:t>21/11/2022</w:t>
            </w:r>
          </w:p>
        </w:tc>
      </w:tr>
      <w:tr w:rsidR="00736A21" w14:paraId="21B3BEB0" w14:textId="77777777" w:rsidTr="003D2C78">
        <w:tc>
          <w:tcPr>
            <w:tcW w:w="705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035AC78" w14:textId="77777777" w:rsidR="00736A21" w:rsidRDefault="00736A21" w:rsidP="003D2C78">
            <w:pPr>
              <w:spacing w:after="0" w:line="240" w:lineRule="auto"/>
              <w:ind w:right="-897"/>
              <w:rPr>
                <w:sz w:val="24"/>
                <w:szCs w:val="24"/>
              </w:rPr>
            </w:pPr>
            <w:r>
              <w:rPr>
                <w:sz w:val="24"/>
                <w:szCs w:val="24"/>
              </w:rPr>
              <w:t>Date of RFQ launch:</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2DB2" w14:textId="77777777" w:rsidR="00736A21" w:rsidRDefault="00736A21" w:rsidP="003D2C78">
            <w:pPr>
              <w:spacing w:after="0" w:line="240" w:lineRule="auto"/>
              <w:ind w:right="-897"/>
              <w:rPr>
                <w:sz w:val="24"/>
                <w:szCs w:val="24"/>
              </w:rPr>
            </w:pPr>
            <w:r>
              <w:rPr>
                <w:sz w:val="24"/>
                <w:szCs w:val="24"/>
              </w:rPr>
              <w:t>07/12/2022</w:t>
            </w:r>
          </w:p>
        </w:tc>
      </w:tr>
      <w:tr w:rsidR="00736A21" w14:paraId="58DE9350" w14:textId="77777777" w:rsidTr="003D2C78">
        <w:tc>
          <w:tcPr>
            <w:tcW w:w="705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7A73092" w14:textId="77777777" w:rsidR="00736A21" w:rsidRDefault="00736A21" w:rsidP="003D2C78">
            <w:pPr>
              <w:spacing w:after="0" w:line="240" w:lineRule="auto"/>
              <w:ind w:right="-897"/>
              <w:rPr>
                <w:sz w:val="24"/>
                <w:szCs w:val="24"/>
              </w:rPr>
            </w:pPr>
            <w:r>
              <w:rPr>
                <w:sz w:val="24"/>
                <w:szCs w:val="24"/>
              </w:rPr>
              <w:t>End date of clarification questions:</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F0138" w14:textId="77777777" w:rsidR="00736A21" w:rsidRDefault="00736A21" w:rsidP="003D2C78">
            <w:pPr>
              <w:spacing w:after="0" w:line="240" w:lineRule="auto"/>
              <w:ind w:right="-897"/>
              <w:rPr>
                <w:sz w:val="24"/>
                <w:szCs w:val="24"/>
              </w:rPr>
            </w:pPr>
            <w:r>
              <w:rPr>
                <w:sz w:val="24"/>
                <w:szCs w:val="24"/>
              </w:rPr>
              <w:t>14/12/2022, 12pm</w:t>
            </w:r>
          </w:p>
        </w:tc>
      </w:tr>
      <w:tr w:rsidR="00736A21" w14:paraId="3D33163A" w14:textId="77777777" w:rsidTr="003D2C78">
        <w:tc>
          <w:tcPr>
            <w:tcW w:w="705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DC65953" w14:textId="77777777" w:rsidR="00736A21" w:rsidRDefault="00736A21" w:rsidP="003D2C78">
            <w:pPr>
              <w:spacing w:after="0" w:line="240" w:lineRule="auto"/>
              <w:ind w:right="-897"/>
              <w:rPr>
                <w:sz w:val="24"/>
                <w:szCs w:val="24"/>
              </w:rPr>
            </w:pPr>
            <w:r>
              <w:rPr>
                <w:sz w:val="24"/>
                <w:szCs w:val="24"/>
              </w:rPr>
              <w:t xml:space="preserve">Date of close of RFQ: </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DA941" w14:textId="77777777" w:rsidR="00736A21" w:rsidRDefault="00736A21" w:rsidP="003D2C78">
            <w:pPr>
              <w:spacing w:after="0" w:line="240" w:lineRule="auto"/>
              <w:ind w:right="-897"/>
              <w:rPr>
                <w:sz w:val="24"/>
                <w:szCs w:val="24"/>
              </w:rPr>
            </w:pPr>
            <w:r>
              <w:rPr>
                <w:sz w:val="24"/>
                <w:szCs w:val="24"/>
              </w:rPr>
              <w:t>21/12/2022, 4pm</w:t>
            </w:r>
          </w:p>
        </w:tc>
      </w:tr>
      <w:tr w:rsidR="00736A21" w14:paraId="3DD4F9A9" w14:textId="77777777" w:rsidTr="003D2C78">
        <w:tc>
          <w:tcPr>
            <w:tcW w:w="705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BE89366" w14:textId="77777777" w:rsidR="00736A21" w:rsidRDefault="00736A21" w:rsidP="003D2C78">
            <w:pPr>
              <w:spacing w:after="0" w:line="240" w:lineRule="auto"/>
              <w:ind w:right="-897"/>
              <w:rPr>
                <w:sz w:val="24"/>
                <w:szCs w:val="24"/>
              </w:rPr>
            </w:pPr>
            <w:r>
              <w:rPr>
                <w:sz w:val="24"/>
                <w:szCs w:val="24"/>
              </w:rPr>
              <w:t xml:space="preserve">Award Date: </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B9236" w14:textId="77777777" w:rsidR="00736A21" w:rsidRDefault="00736A21" w:rsidP="003D2C78">
            <w:pPr>
              <w:spacing w:after="0" w:line="240" w:lineRule="auto"/>
              <w:ind w:right="-897"/>
              <w:rPr>
                <w:sz w:val="24"/>
                <w:szCs w:val="24"/>
              </w:rPr>
            </w:pPr>
            <w:r>
              <w:rPr>
                <w:sz w:val="24"/>
                <w:szCs w:val="24"/>
              </w:rPr>
              <w:t>TBA</w:t>
            </w:r>
          </w:p>
        </w:tc>
      </w:tr>
      <w:bookmarkEnd w:id="0"/>
    </w:tbl>
    <w:p w14:paraId="0310C7C2" w14:textId="77777777" w:rsidR="00DE6EEB" w:rsidRDefault="00DE6EEB"/>
    <w:sectPr w:rsidR="00DE6EE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19DC1" w14:textId="77777777" w:rsidR="00736A21" w:rsidRDefault="00736A21" w:rsidP="00736A21">
      <w:pPr>
        <w:spacing w:after="0" w:line="240" w:lineRule="auto"/>
      </w:pPr>
      <w:r>
        <w:separator/>
      </w:r>
    </w:p>
  </w:endnote>
  <w:endnote w:type="continuationSeparator" w:id="0">
    <w:p w14:paraId="535E2353" w14:textId="77777777" w:rsidR="00736A21" w:rsidRDefault="00736A21" w:rsidP="0073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04F1" w14:textId="77777777" w:rsidR="00736A21" w:rsidRDefault="00736A21" w:rsidP="00736A21">
    <w:pPr>
      <w:pStyle w:val="Footer"/>
      <w:ind w:left="-993"/>
    </w:pPr>
    <w:r>
      <w:rPr>
        <w:noProof/>
        <w:lang w:eastAsia="en-GB"/>
      </w:rPr>
      <w:drawing>
        <wp:anchor distT="0" distB="0" distL="114300" distR="114300" simplePos="0" relativeHeight="251659264" behindDoc="0" locked="0" layoutInCell="1" allowOverlap="1" wp14:anchorId="66F9F9BA" wp14:editId="1EEE541A">
          <wp:simplePos x="0" y="0"/>
          <wp:positionH relativeFrom="column">
            <wp:posOffset>4516121</wp:posOffset>
          </wp:positionH>
          <wp:positionV relativeFrom="paragraph">
            <wp:posOffset>40005</wp:posOffset>
          </wp:positionV>
          <wp:extent cx="1836416" cy="553083"/>
          <wp:effectExtent l="0" t="0" r="0" b="0"/>
          <wp:wrapSquare wrapText="bothSides"/>
          <wp:docPr id="1" name="Picture 7" descr="Image result for NEC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36416" cy="553083"/>
                  </a:xfrm>
                  <a:prstGeom prst="rect">
                    <a:avLst/>
                  </a:prstGeom>
                  <a:noFill/>
                  <a:ln>
                    <a:noFill/>
                    <a:prstDash/>
                  </a:ln>
                </pic:spPr>
              </pic:pic>
            </a:graphicData>
          </a:graphic>
        </wp:anchor>
      </w:drawing>
    </w:r>
  </w:p>
  <w:p w14:paraId="0E3D768F" w14:textId="77777777" w:rsidR="00736A21" w:rsidRDefault="00736A21" w:rsidP="00736A21">
    <w:pPr>
      <w:pStyle w:val="Footer"/>
      <w:tabs>
        <w:tab w:val="clear" w:pos="9026"/>
        <w:tab w:val="right" w:pos="9781"/>
      </w:tabs>
      <w:ind w:left="-993" w:right="-330"/>
    </w:pPr>
    <w:r>
      <w:rPr>
        <w:noProof/>
        <w:sz w:val="72"/>
        <w:lang w:eastAsia="en-GB"/>
      </w:rPr>
      <w:drawing>
        <wp:inline distT="0" distB="0" distL="0" distR="0" wp14:anchorId="381D22C4" wp14:editId="50CB9151">
          <wp:extent cx="1915732" cy="419325"/>
          <wp:effectExtent l="0" t="0" r="8318" b="0"/>
          <wp:docPr id="2" name="Picture 4"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4" descr="Text&#10;&#10;Description automatically generated with medium confidence"/>
                  <pic:cNvPicPr/>
                </pic:nvPicPr>
                <pic:blipFill>
                  <a:blip r:embed="rId2"/>
                  <a:stretch>
                    <a:fillRect/>
                  </a:stretch>
                </pic:blipFill>
                <pic:spPr>
                  <a:xfrm>
                    <a:off x="0" y="0"/>
                    <a:ext cx="1915732" cy="419325"/>
                  </a:xfrm>
                  <a:prstGeom prst="rect">
                    <a:avLst/>
                  </a:prstGeom>
                  <a:noFill/>
                  <a:ln>
                    <a:noFill/>
                    <a:prstDash/>
                  </a:ln>
                </pic:spPr>
              </pic:pic>
            </a:graphicData>
          </a:graphic>
        </wp:inline>
      </w:drawing>
    </w:r>
    <w:r>
      <w:rPr>
        <w:sz w:val="72"/>
        <w:lang w:eastAsia="en-GB"/>
      </w:rPr>
      <w:t xml:space="preserve">          </w:t>
    </w:r>
  </w:p>
  <w:p w14:paraId="058C6349" w14:textId="77777777" w:rsidR="00736A21" w:rsidRDefault="00736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22DA" w14:textId="77777777" w:rsidR="00736A21" w:rsidRDefault="00736A21" w:rsidP="00736A21">
      <w:pPr>
        <w:spacing w:after="0" w:line="240" w:lineRule="auto"/>
      </w:pPr>
      <w:r>
        <w:separator/>
      </w:r>
    </w:p>
  </w:footnote>
  <w:footnote w:type="continuationSeparator" w:id="0">
    <w:p w14:paraId="6979102D" w14:textId="77777777" w:rsidR="00736A21" w:rsidRDefault="00736A21" w:rsidP="00736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30B8"/>
    <w:multiLevelType w:val="multilevel"/>
    <w:tmpl w:val="5C080D36"/>
    <w:lvl w:ilvl="0">
      <w:numFmt w:val="bullet"/>
      <w:lvlText w:val=""/>
      <w:lvlJc w:val="left"/>
      <w:pPr>
        <w:ind w:left="56" w:hanging="360"/>
      </w:pPr>
      <w:rPr>
        <w:rFonts w:ascii="Symbol" w:hAnsi="Symbol"/>
      </w:rPr>
    </w:lvl>
    <w:lvl w:ilvl="1">
      <w:numFmt w:val="bullet"/>
      <w:lvlText w:val="o"/>
      <w:lvlJc w:val="left"/>
      <w:pPr>
        <w:ind w:left="776" w:hanging="360"/>
      </w:pPr>
      <w:rPr>
        <w:rFonts w:ascii="Courier New" w:hAnsi="Courier New" w:cs="Courier New"/>
      </w:rPr>
    </w:lvl>
    <w:lvl w:ilvl="2">
      <w:numFmt w:val="bullet"/>
      <w:lvlText w:val=""/>
      <w:lvlJc w:val="left"/>
      <w:pPr>
        <w:ind w:left="1496" w:hanging="360"/>
      </w:pPr>
      <w:rPr>
        <w:rFonts w:ascii="Wingdings" w:hAnsi="Wingdings"/>
      </w:rPr>
    </w:lvl>
    <w:lvl w:ilvl="3">
      <w:numFmt w:val="bullet"/>
      <w:lvlText w:val=""/>
      <w:lvlJc w:val="left"/>
      <w:pPr>
        <w:ind w:left="2216" w:hanging="360"/>
      </w:pPr>
      <w:rPr>
        <w:rFonts w:ascii="Symbol" w:hAnsi="Symbol"/>
      </w:rPr>
    </w:lvl>
    <w:lvl w:ilvl="4">
      <w:numFmt w:val="bullet"/>
      <w:lvlText w:val="o"/>
      <w:lvlJc w:val="left"/>
      <w:pPr>
        <w:ind w:left="2936" w:hanging="360"/>
      </w:pPr>
      <w:rPr>
        <w:rFonts w:ascii="Courier New" w:hAnsi="Courier New" w:cs="Courier New"/>
      </w:rPr>
    </w:lvl>
    <w:lvl w:ilvl="5">
      <w:numFmt w:val="bullet"/>
      <w:lvlText w:val=""/>
      <w:lvlJc w:val="left"/>
      <w:pPr>
        <w:ind w:left="3656" w:hanging="360"/>
      </w:pPr>
      <w:rPr>
        <w:rFonts w:ascii="Wingdings" w:hAnsi="Wingdings"/>
      </w:rPr>
    </w:lvl>
    <w:lvl w:ilvl="6">
      <w:numFmt w:val="bullet"/>
      <w:lvlText w:val=""/>
      <w:lvlJc w:val="left"/>
      <w:pPr>
        <w:ind w:left="4376" w:hanging="360"/>
      </w:pPr>
      <w:rPr>
        <w:rFonts w:ascii="Symbol" w:hAnsi="Symbol"/>
      </w:rPr>
    </w:lvl>
    <w:lvl w:ilvl="7">
      <w:numFmt w:val="bullet"/>
      <w:lvlText w:val="o"/>
      <w:lvlJc w:val="left"/>
      <w:pPr>
        <w:ind w:left="5096" w:hanging="360"/>
      </w:pPr>
      <w:rPr>
        <w:rFonts w:ascii="Courier New" w:hAnsi="Courier New" w:cs="Courier New"/>
      </w:rPr>
    </w:lvl>
    <w:lvl w:ilvl="8">
      <w:numFmt w:val="bullet"/>
      <w:lvlText w:val=""/>
      <w:lvlJc w:val="left"/>
      <w:pPr>
        <w:ind w:left="5816" w:hanging="360"/>
      </w:pPr>
      <w:rPr>
        <w:rFonts w:ascii="Wingdings" w:hAnsi="Wingdings"/>
      </w:rPr>
    </w:lvl>
  </w:abstractNum>
  <w:abstractNum w:abstractNumId="1" w15:restartNumberingAfterBreak="0">
    <w:nsid w:val="25433333"/>
    <w:multiLevelType w:val="multilevel"/>
    <w:tmpl w:val="CB0ADE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CCA7949"/>
    <w:multiLevelType w:val="multilevel"/>
    <w:tmpl w:val="65362E60"/>
    <w:lvl w:ilvl="0">
      <w:numFmt w:val="bullet"/>
      <w:lvlText w:val="-"/>
      <w:lvlJc w:val="left"/>
      <w:pPr>
        <w:ind w:left="720" w:hanging="360"/>
      </w:pPr>
      <w:rPr>
        <w:rFonts w:ascii="Calibri" w:eastAsia="Times New Roman" w:hAnsi="Calibri" w:cs="Calibri"/>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79759204">
    <w:abstractNumId w:val="1"/>
  </w:num>
  <w:num w:numId="2" w16cid:durableId="1578126956">
    <w:abstractNumId w:val="2"/>
  </w:num>
  <w:num w:numId="3" w16cid:durableId="149534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21"/>
    <w:rsid w:val="00736A21"/>
    <w:rsid w:val="007406B4"/>
    <w:rsid w:val="00992141"/>
    <w:rsid w:val="00DE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D2F5"/>
  <w15:chartTrackingRefBased/>
  <w15:docId w15:val="{533FF084-0525-4F2B-ADE8-14B40B74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A21"/>
    <w:pPr>
      <w:suppressAutoHyphens/>
      <w:autoSpaceDN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A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736A21"/>
    <w:pPr>
      <w:ind w:left="720"/>
      <w:contextualSpacing/>
    </w:pPr>
  </w:style>
  <w:style w:type="paragraph" w:styleId="Header">
    <w:name w:val="header"/>
    <w:basedOn w:val="Normal"/>
    <w:link w:val="HeaderChar"/>
    <w:uiPriority w:val="99"/>
    <w:unhideWhenUsed/>
    <w:rsid w:val="00736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A21"/>
    <w:rPr>
      <w:rFonts w:ascii="Calibri" w:eastAsia="Calibri" w:hAnsi="Calibri" w:cs="Times New Roman"/>
    </w:rPr>
  </w:style>
  <w:style w:type="paragraph" w:styleId="Footer">
    <w:name w:val="footer"/>
    <w:basedOn w:val="Normal"/>
    <w:link w:val="FooterChar"/>
    <w:unhideWhenUsed/>
    <w:rsid w:val="00736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A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76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57D0A63C6D4418AA313BFC0A041F2" ma:contentTypeVersion="0" ma:contentTypeDescription="Create a new document." ma:contentTypeScope="" ma:versionID="843f1d5eedd2b4eb9ecc6c707434566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ECB69-C6D8-43A5-A9D2-83974C10A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E59751-D3CD-46D2-8EB7-9720376B3862}">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155F040-3AAF-48DD-9F41-49FDF4665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1489</Words>
  <Characters>8493</Characters>
  <Application>Microsoft Office Word</Application>
  <DocSecurity>0</DocSecurity>
  <Lines>70</Lines>
  <Paragraphs>19</Paragraphs>
  <ScaleCrop>false</ScaleCrop>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Eleanor (NHS SHARED BUSINESS SERVICES (SALFORD))</dc:creator>
  <cp:keywords/>
  <dc:description/>
  <cp:lastModifiedBy>ROSS, Eleanor (NHS SHARED BUSINESS SERVICES (SALFORD))</cp:lastModifiedBy>
  <cp:revision>3</cp:revision>
  <dcterms:created xsi:type="dcterms:W3CDTF">2022-12-07T10:39:00Z</dcterms:created>
  <dcterms:modified xsi:type="dcterms:W3CDTF">2022-12-07T13:39:00Z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0x010100D4657D0A63C6D4418AA313BFC0A041F2</vt:lpwstr>
  </property>
</Properties>
</file>