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FB641"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47091DBA" wp14:editId="43C6488E">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5E3F9289" w14:textId="77777777" w:rsidR="00F52BE8" w:rsidRDefault="00F52BE8" w:rsidP="00F52BE8">
      <w:pPr>
        <w:jc w:val="right"/>
        <w:rPr>
          <w:rFonts w:ascii="Verdana" w:hAnsi="Verdana"/>
          <w:color w:val="2C2C2C"/>
          <w:sz w:val="17"/>
          <w:szCs w:val="17"/>
          <w:lang w:val="en"/>
        </w:rPr>
      </w:pPr>
    </w:p>
    <w:p w14:paraId="47E57114" w14:textId="77777777" w:rsidR="00F52BE8" w:rsidRDefault="00F52BE8" w:rsidP="00F52BE8">
      <w:pPr>
        <w:rPr>
          <w:rFonts w:ascii="Verdana" w:hAnsi="Verdana"/>
          <w:color w:val="2C2C2C"/>
          <w:sz w:val="17"/>
          <w:szCs w:val="17"/>
          <w:lang w:val="en"/>
        </w:rPr>
      </w:pPr>
    </w:p>
    <w:p w14:paraId="482FE7E7" w14:textId="77777777" w:rsidR="00F52BE8" w:rsidRDefault="00F52BE8" w:rsidP="00F52BE8">
      <w:pPr>
        <w:jc w:val="center"/>
        <w:rPr>
          <w:rFonts w:cs="Arial"/>
          <w:b/>
          <w:color w:val="2C2C2C"/>
          <w:sz w:val="40"/>
          <w:szCs w:val="40"/>
          <w:lang w:val="en"/>
        </w:rPr>
      </w:pPr>
    </w:p>
    <w:p w14:paraId="70E06860" w14:textId="77777777" w:rsidR="00F52BE8" w:rsidRDefault="00F52BE8" w:rsidP="00F52BE8">
      <w:pPr>
        <w:jc w:val="center"/>
        <w:rPr>
          <w:rFonts w:cs="Arial"/>
          <w:b/>
          <w:color w:val="2C2C2C"/>
          <w:sz w:val="40"/>
          <w:szCs w:val="40"/>
          <w:lang w:val="en"/>
        </w:rPr>
      </w:pPr>
    </w:p>
    <w:p w14:paraId="6C111472"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664A5711"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4CFB188B" w14:textId="5CCA0DDC" w:rsidR="00F52BE8" w:rsidRDefault="00F52BE8" w:rsidP="00F52BE8">
      <w:pPr>
        <w:jc w:val="center"/>
        <w:rPr>
          <w:rFonts w:cs="Arial"/>
          <w:b/>
          <w:u w:val="single"/>
        </w:rPr>
      </w:pPr>
      <w:r>
        <w:rPr>
          <w:rFonts w:cs="Arial"/>
          <w:b/>
          <w:color w:val="2C2C2C"/>
          <w:sz w:val="40"/>
          <w:szCs w:val="40"/>
          <w:lang w:val="en"/>
        </w:rPr>
        <w:t>STATEMENT OF REQUIREMENT</w:t>
      </w:r>
    </w:p>
    <w:p w14:paraId="57E95F84" w14:textId="77777777" w:rsidR="00F52BE8" w:rsidRDefault="00F52BE8" w:rsidP="00F52BE8">
      <w:pPr>
        <w:jc w:val="center"/>
        <w:rPr>
          <w:rFonts w:cs="Arial"/>
          <w:b/>
          <w:u w:val="single"/>
        </w:rPr>
      </w:pPr>
    </w:p>
    <w:p w14:paraId="2F022EAF" w14:textId="77777777" w:rsidR="00F52BE8" w:rsidRDefault="00F52BE8" w:rsidP="00F52BE8">
      <w:pPr>
        <w:jc w:val="center"/>
        <w:rPr>
          <w:rFonts w:cs="Arial"/>
          <w:b/>
          <w:u w:val="single"/>
        </w:rPr>
      </w:pPr>
    </w:p>
    <w:p w14:paraId="01C5C05A" w14:textId="77777777" w:rsidR="00F52BE8" w:rsidRDefault="00F52BE8" w:rsidP="00F52BE8">
      <w:pPr>
        <w:jc w:val="center"/>
        <w:rPr>
          <w:rFonts w:cs="Arial"/>
          <w:b/>
          <w:u w:val="single"/>
        </w:rPr>
      </w:pPr>
    </w:p>
    <w:p w14:paraId="1A70E8D5" w14:textId="5EF8A8C8" w:rsidR="00F52BE8" w:rsidRPr="00BA1E28" w:rsidRDefault="00BA1E28" w:rsidP="00F52BE8">
      <w:pPr>
        <w:jc w:val="center"/>
        <w:rPr>
          <w:rFonts w:cs="Arial"/>
          <w:b/>
          <w:u w:val="single"/>
        </w:rPr>
      </w:pPr>
      <w:r w:rsidRPr="00BA1E28">
        <w:rPr>
          <w:rFonts w:cs="Arial"/>
          <w:b/>
          <w:u w:val="single"/>
        </w:rPr>
        <w:t xml:space="preserve">ORR’s </w:t>
      </w:r>
      <w:r w:rsidR="00957860">
        <w:rPr>
          <w:rFonts w:cs="Arial"/>
          <w:b/>
          <w:u w:val="single"/>
        </w:rPr>
        <w:t>R</w:t>
      </w:r>
      <w:r w:rsidRPr="00BA1E28">
        <w:rPr>
          <w:rFonts w:cs="Arial"/>
          <w:b/>
          <w:u w:val="single"/>
        </w:rPr>
        <w:t>eview</w:t>
      </w:r>
      <w:r w:rsidR="00D05467">
        <w:rPr>
          <w:rFonts w:cs="Arial"/>
          <w:b/>
          <w:u w:val="single"/>
        </w:rPr>
        <w:t>s</w:t>
      </w:r>
      <w:r w:rsidRPr="00BA1E28">
        <w:rPr>
          <w:rFonts w:cs="Arial"/>
          <w:b/>
          <w:u w:val="single"/>
        </w:rPr>
        <w:t xml:space="preserve"> of </w:t>
      </w:r>
      <w:r w:rsidR="00957860">
        <w:rPr>
          <w:rFonts w:cs="Arial"/>
          <w:b/>
          <w:u w:val="single"/>
        </w:rPr>
        <w:t>C</w:t>
      </w:r>
      <w:r w:rsidR="00D05467">
        <w:rPr>
          <w:rFonts w:cs="Arial"/>
          <w:b/>
          <w:u w:val="single"/>
        </w:rPr>
        <w:t xml:space="preserve">harges and </w:t>
      </w:r>
      <w:r w:rsidR="00957860">
        <w:rPr>
          <w:rFonts w:cs="Arial"/>
          <w:b/>
          <w:u w:val="single"/>
        </w:rPr>
        <w:t>I</w:t>
      </w:r>
      <w:r w:rsidR="00D05467">
        <w:rPr>
          <w:rFonts w:cs="Arial"/>
          <w:b/>
          <w:u w:val="single"/>
        </w:rPr>
        <w:t>ncentives in PR23</w:t>
      </w:r>
    </w:p>
    <w:p w14:paraId="78A0E654" w14:textId="77777777" w:rsidR="00F52BE8" w:rsidRPr="00034159" w:rsidRDefault="00F52BE8" w:rsidP="00F52BE8">
      <w:pPr>
        <w:jc w:val="center"/>
        <w:rPr>
          <w:rFonts w:cs="Arial"/>
          <w:b/>
          <w:u w:val="single"/>
        </w:rPr>
      </w:pPr>
    </w:p>
    <w:p w14:paraId="4FB12923" w14:textId="77777777" w:rsidR="00F52BE8" w:rsidRPr="00034159" w:rsidRDefault="00F52BE8" w:rsidP="00F52BE8">
      <w:pPr>
        <w:jc w:val="center"/>
        <w:rPr>
          <w:rFonts w:cs="Arial"/>
          <w:b/>
          <w:u w:val="single"/>
        </w:rPr>
      </w:pPr>
    </w:p>
    <w:p w14:paraId="5A841109" w14:textId="77777777" w:rsidR="00F52BE8" w:rsidRPr="00034159" w:rsidRDefault="00F52BE8" w:rsidP="00F52BE8">
      <w:pPr>
        <w:jc w:val="center"/>
        <w:rPr>
          <w:rFonts w:cs="Arial"/>
          <w:b/>
          <w:u w:val="single"/>
        </w:rPr>
      </w:pPr>
    </w:p>
    <w:p w14:paraId="178E60A3" w14:textId="4F6C72A5" w:rsidR="00F52BE8" w:rsidRPr="00C263C2" w:rsidRDefault="00F52BE8" w:rsidP="00F52BE8">
      <w:pPr>
        <w:spacing w:after="0" w:line="360" w:lineRule="auto"/>
        <w:rPr>
          <w:rFonts w:cs="Arial"/>
          <w:b/>
          <w:color w:val="FF0000"/>
          <w:u w:val="single"/>
        </w:rPr>
      </w:pPr>
      <w:r w:rsidRPr="00034159">
        <w:rPr>
          <w:rFonts w:cs="Arial"/>
          <w:b/>
          <w:u w:val="single"/>
        </w:rPr>
        <w:t>CPV Code:</w:t>
      </w:r>
      <w:r w:rsidR="000E4BDA">
        <w:rPr>
          <w:rFonts w:cs="Arial"/>
          <w:b/>
          <w:u w:val="single"/>
        </w:rPr>
        <w:t>73200000</w:t>
      </w:r>
    </w:p>
    <w:p w14:paraId="4C1E02F0" w14:textId="2D5F1AD0" w:rsidR="00F52BE8" w:rsidRDefault="000E4BDA" w:rsidP="00F52BE8">
      <w:pPr>
        <w:spacing w:after="0" w:line="360" w:lineRule="auto"/>
        <w:rPr>
          <w:rFonts w:cs="Arial"/>
          <w:b/>
          <w:u w:val="single"/>
        </w:rPr>
      </w:pPr>
      <w:r>
        <w:rPr>
          <w:rFonts w:cs="Arial"/>
          <w:b/>
          <w:u w:val="single"/>
        </w:rPr>
        <w:t>Supplementary Code: 72221000</w:t>
      </w:r>
    </w:p>
    <w:p w14:paraId="36639418" w14:textId="765FF4A3" w:rsidR="00F52BE8" w:rsidRPr="00034159" w:rsidRDefault="00F52BE8" w:rsidP="00F52BE8">
      <w:pPr>
        <w:spacing w:after="0" w:line="360" w:lineRule="auto"/>
        <w:rPr>
          <w:rFonts w:cs="Arial"/>
          <w:b/>
        </w:rPr>
      </w:pPr>
      <w:r>
        <w:rPr>
          <w:rFonts w:cs="Arial"/>
          <w:b/>
          <w:u w:val="single"/>
        </w:rPr>
        <w:t xml:space="preserve">Tender Reference: </w:t>
      </w:r>
      <w:r w:rsidR="000E4BDA">
        <w:rPr>
          <w:rFonts w:cs="Arial"/>
          <w:b/>
          <w:u w:val="single"/>
        </w:rPr>
        <w:t>ORR/CT/20-43</w:t>
      </w:r>
    </w:p>
    <w:p w14:paraId="25352D91" w14:textId="77777777" w:rsidR="00F52BE8" w:rsidRDefault="00F52BE8" w:rsidP="00F52BE8">
      <w:pPr>
        <w:ind w:left="2160"/>
        <w:rPr>
          <w:rFonts w:cs="Arial"/>
          <w:b/>
          <w:highlight w:val="cyan"/>
        </w:rPr>
      </w:pPr>
    </w:p>
    <w:p w14:paraId="0421ED25" w14:textId="77777777" w:rsidR="00F52BE8" w:rsidRDefault="00F52BE8" w:rsidP="00F52BE8">
      <w:pPr>
        <w:rPr>
          <w:b/>
          <w:sz w:val="20"/>
        </w:rPr>
      </w:pPr>
    </w:p>
    <w:p w14:paraId="24935346" w14:textId="77777777" w:rsidR="00F52BE8" w:rsidRDefault="00F52BE8" w:rsidP="00F52BE8">
      <w:pPr>
        <w:rPr>
          <w:b/>
          <w:sz w:val="20"/>
        </w:rPr>
      </w:pPr>
    </w:p>
    <w:p w14:paraId="42EE6C10" w14:textId="77777777" w:rsidR="00F52BE8" w:rsidRDefault="00F52BE8" w:rsidP="00F52BE8">
      <w:pPr>
        <w:rPr>
          <w:b/>
          <w:sz w:val="20"/>
        </w:rPr>
      </w:pPr>
    </w:p>
    <w:p w14:paraId="4FB46E2A"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57F31E9E" w14:textId="7777777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BA1E28">
        <w:rPr>
          <w:rFonts w:cs="Arial"/>
          <w:color w:val="000000"/>
        </w:rPr>
        <w:t xml:space="preserve">consultancy support for </w:t>
      </w:r>
      <w:r>
        <w:rPr>
          <w:rFonts w:cs="Arial"/>
          <w:color w:val="000000"/>
        </w:rPr>
        <w:t>the Office of Rail and Road (ORR)</w:t>
      </w:r>
      <w:r w:rsidR="00BA1E28">
        <w:rPr>
          <w:rFonts w:cs="Arial"/>
          <w:color w:val="000000"/>
        </w:rPr>
        <w:t xml:space="preserve"> in respect of its Review of Train Performance Incentives</w:t>
      </w:r>
      <w:r>
        <w:rPr>
          <w:rFonts w:cs="Arial"/>
          <w:color w:val="000000"/>
        </w:rPr>
        <w:t>.</w:t>
      </w:r>
    </w:p>
    <w:p w14:paraId="24EA79AD" w14:textId="77777777" w:rsidR="00F52BE8" w:rsidRDefault="00F52BE8" w:rsidP="00F52BE8">
      <w:pPr>
        <w:pStyle w:val="ListNumber"/>
        <w:numPr>
          <w:ilvl w:val="0"/>
          <w:numId w:val="0"/>
        </w:numPr>
        <w:rPr>
          <w:b/>
          <w:sz w:val="28"/>
          <w:szCs w:val="28"/>
          <w:u w:val="single"/>
        </w:rPr>
      </w:pPr>
      <w:r>
        <w:t>This document contains the following sections:</w:t>
      </w:r>
    </w:p>
    <w:p w14:paraId="524AB95D"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7B6049F"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3CDC0774"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6016AFC0"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616144F2"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6B9EDCD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488B17A5"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B16F261"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5A5D3A1F" w14:textId="77777777" w:rsidR="00F52BE8" w:rsidRDefault="00F52BE8" w:rsidP="00F52BE8">
      <w:pPr>
        <w:pStyle w:val="ListNumber"/>
        <w:numPr>
          <w:ilvl w:val="0"/>
          <w:numId w:val="0"/>
        </w:numPr>
        <w:spacing w:before="0" w:after="0"/>
        <w:rPr>
          <w:rFonts w:cs="Arial"/>
          <w:szCs w:val="24"/>
        </w:rPr>
      </w:pPr>
    </w:p>
    <w:p w14:paraId="458B8AA8"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5532F3E" w14:textId="77777777" w:rsidR="00F52BE8" w:rsidRDefault="00F52BE8" w:rsidP="00F52BE8">
      <w:pPr>
        <w:pStyle w:val="ListNumber"/>
        <w:numPr>
          <w:ilvl w:val="0"/>
          <w:numId w:val="0"/>
        </w:numPr>
        <w:spacing w:before="0" w:after="0"/>
        <w:rPr>
          <w:rFonts w:cs="Arial"/>
          <w:sz w:val="28"/>
          <w:szCs w:val="28"/>
          <w:u w:val="single"/>
        </w:rPr>
      </w:pPr>
    </w:p>
    <w:p w14:paraId="334819B1"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700E6FAB" w14:textId="77777777" w:rsidR="00F52BE8" w:rsidRPr="007E2FBB" w:rsidRDefault="00F52BE8" w:rsidP="00F52BE8">
      <w:pPr>
        <w:tabs>
          <w:tab w:val="left" w:pos="720"/>
        </w:tabs>
        <w:spacing w:after="0"/>
        <w:rPr>
          <w:rFonts w:cs="Arial"/>
          <w:szCs w:val="24"/>
          <w:u w:val="single"/>
        </w:rPr>
      </w:pPr>
    </w:p>
    <w:p w14:paraId="74DEE130"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2571E833" w14:textId="77777777" w:rsidR="00F52BE8" w:rsidRPr="007E2FBB" w:rsidRDefault="00F52BE8" w:rsidP="00F52BE8">
      <w:pPr>
        <w:tabs>
          <w:tab w:val="left" w:pos="720"/>
        </w:tabs>
        <w:spacing w:after="0"/>
        <w:rPr>
          <w:rFonts w:cs="Arial"/>
          <w:szCs w:val="24"/>
        </w:rPr>
      </w:pPr>
    </w:p>
    <w:p w14:paraId="1DE5A673"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0E2F4CEB" w14:textId="77777777" w:rsidR="00F52BE8" w:rsidRPr="007E2FBB" w:rsidRDefault="00F52BE8" w:rsidP="00F52BE8">
      <w:pPr>
        <w:tabs>
          <w:tab w:val="left" w:pos="720"/>
        </w:tabs>
        <w:spacing w:after="0"/>
        <w:rPr>
          <w:rFonts w:cs="Arial"/>
          <w:szCs w:val="24"/>
        </w:rPr>
      </w:pPr>
    </w:p>
    <w:p w14:paraId="47A67D42"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5920150E" w14:textId="77777777" w:rsidR="00F52BE8" w:rsidRPr="007E2FBB" w:rsidRDefault="00F52BE8" w:rsidP="00F52BE8">
      <w:pPr>
        <w:tabs>
          <w:tab w:val="left" w:pos="720"/>
        </w:tabs>
        <w:spacing w:after="0"/>
        <w:rPr>
          <w:rFonts w:cs="Arial"/>
          <w:szCs w:val="24"/>
        </w:rPr>
      </w:pPr>
    </w:p>
    <w:p w14:paraId="3ED4B040"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007A4BE3" w14:textId="77777777" w:rsidR="00F52BE8" w:rsidRDefault="00F52BE8" w:rsidP="00F52BE8">
      <w:pPr>
        <w:pStyle w:val="ListNumber"/>
        <w:numPr>
          <w:ilvl w:val="0"/>
          <w:numId w:val="0"/>
        </w:numPr>
        <w:spacing w:before="0" w:after="0"/>
        <w:rPr>
          <w:sz w:val="29"/>
          <w:szCs w:val="29"/>
          <w:lang w:val="en"/>
        </w:rPr>
      </w:pPr>
    </w:p>
    <w:p w14:paraId="6EBE05A0"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0AEAB3E1"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69037B34"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459A6A22"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4FE677F0"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57940701"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64DDA2E1"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25BE72B3"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1642F228"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215093B1"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2B3EB8C1" w14:textId="77777777" w:rsidR="00F52BE8" w:rsidRPr="006F78AD" w:rsidRDefault="00F52BE8" w:rsidP="00F52BE8">
      <w:pPr>
        <w:pStyle w:val="ListNumber"/>
        <w:numPr>
          <w:ilvl w:val="0"/>
          <w:numId w:val="0"/>
        </w:numPr>
        <w:spacing w:before="0" w:after="0"/>
        <w:rPr>
          <w:rFonts w:cs="Arial"/>
        </w:rPr>
      </w:pPr>
    </w:p>
    <w:p w14:paraId="20429A95"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6311122"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6A6408E1" w14:textId="77777777" w:rsidTr="00CB1751">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136B1860" w14:textId="77777777" w:rsidR="00F52BE8" w:rsidRPr="00362F5D" w:rsidRDefault="00F52BE8" w:rsidP="00E94D3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0E92D83F" w14:textId="77777777" w:rsidR="00F52BE8" w:rsidRPr="00362F5D" w:rsidRDefault="00F52BE8" w:rsidP="00E94D3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327E934C" w14:textId="77777777" w:rsidR="00F52BE8" w:rsidRPr="00362F5D" w:rsidRDefault="00F52BE8" w:rsidP="00E94D3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3CE59D1B" w14:textId="77777777" w:rsidR="00F52BE8" w:rsidRPr="00362F5D" w:rsidRDefault="00F52BE8" w:rsidP="00E94D3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4FC8EE1F" w14:textId="77777777" w:rsidR="00F52BE8" w:rsidRPr="00362F5D" w:rsidRDefault="00F52BE8" w:rsidP="00E94D37">
            <w:pPr>
              <w:jc w:val="center"/>
              <w:rPr>
                <w:rFonts w:cs="Arial"/>
                <w:b/>
                <w:bCs/>
              </w:rPr>
            </w:pPr>
            <w:r w:rsidRPr="00362F5D">
              <w:rPr>
                <w:rFonts w:cs="Arial"/>
                <w:b/>
                <w:bCs/>
              </w:rPr>
              <w:t>Balance Sheet Total</w:t>
            </w:r>
          </w:p>
        </w:tc>
      </w:tr>
      <w:tr w:rsidR="00F52BE8" w:rsidRPr="00362F5D" w14:paraId="1F05F561" w14:textId="77777777" w:rsidTr="00CB175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AB595FA" w14:textId="77777777" w:rsidR="00F52BE8" w:rsidRPr="00362F5D" w:rsidRDefault="00F52BE8" w:rsidP="00E94D3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47636C" w14:textId="77777777" w:rsidR="00F52BE8" w:rsidRPr="00362F5D" w:rsidRDefault="00F52BE8" w:rsidP="00E94D3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4BE0AA4" w14:textId="77777777" w:rsidR="00F52BE8" w:rsidRPr="00362F5D" w:rsidRDefault="00F52BE8" w:rsidP="00E94D3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9AAF857" w14:textId="77777777" w:rsidR="00F52BE8" w:rsidRPr="00362F5D" w:rsidRDefault="00F52BE8" w:rsidP="00E94D37">
            <w:pPr>
              <w:jc w:val="center"/>
              <w:rPr>
                <w:rFonts w:cs="Arial"/>
                <w:b/>
                <w:bCs/>
              </w:rPr>
            </w:pPr>
            <w:r w:rsidRPr="00362F5D">
              <w:rPr>
                <w:rFonts w:cs="Arial"/>
                <w:b/>
                <w:bCs/>
              </w:rPr>
              <w:t>≤ € 2 million</w:t>
            </w:r>
          </w:p>
        </w:tc>
      </w:tr>
      <w:tr w:rsidR="00F52BE8" w:rsidRPr="00362F5D" w14:paraId="6BAE4A1F" w14:textId="77777777" w:rsidTr="00CB1751">
        <w:trPr>
          <w:trHeight w:val="516"/>
        </w:trPr>
        <w:tc>
          <w:tcPr>
            <w:tcW w:w="1730" w:type="dxa"/>
            <w:vMerge/>
            <w:tcBorders>
              <w:top w:val="nil"/>
              <w:left w:val="single" w:sz="4" w:space="0" w:color="auto"/>
              <w:bottom w:val="single" w:sz="4" w:space="0" w:color="000000"/>
              <w:right w:val="single" w:sz="4" w:space="0" w:color="auto"/>
            </w:tcBorders>
            <w:vAlign w:val="center"/>
          </w:tcPr>
          <w:p w14:paraId="42A34090" w14:textId="77777777" w:rsidR="00F52BE8" w:rsidRPr="00362F5D" w:rsidRDefault="00F52BE8" w:rsidP="00E94D3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BF0A23E" w14:textId="77777777" w:rsidR="00F52BE8" w:rsidRPr="00362F5D" w:rsidRDefault="00F52BE8" w:rsidP="00E94D3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98CD468" w14:textId="77777777" w:rsidR="00F52BE8" w:rsidRPr="00362F5D" w:rsidRDefault="00F52BE8" w:rsidP="00E94D3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1ABD4FE2" w14:textId="77777777" w:rsidR="00F52BE8" w:rsidRPr="00362F5D" w:rsidRDefault="00F52BE8" w:rsidP="00E94D37">
            <w:pPr>
              <w:rPr>
                <w:rFonts w:cs="Arial"/>
                <w:b/>
                <w:bCs/>
              </w:rPr>
            </w:pPr>
          </w:p>
        </w:tc>
      </w:tr>
      <w:tr w:rsidR="00F52BE8" w:rsidRPr="00362F5D" w14:paraId="263B38D7" w14:textId="77777777" w:rsidTr="00CB175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85E69DF" w14:textId="77777777" w:rsidR="00F52BE8" w:rsidRPr="00362F5D" w:rsidRDefault="00F52BE8" w:rsidP="00E94D3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91044FC" w14:textId="77777777" w:rsidR="00F52BE8" w:rsidRPr="00362F5D" w:rsidRDefault="00F52BE8" w:rsidP="00E94D3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0336180" w14:textId="77777777" w:rsidR="00F52BE8" w:rsidRPr="00362F5D" w:rsidRDefault="00F52BE8" w:rsidP="00E94D3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E3018FB" w14:textId="77777777" w:rsidR="00F52BE8" w:rsidRPr="00362F5D" w:rsidRDefault="00F52BE8" w:rsidP="00E94D37">
            <w:pPr>
              <w:jc w:val="center"/>
              <w:rPr>
                <w:rFonts w:cs="Arial"/>
                <w:b/>
                <w:bCs/>
              </w:rPr>
            </w:pPr>
            <w:r w:rsidRPr="00362F5D">
              <w:rPr>
                <w:rFonts w:cs="Arial"/>
                <w:b/>
                <w:bCs/>
              </w:rPr>
              <w:t>≤ € 10 million</w:t>
            </w:r>
          </w:p>
        </w:tc>
      </w:tr>
      <w:tr w:rsidR="00F52BE8" w:rsidRPr="00362F5D" w14:paraId="39B8A927" w14:textId="77777777" w:rsidTr="00CB1751">
        <w:trPr>
          <w:trHeight w:val="516"/>
        </w:trPr>
        <w:tc>
          <w:tcPr>
            <w:tcW w:w="1730" w:type="dxa"/>
            <w:vMerge/>
            <w:tcBorders>
              <w:top w:val="nil"/>
              <w:left w:val="single" w:sz="4" w:space="0" w:color="auto"/>
              <w:bottom w:val="single" w:sz="4" w:space="0" w:color="000000"/>
              <w:right w:val="single" w:sz="4" w:space="0" w:color="auto"/>
            </w:tcBorders>
            <w:vAlign w:val="center"/>
          </w:tcPr>
          <w:p w14:paraId="4900684C" w14:textId="77777777" w:rsidR="00F52BE8" w:rsidRPr="00362F5D" w:rsidRDefault="00F52BE8" w:rsidP="00E94D3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FADFD6F" w14:textId="77777777" w:rsidR="00F52BE8" w:rsidRPr="00362F5D" w:rsidRDefault="00F52BE8" w:rsidP="00E94D3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0E04C4A" w14:textId="77777777" w:rsidR="00F52BE8" w:rsidRPr="00362F5D" w:rsidRDefault="00F52BE8" w:rsidP="00E94D3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7DB78DD" w14:textId="77777777" w:rsidR="00F52BE8" w:rsidRPr="00362F5D" w:rsidRDefault="00F52BE8" w:rsidP="00E94D37">
            <w:pPr>
              <w:rPr>
                <w:rFonts w:cs="Arial"/>
                <w:b/>
                <w:bCs/>
              </w:rPr>
            </w:pPr>
          </w:p>
        </w:tc>
      </w:tr>
      <w:tr w:rsidR="00F52BE8" w:rsidRPr="00362F5D" w14:paraId="68DFE49E" w14:textId="77777777" w:rsidTr="00CB175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C3E022C" w14:textId="77777777" w:rsidR="00F52BE8" w:rsidRPr="00362F5D" w:rsidRDefault="00F52BE8" w:rsidP="00E94D3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1E65D59" w14:textId="77777777" w:rsidR="00F52BE8" w:rsidRPr="00362F5D" w:rsidRDefault="00F52BE8" w:rsidP="00E94D3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D9819D7" w14:textId="77777777" w:rsidR="00F52BE8" w:rsidRPr="00362F5D" w:rsidRDefault="00F52BE8" w:rsidP="00E94D3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F242658" w14:textId="77777777" w:rsidR="00F52BE8" w:rsidRPr="00362F5D" w:rsidRDefault="00F52BE8" w:rsidP="00E94D37">
            <w:pPr>
              <w:jc w:val="center"/>
              <w:rPr>
                <w:rFonts w:cs="Arial"/>
                <w:b/>
                <w:bCs/>
              </w:rPr>
            </w:pPr>
            <w:r w:rsidRPr="00362F5D">
              <w:rPr>
                <w:rFonts w:cs="Arial"/>
                <w:b/>
                <w:bCs/>
              </w:rPr>
              <w:t>≤ € 43 million</w:t>
            </w:r>
          </w:p>
        </w:tc>
      </w:tr>
      <w:tr w:rsidR="00F52BE8" w:rsidRPr="00362F5D" w14:paraId="711374A4" w14:textId="77777777" w:rsidTr="00CB1751">
        <w:trPr>
          <w:trHeight w:val="516"/>
        </w:trPr>
        <w:tc>
          <w:tcPr>
            <w:tcW w:w="1730" w:type="dxa"/>
            <w:vMerge/>
            <w:tcBorders>
              <w:top w:val="nil"/>
              <w:left w:val="single" w:sz="4" w:space="0" w:color="auto"/>
              <w:bottom w:val="single" w:sz="4" w:space="0" w:color="000000"/>
              <w:right w:val="single" w:sz="4" w:space="0" w:color="auto"/>
            </w:tcBorders>
            <w:vAlign w:val="center"/>
          </w:tcPr>
          <w:p w14:paraId="70527BC1" w14:textId="77777777" w:rsidR="00F52BE8" w:rsidRPr="00362F5D" w:rsidRDefault="00F52BE8" w:rsidP="00E94D3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7628CB5" w14:textId="77777777" w:rsidR="00F52BE8" w:rsidRPr="00362F5D" w:rsidRDefault="00F52BE8" w:rsidP="00E94D3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ABCBD52" w14:textId="77777777" w:rsidR="00F52BE8" w:rsidRPr="00362F5D" w:rsidRDefault="00F52BE8" w:rsidP="00E94D3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5B7A3CC" w14:textId="77777777" w:rsidR="00F52BE8" w:rsidRPr="00362F5D" w:rsidRDefault="00F52BE8" w:rsidP="00E94D37">
            <w:pPr>
              <w:rPr>
                <w:rFonts w:cs="Arial"/>
                <w:b/>
                <w:bCs/>
              </w:rPr>
            </w:pPr>
          </w:p>
        </w:tc>
      </w:tr>
      <w:tr w:rsidR="00F52BE8" w:rsidRPr="00362F5D" w14:paraId="2580BFCB" w14:textId="77777777" w:rsidTr="00CB1751">
        <w:trPr>
          <w:trHeight w:val="996"/>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126EA5E0" w14:textId="77777777" w:rsidR="00F52BE8" w:rsidRPr="00362F5D" w:rsidRDefault="00F52BE8" w:rsidP="00E94D3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9DE443D" w14:textId="77777777" w:rsidR="00F52BE8" w:rsidRPr="00362F5D" w:rsidRDefault="00F52BE8" w:rsidP="00E94D3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EECA50A" w14:textId="77777777" w:rsidR="00F52BE8" w:rsidRPr="00362F5D" w:rsidRDefault="00F52BE8" w:rsidP="00E94D3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7784320B" w14:textId="77777777" w:rsidR="00F52BE8" w:rsidRPr="00362F5D" w:rsidRDefault="00F52BE8" w:rsidP="00E94D37">
            <w:pPr>
              <w:jc w:val="center"/>
              <w:rPr>
                <w:rFonts w:cs="Arial"/>
                <w:b/>
                <w:bCs/>
              </w:rPr>
            </w:pPr>
            <w:r w:rsidRPr="00362F5D">
              <w:rPr>
                <w:rFonts w:cs="Arial"/>
                <w:b/>
                <w:bCs/>
              </w:rPr>
              <w:t>&gt; € 43 million</w:t>
            </w:r>
          </w:p>
        </w:tc>
      </w:tr>
    </w:tbl>
    <w:p w14:paraId="574A8285" w14:textId="77777777" w:rsidR="00F52BE8" w:rsidRDefault="00F52BE8" w:rsidP="00F52BE8">
      <w:pPr>
        <w:rPr>
          <w:rFonts w:cs="Arial"/>
          <w:szCs w:val="24"/>
        </w:rPr>
      </w:pPr>
    </w:p>
    <w:p w14:paraId="607E15DC"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4E8A8F86" w14:textId="77777777" w:rsidTr="00E94D37">
        <w:trPr>
          <w:trHeight w:val="454"/>
        </w:trPr>
        <w:tc>
          <w:tcPr>
            <w:tcW w:w="8528" w:type="dxa"/>
            <w:shd w:val="clear" w:color="auto" w:fill="99CCFF"/>
          </w:tcPr>
          <w:p w14:paraId="60198830" w14:textId="77777777" w:rsidR="00F52BE8" w:rsidRPr="0036077E" w:rsidRDefault="00F52BE8" w:rsidP="00E94D37">
            <w:pPr>
              <w:rPr>
                <w:rFonts w:cs="Arial"/>
                <w:b/>
                <w:sz w:val="28"/>
                <w:szCs w:val="28"/>
              </w:rPr>
            </w:pPr>
            <w:r w:rsidRPr="0036077E">
              <w:rPr>
                <w:rFonts w:cs="Arial"/>
                <w:b/>
                <w:sz w:val="28"/>
                <w:szCs w:val="28"/>
              </w:rPr>
              <w:t>2.1 Background to the project</w:t>
            </w:r>
          </w:p>
        </w:tc>
      </w:tr>
      <w:tr w:rsidR="00F52BE8" w:rsidRPr="0036077E" w14:paraId="6EBCE050" w14:textId="77777777" w:rsidTr="00E94D37">
        <w:trPr>
          <w:trHeight w:val="760"/>
        </w:trPr>
        <w:tc>
          <w:tcPr>
            <w:tcW w:w="8528" w:type="dxa"/>
            <w:tcBorders>
              <w:bottom w:val="single" w:sz="4" w:space="0" w:color="auto"/>
            </w:tcBorders>
            <w:shd w:val="clear" w:color="auto" w:fill="auto"/>
          </w:tcPr>
          <w:p w14:paraId="472510A0" w14:textId="1870B758" w:rsidR="000D49CF" w:rsidRPr="000D49CF" w:rsidRDefault="000D49CF" w:rsidP="00B11EE0">
            <w:pPr>
              <w:rPr>
                <w:rFonts w:cs="Arial"/>
                <w:sz w:val="22"/>
                <w:szCs w:val="22"/>
              </w:rPr>
            </w:pPr>
            <w:r w:rsidRPr="000D1C6D">
              <w:rPr>
                <w:rFonts w:cs="Arial"/>
                <w:sz w:val="22"/>
                <w:szCs w:val="22"/>
              </w:rPr>
              <w:t xml:space="preserve">The ORR is the economic </w:t>
            </w:r>
            <w:r>
              <w:rPr>
                <w:rFonts w:cs="Arial"/>
                <w:sz w:val="22"/>
                <w:szCs w:val="22"/>
              </w:rPr>
              <w:t>regulator for Britain’s railway infrastructure</w:t>
            </w:r>
            <w:r w:rsidRPr="000D1C6D">
              <w:rPr>
                <w:rFonts w:cs="Arial"/>
                <w:sz w:val="22"/>
                <w:szCs w:val="22"/>
              </w:rPr>
              <w:t>.</w:t>
            </w:r>
            <w:r>
              <w:rPr>
                <w:rFonts w:cs="Arial"/>
                <w:sz w:val="22"/>
                <w:szCs w:val="22"/>
              </w:rPr>
              <w:t xml:space="preserve"> </w:t>
            </w:r>
            <w:r w:rsidRPr="000D1C6D">
              <w:rPr>
                <w:rFonts w:cs="Arial"/>
                <w:sz w:val="22"/>
                <w:szCs w:val="22"/>
              </w:rPr>
              <w:t>We regulate Network Rail and other railway networks,</w:t>
            </w:r>
            <w:r>
              <w:rPr>
                <w:rFonts w:cs="Arial"/>
                <w:sz w:val="22"/>
                <w:szCs w:val="22"/>
              </w:rPr>
              <w:t xml:space="preserve"> </w:t>
            </w:r>
            <w:r w:rsidRPr="000D1C6D">
              <w:rPr>
                <w:rFonts w:cs="Arial"/>
                <w:sz w:val="22"/>
                <w:szCs w:val="22"/>
              </w:rPr>
              <w:t>including the Channel Tunnel and High Speed 1.</w:t>
            </w:r>
            <w:r>
              <w:rPr>
                <w:rFonts w:cs="Arial"/>
                <w:sz w:val="22"/>
                <w:szCs w:val="22"/>
              </w:rPr>
              <w:t xml:space="preserve"> </w:t>
            </w:r>
            <w:r w:rsidRPr="000D1C6D">
              <w:rPr>
                <w:rFonts w:cs="Arial"/>
                <w:sz w:val="22"/>
                <w:szCs w:val="22"/>
              </w:rPr>
              <w:t>We regulate Network Rail by co</w:t>
            </w:r>
            <w:r>
              <w:rPr>
                <w:rFonts w:cs="Arial"/>
                <w:sz w:val="22"/>
                <w:szCs w:val="22"/>
              </w:rPr>
              <w:t>nducting five-yearly reviews (“Periodic R</w:t>
            </w:r>
            <w:r w:rsidRPr="000D1C6D">
              <w:rPr>
                <w:rFonts w:cs="Arial"/>
                <w:sz w:val="22"/>
                <w:szCs w:val="22"/>
              </w:rPr>
              <w:t xml:space="preserve">eviews”) </w:t>
            </w:r>
            <w:r w:rsidR="00795741">
              <w:rPr>
                <w:rFonts w:cs="Arial"/>
                <w:sz w:val="22"/>
                <w:szCs w:val="22"/>
              </w:rPr>
              <w:t>through which its funding is</w:t>
            </w:r>
            <w:r w:rsidR="00795741" w:rsidRPr="000D1C6D">
              <w:rPr>
                <w:rFonts w:cs="Arial"/>
                <w:sz w:val="22"/>
                <w:szCs w:val="22"/>
              </w:rPr>
              <w:t xml:space="preserve"> </w:t>
            </w:r>
            <w:r w:rsidRPr="000D1C6D">
              <w:rPr>
                <w:rFonts w:cs="Arial"/>
                <w:sz w:val="22"/>
                <w:szCs w:val="22"/>
              </w:rPr>
              <w:t xml:space="preserve">set </w:t>
            </w:r>
            <w:r w:rsidR="00795741">
              <w:rPr>
                <w:rFonts w:cs="Arial"/>
                <w:sz w:val="22"/>
                <w:szCs w:val="22"/>
              </w:rPr>
              <w:t xml:space="preserve">along with </w:t>
            </w:r>
            <w:r w:rsidRPr="000D1C6D">
              <w:rPr>
                <w:rFonts w:cs="Arial"/>
                <w:sz w:val="22"/>
                <w:szCs w:val="22"/>
              </w:rPr>
              <w:t>what it must achieve within each control period</w:t>
            </w:r>
            <w:r w:rsidR="009B5781">
              <w:rPr>
                <w:rFonts w:cs="Arial"/>
                <w:sz w:val="22"/>
                <w:szCs w:val="22"/>
              </w:rPr>
              <w:t xml:space="preserve">. </w:t>
            </w:r>
            <w:r w:rsidR="00915167">
              <w:rPr>
                <w:rFonts w:cs="Arial"/>
                <w:sz w:val="22"/>
                <w:szCs w:val="22"/>
              </w:rPr>
              <w:t>As part of the</w:t>
            </w:r>
            <w:r w:rsidR="00795741">
              <w:rPr>
                <w:rFonts w:cs="Arial"/>
                <w:sz w:val="22"/>
                <w:szCs w:val="22"/>
              </w:rPr>
              <w:t xml:space="preserve"> periodic review, we </w:t>
            </w:r>
            <w:r w:rsidR="009B5781">
              <w:rPr>
                <w:rFonts w:cs="Arial"/>
                <w:sz w:val="22"/>
                <w:szCs w:val="22"/>
              </w:rPr>
              <w:t xml:space="preserve">also </w:t>
            </w:r>
            <w:r w:rsidR="00795741">
              <w:rPr>
                <w:rFonts w:cs="Arial"/>
                <w:sz w:val="22"/>
                <w:szCs w:val="22"/>
              </w:rPr>
              <w:t xml:space="preserve">decide any changes to the framework for the charges that </w:t>
            </w:r>
            <w:r w:rsidRPr="000D1C6D">
              <w:rPr>
                <w:rFonts w:cs="Arial"/>
                <w:sz w:val="22"/>
                <w:szCs w:val="22"/>
              </w:rPr>
              <w:t>train operators pay Network Rail to use its network</w:t>
            </w:r>
            <w:r>
              <w:rPr>
                <w:rStyle w:val="FootnoteReference"/>
                <w:rFonts w:cs="Arial"/>
                <w:sz w:val="22"/>
                <w:szCs w:val="22"/>
              </w:rPr>
              <w:footnoteReference w:id="1"/>
            </w:r>
            <w:r w:rsidR="00FA7698">
              <w:rPr>
                <w:rFonts w:cs="Arial"/>
                <w:sz w:val="22"/>
                <w:szCs w:val="22"/>
              </w:rPr>
              <w:t>;</w:t>
            </w:r>
            <w:r w:rsidR="009B5781">
              <w:rPr>
                <w:rFonts w:cs="Arial"/>
                <w:sz w:val="22"/>
                <w:szCs w:val="22"/>
              </w:rPr>
              <w:t xml:space="preserve"> </w:t>
            </w:r>
            <w:r w:rsidR="00795741">
              <w:rPr>
                <w:rFonts w:cs="Arial"/>
                <w:sz w:val="22"/>
                <w:szCs w:val="22"/>
              </w:rPr>
              <w:t>the performance regime for unplanned disruption (known as Schedule 8)</w:t>
            </w:r>
            <w:r w:rsidR="009B5781">
              <w:rPr>
                <w:rFonts w:cs="Arial"/>
                <w:sz w:val="22"/>
                <w:szCs w:val="22"/>
              </w:rPr>
              <w:t>;</w:t>
            </w:r>
            <w:r w:rsidR="00795741">
              <w:rPr>
                <w:rFonts w:cs="Arial"/>
                <w:sz w:val="22"/>
                <w:szCs w:val="22"/>
              </w:rPr>
              <w:t xml:space="preserve"> and </w:t>
            </w:r>
            <w:r w:rsidR="002001D6">
              <w:rPr>
                <w:rFonts w:cs="Arial"/>
                <w:sz w:val="22"/>
                <w:szCs w:val="22"/>
              </w:rPr>
              <w:t xml:space="preserve">the possessions regime for </w:t>
            </w:r>
            <w:r w:rsidR="00795741">
              <w:rPr>
                <w:rFonts w:cs="Arial"/>
                <w:sz w:val="22"/>
                <w:szCs w:val="22"/>
              </w:rPr>
              <w:t>planned disruption (known as Schedule 4)</w:t>
            </w:r>
            <w:r w:rsidRPr="000D1C6D">
              <w:rPr>
                <w:rFonts w:cs="Arial"/>
                <w:sz w:val="22"/>
                <w:szCs w:val="22"/>
              </w:rPr>
              <w:t>.</w:t>
            </w:r>
            <w:r>
              <w:rPr>
                <w:rFonts w:cs="Arial"/>
                <w:sz w:val="22"/>
                <w:szCs w:val="22"/>
              </w:rPr>
              <w:t xml:space="preserve"> </w:t>
            </w:r>
            <w:r w:rsidR="009B5781">
              <w:rPr>
                <w:rFonts w:cs="Arial"/>
                <w:sz w:val="22"/>
                <w:szCs w:val="22"/>
              </w:rPr>
              <w:t>Our regulation is</w:t>
            </w:r>
            <w:r>
              <w:rPr>
                <w:rFonts w:cs="Arial"/>
                <w:sz w:val="22"/>
                <w:szCs w:val="22"/>
              </w:rPr>
              <w:t xml:space="preserve"> </w:t>
            </w:r>
            <w:r w:rsidRPr="000D1C6D">
              <w:rPr>
                <w:rFonts w:cs="Arial"/>
                <w:sz w:val="22"/>
                <w:szCs w:val="22"/>
              </w:rPr>
              <w:t>designed to</w:t>
            </w:r>
            <w:r>
              <w:rPr>
                <w:rFonts w:cs="Arial"/>
                <w:sz w:val="22"/>
                <w:szCs w:val="22"/>
              </w:rPr>
              <w:t xml:space="preserve"> </w:t>
            </w:r>
            <w:r w:rsidR="00CA19C5">
              <w:rPr>
                <w:rFonts w:cs="Arial"/>
                <w:sz w:val="22"/>
                <w:szCs w:val="22"/>
              </w:rPr>
              <w:t xml:space="preserve">provide effective </w:t>
            </w:r>
            <w:r w:rsidRPr="000D1C6D">
              <w:rPr>
                <w:rFonts w:cs="Arial"/>
                <w:sz w:val="22"/>
                <w:szCs w:val="22"/>
              </w:rPr>
              <w:t>incentiv</w:t>
            </w:r>
            <w:r w:rsidR="00CA19C5">
              <w:rPr>
                <w:rFonts w:cs="Arial"/>
                <w:sz w:val="22"/>
                <w:szCs w:val="22"/>
              </w:rPr>
              <w:t>es for</w:t>
            </w:r>
            <w:r w:rsidRPr="000D1C6D">
              <w:rPr>
                <w:rFonts w:cs="Arial"/>
                <w:sz w:val="22"/>
                <w:szCs w:val="22"/>
              </w:rPr>
              <w:t xml:space="preserve"> Network Rail </w:t>
            </w:r>
            <w:r>
              <w:rPr>
                <w:rFonts w:cs="Arial"/>
                <w:sz w:val="22"/>
                <w:szCs w:val="22"/>
              </w:rPr>
              <w:t xml:space="preserve">and train operators </w:t>
            </w:r>
            <w:r w:rsidRPr="000D1C6D">
              <w:rPr>
                <w:rFonts w:cs="Arial"/>
                <w:sz w:val="22"/>
                <w:szCs w:val="22"/>
              </w:rPr>
              <w:t xml:space="preserve">to make efficient use of </w:t>
            </w:r>
            <w:r>
              <w:rPr>
                <w:rFonts w:cs="Arial"/>
                <w:sz w:val="22"/>
                <w:szCs w:val="22"/>
              </w:rPr>
              <w:t xml:space="preserve">the </w:t>
            </w:r>
            <w:r w:rsidRPr="000D1C6D">
              <w:rPr>
                <w:rFonts w:cs="Arial"/>
                <w:sz w:val="22"/>
                <w:szCs w:val="22"/>
              </w:rPr>
              <w:t>network, and to improve performance for taxpayers and end users.</w:t>
            </w:r>
          </w:p>
          <w:p w14:paraId="3A24F1F7" w14:textId="00E4F3A1" w:rsidR="000D49CF" w:rsidRDefault="000D49CF" w:rsidP="000D49CF">
            <w:pPr>
              <w:rPr>
                <w:rFonts w:cs="Arial"/>
                <w:sz w:val="22"/>
                <w:szCs w:val="22"/>
              </w:rPr>
            </w:pPr>
            <w:r>
              <w:rPr>
                <w:rFonts w:cs="Arial"/>
                <w:sz w:val="22"/>
                <w:szCs w:val="22"/>
              </w:rPr>
              <w:t>We completed our most recent Periodic Review (PR18) in late 2018. Th</w:t>
            </w:r>
            <w:r w:rsidR="00FA7698">
              <w:rPr>
                <w:rFonts w:cs="Arial"/>
                <w:sz w:val="22"/>
                <w:szCs w:val="22"/>
              </w:rPr>
              <w:t>at</w:t>
            </w:r>
            <w:r>
              <w:rPr>
                <w:rFonts w:cs="Arial"/>
                <w:sz w:val="22"/>
                <w:szCs w:val="22"/>
              </w:rPr>
              <w:t xml:space="preserve"> review determined the </w:t>
            </w:r>
            <w:r w:rsidR="00795741">
              <w:rPr>
                <w:rFonts w:cs="Arial"/>
                <w:sz w:val="22"/>
                <w:szCs w:val="22"/>
              </w:rPr>
              <w:t>framework for</w:t>
            </w:r>
            <w:r>
              <w:rPr>
                <w:rFonts w:cs="Arial"/>
                <w:sz w:val="22"/>
                <w:szCs w:val="22"/>
              </w:rPr>
              <w:t xml:space="preserve"> Network Rail’s access charges and the performance </w:t>
            </w:r>
            <w:r w:rsidR="002001D6">
              <w:rPr>
                <w:rFonts w:cs="Arial"/>
                <w:sz w:val="22"/>
                <w:szCs w:val="22"/>
              </w:rPr>
              <w:t xml:space="preserve">and possessions </w:t>
            </w:r>
            <w:r>
              <w:rPr>
                <w:rFonts w:cs="Arial"/>
                <w:sz w:val="22"/>
                <w:szCs w:val="22"/>
              </w:rPr>
              <w:t>regime</w:t>
            </w:r>
            <w:r w:rsidR="002001D6">
              <w:rPr>
                <w:rFonts w:cs="Arial"/>
                <w:sz w:val="22"/>
                <w:szCs w:val="22"/>
              </w:rPr>
              <w:t>s,</w:t>
            </w:r>
            <w:r>
              <w:rPr>
                <w:rFonts w:cs="Arial"/>
                <w:sz w:val="22"/>
                <w:szCs w:val="22"/>
              </w:rPr>
              <w:t xml:space="preserve"> for </w:t>
            </w:r>
            <w:r w:rsidRPr="002803E9">
              <w:rPr>
                <w:rFonts w:cs="Arial"/>
                <w:sz w:val="22"/>
                <w:szCs w:val="22"/>
              </w:rPr>
              <w:t xml:space="preserve">the current control period (control period 6, or CP6, which runs from </w:t>
            </w:r>
            <w:r w:rsidR="00FA7698">
              <w:rPr>
                <w:rFonts w:cs="Arial"/>
                <w:sz w:val="22"/>
                <w:szCs w:val="22"/>
              </w:rPr>
              <w:t xml:space="preserve">1 </w:t>
            </w:r>
            <w:r w:rsidRPr="002803E9">
              <w:rPr>
                <w:rFonts w:cs="Arial"/>
                <w:sz w:val="22"/>
                <w:szCs w:val="22"/>
              </w:rPr>
              <w:t>April 2019 to 31 March 2024).</w:t>
            </w:r>
            <w:r>
              <w:rPr>
                <w:rFonts w:cs="Arial"/>
                <w:sz w:val="22"/>
                <w:szCs w:val="22"/>
              </w:rPr>
              <w:t xml:space="preserve"> </w:t>
            </w:r>
          </w:p>
          <w:p w14:paraId="1B17E8F2" w14:textId="6DF0EE13" w:rsidR="009B5781" w:rsidRDefault="00795741" w:rsidP="00B80508">
            <w:pPr>
              <w:rPr>
                <w:rFonts w:cs="Arial"/>
                <w:sz w:val="22"/>
                <w:szCs w:val="22"/>
              </w:rPr>
            </w:pPr>
            <w:r w:rsidRPr="002001D6">
              <w:rPr>
                <w:rFonts w:cs="Arial"/>
                <w:sz w:val="22"/>
                <w:szCs w:val="22"/>
              </w:rPr>
              <w:t>However, the industry is</w:t>
            </w:r>
            <w:r>
              <w:rPr>
                <w:rFonts w:cs="Arial"/>
                <w:sz w:val="22"/>
                <w:szCs w:val="22"/>
              </w:rPr>
              <w:t xml:space="preserve"> </w:t>
            </w:r>
            <w:r w:rsidR="002001D6">
              <w:rPr>
                <w:rFonts w:cs="Arial"/>
                <w:sz w:val="22"/>
                <w:szCs w:val="22"/>
              </w:rPr>
              <w:t xml:space="preserve">now </w:t>
            </w:r>
            <w:r w:rsidRPr="002001D6">
              <w:rPr>
                <w:rFonts w:cs="Arial"/>
                <w:sz w:val="22"/>
                <w:szCs w:val="22"/>
              </w:rPr>
              <w:t xml:space="preserve">very different from when ORR concluded this work. In </w:t>
            </w:r>
            <w:r w:rsidRPr="00795741">
              <w:rPr>
                <w:rFonts w:cs="Arial"/>
                <w:sz w:val="22"/>
                <w:szCs w:val="22"/>
              </w:rPr>
              <w:t>particular, as</w:t>
            </w:r>
            <w:r w:rsidRPr="002001D6">
              <w:rPr>
                <w:rFonts w:cs="Arial"/>
                <w:sz w:val="22"/>
                <w:szCs w:val="22"/>
              </w:rPr>
              <w:t xml:space="preserve"> a result of the large drop in passenger numbers and revenues from March</w:t>
            </w:r>
            <w:r w:rsidR="009B5781">
              <w:rPr>
                <w:rFonts w:cs="Arial"/>
                <w:sz w:val="22"/>
                <w:szCs w:val="22"/>
              </w:rPr>
              <w:t xml:space="preserve"> </w:t>
            </w:r>
            <w:r w:rsidRPr="002001D6">
              <w:rPr>
                <w:rFonts w:cs="Arial"/>
                <w:sz w:val="22"/>
                <w:szCs w:val="22"/>
              </w:rPr>
              <w:t>2020</w:t>
            </w:r>
            <w:r w:rsidR="002001D6">
              <w:rPr>
                <w:rFonts w:cs="Arial"/>
                <w:sz w:val="22"/>
                <w:szCs w:val="22"/>
              </w:rPr>
              <w:t xml:space="preserve"> </w:t>
            </w:r>
            <w:r w:rsidRPr="002001D6">
              <w:rPr>
                <w:rFonts w:cs="Arial"/>
                <w:sz w:val="22"/>
                <w:szCs w:val="22"/>
              </w:rPr>
              <w:t>due to Covid-19, franchising authorities have replaced most franchise agreements with ‘concession’-style</w:t>
            </w:r>
            <w:r>
              <w:rPr>
                <w:rFonts w:cs="Arial"/>
                <w:sz w:val="22"/>
                <w:szCs w:val="22"/>
              </w:rPr>
              <w:t xml:space="preserve"> </w:t>
            </w:r>
            <w:r w:rsidRPr="002001D6">
              <w:rPr>
                <w:rFonts w:cs="Arial"/>
                <w:sz w:val="22"/>
                <w:szCs w:val="22"/>
              </w:rPr>
              <w:t>contracts</w:t>
            </w:r>
            <w:r w:rsidR="009B5781">
              <w:rPr>
                <w:rStyle w:val="FootnoteReference"/>
                <w:rFonts w:cs="Arial"/>
                <w:sz w:val="22"/>
                <w:szCs w:val="22"/>
              </w:rPr>
              <w:footnoteReference w:id="2"/>
            </w:r>
            <w:r w:rsidR="009B5781">
              <w:rPr>
                <w:rFonts w:cs="Arial"/>
                <w:sz w:val="22"/>
                <w:szCs w:val="22"/>
              </w:rPr>
              <w:t xml:space="preserve">. </w:t>
            </w:r>
            <w:r w:rsidRPr="002001D6">
              <w:rPr>
                <w:rFonts w:cs="Arial"/>
                <w:sz w:val="22"/>
                <w:szCs w:val="22"/>
              </w:rPr>
              <w:t>Meanwhile, wider government rail reform is on</w:t>
            </w:r>
            <w:r w:rsidR="00915167">
              <w:rPr>
                <w:rFonts w:cs="Arial"/>
                <w:sz w:val="22"/>
                <w:szCs w:val="22"/>
              </w:rPr>
              <w:t>-</w:t>
            </w:r>
            <w:r w:rsidRPr="002001D6">
              <w:rPr>
                <w:rFonts w:cs="Arial"/>
                <w:sz w:val="22"/>
                <w:szCs w:val="22"/>
              </w:rPr>
              <w:t>going and is likely to promote greater alignment of</w:t>
            </w:r>
            <w:r>
              <w:rPr>
                <w:rFonts w:cs="Arial"/>
                <w:sz w:val="22"/>
                <w:szCs w:val="22"/>
              </w:rPr>
              <w:t xml:space="preserve"> </w:t>
            </w:r>
            <w:r w:rsidR="009B5781">
              <w:rPr>
                <w:rFonts w:cs="Arial"/>
                <w:sz w:val="22"/>
                <w:szCs w:val="22"/>
              </w:rPr>
              <w:t>incentives and co</w:t>
            </w:r>
            <w:r w:rsidR="00FA7698">
              <w:rPr>
                <w:rFonts w:cs="Arial"/>
                <w:sz w:val="22"/>
                <w:szCs w:val="22"/>
              </w:rPr>
              <w:t>-</w:t>
            </w:r>
            <w:r w:rsidRPr="002001D6">
              <w:rPr>
                <w:rFonts w:cs="Arial"/>
                <w:sz w:val="22"/>
                <w:szCs w:val="22"/>
              </w:rPr>
              <w:t>ordination between</w:t>
            </w:r>
            <w:r>
              <w:rPr>
                <w:rFonts w:cs="Arial"/>
                <w:sz w:val="22"/>
                <w:szCs w:val="22"/>
              </w:rPr>
              <w:t xml:space="preserve"> </w:t>
            </w:r>
            <w:r w:rsidR="009B5781">
              <w:rPr>
                <w:rFonts w:cs="Arial"/>
                <w:sz w:val="22"/>
                <w:szCs w:val="22"/>
              </w:rPr>
              <w:t>‘track and train’.</w:t>
            </w:r>
          </w:p>
          <w:p w14:paraId="2C9E5AA0" w14:textId="4EEA4942" w:rsidR="00B80508" w:rsidRDefault="00795741" w:rsidP="00B80508">
            <w:pPr>
              <w:rPr>
                <w:rFonts w:cs="Arial"/>
                <w:sz w:val="22"/>
                <w:szCs w:val="22"/>
              </w:rPr>
            </w:pPr>
            <w:r w:rsidRPr="002001D6">
              <w:rPr>
                <w:rFonts w:cs="Arial"/>
                <w:sz w:val="22"/>
                <w:szCs w:val="22"/>
              </w:rPr>
              <w:t>These changes raise a number of issues</w:t>
            </w:r>
            <w:r>
              <w:rPr>
                <w:rFonts w:cs="Arial"/>
                <w:sz w:val="22"/>
                <w:szCs w:val="22"/>
              </w:rPr>
              <w:t xml:space="preserve"> </w:t>
            </w:r>
            <w:r w:rsidRPr="002001D6">
              <w:rPr>
                <w:rFonts w:cs="Arial"/>
                <w:sz w:val="22"/>
                <w:szCs w:val="22"/>
              </w:rPr>
              <w:t>that we need to consider when thinking about the future</w:t>
            </w:r>
            <w:r>
              <w:rPr>
                <w:rFonts w:cs="Arial"/>
                <w:sz w:val="22"/>
                <w:szCs w:val="22"/>
              </w:rPr>
              <w:t xml:space="preserve"> of the regime</w:t>
            </w:r>
            <w:r w:rsidR="002001D6">
              <w:rPr>
                <w:rFonts w:cs="Arial"/>
                <w:sz w:val="22"/>
                <w:szCs w:val="22"/>
              </w:rPr>
              <w:t>s</w:t>
            </w:r>
            <w:r>
              <w:rPr>
                <w:rFonts w:cs="Arial"/>
                <w:sz w:val="22"/>
                <w:szCs w:val="22"/>
              </w:rPr>
              <w:t xml:space="preserve"> for </w:t>
            </w:r>
            <w:r w:rsidR="002001D6">
              <w:rPr>
                <w:rFonts w:cs="Arial"/>
                <w:sz w:val="22"/>
                <w:szCs w:val="22"/>
              </w:rPr>
              <w:t>charges and incentives</w:t>
            </w:r>
            <w:r>
              <w:rPr>
                <w:rFonts w:cs="Arial"/>
                <w:sz w:val="22"/>
                <w:szCs w:val="22"/>
              </w:rPr>
              <w:t>.</w:t>
            </w:r>
            <w:r w:rsidR="00B80508">
              <w:rPr>
                <w:rFonts w:cs="Arial"/>
                <w:sz w:val="22"/>
                <w:szCs w:val="22"/>
              </w:rPr>
              <w:t xml:space="preserve"> We will need to make decisions on these regimes </w:t>
            </w:r>
            <w:r w:rsidR="002001D6">
              <w:rPr>
                <w:rFonts w:cs="Arial"/>
                <w:sz w:val="22"/>
                <w:szCs w:val="22"/>
              </w:rPr>
              <w:t xml:space="preserve">ahead of </w:t>
            </w:r>
            <w:r w:rsidR="00B80508">
              <w:rPr>
                <w:rFonts w:cs="Arial"/>
                <w:sz w:val="22"/>
                <w:szCs w:val="22"/>
              </w:rPr>
              <w:t>the st</w:t>
            </w:r>
            <w:r w:rsidR="00621A0B">
              <w:rPr>
                <w:rFonts w:cs="Arial"/>
                <w:sz w:val="22"/>
                <w:szCs w:val="22"/>
              </w:rPr>
              <w:t>art of the next control period (</w:t>
            </w:r>
            <w:r w:rsidR="00B80508">
              <w:rPr>
                <w:rFonts w:cs="Arial"/>
                <w:sz w:val="22"/>
                <w:szCs w:val="22"/>
              </w:rPr>
              <w:t>CP7</w:t>
            </w:r>
            <w:r w:rsidR="00621A0B">
              <w:rPr>
                <w:rFonts w:cs="Arial"/>
                <w:sz w:val="22"/>
                <w:szCs w:val="22"/>
              </w:rPr>
              <w:t>)</w:t>
            </w:r>
            <w:r w:rsidR="00915167">
              <w:rPr>
                <w:rFonts w:cs="Arial"/>
                <w:sz w:val="22"/>
                <w:szCs w:val="22"/>
              </w:rPr>
              <w:t>,</w:t>
            </w:r>
            <w:r w:rsidR="00B80508">
              <w:rPr>
                <w:rFonts w:cs="Arial"/>
                <w:sz w:val="22"/>
                <w:szCs w:val="22"/>
              </w:rPr>
              <w:t xml:space="preserve"> as part of the </w:t>
            </w:r>
            <w:r w:rsidR="000D49CF">
              <w:rPr>
                <w:rFonts w:cs="Arial"/>
                <w:sz w:val="22"/>
                <w:szCs w:val="22"/>
              </w:rPr>
              <w:t>next Periodic Review of Network Rail (‘PR23’).</w:t>
            </w:r>
            <w:r w:rsidR="00B80508">
              <w:rPr>
                <w:rFonts w:cs="Arial"/>
                <w:sz w:val="22"/>
                <w:szCs w:val="22"/>
              </w:rPr>
              <w:t xml:space="preserve"> </w:t>
            </w:r>
            <w:r w:rsidR="00621A0B">
              <w:rPr>
                <w:rFonts w:cs="Arial"/>
                <w:sz w:val="22"/>
                <w:szCs w:val="22"/>
              </w:rPr>
              <w:t>W</w:t>
            </w:r>
            <w:r w:rsidR="00B80508">
              <w:rPr>
                <w:rFonts w:cs="Arial"/>
                <w:sz w:val="22"/>
                <w:szCs w:val="22"/>
              </w:rPr>
              <w:t xml:space="preserve">e also need to align our work with the pace of change in industry, in particular the development of </w:t>
            </w:r>
            <w:r w:rsidR="009B5781">
              <w:rPr>
                <w:rFonts w:cs="Arial"/>
                <w:sz w:val="22"/>
                <w:szCs w:val="22"/>
              </w:rPr>
              <w:t xml:space="preserve">the </w:t>
            </w:r>
            <w:r w:rsidR="00B80508">
              <w:rPr>
                <w:rFonts w:cs="Arial"/>
                <w:sz w:val="22"/>
                <w:szCs w:val="22"/>
              </w:rPr>
              <w:t>long</w:t>
            </w:r>
            <w:r w:rsidR="009B5781">
              <w:rPr>
                <w:rFonts w:cs="Arial"/>
                <w:sz w:val="22"/>
                <w:szCs w:val="22"/>
              </w:rPr>
              <w:t>er-</w:t>
            </w:r>
            <w:r w:rsidR="00B80508">
              <w:rPr>
                <w:rFonts w:cs="Arial"/>
                <w:sz w:val="22"/>
                <w:szCs w:val="22"/>
              </w:rPr>
              <w:t xml:space="preserve">term replacement </w:t>
            </w:r>
            <w:r w:rsidR="009B5781">
              <w:rPr>
                <w:rFonts w:cs="Arial"/>
                <w:sz w:val="22"/>
                <w:szCs w:val="22"/>
              </w:rPr>
              <w:t>for</w:t>
            </w:r>
            <w:r w:rsidR="00E32C58">
              <w:rPr>
                <w:rFonts w:cs="Arial"/>
                <w:sz w:val="22"/>
                <w:szCs w:val="22"/>
              </w:rPr>
              <w:t xml:space="preserve"> the current </w:t>
            </w:r>
            <w:r w:rsidR="009B5781">
              <w:rPr>
                <w:rFonts w:cs="Arial"/>
                <w:sz w:val="22"/>
                <w:szCs w:val="22"/>
              </w:rPr>
              <w:t>E</w:t>
            </w:r>
            <w:r w:rsidR="00B80508">
              <w:rPr>
                <w:rFonts w:cs="Arial"/>
                <w:sz w:val="22"/>
                <w:szCs w:val="22"/>
              </w:rPr>
              <w:t>RMA contracts</w:t>
            </w:r>
            <w:r w:rsidR="009B5781">
              <w:rPr>
                <w:rFonts w:cs="Arial"/>
                <w:sz w:val="22"/>
                <w:szCs w:val="22"/>
              </w:rPr>
              <w:t xml:space="preserve"> put in place by DfT</w:t>
            </w:r>
            <w:r w:rsidR="00B80508">
              <w:rPr>
                <w:rFonts w:cs="Arial"/>
                <w:sz w:val="22"/>
                <w:szCs w:val="22"/>
              </w:rPr>
              <w:t>.</w:t>
            </w:r>
          </w:p>
          <w:p w14:paraId="7F668B8C" w14:textId="09C532E5" w:rsidR="00B80508" w:rsidRDefault="00B80508" w:rsidP="00B80508">
            <w:pPr>
              <w:rPr>
                <w:rFonts w:cs="Arial"/>
                <w:sz w:val="22"/>
                <w:szCs w:val="22"/>
              </w:rPr>
            </w:pPr>
            <w:r>
              <w:rPr>
                <w:rFonts w:cs="Arial"/>
                <w:sz w:val="22"/>
                <w:szCs w:val="22"/>
              </w:rPr>
              <w:t>In o</w:t>
            </w:r>
            <w:r w:rsidR="009B5781">
              <w:rPr>
                <w:rFonts w:cs="Arial"/>
                <w:sz w:val="22"/>
                <w:szCs w:val="22"/>
              </w:rPr>
              <w:t>rder to support our work in these</w:t>
            </w:r>
            <w:r>
              <w:rPr>
                <w:rFonts w:cs="Arial"/>
                <w:sz w:val="22"/>
                <w:szCs w:val="22"/>
              </w:rPr>
              <w:t xml:space="preserve"> area</w:t>
            </w:r>
            <w:r w:rsidR="009B5781">
              <w:rPr>
                <w:rFonts w:cs="Arial"/>
                <w:sz w:val="22"/>
                <w:szCs w:val="22"/>
              </w:rPr>
              <w:t>s,</w:t>
            </w:r>
            <w:r>
              <w:rPr>
                <w:rFonts w:cs="Arial"/>
                <w:sz w:val="22"/>
                <w:szCs w:val="22"/>
              </w:rPr>
              <w:t xml:space="preserve"> we </w:t>
            </w:r>
            <w:r w:rsidR="000D49CF">
              <w:rPr>
                <w:rFonts w:cs="Arial"/>
                <w:sz w:val="22"/>
                <w:szCs w:val="22"/>
              </w:rPr>
              <w:t xml:space="preserve">require consultancy support in respect </w:t>
            </w:r>
            <w:r w:rsidR="000D49CF" w:rsidRPr="00915167">
              <w:rPr>
                <w:rFonts w:cs="Arial"/>
                <w:sz w:val="22"/>
                <w:szCs w:val="22"/>
              </w:rPr>
              <w:t xml:space="preserve">of </w:t>
            </w:r>
            <w:r w:rsidR="00621A0B" w:rsidRPr="00915167">
              <w:rPr>
                <w:rFonts w:cs="Arial"/>
                <w:sz w:val="22"/>
                <w:szCs w:val="22"/>
              </w:rPr>
              <w:t>two</w:t>
            </w:r>
            <w:r w:rsidRPr="00915167">
              <w:rPr>
                <w:rFonts w:cs="Arial"/>
                <w:sz w:val="22"/>
                <w:szCs w:val="22"/>
              </w:rPr>
              <w:t xml:space="preserve"> </w:t>
            </w:r>
            <w:r w:rsidR="000D49CF" w:rsidRPr="00915167">
              <w:rPr>
                <w:rFonts w:cs="Arial"/>
                <w:sz w:val="22"/>
                <w:szCs w:val="22"/>
              </w:rPr>
              <w:t>specific</w:t>
            </w:r>
            <w:r w:rsidR="000D49CF">
              <w:rPr>
                <w:rFonts w:cs="Arial"/>
                <w:sz w:val="22"/>
                <w:szCs w:val="22"/>
              </w:rPr>
              <w:t xml:space="preserve"> workstreams</w:t>
            </w:r>
            <w:r>
              <w:rPr>
                <w:rFonts w:cs="Arial"/>
                <w:sz w:val="22"/>
                <w:szCs w:val="22"/>
              </w:rPr>
              <w:t>:</w:t>
            </w:r>
            <w:r w:rsidR="000D49CF">
              <w:rPr>
                <w:rFonts w:cs="Arial"/>
                <w:sz w:val="22"/>
                <w:szCs w:val="22"/>
              </w:rPr>
              <w:t xml:space="preserve"> </w:t>
            </w:r>
          </w:p>
          <w:p w14:paraId="478060A7" w14:textId="6EE2B0FD" w:rsidR="00B80508" w:rsidRDefault="00E15FA9" w:rsidP="002001D6">
            <w:pPr>
              <w:ind w:left="720"/>
              <w:rPr>
                <w:rFonts w:cs="Arial"/>
                <w:sz w:val="22"/>
                <w:szCs w:val="22"/>
              </w:rPr>
            </w:pPr>
            <w:r>
              <w:rPr>
                <w:rFonts w:cs="Arial"/>
                <w:sz w:val="22"/>
                <w:szCs w:val="22"/>
              </w:rPr>
              <w:t xml:space="preserve">(i) </w:t>
            </w:r>
            <w:r w:rsidR="002001D6">
              <w:rPr>
                <w:rFonts w:cs="Arial"/>
                <w:sz w:val="22"/>
                <w:szCs w:val="22"/>
              </w:rPr>
              <w:t>the performance and possessions regimes</w:t>
            </w:r>
            <w:r>
              <w:rPr>
                <w:rFonts w:cs="Arial"/>
                <w:sz w:val="22"/>
                <w:szCs w:val="22"/>
              </w:rPr>
              <w:t xml:space="preserve">; and </w:t>
            </w:r>
          </w:p>
          <w:p w14:paraId="02EF97E5" w14:textId="28FE86A6" w:rsidR="00A347E2" w:rsidRDefault="00E15FA9" w:rsidP="002001D6">
            <w:pPr>
              <w:ind w:left="720"/>
              <w:rPr>
                <w:rFonts w:cs="Arial"/>
                <w:sz w:val="22"/>
                <w:szCs w:val="22"/>
              </w:rPr>
            </w:pPr>
            <w:r>
              <w:rPr>
                <w:rFonts w:cs="Arial"/>
                <w:sz w:val="22"/>
                <w:szCs w:val="22"/>
              </w:rPr>
              <w:t>(ii) access charges</w:t>
            </w:r>
            <w:r w:rsidR="00A347E2">
              <w:rPr>
                <w:rFonts w:cs="Arial"/>
                <w:sz w:val="22"/>
                <w:szCs w:val="22"/>
              </w:rPr>
              <w:t xml:space="preserve">. </w:t>
            </w:r>
          </w:p>
          <w:p w14:paraId="44CBB1DB" w14:textId="61BB9739" w:rsidR="00C73BAB" w:rsidRDefault="00B11EE0" w:rsidP="00A347E2">
            <w:pPr>
              <w:rPr>
                <w:rFonts w:cs="Arial"/>
                <w:sz w:val="22"/>
                <w:szCs w:val="22"/>
              </w:rPr>
            </w:pPr>
            <w:r>
              <w:rPr>
                <w:rFonts w:cs="Arial"/>
                <w:sz w:val="22"/>
                <w:szCs w:val="22"/>
              </w:rPr>
              <w:t>The</w:t>
            </w:r>
            <w:r w:rsidR="000D49CF">
              <w:rPr>
                <w:rFonts w:cs="Arial"/>
                <w:sz w:val="22"/>
                <w:szCs w:val="22"/>
              </w:rPr>
              <w:t>se</w:t>
            </w:r>
            <w:r>
              <w:rPr>
                <w:rFonts w:cs="Arial"/>
                <w:sz w:val="22"/>
                <w:szCs w:val="22"/>
              </w:rPr>
              <w:t xml:space="preserve"> </w:t>
            </w:r>
            <w:r w:rsidR="00E15FA9">
              <w:rPr>
                <w:rFonts w:cs="Arial"/>
                <w:sz w:val="22"/>
                <w:szCs w:val="22"/>
              </w:rPr>
              <w:t xml:space="preserve">two </w:t>
            </w:r>
            <w:r>
              <w:rPr>
                <w:rFonts w:cs="Arial"/>
                <w:sz w:val="22"/>
                <w:szCs w:val="22"/>
              </w:rPr>
              <w:t xml:space="preserve">workstreams are </w:t>
            </w:r>
            <w:r w:rsidRPr="003A6008">
              <w:rPr>
                <w:rFonts w:cs="Arial"/>
                <w:sz w:val="22"/>
                <w:szCs w:val="22"/>
              </w:rPr>
              <w:t xml:space="preserve">being led by ORR’s </w:t>
            </w:r>
            <w:r>
              <w:rPr>
                <w:rFonts w:cs="Arial"/>
                <w:sz w:val="22"/>
                <w:szCs w:val="22"/>
              </w:rPr>
              <w:t xml:space="preserve">Economics, Markets &amp; Strategy </w:t>
            </w:r>
            <w:r w:rsidRPr="003A6008">
              <w:rPr>
                <w:rFonts w:cs="Arial"/>
                <w:sz w:val="22"/>
                <w:szCs w:val="22"/>
              </w:rPr>
              <w:t xml:space="preserve">directorate, which is the organisation’s centre of expertise for economic and financial analysis of the railways. </w:t>
            </w:r>
            <w:r>
              <w:rPr>
                <w:rFonts w:cs="Arial"/>
                <w:sz w:val="22"/>
                <w:szCs w:val="22"/>
              </w:rPr>
              <w:t xml:space="preserve">The work also has </w:t>
            </w:r>
            <w:r w:rsidRPr="003A6008">
              <w:rPr>
                <w:rFonts w:cs="Arial"/>
                <w:sz w:val="22"/>
                <w:szCs w:val="22"/>
              </w:rPr>
              <w:t xml:space="preserve">input from ORR’s Railway Planning and Performance directorate, which monitors and holds Network Rail to account </w:t>
            </w:r>
            <w:r>
              <w:rPr>
                <w:rFonts w:cs="Arial"/>
                <w:sz w:val="22"/>
                <w:szCs w:val="22"/>
              </w:rPr>
              <w:t>for its performance</w:t>
            </w:r>
            <w:r w:rsidRPr="003A6008">
              <w:rPr>
                <w:rFonts w:cs="Arial"/>
                <w:sz w:val="22"/>
                <w:szCs w:val="22"/>
              </w:rPr>
              <w:t>.</w:t>
            </w:r>
          </w:p>
          <w:p w14:paraId="78C4A68D" w14:textId="73D3EB01" w:rsidR="00E15FA9" w:rsidRDefault="00EC037B" w:rsidP="00E863B4">
            <w:pPr>
              <w:rPr>
                <w:rFonts w:cs="Arial"/>
                <w:sz w:val="22"/>
                <w:szCs w:val="22"/>
              </w:rPr>
            </w:pPr>
            <w:r>
              <w:rPr>
                <w:rFonts w:cs="Arial"/>
                <w:sz w:val="22"/>
                <w:szCs w:val="22"/>
              </w:rPr>
              <w:lastRenderedPageBreak/>
              <w:t>Some f</w:t>
            </w:r>
            <w:r w:rsidR="00E15FA9">
              <w:rPr>
                <w:rFonts w:cs="Arial"/>
                <w:sz w:val="22"/>
                <w:szCs w:val="22"/>
              </w:rPr>
              <w:t xml:space="preserve">urther </w:t>
            </w:r>
            <w:r>
              <w:rPr>
                <w:rFonts w:cs="Arial"/>
                <w:sz w:val="22"/>
                <w:szCs w:val="22"/>
              </w:rPr>
              <w:t xml:space="preserve">background </w:t>
            </w:r>
            <w:r w:rsidR="00E96912">
              <w:rPr>
                <w:rFonts w:cs="Arial"/>
                <w:sz w:val="22"/>
                <w:szCs w:val="22"/>
              </w:rPr>
              <w:t xml:space="preserve">about each </w:t>
            </w:r>
            <w:r w:rsidR="00E15FA9">
              <w:rPr>
                <w:rFonts w:cs="Arial"/>
                <w:sz w:val="22"/>
                <w:szCs w:val="22"/>
              </w:rPr>
              <w:t>workstream is set out below.</w:t>
            </w:r>
          </w:p>
          <w:p w14:paraId="59A51A71" w14:textId="77777777" w:rsidR="009B5781" w:rsidRDefault="00F374A5" w:rsidP="00A97F5B">
            <w:pPr>
              <w:rPr>
                <w:rFonts w:cs="Arial"/>
                <w:b/>
                <w:sz w:val="22"/>
                <w:szCs w:val="22"/>
              </w:rPr>
            </w:pPr>
            <w:r>
              <w:rPr>
                <w:rFonts w:cs="Arial"/>
                <w:b/>
                <w:sz w:val="22"/>
                <w:szCs w:val="22"/>
              </w:rPr>
              <w:t xml:space="preserve">ORR’s </w:t>
            </w:r>
            <w:r w:rsidR="002001D6">
              <w:rPr>
                <w:rFonts w:cs="Arial"/>
                <w:b/>
                <w:sz w:val="22"/>
                <w:szCs w:val="22"/>
              </w:rPr>
              <w:t>Review of the per</w:t>
            </w:r>
            <w:r w:rsidR="009B5781">
              <w:rPr>
                <w:rFonts w:cs="Arial"/>
                <w:b/>
                <w:sz w:val="22"/>
                <w:szCs w:val="22"/>
              </w:rPr>
              <w:t>formance and possessions regimes</w:t>
            </w:r>
          </w:p>
          <w:p w14:paraId="745AFC0E" w14:textId="7DA97501" w:rsidR="00B80508" w:rsidRPr="00404B9F" w:rsidRDefault="009B5781" w:rsidP="00A97F5B">
            <w:pPr>
              <w:rPr>
                <w:rFonts w:cs="Arial"/>
                <w:b/>
                <w:sz w:val="22"/>
                <w:szCs w:val="22"/>
                <w:u w:val="single"/>
              </w:rPr>
            </w:pPr>
            <w:r w:rsidRPr="00404B9F">
              <w:rPr>
                <w:rFonts w:cs="Arial"/>
                <w:i/>
                <w:sz w:val="22"/>
                <w:szCs w:val="22"/>
                <w:u w:val="single"/>
              </w:rPr>
              <w:t>Performance r</w:t>
            </w:r>
            <w:r w:rsidR="002001D6" w:rsidRPr="00404B9F">
              <w:rPr>
                <w:rFonts w:cs="Arial"/>
                <w:i/>
                <w:sz w:val="22"/>
                <w:szCs w:val="22"/>
                <w:u w:val="single"/>
              </w:rPr>
              <w:t>egime (</w:t>
            </w:r>
            <w:r w:rsidR="00F374A5" w:rsidRPr="00404B9F">
              <w:rPr>
                <w:rFonts w:cs="Arial"/>
                <w:i/>
                <w:sz w:val="22"/>
                <w:szCs w:val="22"/>
                <w:u w:val="single"/>
              </w:rPr>
              <w:t>‘</w:t>
            </w:r>
            <w:r w:rsidR="00B80508" w:rsidRPr="00404B9F">
              <w:rPr>
                <w:rFonts w:cs="Arial"/>
                <w:i/>
                <w:sz w:val="22"/>
                <w:szCs w:val="22"/>
                <w:u w:val="single"/>
              </w:rPr>
              <w:t>Schedule 8</w:t>
            </w:r>
            <w:r w:rsidR="00F374A5" w:rsidRPr="00404B9F">
              <w:rPr>
                <w:rFonts w:cs="Arial"/>
                <w:i/>
                <w:sz w:val="22"/>
                <w:szCs w:val="22"/>
                <w:u w:val="single"/>
              </w:rPr>
              <w:t>’</w:t>
            </w:r>
            <w:r w:rsidR="002001D6" w:rsidRPr="00404B9F">
              <w:rPr>
                <w:rFonts w:cs="Arial"/>
                <w:i/>
                <w:sz w:val="22"/>
                <w:szCs w:val="22"/>
                <w:u w:val="single"/>
              </w:rPr>
              <w:t>)</w:t>
            </w:r>
          </w:p>
          <w:p w14:paraId="278CEBC4" w14:textId="21F83676" w:rsidR="00776365" w:rsidRDefault="00776365" w:rsidP="00A97F5B">
            <w:pPr>
              <w:rPr>
                <w:rFonts w:cs="Arial"/>
                <w:sz w:val="22"/>
                <w:szCs w:val="22"/>
              </w:rPr>
            </w:pPr>
            <w:r>
              <w:rPr>
                <w:rFonts w:cs="Arial"/>
                <w:sz w:val="22"/>
                <w:szCs w:val="22"/>
              </w:rPr>
              <w:t xml:space="preserve">The performance regime, contained within Schedule 8 of track access contracts, contains financial incentives to encourage Network Rail and operators to promote punctuality and reliability. The regime works on the basis of benchmarked levels of performance, with Network Rail and train operators paying penalties (or conversely receiving bonuses) if </w:t>
            </w:r>
            <w:r w:rsidR="00621A0B">
              <w:rPr>
                <w:rFonts w:cs="Arial"/>
                <w:sz w:val="22"/>
                <w:szCs w:val="22"/>
              </w:rPr>
              <w:t>actual performance is above (or below</w:t>
            </w:r>
            <w:r>
              <w:rPr>
                <w:rFonts w:cs="Arial"/>
                <w:sz w:val="22"/>
                <w:szCs w:val="22"/>
              </w:rPr>
              <w:t xml:space="preserve">) the benchmarked level of delay. The regime is designed to provide protection to train operators against unplanned disruption that is outside their own control. In so doing, it also provides financial incentives to Network Rail and to train operators to minimise the disruption they cause to (other) parties. </w:t>
            </w:r>
          </w:p>
          <w:p w14:paraId="1D60D017" w14:textId="487B1206" w:rsidR="00A97F5B" w:rsidRDefault="00621A0B" w:rsidP="00A97F5B">
            <w:pPr>
              <w:rPr>
                <w:rFonts w:cs="Arial"/>
                <w:sz w:val="22"/>
                <w:szCs w:val="22"/>
              </w:rPr>
            </w:pPr>
            <w:r>
              <w:rPr>
                <w:rFonts w:cs="Arial"/>
                <w:sz w:val="22"/>
                <w:szCs w:val="22"/>
              </w:rPr>
              <w:t xml:space="preserve">The work on the performance regime is the next phase of </w:t>
            </w:r>
            <w:r w:rsidR="00A97F5B">
              <w:rPr>
                <w:rFonts w:cs="Arial"/>
                <w:sz w:val="22"/>
                <w:szCs w:val="22"/>
              </w:rPr>
              <w:t>ORR’s review of train performance incentives</w:t>
            </w:r>
            <w:r>
              <w:rPr>
                <w:rFonts w:cs="Arial"/>
                <w:sz w:val="22"/>
                <w:szCs w:val="22"/>
              </w:rPr>
              <w:t>, which</w:t>
            </w:r>
            <w:r w:rsidR="00A97F5B">
              <w:rPr>
                <w:rFonts w:cs="Arial"/>
                <w:sz w:val="22"/>
                <w:szCs w:val="22"/>
              </w:rPr>
              <w:t xml:space="preserve"> aims to optimise incentives to encourage a high performing railway. </w:t>
            </w:r>
            <w:r w:rsidR="00A97F5B" w:rsidRPr="00F420E1">
              <w:rPr>
                <w:rFonts w:cs="Arial"/>
                <w:sz w:val="22"/>
                <w:szCs w:val="22"/>
              </w:rPr>
              <w:t xml:space="preserve">We started the review in January 2020 </w:t>
            </w:r>
            <w:r w:rsidR="00A97F5B">
              <w:rPr>
                <w:rFonts w:cs="Arial"/>
                <w:sz w:val="22"/>
                <w:szCs w:val="22"/>
              </w:rPr>
              <w:t xml:space="preserve">with a </w:t>
            </w:r>
            <w:hyperlink r:id="rId10" w:history="1">
              <w:r w:rsidR="00A97F5B" w:rsidRPr="00F420E1">
                <w:rPr>
                  <w:rStyle w:val="Hyperlink"/>
                  <w:rFonts w:cs="Arial"/>
                  <w:sz w:val="22"/>
                  <w:szCs w:val="22"/>
                </w:rPr>
                <w:t>launch letter to the industry</w:t>
              </w:r>
            </w:hyperlink>
            <w:r w:rsidR="00A97F5B">
              <w:rPr>
                <w:rFonts w:cs="Arial"/>
                <w:sz w:val="22"/>
                <w:szCs w:val="22"/>
              </w:rPr>
              <w:t xml:space="preserve">. Since this time, the consultancy SYSTRA has carried </w:t>
            </w:r>
            <w:r w:rsidR="00A97F5B" w:rsidRPr="00F420E1">
              <w:rPr>
                <w:rFonts w:cs="Arial"/>
                <w:sz w:val="22"/>
                <w:szCs w:val="22"/>
              </w:rPr>
              <w:t>out research on our behalf into what influences decisions</w:t>
            </w:r>
            <w:r w:rsidR="00776365">
              <w:rPr>
                <w:rFonts w:cs="Arial"/>
                <w:sz w:val="22"/>
                <w:szCs w:val="22"/>
              </w:rPr>
              <w:t xml:space="preserve"> that affect train performance, including consideration of Schedule 8. </w:t>
            </w:r>
          </w:p>
          <w:p w14:paraId="1448CDF2" w14:textId="6A631112" w:rsidR="00A97F5B" w:rsidRDefault="00776365" w:rsidP="00A97F5B">
            <w:pPr>
              <w:rPr>
                <w:rFonts w:cs="Arial"/>
                <w:sz w:val="22"/>
                <w:szCs w:val="22"/>
              </w:rPr>
            </w:pPr>
            <w:r>
              <w:rPr>
                <w:rFonts w:cs="Arial"/>
                <w:sz w:val="22"/>
                <w:szCs w:val="22"/>
              </w:rPr>
              <w:t xml:space="preserve">Now, in </w:t>
            </w:r>
            <w:r w:rsidR="00A97F5B">
              <w:rPr>
                <w:rFonts w:cs="Arial"/>
                <w:sz w:val="22"/>
                <w:szCs w:val="22"/>
              </w:rPr>
              <w:t xml:space="preserve">the months ahead we plan to start to develop options for reform of </w:t>
            </w:r>
            <w:r>
              <w:rPr>
                <w:rFonts w:cs="Arial"/>
                <w:sz w:val="22"/>
                <w:szCs w:val="22"/>
              </w:rPr>
              <w:t xml:space="preserve">the performance regime </w:t>
            </w:r>
            <w:r w:rsidR="00A97F5B">
              <w:rPr>
                <w:rFonts w:cs="Arial"/>
                <w:sz w:val="22"/>
                <w:szCs w:val="22"/>
              </w:rPr>
              <w:t xml:space="preserve">and are seeking consultancy support for this work. </w:t>
            </w:r>
            <w:r>
              <w:rPr>
                <w:rFonts w:cs="Arial"/>
                <w:sz w:val="22"/>
                <w:szCs w:val="22"/>
              </w:rPr>
              <w:t xml:space="preserve">We updated the industry regarding these plans in an </w:t>
            </w:r>
            <w:hyperlink r:id="rId11" w:history="1">
              <w:r w:rsidRPr="00776365">
                <w:rPr>
                  <w:rStyle w:val="Hyperlink"/>
                  <w:rFonts w:cs="Arial"/>
                  <w:sz w:val="22"/>
                  <w:szCs w:val="22"/>
                </w:rPr>
                <w:t>update letter</w:t>
              </w:r>
            </w:hyperlink>
            <w:r>
              <w:rPr>
                <w:rFonts w:cs="Arial"/>
                <w:sz w:val="22"/>
                <w:szCs w:val="22"/>
              </w:rPr>
              <w:t xml:space="preserve"> in late October, </w:t>
            </w:r>
            <w:r w:rsidR="00FA7698">
              <w:rPr>
                <w:rFonts w:cs="Arial"/>
                <w:sz w:val="22"/>
                <w:szCs w:val="22"/>
              </w:rPr>
              <w:t>and</w:t>
            </w:r>
            <w:r>
              <w:rPr>
                <w:rFonts w:cs="Arial"/>
                <w:sz w:val="22"/>
                <w:szCs w:val="22"/>
              </w:rPr>
              <w:t xml:space="preserve"> also </w:t>
            </w:r>
            <w:hyperlink r:id="rId12" w:history="1">
              <w:r w:rsidRPr="00776365">
                <w:rPr>
                  <w:rStyle w:val="Hyperlink"/>
                  <w:rFonts w:cs="Arial"/>
                  <w:sz w:val="22"/>
                  <w:szCs w:val="22"/>
                </w:rPr>
                <w:t>published the SYSTRA reports</w:t>
              </w:r>
            </w:hyperlink>
            <w:r>
              <w:rPr>
                <w:rFonts w:cs="Arial"/>
                <w:sz w:val="22"/>
                <w:szCs w:val="22"/>
              </w:rPr>
              <w:t xml:space="preserve">. </w:t>
            </w:r>
          </w:p>
          <w:p w14:paraId="7478F1CB" w14:textId="0D2DCBC6" w:rsidR="00776365" w:rsidRDefault="00FA7698" w:rsidP="00776365">
            <w:pPr>
              <w:rPr>
                <w:rFonts w:cs="Arial"/>
                <w:sz w:val="22"/>
                <w:szCs w:val="22"/>
              </w:rPr>
            </w:pPr>
            <w:r w:rsidRPr="00161013">
              <w:rPr>
                <w:rFonts w:cs="Arial"/>
                <w:sz w:val="22"/>
                <w:szCs w:val="22"/>
              </w:rPr>
              <w:t xml:space="preserve">The </w:t>
            </w:r>
            <w:r w:rsidR="00161013">
              <w:rPr>
                <w:rFonts w:cs="Arial"/>
                <w:sz w:val="22"/>
                <w:szCs w:val="22"/>
              </w:rPr>
              <w:t xml:space="preserve">recent and ongoing </w:t>
            </w:r>
            <w:r w:rsidRPr="00161013">
              <w:rPr>
                <w:rFonts w:cs="Arial"/>
                <w:sz w:val="22"/>
                <w:szCs w:val="22"/>
              </w:rPr>
              <w:t xml:space="preserve">industry </w:t>
            </w:r>
            <w:r w:rsidR="00776365" w:rsidRPr="00161013">
              <w:rPr>
                <w:rFonts w:cs="Arial"/>
                <w:sz w:val="22"/>
                <w:szCs w:val="22"/>
              </w:rPr>
              <w:t>changes raise a number of issues that we need to consider when thinking about the future performance regime:</w:t>
            </w:r>
            <w:r w:rsidR="00776365">
              <w:rPr>
                <w:rFonts w:cs="Arial"/>
                <w:sz w:val="22"/>
                <w:szCs w:val="22"/>
              </w:rPr>
              <w:t xml:space="preserve"> </w:t>
            </w:r>
          </w:p>
          <w:p w14:paraId="08CE31F3" w14:textId="594790E2" w:rsidR="00621A0B" w:rsidRDefault="00621A0B" w:rsidP="00621A0B">
            <w:pPr>
              <w:pStyle w:val="ListParagraph"/>
              <w:numPr>
                <w:ilvl w:val="0"/>
                <w:numId w:val="31"/>
              </w:numPr>
              <w:rPr>
                <w:rFonts w:cs="Arial"/>
                <w:sz w:val="22"/>
                <w:szCs w:val="22"/>
              </w:rPr>
            </w:pPr>
            <w:r w:rsidRPr="00776365">
              <w:rPr>
                <w:rFonts w:cs="Arial"/>
                <w:sz w:val="22"/>
                <w:szCs w:val="22"/>
              </w:rPr>
              <w:t xml:space="preserve">A current objective of Schedule 8 is to compensate operators for revenue losses from disruption outside of their control. However, under </w:t>
            </w:r>
            <w:r w:rsidR="00FA7698">
              <w:rPr>
                <w:rFonts w:cs="Arial"/>
                <w:sz w:val="22"/>
                <w:szCs w:val="22"/>
              </w:rPr>
              <w:t>‘</w:t>
            </w:r>
            <w:r w:rsidRPr="00776365">
              <w:rPr>
                <w:rFonts w:cs="Arial"/>
                <w:sz w:val="22"/>
                <w:szCs w:val="22"/>
              </w:rPr>
              <w:t>concession</w:t>
            </w:r>
            <w:r w:rsidR="00FA7698">
              <w:rPr>
                <w:rFonts w:cs="Arial"/>
                <w:sz w:val="22"/>
                <w:szCs w:val="22"/>
              </w:rPr>
              <w:t>’</w:t>
            </w:r>
            <w:r>
              <w:rPr>
                <w:rFonts w:cs="Arial"/>
                <w:sz w:val="22"/>
                <w:szCs w:val="22"/>
              </w:rPr>
              <w:t>-</w:t>
            </w:r>
            <w:r w:rsidRPr="00776365">
              <w:rPr>
                <w:rFonts w:cs="Arial"/>
                <w:sz w:val="22"/>
                <w:szCs w:val="22"/>
              </w:rPr>
              <w:t>style agreements, revenue risk and exposure to Schedule 8 are likely to sit with franchising bodies rather tha</w:t>
            </w:r>
            <w:r>
              <w:rPr>
                <w:rFonts w:cs="Arial"/>
                <w:sz w:val="22"/>
                <w:szCs w:val="22"/>
              </w:rPr>
              <w:t xml:space="preserve">n TOCs. </w:t>
            </w:r>
          </w:p>
          <w:p w14:paraId="695EF59E" w14:textId="77777777" w:rsidR="00621A0B" w:rsidRPr="00776365" w:rsidRDefault="00621A0B" w:rsidP="00621A0B">
            <w:pPr>
              <w:pStyle w:val="ListParagraph"/>
              <w:numPr>
                <w:ilvl w:val="0"/>
                <w:numId w:val="31"/>
              </w:numPr>
              <w:rPr>
                <w:rFonts w:cs="Arial"/>
                <w:sz w:val="22"/>
                <w:szCs w:val="22"/>
              </w:rPr>
            </w:pPr>
            <w:r w:rsidRPr="00776365">
              <w:rPr>
                <w:rFonts w:cs="Arial"/>
                <w:sz w:val="22"/>
                <w:szCs w:val="22"/>
              </w:rPr>
              <w:t>At the same time, there will remain users of the network, for example freight and open access operators that are exposed to revenue risk. In addition, franchising bodies have differing financial models and may have a range of interests.</w:t>
            </w:r>
          </w:p>
          <w:p w14:paraId="4D56943E" w14:textId="3BD920AE" w:rsidR="00776365" w:rsidRDefault="00085998" w:rsidP="00776365">
            <w:pPr>
              <w:pStyle w:val="ListParagraph"/>
              <w:numPr>
                <w:ilvl w:val="0"/>
                <w:numId w:val="31"/>
              </w:numPr>
              <w:rPr>
                <w:rFonts w:cs="Arial"/>
                <w:sz w:val="22"/>
                <w:szCs w:val="22"/>
              </w:rPr>
            </w:pPr>
            <w:r>
              <w:rPr>
                <w:rFonts w:cs="Arial"/>
                <w:sz w:val="22"/>
                <w:szCs w:val="22"/>
              </w:rPr>
              <w:t>‘</w:t>
            </w:r>
            <w:r w:rsidR="00776365" w:rsidRPr="00776365">
              <w:rPr>
                <w:rFonts w:cs="Arial"/>
                <w:sz w:val="22"/>
                <w:szCs w:val="22"/>
              </w:rPr>
              <w:t>Concession</w:t>
            </w:r>
            <w:r>
              <w:rPr>
                <w:rFonts w:cs="Arial"/>
                <w:sz w:val="22"/>
                <w:szCs w:val="22"/>
              </w:rPr>
              <w:t>’</w:t>
            </w:r>
            <w:r w:rsidR="00776365" w:rsidRPr="00776365">
              <w:rPr>
                <w:rFonts w:cs="Arial"/>
                <w:sz w:val="22"/>
                <w:szCs w:val="22"/>
              </w:rPr>
              <w:t xml:space="preserve">-style agreements change the nature of incentives for contracted TOCs. The system as a whole may need to adapt, </w:t>
            </w:r>
            <w:r>
              <w:rPr>
                <w:rFonts w:cs="Arial"/>
                <w:sz w:val="22"/>
                <w:szCs w:val="22"/>
              </w:rPr>
              <w:t xml:space="preserve">to ensure </w:t>
            </w:r>
            <w:r w:rsidR="00776365" w:rsidRPr="00776365">
              <w:rPr>
                <w:rFonts w:cs="Arial"/>
                <w:sz w:val="22"/>
                <w:szCs w:val="22"/>
              </w:rPr>
              <w:t xml:space="preserve">all parties </w:t>
            </w:r>
            <w:r>
              <w:rPr>
                <w:rFonts w:cs="Arial"/>
                <w:sz w:val="22"/>
                <w:szCs w:val="22"/>
              </w:rPr>
              <w:t xml:space="preserve">are appropriately incentivised </w:t>
            </w:r>
            <w:r w:rsidR="00776365" w:rsidRPr="00776365">
              <w:rPr>
                <w:rFonts w:cs="Arial"/>
                <w:sz w:val="22"/>
                <w:szCs w:val="22"/>
              </w:rPr>
              <w:t xml:space="preserve">to reduce disruption. </w:t>
            </w:r>
          </w:p>
          <w:p w14:paraId="1CCE178F" w14:textId="692A8103" w:rsidR="00776365" w:rsidRDefault="00776365" w:rsidP="00776365">
            <w:pPr>
              <w:pStyle w:val="ListParagraph"/>
              <w:numPr>
                <w:ilvl w:val="0"/>
                <w:numId w:val="31"/>
              </w:numPr>
              <w:rPr>
                <w:rFonts w:cs="Arial"/>
                <w:sz w:val="22"/>
                <w:szCs w:val="22"/>
              </w:rPr>
            </w:pPr>
            <w:r w:rsidRPr="00776365">
              <w:rPr>
                <w:rFonts w:cs="Arial"/>
                <w:sz w:val="22"/>
                <w:szCs w:val="22"/>
              </w:rPr>
              <w:t>There is on</w:t>
            </w:r>
            <w:r w:rsidR="00085998">
              <w:rPr>
                <w:rFonts w:cs="Arial"/>
                <w:sz w:val="22"/>
                <w:szCs w:val="22"/>
              </w:rPr>
              <w:t>-</w:t>
            </w:r>
            <w:r w:rsidRPr="00776365">
              <w:rPr>
                <w:rFonts w:cs="Arial"/>
                <w:sz w:val="22"/>
                <w:szCs w:val="22"/>
              </w:rPr>
              <w:t xml:space="preserve">going uncertainty about the future shape of the rail </w:t>
            </w:r>
            <w:r w:rsidR="00085998">
              <w:rPr>
                <w:rFonts w:cs="Arial"/>
                <w:sz w:val="22"/>
                <w:szCs w:val="22"/>
              </w:rPr>
              <w:t>industry</w:t>
            </w:r>
            <w:r w:rsidRPr="00776365">
              <w:rPr>
                <w:rFonts w:cs="Arial"/>
                <w:sz w:val="22"/>
                <w:szCs w:val="22"/>
              </w:rPr>
              <w:t xml:space="preserve">, both regarding user demand and structural reform, so </w:t>
            </w:r>
            <w:r w:rsidR="00085998">
              <w:rPr>
                <w:rFonts w:cs="Arial"/>
                <w:sz w:val="22"/>
                <w:szCs w:val="22"/>
              </w:rPr>
              <w:t>it</w:t>
            </w:r>
            <w:r w:rsidRPr="00776365">
              <w:rPr>
                <w:rFonts w:cs="Arial"/>
                <w:sz w:val="22"/>
                <w:szCs w:val="22"/>
              </w:rPr>
              <w:t xml:space="preserve"> may seek the benefits of a flexible system. </w:t>
            </w:r>
          </w:p>
          <w:p w14:paraId="5407927D" w14:textId="77777777" w:rsidR="00776365" w:rsidRDefault="00776365" w:rsidP="00776365">
            <w:pPr>
              <w:pStyle w:val="ListParagraph"/>
              <w:numPr>
                <w:ilvl w:val="0"/>
                <w:numId w:val="31"/>
              </w:numPr>
              <w:rPr>
                <w:rFonts w:cs="Arial"/>
                <w:sz w:val="22"/>
                <w:szCs w:val="22"/>
              </w:rPr>
            </w:pPr>
            <w:r w:rsidRPr="00776365">
              <w:rPr>
                <w:rFonts w:cs="Arial"/>
                <w:sz w:val="22"/>
                <w:szCs w:val="22"/>
              </w:rPr>
              <w:t>The performance regime and its incentives cannot be considered in isolation from other issues – for example how industry incentives can be aligned to drive more collaborative working, and how the incentives on performance interact with those on capac</w:t>
            </w:r>
            <w:r>
              <w:rPr>
                <w:rFonts w:cs="Arial"/>
                <w:sz w:val="22"/>
                <w:szCs w:val="22"/>
              </w:rPr>
              <w:t xml:space="preserve">ity and passenger experience. </w:t>
            </w:r>
          </w:p>
          <w:p w14:paraId="5EB53654" w14:textId="5C1CDC13" w:rsidR="00776365" w:rsidRDefault="00621A0B" w:rsidP="00A97F5B">
            <w:pPr>
              <w:rPr>
                <w:rFonts w:cs="Arial"/>
                <w:sz w:val="22"/>
                <w:szCs w:val="22"/>
              </w:rPr>
            </w:pPr>
            <w:r>
              <w:rPr>
                <w:rFonts w:cs="Arial"/>
                <w:sz w:val="22"/>
                <w:szCs w:val="22"/>
              </w:rPr>
              <w:t>With these issues in mind, w</w:t>
            </w:r>
            <w:r w:rsidR="00C37C63">
              <w:rPr>
                <w:rFonts w:cs="Arial"/>
                <w:sz w:val="22"/>
                <w:szCs w:val="22"/>
              </w:rPr>
              <w:t xml:space="preserve">e are now starting </w:t>
            </w:r>
            <w:r w:rsidR="00085998">
              <w:rPr>
                <w:rFonts w:cs="Arial"/>
                <w:sz w:val="22"/>
                <w:szCs w:val="22"/>
              </w:rPr>
              <w:t>the</w:t>
            </w:r>
            <w:r w:rsidR="00C37C63">
              <w:rPr>
                <w:rFonts w:cs="Arial"/>
                <w:sz w:val="22"/>
                <w:szCs w:val="22"/>
              </w:rPr>
              <w:t xml:space="preserve"> ‘</w:t>
            </w:r>
            <w:r w:rsidR="00C37C63" w:rsidRPr="00C37C63">
              <w:rPr>
                <w:rFonts w:cs="Arial"/>
                <w:sz w:val="22"/>
                <w:szCs w:val="22"/>
                <w:u w:val="single"/>
              </w:rPr>
              <w:t>design</w:t>
            </w:r>
            <w:r w:rsidR="00C37C63">
              <w:rPr>
                <w:rFonts w:cs="Arial"/>
                <w:sz w:val="22"/>
                <w:szCs w:val="22"/>
              </w:rPr>
              <w:t xml:space="preserve">’ phase of work that will culminate in a consultation in spring 2021 setting out options for the performance regime. </w:t>
            </w:r>
            <w:r>
              <w:rPr>
                <w:rFonts w:cs="Arial"/>
                <w:sz w:val="22"/>
                <w:szCs w:val="22"/>
              </w:rPr>
              <w:t xml:space="preserve">ORR has already started the policy thinking in this area, starting to form high-level options, including through research into other European performance </w:t>
            </w:r>
            <w:r>
              <w:rPr>
                <w:rFonts w:cs="Arial"/>
                <w:sz w:val="22"/>
                <w:szCs w:val="22"/>
              </w:rPr>
              <w:lastRenderedPageBreak/>
              <w:t xml:space="preserve">schemes. </w:t>
            </w:r>
            <w:r w:rsidR="00C37C63" w:rsidRPr="00646958">
              <w:rPr>
                <w:rFonts w:cs="Arial"/>
                <w:sz w:val="22"/>
                <w:szCs w:val="22"/>
              </w:rPr>
              <w:t xml:space="preserve">Working with ORR and industry stakeholders, </w:t>
            </w:r>
            <w:r w:rsidR="00085998">
              <w:rPr>
                <w:rFonts w:cs="Arial"/>
                <w:sz w:val="22"/>
                <w:szCs w:val="22"/>
              </w:rPr>
              <w:t xml:space="preserve">we are requesting support from </w:t>
            </w:r>
            <w:r w:rsidR="00C37C63" w:rsidRPr="00646958">
              <w:rPr>
                <w:rFonts w:cs="Arial"/>
                <w:sz w:val="22"/>
                <w:szCs w:val="22"/>
              </w:rPr>
              <w:t xml:space="preserve">consultants to </w:t>
            </w:r>
            <w:r w:rsidR="00CB1751">
              <w:rPr>
                <w:rFonts w:cs="Arial"/>
                <w:sz w:val="22"/>
                <w:szCs w:val="22"/>
              </w:rPr>
              <w:t xml:space="preserve">design </w:t>
            </w:r>
            <w:r w:rsidR="00C37C63">
              <w:rPr>
                <w:rFonts w:cs="Arial"/>
                <w:sz w:val="22"/>
                <w:szCs w:val="22"/>
              </w:rPr>
              <w:t xml:space="preserve">these options for reform. </w:t>
            </w:r>
          </w:p>
          <w:p w14:paraId="2ED6528B" w14:textId="6AE6D793" w:rsidR="00C37C63" w:rsidRPr="00C37C63" w:rsidRDefault="00621A0B" w:rsidP="00A97F5B">
            <w:pPr>
              <w:rPr>
                <w:rFonts w:cs="Arial"/>
                <w:sz w:val="22"/>
                <w:szCs w:val="22"/>
              </w:rPr>
            </w:pPr>
            <w:r>
              <w:rPr>
                <w:rFonts w:cs="Arial"/>
                <w:sz w:val="22"/>
                <w:szCs w:val="22"/>
              </w:rPr>
              <w:t>A subsequent phase</w:t>
            </w:r>
            <w:r w:rsidR="00C37C63">
              <w:rPr>
                <w:rFonts w:cs="Arial"/>
                <w:sz w:val="22"/>
                <w:szCs w:val="22"/>
              </w:rPr>
              <w:t xml:space="preserve"> (</w:t>
            </w:r>
            <w:r>
              <w:rPr>
                <w:rFonts w:cs="Arial"/>
                <w:sz w:val="22"/>
                <w:szCs w:val="22"/>
              </w:rPr>
              <w:t>as per the extension option</w:t>
            </w:r>
            <w:r w:rsidR="00C37C63">
              <w:rPr>
                <w:rFonts w:cs="Arial"/>
                <w:sz w:val="22"/>
                <w:szCs w:val="22"/>
              </w:rPr>
              <w:t xml:space="preserve">) will </w:t>
            </w:r>
            <w:r w:rsidR="00C37C63" w:rsidRPr="00C37C63">
              <w:rPr>
                <w:rFonts w:cs="Arial"/>
                <w:sz w:val="22"/>
                <w:szCs w:val="22"/>
                <w:u w:val="single"/>
              </w:rPr>
              <w:t>develop</w:t>
            </w:r>
            <w:r w:rsidR="00C37C63">
              <w:rPr>
                <w:rFonts w:cs="Arial"/>
                <w:sz w:val="22"/>
                <w:szCs w:val="22"/>
              </w:rPr>
              <w:t xml:space="preserve"> the preferred option that results from consultation</w:t>
            </w:r>
            <w:r>
              <w:rPr>
                <w:rFonts w:cs="Arial"/>
                <w:sz w:val="22"/>
                <w:szCs w:val="22"/>
              </w:rPr>
              <w:t xml:space="preserve">. Work will then commence to </w:t>
            </w:r>
            <w:r w:rsidR="00C37C63">
              <w:rPr>
                <w:rFonts w:cs="Arial"/>
                <w:sz w:val="22"/>
                <w:szCs w:val="22"/>
                <w:u w:val="single"/>
              </w:rPr>
              <w:t>implement</w:t>
            </w:r>
            <w:r w:rsidR="00C37C63">
              <w:rPr>
                <w:rFonts w:cs="Arial"/>
                <w:sz w:val="22"/>
                <w:szCs w:val="22"/>
              </w:rPr>
              <w:t xml:space="preserve"> this option</w:t>
            </w:r>
            <w:r w:rsidR="002E6C7F">
              <w:rPr>
                <w:rFonts w:cs="Arial"/>
                <w:sz w:val="22"/>
                <w:szCs w:val="22"/>
              </w:rPr>
              <w:t xml:space="preserve"> (this is not contained in this tender or the extension option)</w:t>
            </w:r>
            <w:r w:rsidR="00C37C63">
              <w:rPr>
                <w:rFonts w:cs="Arial"/>
                <w:sz w:val="22"/>
                <w:szCs w:val="22"/>
              </w:rPr>
              <w:t xml:space="preserve">. </w:t>
            </w:r>
          </w:p>
          <w:p w14:paraId="3DC28D2F" w14:textId="6B9ADB79" w:rsidR="00B80508" w:rsidRPr="00F920A7" w:rsidRDefault="00F374A5" w:rsidP="00A97F5B">
            <w:pPr>
              <w:rPr>
                <w:rFonts w:cs="Arial"/>
                <w:i/>
                <w:sz w:val="22"/>
                <w:szCs w:val="22"/>
                <w:u w:val="single"/>
              </w:rPr>
            </w:pPr>
            <w:r w:rsidRPr="00F920A7">
              <w:rPr>
                <w:rFonts w:cs="Arial"/>
                <w:i/>
                <w:sz w:val="22"/>
                <w:szCs w:val="22"/>
                <w:u w:val="single"/>
              </w:rPr>
              <w:t>Possessions regime (‘</w:t>
            </w:r>
            <w:r w:rsidR="00B80508" w:rsidRPr="00F920A7">
              <w:rPr>
                <w:rFonts w:cs="Arial"/>
                <w:i/>
                <w:sz w:val="22"/>
                <w:szCs w:val="22"/>
                <w:u w:val="single"/>
              </w:rPr>
              <w:t>Schedule 4</w:t>
            </w:r>
            <w:r w:rsidRPr="00F920A7">
              <w:rPr>
                <w:rFonts w:cs="Arial"/>
                <w:i/>
                <w:sz w:val="22"/>
                <w:szCs w:val="22"/>
                <w:u w:val="single"/>
              </w:rPr>
              <w:t>’)</w:t>
            </w:r>
            <w:r w:rsidR="00B320A5">
              <w:rPr>
                <w:rFonts w:cs="Arial"/>
                <w:i/>
                <w:sz w:val="22"/>
                <w:szCs w:val="22"/>
                <w:u w:val="single"/>
              </w:rPr>
              <w:t xml:space="preserve"> – Passenger </w:t>
            </w:r>
          </w:p>
          <w:p w14:paraId="347FA391" w14:textId="5063D363" w:rsidR="00776365" w:rsidRDefault="00A97F5B" w:rsidP="00A97F5B">
            <w:pPr>
              <w:rPr>
                <w:rFonts w:cs="Arial"/>
                <w:sz w:val="22"/>
                <w:szCs w:val="22"/>
              </w:rPr>
            </w:pPr>
            <w:r w:rsidRPr="006D42E8">
              <w:rPr>
                <w:rFonts w:cs="Arial"/>
                <w:sz w:val="22"/>
                <w:szCs w:val="22"/>
              </w:rPr>
              <w:t>Schedule 4 compensates passenger train operators for lost revenue and additional operating costs due to service disruption when Network Rail takes engineering possessions to undertake maintenance and enhancement work. (</w:t>
            </w:r>
            <w:r>
              <w:rPr>
                <w:rFonts w:cs="Arial"/>
                <w:sz w:val="22"/>
                <w:szCs w:val="22"/>
              </w:rPr>
              <w:t>F</w:t>
            </w:r>
            <w:r w:rsidRPr="006D42E8">
              <w:rPr>
                <w:rFonts w:cs="Arial"/>
                <w:sz w:val="22"/>
                <w:szCs w:val="22"/>
              </w:rPr>
              <w:t>reight operators also receive cost compensation</w:t>
            </w:r>
            <w:r w:rsidR="00621A0B">
              <w:rPr>
                <w:rFonts w:cs="Arial"/>
                <w:sz w:val="22"/>
                <w:szCs w:val="22"/>
              </w:rPr>
              <w:t>.</w:t>
            </w:r>
            <w:r w:rsidRPr="006D42E8">
              <w:rPr>
                <w:rFonts w:cs="Arial"/>
                <w:sz w:val="22"/>
                <w:szCs w:val="22"/>
              </w:rPr>
              <w:t>) It also acts as an incentive on Network Rail to minimi</w:t>
            </w:r>
            <w:r>
              <w:rPr>
                <w:rFonts w:cs="Arial"/>
                <w:sz w:val="22"/>
                <w:szCs w:val="22"/>
              </w:rPr>
              <w:t>s</w:t>
            </w:r>
            <w:r w:rsidRPr="006D42E8">
              <w:rPr>
                <w:rFonts w:cs="Arial"/>
                <w:sz w:val="22"/>
                <w:szCs w:val="22"/>
              </w:rPr>
              <w:t>e disruption by planning possessions efficiently.</w:t>
            </w:r>
            <w:r>
              <w:rPr>
                <w:rFonts w:cs="Arial"/>
                <w:sz w:val="22"/>
                <w:szCs w:val="22"/>
              </w:rPr>
              <w:t xml:space="preserve"> </w:t>
            </w:r>
          </w:p>
          <w:p w14:paraId="7C96E9D7" w14:textId="357C18D5" w:rsidR="00776365" w:rsidRPr="00776365" w:rsidRDefault="00776365" w:rsidP="00776365">
            <w:pPr>
              <w:rPr>
                <w:sz w:val="22"/>
              </w:rPr>
            </w:pPr>
            <w:r w:rsidRPr="00776365">
              <w:rPr>
                <w:sz w:val="22"/>
              </w:rPr>
              <w:t>A key question is whether passenger train operators continue to receive revenue loss compensation if operating rail passenger services contracts where revenue risks lies with industry funders. And if not</w:t>
            </w:r>
            <w:r w:rsidR="00085998">
              <w:rPr>
                <w:sz w:val="22"/>
              </w:rPr>
              <w:t>,</w:t>
            </w:r>
            <w:r w:rsidRPr="00776365">
              <w:rPr>
                <w:sz w:val="22"/>
              </w:rPr>
              <w:t xml:space="preserve"> how to ensure industry incentives remain aligned</w:t>
            </w:r>
            <w:r w:rsidR="00085998">
              <w:rPr>
                <w:sz w:val="22"/>
              </w:rPr>
              <w:t>,</w:t>
            </w:r>
            <w:r w:rsidRPr="00776365">
              <w:rPr>
                <w:sz w:val="22"/>
              </w:rPr>
              <w:t xml:space="preserve"> i.e. to ensure:</w:t>
            </w:r>
          </w:p>
          <w:p w14:paraId="4495C58E" w14:textId="7AEC835B" w:rsidR="00776365" w:rsidRPr="00776365" w:rsidRDefault="00776365" w:rsidP="00776365">
            <w:pPr>
              <w:pStyle w:val="ListParagraph"/>
              <w:numPr>
                <w:ilvl w:val="0"/>
                <w:numId w:val="31"/>
              </w:numPr>
              <w:rPr>
                <w:rFonts w:cs="Arial"/>
                <w:sz w:val="22"/>
                <w:szCs w:val="22"/>
              </w:rPr>
            </w:pPr>
            <w:r w:rsidRPr="00776365">
              <w:rPr>
                <w:rFonts w:cs="Arial"/>
                <w:sz w:val="22"/>
                <w:szCs w:val="22"/>
              </w:rPr>
              <w:t xml:space="preserve">Network Rail continues to be incentivised </w:t>
            </w:r>
            <w:r>
              <w:rPr>
                <w:rFonts w:cs="Arial"/>
                <w:sz w:val="22"/>
                <w:szCs w:val="22"/>
              </w:rPr>
              <w:t xml:space="preserve">to plan possessions efficiently; </w:t>
            </w:r>
          </w:p>
          <w:p w14:paraId="40C8BA84" w14:textId="60B33F3D" w:rsidR="00776365" w:rsidRPr="00776365" w:rsidRDefault="00776365" w:rsidP="00776365">
            <w:pPr>
              <w:pStyle w:val="ListParagraph"/>
              <w:numPr>
                <w:ilvl w:val="0"/>
                <w:numId w:val="31"/>
              </w:numPr>
              <w:rPr>
                <w:rFonts w:cs="Arial"/>
                <w:sz w:val="22"/>
                <w:szCs w:val="22"/>
              </w:rPr>
            </w:pPr>
            <w:r w:rsidRPr="00776365">
              <w:rPr>
                <w:rFonts w:cs="Arial"/>
                <w:sz w:val="22"/>
                <w:szCs w:val="22"/>
              </w:rPr>
              <w:t xml:space="preserve">train companies are incentivised to </w:t>
            </w:r>
            <w:r w:rsidR="00085998">
              <w:rPr>
                <w:rFonts w:cs="Arial"/>
                <w:sz w:val="22"/>
                <w:szCs w:val="22"/>
              </w:rPr>
              <w:t xml:space="preserve">help </w:t>
            </w:r>
            <w:r w:rsidRPr="00776365">
              <w:rPr>
                <w:rFonts w:cs="Arial"/>
                <w:sz w:val="22"/>
                <w:szCs w:val="22"/>
              </w:rPr>
              <w:t>ensure Network Rail plans possessions efficiently but also work</w:t>
            </w:r>
            <w:r w:rsidR="00621A0B">
              <w:rPr>
                <w:rFonts w:cs="Arial"/>
                <w:sz w:val="22"/>
                <w:szCs w:val="22"/>
              </w:rPr>
              <w:t xml:space="preserve"> </w:t>
            </w:r>
            <w:r w:rsidRPr="00776365">
              <w:rPr>
                <w:rFonts w:cs="Arial"/>
                <w:sz w:val="22"/>
                <w:szCs w:val="22"/>
              </w:rPr>
              <w:t>co-operatively with Network Rail in managi</w:t>
            </w:r>
            <w:r w:rsidR="00621A0B">
              <w:rPr>
                <w:rFonts w:cs="Arial"/>
                <w:sz w:val="22"/>
                <w:szCs w:val="22"/>
              </w:rPr>
              <w:t>ng possessions, so as to minimis</w:t>
            </w:r>
            <w:r w:rsidRPr="00776365">
              <w:rPr>
                <w:rFonts w:cs="Arial"/>
                <w:sz w:val="22"/>
                <w:szCs w:val="22"/>
              </w:rPr>
              <w:t>e disruption to passengers</w:t>
            </w:r>
            <w:r>
              <w:rPr>
                <w:rFonts w:cs="Arial"/>
                <w:sz w:val="22"/>
                <w:szCs w:val="22"/>
              </w:rPr>
              <w:t>; and</w:t>
            </w:r>
          </w:p>
          <w:p w14:paraId="6FA8434D" w14:textId="7E516D24" w:rsidR="00776365" w:rsidRPr="00776365" w:rsidRDefault="00776365" w:rsidP="00776365">
            <w:pPr>
              <w:pStyle w:val="ListParagraph"/>
              <w:numPr>
                <w:ilvl w:val="0"/>
                <w:numId w:val="31"/>
              </w:numPr>
              <w:rPr>
                <w:rFonts w:cs="Arial"/>
                <w:sz w:val="22"/>
                <w:szCs w:val="22"/>
              </w:rPr>
            </w:pPr>
            <w:r w:rsidRPr="00776365">
              <w:rPr>
                <w:rFonts w:cs="Arial"/>
                <w:sz w:val="22"/>
                <w:szCs w:val="22"/>
              </w:rPr>
              <w:t>Network Rail has sufficient information to assess t</w:t>
            </w:r>
            <w:r w:rsidR="00C37C63">
              <w:rPr>
                <w:rFonts w:cs="Arial"/>
                <w:sz w:val="22"/>
                <w:szCs w:val="22"/>
              </w:rPr>
              <w:t>he trade</w:t>
            </w:r>
            <w:r w:rsidR="007B225B">
              <w:rPr>
                <w:rFonts w:cs="Arial"/>
                <w:sz w:val="22"/>
                <w:szCs w:val="22"/>
              </w:rPr>
              <w:t>-</w:t>
            </w:r>
            <w:r w:rsidR="00C37C63">
              <w:rPr>
                <w:rFonts w:cs="Arial"/>
                <w:sz w:val="22"/>
                <w:szCs w:val="22"/>
              </w:rPr>
              <w:t>of</w:t>
            </w:r>
            <w:r w:rsidR="007B225B">
              <w:rPr>
                <w:rFonts w:cs="Arial"/>
                <w:sz w:val="22"/>
                <w:szCs w:val="22"/>
              </w:rPr>
              <w:t>f</w:t>
            </w:r>
            <w:r w:rsidR="00C37C63">
              <w:rPr>
                <w:rFonts w:cs="Arial"/>
                <w:sz w:val="22"/>
                <w:szCs w:val="22"/>
              </w:rPr>
              <w:t xml:space="preserve"> between the </w:t>
            </w:r>
            <w:r w:rsidR="007B225B">
              <w:rPr>
                <w:rFonts w:cs="Arial"/>
                <w:sz w:val="22"/>
                <w:szCs w:val="22"/>
              </w:rPr>
              <w:t>number</w:t>
            </w:r>
            <w:r w:rsidR="00C37C63">
              <w:rPr>
                <w:rFonts w:cs="Arial"/>
                <w:sz w:val="22"/>
                <w:szCs w:val="22"/>
              </w:rPr>
              <w:t>/</w:t>
            </w:r>
            <w:r w:rsidRPr="00776365">
              <w:rPr>
                <w:rFonts w:cs="Arial"/>
                <w:sz w:val="22"/>
                <w:szCs w:val="22"/>
              </w:rPr>
              <w:t>length of possessions</w:t>
            </w:r>
            <w:r w:rsidR="007B225B">
              <w:rPr>
                <w:rFonts w:cs="Arial"/>
                <w:sz w:val="22"/>
                <w:szCs w:val="22"/>
              </w:rPr>
              <w:t xml:space="preserve"> needed</w:t>
            </w:r>
            <w:r w:rsidRPr="00776365">
              <w:rPr>
                <w:rFonts w:cs="Arial"/>
                <w:sz w:val="22"/>
                <w:szCs w:val="22"/>
              </w:rPr>
              <w:t xml:space="preserve"> to</w:t>
            </w:r>
            <w:r w:rsidR="00646958">
              <w:rPr>
                <w:rFonts w:cs="Arial"/>
                <w:sz w:val="22"/>
                <w:szCs w:val="22"/>
              </w:rPr>
              <w:t xml:space="preserve"> minimis</w:t>
            </w:r>
            <w:r w:rsidRPr="00776365">
              <w:rPr>
                <w:rFonts w:cs="Arial"/>
                <w:sz w:val="22"/>
                <w:szCs w:val="22"/>
              </w:rPr>
              <w:t>e engineering costs versus the cost of compensating passenger operators for revenue loss</w:t>
            </w:r>
            <w:r>
              <w:rPr>
                <w:rFonts w:cs="Arial"/>
                <w:sz w:val="22"/>
                <w:szCs w:val="22"/>
              </w:rPr>
              <w:t xml:space="preserve">. </w:t>
            </w:r>
          </w:p>
          <w:p w14:paraId="252AC9A6" w14:textId="77777777" w:rsidR="00776365" w:rsidRPr="00776365" w:rsidRDefault="00776365" w:rsidP="00776365">
            <w:pPr>
              <w:rPr>
                <w:sz w:val="22"/>
              </w:rPr>
            </w:pPr>
            <w:r w:rsidRPr="00776365">
              <w:rPr>
                <w:sz w:val="22"/>
              </w:rPr>
              <w:t xml:space="preserve">Other considerations of the impact of removing revenue loss compensation: </w:t>
            </w:r>
          </w:p>
          <w:p w14:paraId="7586B5B3" w14:textId="77777777" w:rsidR="00776365" w:rsidRPr="00776365" w:rsidRDefault="00776365" w:rsidP="00776365">
            <w:pPr>
              <w:pStyle w:val="ListParagraph"/>
              <w:numPr>
                <w:ilvl w:val="0"/>
                <w:numId w:val="31"/>
              </w:numPr>
              <w:rPr>
                <w:rFonts w:cs="Arial"/>
                <w:sz w:val="22"/>
                <w:szCs w:val="22"/>
              </w:rPr>
            </w:pPr>
            <w:r w:rsidRPr="00776365">
              <w:rPr>
                <w:rFonts w:cs="Arial"/>
                <w:sz w:val="22"/>
                <w:szCs w:val="22"/>
              </w:rPr>
              <w:t>How would ending revenue loss payments impact on open access operators or should revenue loss payments continue for open access operators only?</w:t>
            </w:r>
          </w:p>
          <w:p w14:paraId="4BF59068" w14:textId="2EF9D4DF" w:rsidR="00776365" w:rsidRPr="00776365" w:rsidRDefault="00776365" w:rsidP="00776365">
            <w:pPr>
              <w:pStyle w:val="ListParagraph"/>
              <w:numPr>
                <w:ilvl w:val="0"/>
                <w:numId w:val="31"/>
              </w:numPr>
              <w:rPr>
                <w:rFonts w:cs="Arial"/>
                <w:sz w:val="22"/>
                <w:szCs w:val="22"/>
              </w:rPr>
            </w:pPr>
            <w:r w:rsidRPr="00776365">
              <w:rPr>
                <w:rFonts w:cs="Arial"/>
                <w:sz w:val="22"/>
                <w:szCs w:val="22"/>
              </w:rPr>
              <w:t xml:space="preserve">Should revenue loss payments continue but </w:t>
            </w:r>
            <w:r w:rsidR="00085998">
              <w:rPr>
                <w:rFonts w:cs="Arial"/>
                <w:sz w:val="22"/>
                <w:szCs w:val="22"/>
              </w:rPr>
              <w:t xml:space="preserve">be </w:t>
            </w:r>
            <w:r w:rsidRPr="00776365">
              <w:rPr>
                <w:rFonts w:cs="Arial"/>
                <w:sz w:val="22"/>
                <w:szCs w:val="22"/>
              </w:rPr>
              <w:t>paid back directly to railway funders?</w:t>
            </w:r>
          </w:p>
          <w:p w14:paraId="26B1D3B4" w14:textId="4665D9E8" w:rsidR="00776365" w:rsidRPr="00776365" w:rsidRDefault="00776365" w:rsidP="00776365">
            <w:pPr>
              <w:rPr>
                <w:sz w:val="22"/>
              </w:rPr>
            </w:pPr>
            <w:r w:rsidRPr="00776365">
              <w:rPr>
                <w:sz w:val="22"/>
              </w:rPr>
              <w:t>Other issues for consideration</w:t>
            </w:r>
            <w:r>
              <w:rPr>
                <w:sz w:val="22"/>
              </w:rPr>
              <w:t xml:space="preserve">: </w:t>
            </w:r>
          </w:p>
          <w:p w14:paraId="0F1365C7" w14:textId="7B876879" w:rsidR="00776365" w:rsidRPr="00776365" w:rsidRDefault="00776365" w:rsidP="00776365">
            <w:pPr>
              <w:pStyle w:val="ListParagraph"/>
              <w:numPr>
                <w:ilvl w:val="0"/>
                <w:numId w:val="31"/>
              </w:numPr>
              <w:rPr>
                <w:rFonts w:cs="Arial"/>
                <w:sz w:val="22"/>
                <w:szCs w:val="22"/>
              </w:rPr>
            </w:pPr>
            <w:r w:rsidRPr="00776365">
              <w:rPr>
                <w:rFonts w:cs="Arial"/>
                <w:sz w:val="22"/>
                <w:szCs w:val="22"/>
              </w:rPr>
              <w:t>Should cost compensation continue</w:t>
            </w:r>
            <w:r w:rsidR="004A354B">
              <w:rPr>
                <w:rFonts w:cs="Arial"/>
                <w:sz w:val="22"/>
                <w:szCs w:val="22"/>
              </w:rPr>
              <w:t>, for one or all market segments,</w:t>
            </w:r>
            <w:r w:rsidRPr="00776365">
              <w:rPr>
                <w:rFonts w:cs="Arial"/>
                <w:sz w:val="22"/>
                <w:szCs w:val="22"/>
              </w:rPr>
              <w:t xml:space="preserve"> and if so what changes might be necessary to reflect new industry structures</w:t>
            </w:r>
          </w:p>
          <w:p w14:paraId="76343E69" w14:textId="6228F989" w:rsidR="00776365" w:rsidRPr="00646958" w:rsidRDefault="00776365" w:rsidP="00776365">
            <w:pPr>
              <w:pStyle w:val="ListParagraph"/>
              <w:numPr>
                <w:ilvl w:val="0"/>
                <w:numId w:val="31"/>
              </w:numPr>
              <w:rPr>
                <w:rFonts w:cs="Arial"/>
                <w:sz w:val="22"/>
                <w:szCs w:val="22"/>
              </w:rPr>
            </w:pPr>
            <w:r w:rsidRPr="00776365">
              <w:rPr>
                <w:rFonts w:cs="Arial"/>
                <w:sz w:val="22"/>
                <w:szCs w:val="22"/>
              </w:rPr>
              <w:t xml:space="preserve">What </w:t>
            </w:r>
            <w:r w:rsidRPr="00646958">
              <w:rPr>
                <w:rFonts w:cs="Arial"/>
                <w:sz w:val="22"/>
                <w:szCs w:val="22"/>
              </w:rPr>
              <w:t xml:space="preserve">is the impact of </w:t>
            </w:r>
            <w:r w:rsidR="004A354B">
              <w:rPr>
                <w:rFonts w:cs="Arial"/>
                <w:sz w:val="22"/>
                <w:szCs w:val="22"/>
              </w:rPr>
              <w:t xml:space="preserve">potential </w:t>
            </w:r>
            <w:r w:rsidRPr="00646958">
              <w:rPr>
                <w:rFonts w:cs="Arial"/>
                <w:sz w:val="22"/>
                <w:szCs w:val="22"/>
              </w:rPr>
              <w:t xml:space="preserve">changes to </w:t>
            </w:r>
            <w:r w:rsidR="00646958" w:rsidRPr="00646958">
              <w:rPr>
                <w:rFonts w:cs="Arial"/>
                <w:sz w:val="22"/>
                <w:szCs w:val="22"/>
              </w:rPr>
              <w:t>S</w:t>
            </w:r>
            <w:r w:rsidRPr="00646958">
              <w:rPr>
                <w:rFonts w:cs="Arial"/>
                <w:sz w:val="22"/>
                <w:szCs w:val="22"/>
              </w:rPr>
              <w:t xml:space="preserve">chedule 8 on the </w:t>
            </w:r>
            <w:r w:rsidR="00646958" w:rsidRPr="00646958">
              <w:rPr>
                <w:rFonts w:cs="Arial"/>
                <w:sz w:val="22"/>
                <w:szCs w:val="22"/>
              </w:rPr>
              <w:t>S</w:t>
            </w:r>
            <w:r w:rsidRPr="00646958">
              <w:rPr>
                <w:rFonts w:cs="Arial"/>
                <w:sz w:val="22"/>
                <w:szCs w:val="22"/>
              </w:rPr>
              <w:t xml:space="preserve">chedule 4 regime and what </w:t>
            </w:r>
            <w:r w:rsidR="004A354B">
              <w:rPr>
                <w:rFonts w:cs="Arial"/>
                <w:sz w:val="22"/>
                <w:szCs w:val="22"/>
              </w:rPr>
              <w:t xml:space="preserve">further </w:t>
            </w:r>
            <w:r w:rsidRPr="00646958">
              <w:rPr>
                <w:rFonts w:cs="Arial"/>
                <w:sz w:val="22"/>
                <w:szCs w:val="22"/>
              </w:rPr>
              <w:t>changes</w:t>
            </w:r>
            <w:r w:rsidR="00621A0B">
              <w:rPr>
                <w:rFonts w:cs="Arial"/>
                <w:sz w:val="22"/>
                <w:szCs w:val="22"/>
              </w:rPr>
              <w:t xml:space="preserve"> </w:t>
            </w:r>
            <w:r w:rsidRPr="00646958">
              <w:rPr>
                <w:rFonts w:cs="Arial"/>
                <w:sz w:val="22"/>
                <w:szCs w:val="22"/>
              </w:rPr>
              <w:t>would this necessitate</w:t>
            </w:r>
            <w:r w:rsidR="00085998">
              <w:rPr>
                <w:rFonts w:cs="Arial"/>
                <w:sz w:val="22"/>
                <w:szCs w:val="22"/>
              </w:rPr>
              <w:t>.</w:t>
            </w:r>
          </w:p>
          <w:p w14:paraId="4D4B280C" w14:textId="1F00DC7F" w:rsidR="00776365" w:rsidRPr="00646958" w:rsidRDefault="00776365" w:rsidP="00776365">
            <w:pPr>
              <w:pStyle w:val="ListParagraph"/>
              <w:numPr>
                <w:ilvl w:val="0"/>
                <w:numId w:val="31"/>
              </w:numPr>
              <w:rPr>
                <w:rFonts w:cs="Arial"/>
                <w:sz w:val="22"/>
                <w:szCs w:val="22"/>
              </w:rPr>
            </w:pPr>
            <w:r w:rsidRPr="00646958">
              <w:rPr>
                <w:rFonts w:cs="Arial"/>
                <w:sz w:val="22"/>
                <w:szCs w:val="22"/>
              </w:rPr>
              <w:t xml:space="preserve">Should </w:t>
            </w:r>
            <w:r w:rsidR="00646958" w:rsidRPr="00646958">
              <w:rPr>
                <w:rFonts w:cs="Arial"/>
                <w:sz w:val="22"/>
                <w:szCs w:val="22"/>
              </w:rPr>
              <w:t>S</w:t>
            </w:r>
            <w:r w:rsidRPr="00646958">
              <w:rPr>
                <w:rFonts w:cs="Arial"/>
                <w:sz w:val="22"/>
                <w:szCs w:val="22"/>
              </w:rPr>
              <w:t xml:space="preserve">chedule 4 remain as a liquidated damages regime? </w:t>
            </w:r>
          </w:p>
          <w:p w14:paraId="574C2F65" w14:textId="4C9C8024" w:rsidR="00776365" w:rsidRPr="00646958" w:rsidRDefault="00776365" w:rsidP="00776365">
            <w:pPr>
              <w:pStyle w:val="ListParagraph"/>
              <w:numPr>
                <w:ilvl w:val="0"/>
                <w:numId w:val="31"/>
              </w:numPr>
              <w:rPr>
                <w:rFonts w:cs="Arial"/>
                <w:sz w:val="22"/>
                <w:szCs w:val="22"/>
              </w:rPr>
            </w:pPr>
            <w:r w:rsidRPr="00646958">
              <w:rPr>
                <w:rFonts w:cs="Arial"/>
                <w:sz w:val="22"/>
                <w:szCs w:val="22"/>
              </w:rPr>
              <w:t xml:space="preserve">How should </w:t>
            </w:r>
            <w:r w:rsidR="00646958" w:rsidRPr="00646958">
              <w:rPr>
                <w:rFonts w:cs="Arial"/>
                <w:sz w:val="22"/>
                <w:szCs w:val="22"/>
              </w:rPr>
              <w:t>S</w:t>
            </w:r>
            <w:r w:rsidRPr="00646958">
              <w:rPr>
                <w:rFonts w:cs="Arial"/>
                <w:sz w:val="22"/>
                <w:szCs w:val="22"/>
              </w:rPr>
              <w:t>chedule 4 payments be funded?</w:t>
            </w:r>
          </w:p>
          <w:p w14:paraId="4F3CA593" w14:textId="58F9E7B1" w:rsidR="00B320A5" w:rsidRPr="00F920A7" w:rsidRDefault="00B320A5" w:rsidP="00B320A5">
            <w:pPr>
              <w:rPr>
                <w:rFonts w:cs="Arial"/>
                <w:i/>
                <w:sz w:val="22"/>
                <w:szCs w:val="22"/>
                <w:u w:val="single"/>
              </w:rPr>
            </w:pPr>
            <w:r w:rsidRPr="00F920A7">
              <w:rPr>
                <w:rFonts w:cs="Arial"/>
                <w:i/>
                <w:sz w:val="22"/>
                <w:szCs w:val="22"/>
                <w:u w:val="single"/>
              </w:rPr>
              <w:t>Possessions regime (‘Schedule 4’)</w:t>
            </w:r>
            <w:r>
              <w:rPr>
                <w:rFonts w:cs="Arial"/>
                <w:i/>
                <w:sz w:val="22"/>
                <w:szCs w:val="22"/>
                <w:u w:val="single"/>
              </w:rPr>
              <w:t xml:space="preserve"> – </w:t>
            </w:r>
            <w:r w:rsidR="004A354B">
              <w:rPr>
                <w:rFonts w:cs="Arial"/>
                <w:i/>
                <w:sz w:val="22"/>
                <w:szCs w:val="22"/>
                <w:u w:val="single"/>
              </w:rPr>
              <w:t>Freight</w:t>
            </w:r>
            <w:r>
              <w:rPr>
                <w:rFonts w:cs="Arial"/>
                <w:i/>
                <w:sz w:val="22"/>
                <w:szCs w:val="22"/>
                <w:u w:val="single"/>
              </w:rPr>
              <w:t xml:space="preserve"> </w:t>
            </w:r>
          </w:p>
          <w:p w14:paraId="0E731B35" w14:textId="2CB2E9FA" w:rsidR="00D31DE1" w:rsidRPr="00404B9F" w:rsidRDefault="007D5D67" w:rsidP="00D31DE1">
            <w:pPr>
              <w:rPr>
                <w:rFonts w:cs="Arial"/>
                <w:sz w:val="22"/>
                <w:szCs w:val="22"/>
              </w:rPr>
            </w:pPr>
            <w:r w:rsidRPr="00404B9F">
              <w:rPr>
                <w:sz w:val="22"/>
                <w:szCs w:val="22"/>
              </w:rPr>
              <w:t>A review of t</w:t>
            </w:r>
            <w:r w:rsidR="00D31DE1" w:rsidRPr="00404B9F">
              <w:rPr>
                <w:sz w:val="22"/>
                <w:szCs w:val="22"/>
              </w:rPr>
              <w:t>he freight</w:t>
            </w:r>
            <w:r w:rsidR="00357CB3" w:rsidRPr="00404B9F">
              <w:rPr>
                <w:sz w:val="22"/>
                <w:szCs w:val="22"/>
              </w:rPr>
              <w:t xml:space="preserve"> operators</w:t>
            </w:r>
            <w:r w:rsidRPr="00404B9F">
              <w:rPr>
                <w:sz w:val="22"/>
                <w:szCs w:val="22"/>
              </w:rPr>
              <w:t>’</w:t>
            </w:r>
            <w:r w:rsidR="00357CB3" w:rsidRPr="00404B9F">
              <w:rPr>
                <w:sz w:val="22"/>
                <w:szCs w:val="22"/>
              </w:rPr>
              <w:t xml:space="preserve"> </w:t>
            </w:r>
            <w:r w:rsidR="00D31DE1" w:rsidRPr="00404B9F">
              <w:rPr>
                <w:sz w:val="22"/>
                <w:szCs w:val="22"/>
              </w:rPr>
              <w:t xml:space="preserve">Schedule 4 should </w:t>
            </w:r>
            <w:r w:rsidRPr="00404B9F">
              <w:rPr>
                <w:sz w:val="22"/>
                <w:szCs w:val="22"/>
              </w:rPr>
              <w:t xml:space="preserve">address </w:t>
            </w:r>
            <w:r w:rsidR="00357CB3" w:rsidRPr="00404B9F">
              <w:rPr>
                <w:sz w:val="22"/>
                <w:szCs w:val="22"/>
              </w:rPr>
              <w:t xml:space="preserve">similar </w:t>
            </w:r>
            <w:r w:rsidR="00D31DE1" w:rsidRPr="00404B9F">
              <w:rPr>
                <w:sz w:val="22"/>
                <w:szCs w:val="22"/>
              </w:rPr>
              <w:t>issues as those for</w:t>
            </w:r>
            <w:r w:rsidRPr="00404B9F">
              <w:rPr>
                <w:sz w:val="22"/>
                <w:szCs w:val="22"/>
              </w:rPr>
              <w:t xml:space="preserve"> the </w:t>
            </w:r>
            <w:r w:rsidR="00D31DE1" w:rsidRPr="00404B9F">
              <w:rPr>
                <w:sz w:val="22"/>
                <w:szCs w:val="22"/>
              </w:rPr>
              <w:t>passenger regime</w:t>
            </w:r>
            <w:r w:rsidR="00B320A5">
              <w:rPr>
                <w:sz w:val="22"/>
                <w:szCs w:val="22"/>
              </w:rPr>
              <w:t>, for example should freight operator</w:t>
            </w:r>
            <w:r w:rsidR="0003625F">
              <w:rPr>
                <w:sz w:val="22"/>
                <w:szCs w:val="22"/>
              </w:rPr>
              <w:t>s</w:t>
            </w:r>
            <w:r w:rsidR="00B320A5">
              <w:rPr>
                <w:sz w:val="22"/>
                <w:szCs w:val="22"/>
              </w:rPr>
              <w:t xml:space="preserve"> continue to receive cost compensation</w:t>
            </w:r>
            <w:r w:rsidRPr="00404B9F">
              <w:rPr>
                <w:sz w:val="22"/>
                <w:szCs w:val="22"/>
              </w:rPr>
              <w:t xml:space="preserve">. In particular </w:t>
            </w:r>
            <w:r w:rsidR="00404B9F" w:rsidRPr="00404B9F">
              <w:rPr>
                <w:sz w:val="22"/>
                <w:szCs w:val="22"/>
              </w:rPr>
              <w:t xml:space="preserve">it should ensure </w:t>
            </w:r>
            <w:r w:rsidRPr="00404B9F">
              <w:rPr>
                <w:sz w:val="22"/>
                <w:szCs w:val="22"/>
              </w:rPr>
              <w:t xml:space="preserve">it maintains the incentive on Network Rail to minimise possession related service disruption to freight operators. It is also important this </w:t>
            </w:r>
            <w:r w:rsidR="00D31DE1" w:rsidRPr="00404B9F">
              <w:rPr>
                <w:sz w:val="22"/>
                <w:szCs w:val="22"/>
              </w:rPr>
              <w:t>include</w:t>
            </w:r>
            <w:r w:rsidRPr="00404B9F">
              <w:rPr>
                <w:sz w:val="22"/>
                <w:szCs w:val="22"/>
              </w:rPr>
              <w:t>s</w:t>
            </w:r>
            <w:r w:rsidR="00357CB3" w:rsidRPr="00404B9F">
              <w:rPr>
                <w:sz w:val="22"/>
                <w:szCs w:val="22"/>
              </w:rPr>
              <w:t xml:space="preserve"> considering</w:t>
            </w:r>
            <w:r w:rsidRPr="00404B9F">
              <w:rPr>
                <w:sz w:val="22"/>
                <w:szCs w:val="22"/>
              </w:rPr>
              <w:t xml:space="preserve"> the </w:t>
            </w:r>
            <w:r w:rsidR="00D31DE1" w:rsidRPr="00404B9F">
              <w:rPr>
                <w:sz w:val="22"/>
                <w:szCs w:val="22"/>
              </w:rPr>
              <w:t>impact</w:t>
            </w:r>
            <w:r w:rsidRPr="00404B9F">
              <w:rPr>
                <w:sz w:val="22"/>
                <w:szCs w:val="22"/>
              </w:rPr>
              <w:t>s</w:t>
            </w:r>
            <w:r w:rsidR="00357CB3" w:rsidRPr="00404B9F">
              <w:rPr>
                <w:sz w:val="22"/>
                <w:szCs w:val="22"/>
              </w:rPr>
              <w:t xml:space="preserve"> changes to the passenger regime might have on </w:t>
            </w:r>
            <w:r w:rsidR="00357CB3" w:rsidRPr="00CB1751">
              <w:rPr>
                <w:sz w:val="22"/>
                <w:szCs w:val="22"/>
              </w:rPr>
              <w:t>f</w:t>
            </w:r>
            <w:r w:rsidR="00D31DE1" w:rsidRPr="00CB1751">
              <w:rPr>
                <w:sz w:val="22"/>
                <w:szCs w:val="22"/>
              </w:rPr>
              <w:t>reight</w:t>
            </w:r>
            <w:r w:rsidR="00D31DE1" w:rsidRPr="00404B9F">
              <w:rPr>
                <w:sz w:val="22"/>
                <w:szCs w:val="22"/>
              </w:rPr>
              <w:t xml:space="preserve"> Schedule 4.</w:t>
            </w:r>
          </w:p>
          <w:p w14:paraId="48117170" w14:textId="4B5A0A0E" w:rsidR="00A97F5B" w:rsidRDefault="00A97F5B" w:rsidP="00A97F5B">
            <w:pPr>
              <w:rPr>
                <w:rFonts w:cs="Arial"/>
                <w:sz w:val="22"/>
                <w:szCs w:val="22"/>
              </w:rPr>
            </w:pPr>
            <w:r w:rsidRPr="00646958">
              <w:rPr>
                <w:rFonts w:cs="Arial"/>
                <w:sz w:val="22"/>
                <w:szCs w:val="22"/>
              </w:rPr>
              <w:lastRenderedPageBreak/>
              <w:t xml:space="preserve">Working with ORR and industry stakeholders, consultants are required to </w:t>
            </w:r>
            <w:r w:rsidR="00646958">
              <w:rPr>
                <w:rFonts w:cs="Arial"/>
                <w:sz w:val="22"/>
                <w:szCs w:val="22"/>
              </w:rPr>
              <w:t>review the current po</w:t>
            </w:r>
            <w:r w:rsidR="00C37C63">
              <w:rPr>
                <w:rFonts w:cs="Arial"/>
                <w:sz w:val="22"/>
                <w:szCs w:val="22"/>
              </w:rPr>
              <w:t>ssessions regime</w:t>
            </w:r>
            <w:r w:rsidR="00646958">
              <w:rPr>
                <w:rFonts w:cs="Arial"/>
                <w:sz w:val="22"/>
                <w:szCs w:val="22"/>
              </w:rPr>
              <w:t xml:space="preserve"> </w:t>
            </w:r>
            <w:r w:rsidRPr="00646958">
              <w:rPr>
                <w:rFonts w:cs="Arial"/>
                <w:sz w:val="22"/>
                <w:szCs w:val="22"/>
              </w:rPr>
              <w:t>to help assess the</w:t>
            </w:r>
            <w:r>
              <w:rPr>
                <w:rFonts w:cs="Arial"/>
                <w:sz w:val="22"/>
                <w:szCs w:val="22"/>
              </w:rPr>
              <w:t xml:space="preserve"> available options for reform. </w:t>
            </w:r>
          </w:p>
          <w:p w14:paraId="4C82F64A" w14:textId="4BAB96CA" w:rsidR="00A347E2" w:rsidRPr="00B11EE0" w:rsidRDefault="00E15FA9" w:rsidP="00A347E2">
            <w:pPr>
              <w:rPr>
                <w:rFonts w:cs="Arial"/>
                <w:b/>
                <w:sz w:val="22"/>
                <w:szCs w:val="22"/>
              </w:rPr>
            </w:pPr>
            <w:r>
              <w:rPr>
                <w:rFonts w:cs="Arial"/>
                <w:b/>
                <w:sz w:val="22"/>
                <w:szCs w:val="22"/>
              </w:rPr>
              <w:t xml:space="preserve">ORR’s </w:t>
            </w:r>
            <w:r w:rsidR="000D49CF">
              <w:rPr>
                <w:rFonts w:cs="Arial"/>
                <w:b/>
                <w:sz w:val="22"/>
                <w:szCs w:val="22"/>
              </w:rPr>
              <w:t>Review of a</w:t>
            </w:r>
            <w:r w:rsidR="00B11EE0" w:rsidRPr="00B11EE0">
              <w:rPr>
                <w:rFonts w:cs="Arial"/>
                <w:b/>
                <w:sz w:val="22"/>
                <w:szCs w:val="22"/>
              </w:rPr>
              <w:t>ccess charges</w:t>
            </w:r>
          </w:p>
          <w:p w14:paraId="0385383E" w14:textId="4AD3FB06" w:rsidR="000D49CF" w:rsidRPr="007C5D96" w:rsidRDefault="000D49CF" w:rsidP="00A97F5B">
            <w:pPr>
              <w:rPr>
                <w:rFonts w:cs="Arial"/>
                <w:i/>
                <w:sz w:val="22"/>
                <w:szCs w:val="22"/>
              </w:rPr>
            </w:pPr>
            <w:r w:rsidRPr="00E8407F">
              <w:rPr>
                <w:rFonts w:cs="Arial"/>
                <w:sz w:val="22"/>
                <w:szCs w:val="22"/>
              </w:rPr>
              <w:t>Access charges are paid by train operat</w:t>
            </w:r>
            <w:r>
              <w:rPr>
                <w:rFonts w:cs="Arial"/>
                <w:sz w:val="22"/>
                <w:szCs w:val="22"/>
              </w:rPr>
              <w:t xml:space="preserve">ors for use of the rail network. Network Rail levies </w:t>
            </w:r>
            <w:r w:rsidR="00C97DCE">
              <w:rPr>
                <w:rFonts w:cs="Arial"/>
                <w:sz w:val="22"/>
                <w:szCs w:val="22"/>
              </w:rPr>
              <w:t xml:space="preserve">several </w:t>
            </w:r>
            <w:r>
              <w:rPr>
                <w:rFonts w:cs="Arial"/>
                <w:sz w:val="22"/>
                <w:szCs w:val="22"/>
              </w:rPr>
              <w:t xml:space="preserve">different types of charge on train </w:t>
            </w:r>
            <w:r w:rsidR="00A97F5B">
              <w:rPr>
                <w:rFonts w:cs="Arial"/>
                <w:sz w:val="22"/>
                <w:szCs w:val="22"/>
              </w:rPr>
              <w:t xml:space="preserve">operators, which serve </w:t>
            </w:r>
            <w:r w:rsidR="00C97DCE">
              <w:rPr>
                <w:rFonts w:cs="Arial"/>
                <w:sz w:val="22"/>
                <w:szCs w:val="22"/>
              </w:rPr>
              <w:t>a range of</w:t>
            </w:r>
            <w:r w:rsidR="00A97F5B">
              <w:rPr>
                <w:rFonts w:cs="Arial"/>
                <w:sz w:val="22"/>
                <w:szCs w:val="22"/>
              </w:rPr>
              <w:t xml:space="preserve"> purposes. For instance:</w:t>
            </w:r>
            <w:r w:rsidR="00621A0B">
              <w:rPr>
                <w:rFonts w:cs="Arial"/>
                <w:sz w:val="22"/>
                <w:szCs w:val="22"/>
              </w:rPr>
              <w:t xml:space="preserve"> </w:t>
            </w:r>
          </w:p>
          <w:p w14:paraId="1E5D829F" w14:textId="2D345FF3" w:rsidR="000D49CF" w:rsidRDefault="000D49CF" w:rsidP="000D49CF">
            <w:pPr>
              <w:pStyle w:val="ListParagraph"/>
              <w:numPr>
                <w:ilvl w:val="0"/>
                <w:numId w:val="27"/>
              </w:numPr>
              <w:rPr>
                <w:rFonts w:cs="Arial"/>
                <w:sz w:val="22"/>
                <w:szCs w:val="22"/>
              </w:rPr>
            </w:pPr>
            <w:r>
              <w:rPr>
                <w:rFonts w:cs="Arial"/>
                <w:b/>
                <w:sz w:val="22"/>
                <w:szCs w:val="22"/>
              </w:rPr>
              <w:t xml:space="preserve">Cost Recovery: </w:t>
            </w:r>
            <w:r>
              <w:rPr>
                <w:rFonts w:cs="Arial"/>
                <w:sz w:val="22"/>
                <w:szCs w:val="22"/>
              </w:rPr>
              <w:t xml:space="preserve">Charges </w:t>
            </w:r>
            <w:r w:rsidRPr="00B00A0F">
              <w:rPr>
                <w:rFonts w:cs="Arial"/>
                <w:sz w:val="22"/>
                <w:szCs w:val="22"/>
              </w:rPr>
              <w:t>are one of Network Rail’s principal sources of income, alongside the network grant</w:t>
            </w:r>
            <w:r w:rsidR="00D723DE">
              <w:rPr>
                <w:rFonts w:cs="Arial"/>
                <w:sz w:val="22"/>
                <w:szCs w:val="22"/>
              </w:rPr>
              <w:t>s</w:t>
            </w:r>
            <w:r w:rsidRPr="00B00A0F">
              <w:rPr>
                <w:rFonts w:cs="Arial"/>
                <w:sz w:val="22"/>
                <w:szCs w:val="22"/>
              </w:rPr>
              <w:t xml:space="preserve"> that it receives </w:t>
            </w:r>
            <w:r w:rsidR="00A97F5B">
              <w:rPr>
                <w:rFonts w:cs="Arial"/>
                <w:sz w:val="22"/>
                <w:szCs w:val="22"/>
              </w:rPr>
              <w:t xml:space="preserve">from </w:t>
            </w:r>
            <w:r w:rsidR="00D723DE">
              <w:rPr>
                <w:rFonts w:cs="Arial"/>
                <w:sz w:val="22"/>
                <w:szCs w:val="22"/>
              </w:rPr>
              <w:t>g</w:t>
            </w:r>
            <w:r w:rsidR="00A97F5B">
              <w:rPr>
                <w:rFonts w:cs="Arial"/>
                <w:sz w:val="22"/>
                <w:szCs w:val="22"/>
              </w:rPr>
              <w:t>overnment</w:t>
            </w:r>
            <w:r w:rsidR="00D723DE">
              <w:rPr>
                <w:rFonts w:cs="Arial"/>
                <w:sz w:val="22"/>
                <w:szCs w:val="22"/>
              </w:rPr>
              <w:t>s</w:t>
            </w:r>
            <w:r w:rsidR="00A97F5B">
              <w:rPr>
                <w:rFonts w:cs="Arial"/>
                <w:sz w:val="22"/>
                <w:szCs w:val="22"/>
              </w:rPr>
              <w:t>, and ensure</w:t>
            </w:r>
            <w:r w:rsidRPr="00B00A0F">
              <w:rPr>
                <w:rFonts w:cs="Arial"/>
                <w:sz w:val="22"/>
                <w:szCs w:val="22"/>
              </w:rPr>
              <w:t xml:space="preserve"> Network Rail is appropriately funded to maintain and renew its network</w:t>
            </w:r>
            <w:r w:rsidR="00D723DE">
              <w:rPr>
                <w:rFonts w:cs="Arial"/>
                <w:sz w:val="22"/>
                <w:szCs w:val="22"/>
              </w:rPr>
              <w:t>.</w:t>
            </w:r>
          </w:p>
          <w:p w14:paraId="71A526BC" w14:textId="77777777" w:rsidR="009B5781" w:rsidRDefault="009B5781" w:rsidP="009B5781">
            <w:pPr>
              <w:pStyle w:val="ListParagraph"/>
              <w:ind w:left="360"/>
              <w:rPr>
                <w:rFonts w:cs="Arial"/>
                <w:sz w:val="22"/>
                <w:szCs w:val="22"/>
              </w:rPr>
            </w:pPr>
          </w:p>
          <w:p w14:paraId="0468CC68" w14:textId="389D71D1" w:rsidR="000D49CF" w:rsidRPr="00B00A0F" w:rsidRDefault="000D49CF" w:rsidP="000D49CF">
            <w:pPr>
              <w:pStyle w:val="ListParagraph"/>
              <w:numPr>
                <w:ilvl w:val="0"/>
                <w:numId w:val="27"/>
              </w:numPr>
              <w:rPr>
                <w:rFonts w:cs="Arial"/>
                <w:sz w:val="22"/>
                <w:szCs w:val="22"/>
              </w:rPr>
            </w:pPr>
            <w:r>
              <w:rPr>
                <w:rFonts w:cs="Arial"/>
                <w:b/>
                <w:sz w:val="22"/>
                <w:szCs w:val="22"/>
              </w:rPr>
              <w:t xml:space="preserve">Transparency: </w:t>
            </w:r>
            <w:r w:rsidRPr="00B00A0F">
              <w:rPr>
                <w:rFonts w:cs="Arial"/>
                <w:sz w:val="22"/>
                <w:szCs w:val="22"/>
              </w:rPr>
              <w:t>Charges can provide the industry with greater transparency over Network Ra</w:t>
            </w:r>
            <w:r w:rsidR="00A97F5B">
              <w:rPr>
                <w:rFonts w:cs="Arial"/>
                <w:sz w:val="22"/>
                <w:szCs w:val="22"/>
              </w:rPr>
              <w:t>il’s costs and key cost drivers</w:t>
            </w:r>
            <w:r w:rsidR="009B5781">
              <w:rPr>
                <w:rFonts w:cs="Arial"/>
                <w:sz w:val="22"/>
                <w:szCs w:val="22"/>
              </w:rPr>
              <w:t>, by providing information about the causes of costs (e.g. in terms of different service characteristics)</w:t>
            </w:r>
            <w:r w:rsidR="00915167">
              <w:rPr>
                <w:rFonts w:cs="Arial"/>
                <w:sz w:val="22"/>
                <w:szCs w:val="22"/>
              </w:rPr>
              <w:t>.</w:t>
            </w:r>
            <w:r>
              <w:rPr>
                <w:rFonts w:cs="Arial"/>
                <w:sz w:val="22"/>
                <w:szCs w:val="22"/>
              </w:rPr>
              <w:t xml:space="preserve"> </w:t>
            </w:r>
          </w:p>
          <w:p w14:paraId="16058175" w14:textId="77777777" w:rsidR="009B5781" w:rsidRPr="009B5781" w:rsidRDefault="009B5781" w:rsidP="009B5781">
            <w:pPr>
              <w:pStyle w:val="ListParagraph"/>
              <w:ind w:left="360"/>
              <w:rPr>
                <w:rFonts w:cs="Arial"/>
                <w:sz w:val="22"/>
                <w:szCs w:val="22"/>
              </w:rPr>
            </w:pPr>
          </w:p>
          <w:p w14:paraId="43765F90" w14:textId="178C5605" w:rsidR="000D49CF" w:rsidRPr="00B00A0F" w:rsidRDefault="000D49CF" w:rsidP="000D49CF">
            <w:pPr>
              <w:pStyle w:val="ListParagraph"/>
              <w:numPr>
                <w:ilvl w:val="0"/>
                <w:numId w:val="27"/>
              </w:numPr>
              <w:rPr>
                <w:rFonts w:cs="Arial"/>
                <w:sz w:val="22"/>
                <w:szCs w:val="22"/>
              </w:rPr>
            </w:pPr>
            <w:r>
              <w:rPr>
                <w:rFonts w:cs="Arial"/>
                <w:b/>
                <w:sz w:val="22"/>
                <w:szCs w:val="22"/>
              </w:rPr>
              <w:t xml:space="preserve">Efficiency: </w:t>
            </w:r>
            <w:r>
              <w:rPr>
                <w:rFonts w:cs="Arial"/>
                <w:sz w:val="22"/>
                <w:szCs w:val="22"/>
              </w:rPr>
              <w:t>C</w:t>
            </w:r>
            <w:r w:rsidRPr="00B00A0F">
              <w:rPr>
                <w:rFonts w:cs="Arial"/>
                <w:sz w:val="22"/>
                <w:szCs w:val="22"/>
              </w:rPr>
              <w:t xml:space="preserve">harges (particularly variable usage charges) can incentivise Network Rail and operators to make more efficient use of the network, by </w:t>
            </w:r>
            <w:r w:rsidR="00C73BAB">
              <w:rPr>
                <w:rFonts w:cs="Arial"/>
                <w:sz w:val="22"/>
                <w:szCs w:val="22"/>
              </w:rPr>
              <w:t xml:space="preserve">ensuring that </w:t>
            </w:r>
            <w:r w:rsidRPr="00B00A0F">
              <w:rPr>
                <w:rFonts w:cs="Arial"/>
                <w:sz w:val="22"/>
                <w:szCs w:val="22"/>
              </w:rPr>
              <w:t xml:space="preserve">operators pay for the </w:t>
            </w:r>
            <w:r w:rsidR="009B5781">
              <w:rPr>
                <w:rFonts w:cs="Arial"/>
                <w:sz w:val="22"/>
                <w:szCs w:val="22"/>
              </w:rPr>
              <w:t xml:space="preserve">direct </w:t>
            </w:r>
            <w:r w:rsidRPr="00B00A0F">
              <w:rPr>
                <w:rFonts w:cs="Arial"/>
                <w:sz w:val="22"/>
                <w:szCs w:val="22"/>
              </w:rPr>
              <w:t>costs they impose</w:t>
            </w:r>
            <w:r w:rsidR="00A97F5B">
              <w:rPr>
                <w:rFonts w:cs="Arial"/>
                <w:sz w:val="22"/>
                <w:szCs w:val="22"/>
              </w:rPr>
              <w:t xml:space="preserve"> on the network</w:t>
            </w:r>
            <w:r w:rsidRPr="00B00A0F">
              <w:rPr>
                <w:rFonts w:cs="Arial"/>
                <w:sz w:val="22"/>
                <w:szCs w:val="22"/>
              </w:rPr>
              <w:t>.</w:t>
            </w:r>
          </w:p>
          <w:p w14:paraId="2F3CF07B" w14:textId="394CA35D" w:rsidR="000D49CF" w:rsidRDefault="000D49CF" w:rsidP="000D49CF">
            <w:pPr>
              <w:rPr>
                <w:rFonts w:cs="Arial"/>
                <w:sz w:val="22"/>
                <w:szCs w:val="22"/>
              </w:rPr>
            </w:pPr>
            <w:r>
              <w:rPr>
                <w:rFonts w:cs="Arial"/>
                <w:sz w:val="22"/>
                <w:szCs w:val="22"/>
              </w:rPr>
              <w:t xml:space="preserve">While charges have a role to play in meeting these objectives, certain industry features have </w:t>
            </w:r>
            <w:r w:rsidR="009B5781">
              <w:rPr>
                <w:rFonts w:cs="Arial"/>
                <w:sz w:val="22"/>
                <w:szCs w:val="22"/>
              </w:rPr>
              <w:t xml:space="preserve">in the past </w:t>
            </w:r>
            <w:r>
              <w:rPr>
                <w:rFonts w:cs="Arial"/>
                <w:sz w:val="22"/>
                <w:szCs w:val="22"/>
              </w:rPr>
              <w:t>served to limit their effectiveness</w:t>
            </w:r>
            <w:r w:rsidR="0021602D">
              <w:rPr>
                <w:rFonts w:cs="Arial"/>
                <w:sz w:val="22"/>
                <w:szCs w:val="22"/>
              </w:rPr>
              <w:t>,</w:t>
            </w:r>
            <w:r>
              <w:rPr>
                <w:rFonts w:cs="Arial"/>
                <w:sz w:val="22"/>
                <w:szCs w:val="22"/>
              </w:rPr>
              <w:t xml:space="preserve"> particularly in</w:t>
            </w:r>
            <w:r w:rsidR="00E32C58">
              <w:rPr>
                <w:rFonts w:cs="Arial"/>
                <w:sz w:val="22"/>
                <w:szCs w:val="22"/>
              </w:rPr>
              <w:t xml:space="preserve"> respect of improving</w:t>
            </w:r>
            <w:r>
              <w:rPr>
                <w:rFonts w:cs="Arial"/>
                <w:sz w:val="22"/>
                <w:szCs w:val="22"/>
              </w:rPr>
              <w:t xml:space="preserve"> incentives and efficiency.</w:t>
            </w:r>
            <w:r w:rsidR="009B5781">
              <w:rPr>
                <w:rFonts w:cs="Arial"/>
                <w:sz w:val="22"/>
                <w:szCs w:val="22"/>
              </w:rPr>
              <w:t xml:space="preserve"> </w:t>
            </w:r>
            <w:r w:rsidR="0021602D">
              <w:rPr>
                <w:rFonts w:cs="Arial"/>
                <w:sz w:val="22"/>
                <w:szCs w:val="22"/>
              </w:rPr>
              <w:t>In particular</w:t>
            </w:r>
            <w:r>
              <w:rPr>
                <w:rFonts w:cs="Arial"/>
                <w:sz w:val="22"/>
                <w:szCs w:val="22"/>
              </w:rPr>
              <w:t>, f</w:t>
            </w:r>
            <w:r w:rsidRPr="00E0264D">
              <w:rPr>
                <w:rFonts w:cs="Arial"/>
                <w:sz w:val="22"/>
                <w:szCs w:val="22"/>
              </w:rPr>
              <w:t xml:space="preserve">ranchise agreements have given </w:t>
            </w:r>
            <w:r w:rsidR="00E32C58">
              <w:rPr>
                <w:rFonts w:cs="Arial"/>
                <w:sz w:val="22"/>
                <w:szCs w:val="22"/>
              </w:rPr>
              <w:t>franchised</w:t>
            </w:r>
            <w:r w:rsidRPr="00E0264D">
              <w:rPr>
                <w:rFonts w:cs="Arial"/>
                <w:sz w:val="22"/>
                <w:szCs w:val="22"/>
              </w:rPr>
              <w:t xml:space="preserve"> operators significant protections from changes in charges at each periodic review</w:t>
            </w:r>
            <w:r w:rsidR="00E32C58">
              <w:rPr>
                <w:rFonts w:cs="Arial"/>
                <w:sz w:val="22"/>
                <w:szCs w:val="22"/>
              </w:rPr>
              <w:t>, which has limited their exposure to Network Rail’s costs (and, by extension, their responsiveness to charges</w:t>
            </w:r>
            <w:r w:rsidR="009D59FA">
              <w:rPr>
                <w:rFonts w:cs="Arial"/>
                <w:sz w:val="22"/>
                <w:szCs w:val="22"/>
              </w:rPr>
              <w:t>, e.g. how incentivised they are to help Network Rail reduce its costs</w:t>
            </w:r>
            <w:r w:rsidR="00E32C58">
              <w:rPr>
                <w:rFonts w:cs="Arial"/>
                <w:sz w:val="22"/>
                <w:szCs w:val="22"/>
              </w:rPr>
              <w:t>)</w:t>
            </w:r>
            <w:r w:rsidR="0021602D">
              <w:rPr>
                <w:rFonts w:cs="Arial"/>
                <w:sz w:val="22"/>
                <w:szCs w:val="22"/>
              </w:rPr>
              <w:t>.</w:t>
            </w:r>
            <w:r>
              <w:rPr>
                <w:rFonts w:cs="Arial"/>
                <w:sz w:val="22"/>
                <w:szCs w:val="22"/>
              </w:rPr>
              <w:t xml:space="preserve"> The complexity of the charges regime has also been identified as a factor which </w:t>
            </w:r>
            <w:r w:rsidR="00C73BAB">
              <w:rPr>
                <w:rFonts w:cs="Arial"/>
                <w:sz w:val="22"/>
                <w:szCs w:val="22"/>
              </w:rPr>
              <w:t xml:space="preserve">can </w:t>
            </w:r>
            <w:r>
              <w:rPr>
                <w:rFonts w:cs="Arial"/>
                <w:sz w:val="22"/>
                <w:szCs w:val="22"/>
              </w:rPr>
              <w:t>limit its incentive properties.</w:t>
            </w:r>
            <w:r w:rsidR="00621A0B">
              <w:rPr>
                <w:rFonts w:cs="Arial"/>
                <w:sz w:val="22"/>
                <w:szCs w:val="22"/>
              </w:rPr>
              <w:t xml:space="preserve"> </w:t>
            </w:r>
            <w:r>
              <w:rPr>
                <w:rFonts w:cs="Arial"/>
                <w:sz w:val="22"/>
                <w:szCs w:val="22"/>
              </w:rPr>
              <w:t xml:space="preserve"> </w:t>
            </w:r>
          </w:p>
          <w:p w14:paraId="4FE25801" w14:textId="206C1606" w:rsidR="000D49CF" w:rsidRDefault="00BD2139" w:rsidP="000D49CF">
            <w:pPr>
              <w:rPr>
                <w:rFonts w:cs="Arial"/>
                <w:sz w:val="22"/>
                <w:szCs w:val="22"/>
              </w:rPr>
            </w:pPr>
            <w:r>
              <w:rPr>
                <w:rFonts w:cs="Arial"/>
                <w:sz w:val="22"/>
                <w:szCs w:val="22"/>
              </w:rPr>
              <w:t xml:space="preserve">Furthermore, the role of charges in promoting </w:t>
            </w:r>
            <w:r w:rsidR="000D49CF">
              <w:rPr>
                <w:rFonts w:cs="Arial"/>
                <w:sz w:val="22"/>
                <w:szCs w:val="22"/>
              </w:rPr>
              <w:t>these and other objectives is likely to be affected b</w:t>
            </w:r>
            <w:r w:rsidR="0021602D">
              <w:rPr>
                <w:rFonts w:cs="Arial"/>
                <w:sz w:val="22"/>
                <w:szCs w:val="22"/>
              </w:rPr>
              <w:t xml:space="preserve">y more recent changes within </w:t>
            </w:r>
            <w:r w:rsidR="000D49CF">
              <w:rPr>
                <w:rFonts w:cs="Arial"/>
                <w:sz w:val="22"/>
                <w:szCs w:val="22"/>
              </w:rPr>
              <w:t xml:space="preserve">the rail industry. Most significantly, the </w:t>
            </w:r>
            <w:r w:rsidR="00E32C58">
              <w:rPr>
                <w:rFonts w:cs="Arial"/>
                <w:sz w:val="22"/>
                <w:szCs w:val="22"/>
              </w:rPr>
              <w:t xml:space="preserve">ERMA contracts currently in place </w:t>
            </w:r>
            <w:r w:rsidR="000D49CF">
              <w:rPr>
                <w:rFonts w:cs="Arial"/>
                <w:sz w:val="22"/>
                <w:szCs w:val="22"/>
              </w:rPr>
              <w:t xml:space="preserve">between </w:t>
            </w:r>
            <w:r w:rsidR="00E32C58">
              <w:rPr>
                <w:rFonts w:cs="Arial"/>
                <w:sz w:val="22"/>
                <w:szCs w:val="22"/>
              </w:rPr>
              <w:t xml:space="preserve">DfT </w:t>
            </w:r>
            <w:r w:rsidR="000D49CF">
              <w:rPr>
                <w:rFonts w:cs="Arial"/>
                <w:sz w:val="22"/>
                <w:szCs w:val="22"/>
              </w:rPr>
              <w:t>and some franchised passenger operators could affect the extent to which these operators are affected by, and respond to, access charges</w:t>
            </w:r>
            <w:r w:rsidR="00915167">
              <w:rPr>
                <w:rStyle w:val="FootnoteReference"/>
                <w:rFonts w:cs="Arial"/>
                <w:sz w:val="22"/>
                <w:szCs w:val="22"/>
              </w:rPr>
              <w:footnoteReference w:id="3"/>
            </w:r>
            <w:r w:rsidR="000D49CF">
              <w:rPr>
                <w:rFonts w:cs="Arial"/>
                <w:sz w:val="22"/>
                <w:szCs w:val="22"/>
              </w:rPr>
              <w:t xml:space="preserve">. Further changes </w:t>
            </w:r>
            <w:r w:rsidR="00C73BAB">
              <w:rPr>
                <w:rFonts w:cs="Arial"/>
                <w:sz w:val="22"/>
                <w:szCs w:val="22"/>
              </w:rPr>
              <w:t xml:space="preserve">which </w:t>
            </w:r>
            <w:r w:rsidR="000D49CF">
              <w:rPr>
                <w:rFonts w:cs="Arial"/>
                <w:sz w:val="22"/>
                <w:szCs w:val="22"/>
              </w:rPr>
              <w:t>may be brought about be</w:t>
            </w:r>
            <w:r w:rsidR="00E863B4">
              <w:rPr>
                <w:rFonts w:cs="Arial"/>
                <w:sz w:val="22"/>
                <w:szCs w:val="22"/>
              </w:rPr>
              <w:t>fore the</w:t>
            </w:r>
            <w:r w:rsidR="000D49CF">
              <w:rPr>
                <w:rFonts w:cs="Arial"/>
                <w:sz w:val="22"/>
                <w:szCs w:val="22"/>
              </w:rPr>
              <w:t xml:space="preserve"> start of PR23, as part of </w:t>
            </w:r>
            <w:r w:rsidR="009D59FA">
              <w:rPr>
                <w:rFonts w:cs="Arial"/>
                <w:sz w:val="22"/>
                <w:szCs w:val="22"/>
              </w:rPr>
              <w:t xml:space="preserve">the UK </w:t>
            </w:r>
            <w:r w:rsidR="000D49CF">
              <w:rPr>
                <w:rFonts w:cs="Arial"/>
                <w:sz w:val="22"/>
                <w:szCs w:val="22"/>
              </w:rPr>
              <w:t xml:space="preserve">Government’s rail reform agenda, </w:t>
            </w:r>
            <w:r w:rsidR="0021602D">
              <w:rPr>
                <w:rFonts w:cs="Arial"/>
                <w:sz w:val="22"/>
                <w:szCs w:val="22"/>
              </w:rPr>
              <w:t>could have</w:t>
            </w:r>
            <w:r w:rsidR="000D49CF">
              <w:rPr>
                <w:rFonts w:cs="Arial"/>
                <w:sz w:val="22"/>
                <w:szCs w:val="22"/>
              </w:rPr>
              <w:t xml:space="preserve"> implications for other aspects of the charges regime.</w:t>
            </w:r>
            <w:r w:rsidR="00621A0B">
              <w:rPr>
                <w:rFonts w:cs="Arial"/>
                <w:sz w:val="22"/>
                <w:szCs w:val="22"/>
              </w:rPr>
              <w:t xml:space="preserve"> </w:t>
            </w:r>
          </w:p>
          <w:p w14:paraId="3956F67B" w14:textId="04069EB7" w:rsidR="000D49CF" w:rsidRDefault="000D49CF" w:rsidP="000D49CF">
            <w:pPr>
              <w:rPr>
                <w:rFonts w:cs="Arial"/>
                <w:sz w:val="22"/>
                <w:szCs w:val="22"/>
              </w:rPr>
            </w:pPr>
            <w:r>
              <w:rPr>
                <w:rFonts w:cs="Arial"/>
                <w:sz w:val="22"/>
                <w:szCs w:val="22"/>
              </w:rPr>
              <w:t xml:space="preserve">Against this backdrop, </w:t>
            </w:r>
            <w:r w:rsidR="0021602D">
              <w:rPr>
                <w:rFonts w:cs="Arial"/>
                <w:sz w:val="22"/>
                <w:szCs w:val="22"/>
              </w:rPr>
              <w:t xml:space="preserve">and </w:t>
            </w:r>
            <w:r>
              <w:rPr>
                <w:rFonts w:cs="Arial"/>
                <w:sz w:val="22"/>
                <w:szCs w:val="22"/>
              </w:rPr>
              <w:t>as part of PR23, ORR is review</w:t>
            </w:r>
            <w:r w:rsidR="009D59FA">
              <w:rPr>
                <w:rFonts w:cs="Arial"/>
                <w:sz w:val="22"/>
                <w:szCs w:val="22"/>
              </w:rPr>
              <w:t>ing</w:t>
            </w:r>
            <w:r w:rsidRPr="00AC39C5">
              <w:rPr>
                <w:rFonts w:cs="Arial"/>
                <w:sz w:val="22"/>
                <w:szCs w:val="22"/>
              </w:rPr>
              <w:t xml:space="preserve"> the structure of the charges</w:t>
            </w:r>
            <w:r w:rsidR="00E96912">
              <w:rPr>
                <w:rFonts w:cs="Arial"/>
                <w:sz w:val="22"/>
                <w:szCs w:val="22"/>
              </w:rPr>
              <w:t xml:space="preserve"> framework </w:t>
            </w:r>
            <w:r w:rsidRPr="00AC39C5">
              <w:rPr>
                <w:rFonts w:cs="Arial"/>
                <w:sz w:val="22"/>
                <w:szCs w:val="22"/>
              </w:rPr>
              <w:t xml:space="preserve">in place </w:t>
            </w:r>
            <w:r w:rsidR="00E96912">
              <w:rPr>
                <w:rFonts w:cs="Arial"/>
                <w:sz w:val="22"/>
                <w:szCs w:val="22"/>
              </w:rPr>
              <w:t xml:space="preserve">between </w:t>
            </w:r>
            <w:r w:rsidRPr="00AC39C5">
              <w:rPr>
                <w:rFonts w:cs="Arial"/>
                <w:sz w:val="22"/>
                <w:szCs w:val="22"/>
              </w:rPr>
              <w:t>Network Rail and train operators</w:t>
            </w:r>
            <w:r w:rsidR="00E96912">
              <w:rPr>
                <w:rFonts w:cs="Arial"/>
                <w:sz w:val="22"/>
                <w:szCs w:val="22"/>
              </w:rPr>
              <w:t>. This first phase</w:t>
            </w:r>
            <w:r>
              <w:rPr>
                <w:rFonts w:cs="Arial"/>
                <w:sz w:val="22"/>
                <w:szCs w:val="22"/>
              </w:rPr>
              <w:t xml:space="preserve"> in this process – known as the ‘</w:t>
            </w:r>
            <w:r w:rsidR="00E96912" w:rsidRPr="00E96912">
              <w:rPr>
                <w:rFonts w:cs="Arial"/>
                <w:sz w:val="22"/>
                <w:szCs w:val="22"/>
                <w:u w:val="single"/>
              </w:rPr>
              <w:t xml:space="preserve">design </w:t>
            </w:r>
            <w:r w:rsidRPr="00E96912">
              <w:rPr>
                <w:rFonts w:cs="Arial"/>
                <w:sz w:val="22"/>
                <w:szCs w:val="22"/>
                <w:u w:val="single"/>
              </w:rPr>
              <w:t>phase</w:t>
            </w:r>
            <w:r>
              <w:rPr>
                <w:rFonts w:cs="Arial"/>
                <w:sz w:val="22"/>
                <w:szCs w:val="22"/>
              </w:rPr>
              <w:t xml:space="preserve">’ – involves identifying the key issues with the existing structure of charges, and developing high-level </w:t>
            </w:r>
            <w:r w:rsidR="00915167">
              <w:rPr>
                <w:rFonts w:cs="Arial"/>
                <w:sz w:val="22"/>
                <w:szCs w:val="22"/>
              </w:rPr>
              <w:t xml:space="preserve">policy </w:t>
            </w:r>
            <w:r>
              <w:rPr>
                <w:rFonts w:cs="Arial"/>
                <w:sz w:val="22"/>
                <w:szCs w:val="22"/>
              </w:rPr>
              <w:t>options to a</w:t>
            </w:r>
            <w:r w:rsidR="0021602D">
              <w:rPr>
                <w:rFonts w:cs="Arial"/>
                <w:sz w:val="22"/>
                <w:szCs w:val="22"/>
              </w:rPr>
              <w:t xml:space="preserve">ddress these issues. </w:t>
            </w:r>
            <w:r w:rsidR="001066D9">
              <w:rPr>
                <w:rFonts w:cs="Arial"/>
                <w:sz w:val="22"/>
                <w:szCs w:val="22"/>
              </w:rPr>
              <w:t>Options</w:t>
            </w:r>
            <w:r w:rsidR="0021602D">
              <w:rPr>
                <w:rFonts w:cs="Arial"/>
                <w:sz w:val="22"/>
                <w:szCs w:val="22"/>
              </w:rPr>
              <w:t xml:space="preserve"> could</w:t>
            </w:r>
            <w:r>
              <w:rPr>
                <w:rFonts w:cs="Arial"/>
                <w:sz w:val="22"/>
                <w:szCs w:val="22"/>
              </w:rPr>
              <w:t xml:space="preserve"> involve</w:t>
            </w:r>
            <w:r w:rsidR="001066D9">
              <w:rPr>
                <w:rFonts w:cs="Arial"/>
                <w:sz w:val="22"/>
                <w:szCs w:val="22"/>
              </w:rPr>
              <w:t>, for example,</w:t>
            </w:r>
            <w:r>
              <w:rPr>
                <w:rFonts w:cs="Arial"/>
                <w:sz w:val="22"/>
                <w:szCs w:val="22"/>
              </w:rPr>
              <w:t xml:space="preserve"> re</w:t>
            </w:r>
            <w:r w:rsidR="00915167">
              <w:rPr>
                <w:rFonts w:cs="Arial"/>
                <w:sz w:val="22"/>
                <w:szCs w:val="22"/>
              </w:rPr>
              <w:t>-</w:t>
            </w:r>
            <w:r>
              <w:rPr>
                <w:rFonts w:cs="Arial"/>
                <w:sz w:val="22"/>
                <w:szCs w:val="22"/>
              </w:rPr>
              <w:t xml:space="preserve">designing individual charges (e.g. changing which operators pay the charge, or which costs Network Rail recovers through the charge); merging one or more charges; or scrapping some charges altogether. </w:t>
            </w:r>
          </w:p>
          <w:p w14:paraId="583A9789" w14:textId="6287D573" w:rsidR="000D49CF" w:rsidRDefault="000D49CF" w:rsidP="000D49CF">
            <w:pPr>
              <w:rPr>
                <w:rFonts w:cs="Arial"/>
                <w:sz w:val="22"/>
                <w:szCs w:val="22"/>
              </w:rPr>
            </w:pPr>
            <w:r>
              <w:rPr>
                <w:rFonts w:cs="Arial"/>
                <w:sz w:val="22"/>
                <w:szCs w:val="22"/>
              </w:rPr>
              <w:t xml:space="preserve">We are </w:t>
            </w:r>
            <w:r w:rsidR="00E96912">
              <w:rPr>
                <w:rFonts w:cs="Arial"/>
                <w:sz w:val="22"/>
                <w:szCs w:val="22"/>
              </w:rPr>
              <w:t xml:space="preserve">commencing </w:t>
            </w:r>
            <w:r>
              <w:rPr>
                <w:rFonts w:cs="Arial"/>
                <w:sz w:val="22"/>
                <w:szCs w:val="22"/>
              </w:rPr>
              <w:t xml:space="preserve">this phase now. In developing </w:t>
            </w:r>
            <w:r w:rsidR="008A7043">
              <w:rPr>
                <w:rFonts w:cs="Arial"/>
                <w:sz w:val="22"/>
                <w:szCs w:val="22"/>
              </w:rPr>
              <w:t xml:space="preserve">high-level </w:t>
            </w:r>
            <w:r>
              <w:rPr>
                <w:rFonts w:cs="Arial"/>
                <w:sz w:val="22"/>
                <w:szCs w:val="22"/>
              </w:rPr>
              <w:t xml:space="preserve">policy options, we need to take account of all the considerations above. It is particularly important that we are clear about the aims and objectives of the charges regime, and </w:t>
            </w:r>
            <w:r w:rsidR="0021602D">
              <w:rPr>
                <w:rFonts w:cs="Arial"/>
                <w:sz w:val="22"/>
                <w:szCs w:val="22"/>
              </w:rPr>
              <w:t xml:space="preserve">that we </w:t>
            </w:r>
            <w:r>
              <w:rPr>
                <w:rFonts w:cs="Arial"/>
                <w:sz w:val="22"/>
                <w:szCs w:val="22"/>
              </w:rPr>
              <w:t xml:space="preserve">are </w:t>
            </w:r>
            <w:r>
              <w:rPr>
                <w:rFonts w:cs="Arial"/>
                <w:sz w:val="22"/>
                <w:szCs w:val="22"/>
              </w:rPr>
              <w:lastRenderedPageBreak/>
              <w:t>realistic about what it can and can</w:t>
            </w:r>
            <w:r w:rsidR="009D59FA">
              <w:rPr>
                <w:rFonts w:cs="Arial"/>
                <w:sz w:val="22"/>
                <w:szCs w:val="22"/>
              </w:rPr>
              <w:t>no</w:t>
            </w:r>
            <w:r>
              <w:rPr>
                <w:rFonts w:cs="Arial"/>
                <w:sz w:val="22"/>
                <w:szCs w:val="22"/>
              </w:rPr>
              <w:t xml:space="preserve">t achieve within the industry structure that is likely </w:t>
            </w:r>
            <w:r w:rsidR="009D59FA">
              <w:rPr>
                <w:rFonts w:cs="Arial"/>
                <w:sz w:val="22"/>
                <w:szCs w:val="22"/>
              </w:rPr>
              <w:t>in CP7</w:t>
            </w:r>
            <w:r>
              <w:rPr>
                <w:rFonts w:cs="Arial"/>
                <w:sz w:val="22"/>
                <w:szCs w:val="22"/>
              </w:rPr>
              <w:t>.</w:t>
            </w:r>
          </w:p>
          <w:p w14:paraId="7A3EBFD0" w14:textId="053D938A" w:rsidR="009521C1" w:rsidRDefault="000D49CF" w:rsidP="009521C1">
            <w:pPr>
              <w:rPr>
                <w:rFonts w:cs="Arial"/>
                <w:sz w:val="22"/>
                <w:szCs w:val="22"/>
              </w:rPr>
            </w:pPr>
            <w:r>
              <w:rPr>
                <w:rFonts w:cs="Arial"/>
                <w:sz w:val="22"/>
                <w:szCs w:val="22"/>
              </w:rPr>
              <w:t xml:space="preserve">We are </w:t>
            </w:r>
            <w:r w:rsidR="009521C1">
              <w:rPr>
                <w:rFonts w:cs="Arial"/>
                <w:sz w:val="22"/>
                <w:szCs w:val="22"/>
              </w:rPr>
              <w:t>requesting</w:t>
            </w:r>
            <w:r>
              <w:rPr>
                <w:rFonts w:cs="Arial"/>
                <w:sz w:val="22"/>
                <w:szCs w:val="22"/>
              </w:rPr>
              <w:t xml:space="preserve"> </w:t>
            </w:r>
            <w:r w:rsidR="008A7043">
              <w:rPr>
                <w:rFonts w:cs="Arial"/>
                <w:sz w:val="22"/>
                <w:szCs w:val="22"/>
              </w:rPr>
              <w:t>consultancy</w:t>
            </w:r>
            <w:r>
              <w:rPr>
                <w:rFonts w:cs="Arial"/>
                <w:sz w:val="22"/>
                <w:szCs w:val="22"/>
              </w:rPr>
              <w:t xml:space="preserve"> suppo</w:t>
            </w:r>
            <w:r w:rsidR="008A7043">
              <w:rPr>
                <w:rFonts w:cs="Arial"/>
                <w:sz w:val="22"/>
                <w:szCs w:val="22"/>
              </w:rPr>
              <w:t>rt f</w:t>
            </w:r>
            <w:r w:rsidR="009521C1">
              <w:rPr>
                <w:rFonts w:cs="Arial"/>
                <w:sz w:val="22"/>
                <w:szCs w:val="22"/>
              </w:rPr>
              <w:t>or this phase of the project. W</w:t>
            </w:r>
            <w:r w:rsidR="009521C1" w:rsidRPr="00646958">
              <w:rPr>
                <w:rFonts w:cs="Arial"/>
                <w:sz w:val="22"/>
                <w:szCs w:val="22"/>
              </w:rPr>
              <w:t xml:space="preserve">orking with ORR and industry stakeholders, </w:t>
            </w:r>
            <w:r w:rsidR="009521C1">
              <w:rPr>
                <w:rFonts w:cs="Arial"/>
                <w:sz w:val="22"/>
                <w:szCs w:val="22"/>
              </w:rPr>
              <w:t xml:space="preserve">the consultant would </w:t>
            </w:r>
            <w:r w:rsidR="008A7043">
              <w:rPr>
                <w:rFonts w:cs="Arial"/>
                <w:sz w:val="22"/>
                <w:szCs w:val="22"/>
              </w:rPr>
              <w:t>help to</w:t>
            </w:r>
            <w:r w:rsidR="009521C1">
              <w:rPr>
                <w:rFonts w:cs="Arial"/>
                <w:sz w:val="22"/>
                <w:szCs w:val="22"/>
              </w:rPr>
              <w:t xml:space="preserve"> </w:t>
            </w:r>
            <w:r w:rsidR="00CB1751">
              <w:rPr>
                <w:rFonts w:cs="Arial"/>
                <w:sz w:val="22"/>
                <w:szCs w:val="22"/>
              </w:rPr>
              <w:t xml:space="preserve">design </w:t>
            </w:r>
            <w:r w:rsidR="009521C1">
              <w:rPr>
                <w:rFonts w:cs="Arial"/>
                <w:sz w:val="22"/>
                <w:szCs w:val="22"/>
              </w:rPr>
              <w:t xml:space="preserve">policy options </w:t>
            </w:r>
            <w:r w:rsidR="008A7043">
              <w:rPr>
                <w:rFonts w:cs="Arial"/>
                <w:sz w:val="22"/>
                <w:szCs w:val="22"/>
              </w:rPr>
              <w:t>in advance of an initial consultation</w:t>
            </w:r>
            <w:r>
              <w:rPr>
                <w:rFonts w:cs="Arial"/>
                <w:sz w:val="22"/>
                <w:szCs w:val="22"/>
              </w:rPr>
              <w:t>.</w:t>
            </w:r>
          </w:p>
          <w:p w14:paraId="2A78936F" w14:textId="38063CDD" w:rsidR="00A347E2" w:rsidRPr="00FE211F" w:rsidRDefault="00E96912" w:rsidP="009521C1">
            <w:pPr>
              <w:rPr>
                <w:rFonts w:cs="Arial"/>
                <w:sz w:val="22"/>
                <w:szCs w:val="22"/>
              </w:rPr>
            </w:pPr>
            <w:r>
              <w:rPr>
                <w:rFonts w:cs="Arial"/>
                <w:sz w:val="22"/>
                <w:szCs w:val="22"/>
              </w:rPr>
              <w:t xml:space="preserve">As with the </w:t>
            </w:r>
            <w:r w:rsidR="008A7043">
              <w:rPr>
                <w:rFonts w:cs="Arial"/>
                <w:sz w:val="22"/>
                <w:szCs w:val="22"/>
              </w:rPr>
              <w:t xml:space="preserve">other </w:t>
            </w:r>
            <w:r>
              <w:rPr>
                <w:rFonts w:cs="Arial"/>
                <w:sz w:val="22"/>
                <w:szCs w:val="22"/>
              </w:rPr>
              <w:t xml:space="preserve">workstream, </w:t>
            </w:r>
            <w:r w:rsidR="009521C1">
              <w:rPr>
                <w:rFonts w:cs="Arial"/>
                <w:sz w:val="22"/>
                <w:szCs w:val="22"/>
              </w:rPr>
              <w:t xml:space="preserve">a subsequent phase (as per the extension option) would </w:t>
            </w:r>
            <w:r w:rsidR="009521C1" w:rsidRPr="00C37C63">
              <w:rPr>
                <w:rFonts w:cs="Arial"/>
                <w:sz w:val="22"/>
                <w:szCs w:val="22"/>
                <w:u w:val="single"/>
              </w:rPr>
              <w:t>develop</w:t>
            </w:r>
            <w:r w:rsidR="009521C1">
              <w:rPr>
                <w:rFonts w:cs="Arial"/>
                <w:sz w:val="22"/>
                <w:szCs w:val="22"/>
              </w:rPr>
              <w:t xml:space="preserve"> the preferred option that results from consultation. Work will then commence to </w:t>
            </w:r>
            <w:r w:rsidR="009521C1">
              <w:rPr>
                <w:rFonts w:cs="Arial"/>
                <w:sz w:val="22"/>
                <w:szCs w:val="22"/>
                <w:u w:val="single"/>
              </w:rPr>
              <w:t>implement</w:t>
            </w:r>
            <w:r w:rsidR="009521C1">
              <w:rPr>
                <w:rFonts w:cs="Arial"/>
                <w:sz w:val="22"/>
                <w:szCs w:val="22"/>
              </w:rPr>
              <w:t xml:space="preserve"> this option (this is not contained in this tender or the extension option).</w:t>
            </w:r>
            <w:r>
              <w:rPr>
                <w:rFonts w:cs="Arial"/>
                <w:sz w:val="22"/>
                <w:szCs w:val="22"/>
              </w:rPr>
              <w:t xml:space="preserve"> </w:t>
            </w:r>
          </w:p>
        </w:tc>
      </w:tr>
      <w:tr w:rsidR="00F52BE8" w:rsidRPr="0036077E" w14:paraId="2BBB3302" w14:textId="77777777" w:rsidTr="00E94D37">
        <w:trPr>
          <w:trHeight w:val="371"/>
        </w:trPr>
        <w:tc>
          <w:tcPr>
            <w:tcW w:w="8528" w:type="dxa"/>
            <w:shd w:val="clear" w:color="auto" w:fill="99CCFF"/>
          </w:tcPr>
          <w:p w14:paraId="5EF658D8" w14:textId="77777777" w:rsidR="00F52BE8" w:rsidRPr="0036077E" w:rsidRDefault="00F52BE8" w:rsidP="003434EB">
            <w:pPr>
              <w:keepNext/>
              <w:rPr>
                <w:rFonts w:cs="Arial"/>
                <w:b/>
                <w:sz w:val="28"/>
                <w:szCs w:val="28"/>
              </w:rPr>
            </w:pPr>
            <w:r w:rsidRPr="0036077E">
              <w:rPr>
                <w:rFonts w:cs="Arial"/>
                <w:b/>
                <w:sz w:val="28"/>
                <w:szCs w:val="28"/>
              </w:rPr>
              <w:lastRenderedPageBreak/>
              <w:t>2.2 Project Objectives &amp; Scope</w:t>
            </w:r>
          </w:p>
        </w:tc>
      </w:tr>
      <w:tr w:rsidR="00F52BE8" w:rsidRPr="0036077E" w14:paraId="5F39519A" w14:textId="77777777" w:rsidTr="00E94D37">
        <w:trPr>
          <w:trHeight w:val="757"/>
        </w:trPr>
        <w:tc>
          <w:tcPr>
            <w:tcW w:w="8528" w:type="dxa"/>
            <w:tcBorders>
              <w:bottom w:val="single" w:sz="4" w:space="0" w:color="auto"/>
            </w:tcBorders>
            <w:shd w:val="clear" w:color="auto" w:fill="auto"/>
          </w:tcPr>
          <w:p w14:paraId="17CF92AF" w14:textId="14B54BBD" w:rsidR="008053B8" w:rsidRDefault="00B11EE0" w:rsidP="008053B8">
            <w:pPr>
              <w:rPr>
                <w:rFonts w:cs="Arial"/>
                <w:sz w:val="22"/>
                <w:szCs w:val="22"/>
              </w:rPr>
            </w:pPr>
            <w:r>
              <w:rPr>
                <w:rFonts w:cs="Arial"/>
                <w:sz w:val="22"/>
                <w:szCs w:val="22"/>
              </w:rPr>
              <w:t>For</w:t>
            </w:r>
            <w:r w:rsidR="00494E82">
              <w:rPr>
                <w:rFonts w:cs="Arial"/>
                <w:b/>
                <w:sz w:val="22"/>
                <w:szCs w:val="22"/>
              </w:rPr>
              <w:t xml:space="preserve"> </w:t>
            </w:r>
            <w:r w:rsidR="00494E82" w:rsidRPr="00494E82">
              <w:rPr>
                <w:rFonts w:cs="Arial"/>
                <w:b/>
                <w:sz w:val="22"/>
                <w:szCs w:val="22"/>
              </w:rPr>
              <w:t>the</w:t>
            </w:r>
            <w:r w:rsidR="00494E82">
              <w:rPr>
                <w:rFonts w:cs="Arial"/>
                <w:b/>
                <w:sz w:val="22"/>
                <w:szCs w:val="22"/>
              </w:rPr>
              <w:t xml:space="preserve"> performance and possessions regimes</w:t>
            </w:r>
            <w:r>
              <w:rPr>
                <w:rFonts w:cs="Arial"/>
                <w:sz w:val="22"/>
                <w:szCs w:val="22"/>
              </w:rPr>
              <w:t>, t</w:t>
            </w:r>
            <w:r w:rsidR="00AA1377" w:rsidRPr="00B11EE0">
              <w:rPr>
                <w:rFonts w:cs="Arial"/>
                <w:sz w:val="22"/>
                <w:szCs w:val="22"/>
              </w:rPr>
              <w:t>he</w:t>
            </w:r>
            <w:r w:rsidR="00AA1377">
              <w:rPr>
                <w:rFonts w:cs="Arial"/>
                <w:sz w:val="22"/>
                <w:szCs w:val="22"/>
              </w:rPr>
              <w:t xml:space="preserve"> aim of the upcoming </w:t>
            </w:r>
            <w:r w:rsidR="008053B8">
              <w:rPr>
                <w:rFonts w:cs="Arial"/>
                <w:sz w:val="22"/>
                <w:szCs w:val="22"/>
              </w:rPr>
              <w:t xml:space="preserve">‘design’ </w:t>
            </w:r>
            <w:r w:rsidR="00AA1377">
              <w:rPr>
                <w:rFonts w:cs="Arial"/>
                <w:sz w:val="22"/>
                <w:szCs w:val="22"/>
              </w:rPr>
              <w:t xml:space="preserve">phase of ORR’s review is to </w:t>
            </w:r>
            <w:r w:rsidR="008053B8">
              <w:rPr>
                <w:rFonts w:cs="Arial"/>
                <w:sz w:val="22"/>
                <w:szCs w:val="22"/>
              </w:rPr>
              <w:t xml:space="preserve">design and evaluate </w:t>
            </w:r>
            <w:r w:rsidR="00AA1377">
              <w:rPr>
                <w:rFonts w:cs="Arial"/>
                <w:sz w:val="22"/>
                <w:szCs w:val="22"/>
              </w:rPr>
              <w:t xml:space="preserve">options for reform of </w:t>
            </w:r>
            <w:r w:rsidR="008053B8">
              <w:rPr>
                <w:rFonts w:cs="Arial"/>
                <w:sz w:val="22"/>
                <w:szCs w:val="22"/>
              </w:rPr>
              <w:t xml:space="preserve">the </w:t>
            </w:r>
            <w:r w:rsidR="00AA1377">
              <w:rPr>
                <w:rFonts w:cs="Arial"/>
                <w:sz w:val="22"/>
                <w:szCs w:val="22"/>
              </w:rPr>
              <w:t xml:space="preserve">performance regime. </w:t>
            </w:r>
            <w:r w:rsidR="008053B8">
              <w:rPr>
                <w:rFonts w:cs="Arial"/>
                <w:sz w:val="22"/>
                <w:szCs w:val="22"/>
              </w:rPr>
              <w:t xml:space="preserve">This work will culminate in a consultation in spring 2021. </w:t>
            </w:r>
          </w:p>
          <w:p w14:paraId="078558CB" w14:textId="0EACD762" w:rsidR="008053B8" w:rsidRDefault="008053B8" w:rsidP="008053B8">
            <w:pPr>
              <w:rPr>
                <w:rFonts w:cs="Arial"/>
                <w:sz w:val="22"/>
                <w:szCs w:val="22"/>
              </w:rPr>
            </w:pPr>
            <w:r>
              <w:rPr>
                <w:rFonts w:cs="Arial"/>
                <w:sz w:val="22"/>
                <w:szCs w:val="22"/>
              </w:rPr>
              <w:t xml:space="preserve">The consultant will: </w:t>
            </w:r>
          </w:p>
          <w:p w14:paraId="1C1FB374" w14:textId="1D7CF24E" w:rsidR="00BC4945" w:rsidRPr="00314899" w:rsidRDefault="00BC4945" w:rsidP="00395B54">
            <w:pPr>
              <w:pStyle w:val="ListParagraph"/>
              <w:numPr>
                <w:ilvl w:val="0"/>
                <w:numId w:val="35"/>
              </w:numPr>
              <w:rPr>
                <w:rFonts w:cs="Arial"/>
                <w:sz w:val="22"/>
                <w:szCs w:val="22"/>
              </w:rPr>
            </w:pPr>
            <w:r w:rsidRPr="00314899">
              <w:rPr>
                <w:rFonts w:cs="Arial"/>
                <w:sz w:val="22"/>
                <w:szCs w:val="22"/>
              </w:rPr>
              <w:t xml:space="preserve">Work with ORR to agree and write objectives for the performance regime; </w:t>
            </w:r>
          </w:p>
          <w:p w14:paraId="5026C12F" w14:textId="77777777" w:rsidR="00395B54" w:rsidRPr="00314899" w:rsidRDefault="00395B54" w:rsidP="00395B54">
            <w:pPr>
              <w:pStyle w:val="ListParagraph"/>
              <w:rPr>
                <w:rFonts w:cs="Arial"/>
                <w:sz w:val="22"/>
                <w:szCs w:val="22"/>
              </w:rPr>
            </w:pPr>
          </w:p>
          <w:p w14:paraId="59DB2FBB" w14:textId="6F79E907" w:rsidR="00060474" w:rsidRPr="00314899" w:rsidRDefault="00060474" w:rsidP="00395B54">
            <w:pPr>
              <w:pStyle w:val="ListParagraph"/>
              <w:numPr>
                <w:ilvl w:val="0"/>
                <w:numId w:val="35"/>
              </w:numPr>
              <w:rPr>
                <w:rFonts w:cs="Arial"/>
                <w:sz w:val="22"/>
                <w:szCs w:val="22"/>
              </w:rPr>
            </w:pPr>
            <w:r w:rsidRPr="00314899">
              <w:rPr>
                <w:rFonts w:cs="Arial"/>
                <w:sz w:val="22"/>
                <w:szCs w:val="22"/>
              </w:rPr>
              <w:t>Lead or contribute to stakeholder engagement sessions which will feed</w:t>
            </w:r>
            <w:r w:rsidR="00621A0B" w:rsidRPr="00314899">
              <w:rPr>
                <w:rFonts w:cs="Arial"/>
                <w:sz w:val="22"/>
                <w:szCs w:val="22"/>
              </w:rPr>
              <w:t xml:space="preserve"> into the option design process; </w:t>
            </w:r>
          </w:p>
          <w:p w14:paraId="721D6942" w14:textId="77777777" w:rsidR="00395B54" w:rsidRDefault="00395B54" w:rsidP="00395B54">
            <w:pPr>
              <w:pStyle w:val="ListParagraph"/>
              <w:rPr>
                <w:rFonts w:cs="Arial"/>
                <w:sz w:val="22"/>
                <w:szCs w:val="22"/>
              </w:rPr>
            </w:pPr>
          </w:p>
          <w:p w14:paraId="74771E60" w14:textId="79CE158B" w:rsidR="008053B8" w:rsidRPr="00060474" w:rsidRDefault="008053B8" w:rsidP="00395B54">
            <w:pPr>
              <w:pStyle w:val="ListParagraph"/>
              <w:numPr>
                <w:ilvl w:val="0"/>
                <w:numId w:val="35"/>
              </w:numPr>
              <w:rPr>
                <w:rFonts w:cs="Arial"/>
                <w:sz w:val="22"/>
                <w:szCs w:val="22"/>
              </w:rPr>
            </w:pPr>
            <w:r w:rsidRPr="00060474">
              <w:rPr>
                <w:rFonts w:cs="Arial"/>
                <w:sz w:val="22"/>
                <w:szCs w:val="22"/>
              </w:rPr>
              <w:t xml:space="preserve">Identify and summarise key policy issues, most notably the implications of industry reform for the performance regime; </w:t>
            </w:r>
          </w:p>
          <w:p w14:paraId="7CC25382" w14:textId="77777777" w:rsidR="00395B54" w:rsidRDefault="00395B54" w:rsidP="00395B54">
            <w:pPr>
              <w:pStyle w:val="ListParagraph"/>
              <w:rPr>
                <w:rFonts w:cs="Arial"/>
                <w:sz w:val="22"/>
                <w:szCs w:val="22"/>
              </w:rPr>
            </w:pPr>
          </w:p>
          <w:p w14:paraId="478B3400" w14:textId="716601FA" w:rsidR="008053B8" w:rsidRPr="00060474" w:rsidRDefault="008053B8" w:rsidP="00395B54">
            <w:pPr>
              <w:pStyle w:val="ListParagraph"/>
              <w:numPr>
                <w:ilvl w:val="0"/>
                <w:numId w:val="35"/>
              </w:numPr>
              <w:rPr>
                <w:rFonts w:cs="Arial"/>
                <w:sz w:val="22"/>
                <w:szCs w:val="22"/>
              </w:rPr>
            </w:pPr>
            <w:r w:rsidRPr="00060474">
              <w:rPr>
                <w:rFonts w:cs="Arial"/>
                <w:sz w:val="22"/>
                <w:szCs w:val="22"/>
              </w:rPr>
              <w:t>Design a</w:t>
            </w:r>
            <w:r w:rsidR="009D59FA">
              <w:rPr>
                <w:rFonts w:cs="Arial"/>
                <w:sz w:val="22"/>
                <w:szCs w:val="22"/>
              </w:rPr>
              <w:t xml:space="preserve">pproximately </w:t>
            </w:r>
            <w:r w:rsidRPr="00060474">
              <w:rPr>
                <w:rFonts w:cs="Arial"/>
                <w:sz w:val="22"/>
                <w:szCs w:val="22"/>
              </w:rPr>
              <w:t xml:space="preserve">three options that are intended to deliver the stated objectives of the performance regime; </w:t>
            </w:r>
          </w:p>
          <w:p w14:paraId="21E65D9F" w14:textId="77777777" w:rsidR="00395B54" w:rsidRDefault="00395B54" w:rsidP="00395B54">
            <w:pPr>
              <w:pStyle w:val="ListParagraph"/>
              <w:rPr>
                <w:rFonts w:cs="Arial"/>
                <w:sz w:val="22"/>
                <w:szCs w:val="22"/>
              </w:rPr>
            </w:pPr>
          </w:p>
          <w:p w14:paraId="5C3B5F78" w14:textId="7166DA64" w:rsidR="00060474" w:rsidRPr="00060474" w:rsidRDefault="008053B8" w:rsidP="00395B54">
            <w:pPr>
              <w:pStyle w:val="ListParagraph"/>
              <w:numPr>
                <w:ilvl w:val="0"/>
                <w:numId w:val="35"/>
              </w:numPr>
              <w:rPr>
                <w:rFonts w:cs="Arial"/>
                <w:sz w:val="22"/>
                <w:szCs w:val="22"/>
              </w:rPr>
            </w:pPr>
            <w:r w:rsidRPr="00060474">
              <w:rPr>
                <w:rFonts w:cs="Arial"/>
                <w:sz w:val="22"/>
                <w:szCs w:val="22"/>
              </w:rPr>
              <w:t xml:space="preserve">Evaluate how effectively each option would operate </w:t>
            </w:r>
            <w:r w:rsidR="00060474" w:rsidRPr="00060474">
              <w:rPr>
                <w:rFonts w:cs="Arial"/>
                <w:sz w:val="22"/>
                <w:szCs w:val="22"/>
              </w:rPr>
              <w:t>with</w:t>
            </w:r>
            <w:r w:rsidRPr="00060474">
              <w:rPr>
                <w:rFonts w:cs="Arial"/>
                <w:sz w:val="22"/>
                <w:szCs w:val="22"/>
              </w:rPr>
              <w:t xml:space="preserve"> the emerging industry structure</w:t>
            </w:r>
            <w:r w:rsidR="00060474" w:rsidRPr="00060474">
              <w:rPr>
                <w:rFonts w:cs="Arial"/>
                <w:sz w:val="22"/>
                <w:szCs w:val="22"/>
              </w:rPr>
              <w:t xml:space="preserve"> and new TOC commercial models. This is likely to involve close communication with parties such as DfT, Transport Scotland</w:t>
            </w:r>
            <w:r w:rsidR="00E50599">
              <w:rPr>
                <w:rFonts w:cs="Arial"/>
                <w:sz w:val="22"/>
                <w:szCs w:val="22"/>
              </w:rPr>
              <w:t>,</w:t>
            </w:r>
            <w:r w:rsidR="00060474" w:rsidRPr="00060474">
              <w:rPr>
                <w:rFonts w:cs="Arial"/>
                <w:sz w:val="22"/>
                <w:szCs w:val="22"/>
              </w:rPr>
              <w:t xml:space="preserve"> Network Rail</w:t>
            </w:r>
            <w:r w:rsidR="00E50599">
              <w:rPr>
                <w:rFonts w:cs="Arial"/>
                <w:sz w:val="22"/>
                <w:szCs w:val="22"/>
              </w:rPr>
              <w:t xml:space="preserve"> and operators</w:t>
            </w:r>
            <w:r w:rsidR="00060474" w:rsidRPr="00060474">
              <w:rPr>
                <w:rFonts w:cs="Arial"/>
                <w:sz w:val="22"/>
                <w:szCs w:val="22"/>
              </w:rPr>
              <w:t xml:space="preserve">; </w:t>
            </w:r>
          </w:p>
          <w:p w14:paraId="7B793174" w14:textId="77777777" w:rsidR="00395B54" w:rsidRDefault="00395B54" w:rsidP="00395B54">
            <w:pPr>
              <w:pStyle w:val="ListParagraph"/>
              <w:rPr>
                <w:rFonts w:cs="Arial"/>
                <w:sz w:val="22"/>
                <w:szCs w:val="22"/>
              </w:rPr>
            </w:pPr>
          </w:p>
          <w:p w14:paraId="3AC4174B" w14:textId="4A03BDDA" w:rsidR="008053B8" w:rsidRPr="00060474" w:rsidRDefault="00060474" w:rsidP="00395B54">
            <w:pPr>
              <w:pStyle w:val="ListParagraph"/>
              <w:numPr>
                <w:ilvl w:val="0"/>
                <w:numId w:val="35"/>
              </w:numPr>
              <w:rPr>
                <w:rFonts w:cs="Arial"/>
                <w:sz w:val="22"/>
                <w:szCs w:val="22"/>
              </w:rPr>
            </w:pPr>
            <w:r w:rsidRPr="00060474">
              <w:rPr>
                <w:rFonts w:cs="Arial"/>
                <w:sz w:val="22"/>
                <w:szCs w:val="22"/>
              </w:rPr>
              <w:t>Carry out an impact assessment for each option against set criteria. Each option to be robustly tested with assessment by stakeholder type (freight, open access operators, other infrastructure managers, different funders, etc.)</w:t>
            </w:r>
            <w:r w:rsidR="008053B8" w:rsidRPr="00060474">
              <w:rPr>
                <w:rFonts w:cs="Arial"/>
                <w:sz w:val="22"/>
                <w:szCs w:val="22"/>
              </w:rPr>
              <w:t xml:space="preserve">; </w:t>
            </w:r>
          </w:p>
          <w:p w14:paraId="6F0A570F" w14:textId="77777777" w:rsidR="00395B54" w:rsidRDefault="00395B54" w:rsidP="00395B54">
            <w:pPr>
              <w:pStyle w:val="ListParagraph"/>
              <w:rPr>
                <w:rFonts w:cs="Arial"/>
                <w:sz w:val="22"/>
                <w:szCs w:val="22"/>
              </w:rPr>
            </w:pPr>
          </w:p>
          <w:p w14:paraId="16AF016F" w14:textId="157C0A83" w:rsidR="008053B8" w:rsidRDefault="008053B8" w:rsidP="00395B54">
            <w:pPr>
              <w:pStyle w:val="ListParagraph"/>
              <w:numPr>
                <w:ilvl w:val="0"/>
                <w:numId w:val="35"/>
              </w:numPr>
              <w:rPr>
                <w:rFonts w:cs="Arial"/>
                <w:sz w:val="22"/>
                <w:szCs w:val="22"/>
              </w:rPr>
            </w:pPr>
            <w:r w:rsidRPr="00060474">
              <w:rPr>
                <w:rFonts w:cs="Arial"/>
                <w:sz w:val="22"/>
                <w:szCs w:val="22"/>
              </w:rPr>
              <w:t xml:space="preserve">Identify the implementation and transition </w:t>
            </w:r>
            <w:r w:rsidR="00060474" w:rsidRPr="00060474">
              <w:rPr>
                <w:rFonts w:cs="Arial"/>
                <w:sz w:val="22"/>
                <w:szCs w:val="22"/>
              </w:rPr>
              <w:t>approach for each option</w:t>
            </w:r>
            <w:r w:rsidR="00DD4CEE">
              <w:rPr>
                <w:rFonts w:cs="Arial"/>
                <w:sz w:val="22"/>
                <w:szCs w:val="22"/>
              </w:rPr>
              <w:t xml:space="preserve">; </w:t>
            </w:r>
            <w:r w:rsidR="00CB1751">
              <w:rPr>
                <w:rFonts w:cs="Arial"/>
                <w:sz w:val="22"/>
                <w:szCs w:val="22"/>
              </w:rPr>
              <w:t>and</w:t>
            </w:r>
          </w:p>
          <w:p w14:paraId="1DDCB461" w14:textId="77777777" w:rsidR="00DD4CEE" w:rsidRPr="00DD4CEE" w:rsidRDefault="00DD4CEE" w:rsidP="00DD4CEE">
            <w:pPr>
              <w:pStyle w:val="ListParagraph"/>
              <w:rPr>
                <w:rFonts w:cs="Arial"/>
                <w:sz w:val="22"/>
                <w:szCs w:val="22"/>
              </w:rPr>
            </w:pPr>
          </w:p>
          <w:p w14:paraId="616C96A9" w14:textId="05EC62C5" w:rsidR="00DD4CEE" w:rsidRPr="00060474" w:rsidRDefault="00DD4CEE" w:rsidP="00395B54">
            <w:pPr>
              <w:pStyle w:val="ListParagraph"/>
              <w:numPr>
                <w:ilvl w:val="0"/>
                <w:numId w:val="35"/>
              </w:numPr>
              <w:rPr>
                <w:rFonts w:cs="Arial"/>
                <w:sz w:val="22"/>
                <w:szCs w:val="22"/>
              </w:rPr>
            </w:pPr>
            <w:r>
              <w:rPr>
                <w:rFonts w:cs="Arial"/>
                <w:sz w:val="22"/>
                <w:szCs w:val="22"/>
              </w:rPr>
              <w:t xml:space="preserve">Scope the work required for the ‘develop’ phase that will follow. </w:t>
            </w:r>
          </w:p>
          <w:p w14:paraId="09F5C5DB" w14:textId="6543BAE0" w:rsidR="00F52BE8" w:rsidRDefault="00FF7EB1" w:rsidP="00B11EE0">
            <w:pPr>
              <w:rPr>
                <w:rFonts w:cs="Arial"/>
                <w:sz w:val="22"/>
                <w:szCs w:val="22"/>
              </w:rPr>
            </w:pPr>
            <w:r w:rsidRPr="00DD4CEE">
              <w:rPr>
                <w:rFonts w:cs="Arial"/>
                <w:sz w:val="22"/>
                <w:szCs w:val="22"/>
              </w:rPr>
              <w:t>The consultant</w:t>
            </w:r>
            <w:r w:rsidR="00B11EE0" w:rsidRPr="00DD4CEE">
              <w:rPr>
                <w:rFonts w:cs="Arial"/>
                <w:sz w:val="22"/>
                <w:szCs w:val="22"/>
              </w:rPr>
              <w:t xml:space="preserve"> </w:t>
            </w:r>
            <w:r w:rsidRPr="00DD4CEE">
              <w:rPr>
                <w:rFonts w:cs="Arial"/>
                <w:sz w:val="22"/>
                <w:szCs w:val="22"/>
              </w:rPr>
              <w:t xml:space="preserve">will work </w:t>
            </w:r>
            <w:r w:rsidR="005F3C7A" w:rsidRPr="00DD4CEE">
              <w:rPr>
                <w:rFonts w:cs="Arial"/>
                <w:sz w:val="22"/>
                <w:szCs w:val="22"/>
              </w:rPr>
              <w:t xml:space="preserve">as part of </w:t>
            </w:r>
            <w:r w:rsidRPr="00DD4CEE">
              <w:rPr>
                <w:rFonts w:cs="Arial"/>
                <w:sz w:val="22"/>
                <w:szCs w:val="22"/>
              </w:rPr>
              <w:t>ORR’s project team</w:t>
            </w:r>
            <w:r w:rsidR="005F3C7A" w:rsidRPr="00DD4CEE">
              <w:rPr>
                <w:rFonts w:cs="Arial"/>
                <w:sz w:val="22"/>
                <w:szCs w:val="22"/>
              </w:rPr>
              <w:t xml:space="preserve">, </w:t>
            </w:r>
            <w:r w:rsidR="002E6C7F">
              <w:rPr>
                <w:rFonts w:cs="Arial"/>
                <w:sz w:val="22"/>
                <w:szCs w:val="22"/>
              </w:rPr>
              <w:t xml:space="preserve">which will include </w:t>
            </w:r>
            <w:r w:rsidR="005F3C7A" w:rsidRPr="00DD4CEE">
              <w:rPr>
                <w:rFonts w:cs="Arial"/>
                <w:sz w:val="22"/>
                <w:szCs w:val="22"/>
              </w:rPr>
              <w:t xml:space="preserve">a lead economist and </w:t>
            </w:r>
            <w:r w:rsidR="002E6C7F">
              <w:rPr>
                <w:rFonts w:cs="Arial"/>
                <w:sz w:val="22"/>
                <w:szCs w:val="22"/>
              </w:rPr>
              <w:t xml:space="preserve">other </w:t>
            </w:r>
            <w:r w:rsidR="005F3C7A" w:rsidRPr="00DD4CEE">
              <w:rPr>
                <w:rFonts w:cs="Arial"/>
                <w:sz w:val="22"/>
                <w:szCs w:val="22"/>
              </w:rPr>
              <w:t>economist</w:t>
            </w:r>
            <w:r w:rsidRPr="00DD4CEE">
              <w:rPr>
                <w:rFonts w:cs="Arial"/>
                <w:sz w:val="22"/>
                <w:szCs w:val="22"/>
              </w:rPr>
              <w:t xml:space="preserve">. </w:t>
            </w:r>
            <w:r w:rsidR="00621A0B" w:rsidRPr="00DD4CEE">
              <w:rPr>
                <w:rFonts w:cs="Arial"/>
                <w:sz w:val="22"/>
                <w:szCs w:val="22"/>
              </w:rPr>
              <w:t>This will help to ensure the activities are undertaken in a way which is consistent with our broader aims and objectives for PR23 as a whole.</w:t>
            </w:r>
          </w:p>
          <w:p w14:paraId="79DB77F2" w14:textId="260FABDE" w:rsidR="00060474" w:rsidRDefault="00060474" w:rsidP="00C73BAB">
            <w:pPr>
              <w:rPr>
                <w:rFonts w:cs="Arial"/>
                <w:sz w:val="22"/>
                <w:szCs w:val="22"/>
              </w:rPr>
            </w:pPr>
            <w:r>
              <w:rPr>
                <w:rFonts w:cs="Arial"/>
                <w:sz w:val="22"/>
                <w:szCs w:val="22"/>
              </w:rPr>
              <w:t xml:space="preserve">A subsequent ‘develop’ phase will follow after the </w:t>
            </w:r>
            <w:r w:rsidR="00D7516E">
              <w:rPr>
                <w:rFonts w:cs="Arial"/>
                <w:sz w:val="22"/>
                <w:szCs w:val="22"/>
              </w:rPr>
              <w:t xml:space="preserve">spring 2021 consultation, as per the extension option set out below. </w:t>
            </w:r>
          </w:p>
          <w:p w14:paraId="5ABA28DF" w14:textId="754CCAA7" w:rsidR="00C73BAB" w:rsidRDefault="00C73BAB" w:rsidP="00C73BAB">
            <w:pPr>
              <w:rPr>
                <w:rFonts w:cs="Arial"/>
                <w:sz w:val="22"/>
                <w:szCs w:val="22"/>
              </w:rPr>
            </w:pPr>
            <w:r>
              <w:rPr>
                <w:rFonts w:cs="Arial"/>
                <w:sz w:val="22"/>
                <w:szCs w:val="22"/>
              </w:rPr>
              <w:lastRenderedPageBreak/>
              <w:t xml:space="preserve">For </w:t>
            </w:r>
            <w:r w:rsidR="00B8784E">
              <w:rPr>
                <w:rFonts w:cs="Arial"/>
                <w:sz w:val="22"/>
                <w:szCs w:val="22"/>
              </w:rPr>
              <w:t xml:space="preserve">the </w:t>
            </w:r>
            <w:r w:rsidR="00B8784E">
              <w:rPr>
                <w:rFonts w:cs="Arial"/>
                <w:b/>
                <w:sz w:val="22"/>
                <w:szCs w:val="22"/>
              </w:rPr>
              <w:t>review of a</w:t>
            </w:r>
            <w:r w:rsidRPr="005D39C1">
              <w:rPr>
                <w:rFonts w:cs="Arial"/>
                <w:b/>
                <w:sz w:val="22"/>
                <w:szCs w:val="22"/>
              </w:rPr>
              <w:t>ccess charges</w:t>
            </w:r>
            <w:r>
              <w:rPr>
                <w:rFonts w:cs="Arial"/>
                <w:sz w:val="22"/>
                <w:szCs w:val="22"/>
              </w:rPr>
              <w:t xml:space="preserve">, as set out above, the aim of the </w:t>
            </w:r>
            <w:r w:rsidR="008A7043">
              <w:rPr>
                <w:rFonts w:cs="Arial"/>
                <w:sz w:val="22"/>
                <w:szCs w:val="22"/>
              </w:rPr>
              <w:t xml:space="preserve">design </w:t>
            </w:r>
            <w:r>
              <w:rPr>
                <w:rFonts w:cs="Arial"/>
                <w:sz w:val="22"/>
                <w:szCs w:val="22"/>
              </w:rPr>
              <w:t xml:space="preserve">phase of this project is to identify key issues with the existing structure of charges; and start developing high-level options to address these issues. To support this, we expect the consultant would assist in the following activities: </w:t>
            </w:r>
          </w:p>
          <w:p w14:paraId="32BEEC9F" w14:textId="05801530" w:rsidR="00C73BAB" w:rsidRDefault="00C73BAB" w:rsidP="00C73BAB">
            <w:pPr>
              <w:pStyle w:val="ListParagraph"/>
              <w:numPr>
                <w:ilvl w:val="0"/>
                <w:numId w:val="28"/>
              </w:numPr>
              <w:rPr>
                <w:rFonts w:cs="Arial"/>
                <w:sz w:val="22"/>
                <w:szCs w:val="22"/>
              </w:rPr>
            </w:pPr>
            <w:r>
              <w:rPr>
                <w:rFonts w:cs="Arial"/>
                <w:sz w:val="22"/>
                <w:szCs w:val="22"/>
              </w:rPr>
              <w:t>Reviewing the existing structure of access charges and identifying areas where</w:t>
            </w:r>
            <w:r w:rsidR="009521C1">
              <w:rPr>
                <w:rFonts w:cs="Arial"/>
                <w:sz w:val="22"/>
                <w:szCs w:val="22"/>
              </w:rPr>
              <w:t xml:space="preserve"> charges do not meet our aims and objectives for the charges framework.</w:t>
            </w:r>
          </w:p>
          <w:p w14:paraId="3E0AA26D" w14:textId="77777777" w:rsidR="00773A22" w:rsidRDefault="00773A22" w:rsidP="00773A22">
            <w:pPr>
              <w:pStyle w:val="ListParagraph"/>
              <w:rPr>
                <w:rFonts w:cs="Arial"/>
                <w:sz w:val="22"/>
                <w:szCs w:val="22"/>
              </w:rPr>
            </w:pPr>
          </w:p>
          <w:p w14:paraId="61886208" w14:textId="62EE14F8" w:rsidR="00C73BAB" w:rsidRDefault="00C73BAB" w:rsidP="00C73BAB">
            <w:pPr>
              <w:pStyle w:val="ListParagraph"/>
              <w:numPr>
                <w:ilvl w:val="0"/>
                <w:numId w:val="28"/>
              </w:numPr>
              <w:rPr>
                <w:rFonts w:cs="Arial"/>
                <w:sz w:val="22"/>
                <w:szCs w:val="22"/>
              </w:rPr>
            </w:pPr>
            <w:r>
              <w:rPr>
                <w:rFonts w:cs="Arial"/>
                <w:sz w:val="22"/>
                <w:szCs w:val="22"/>
              </w:rPr>
              <w:t xml:space="preserve">Leading or contributing to stakeholder </w:t>
            </w:r>
            <w:r w:rsidR="0081593E">
              <w:rPr>
                <w:rFonts w:cs="Arial"/>
                <w:sz w:val="22"/>
                <w:szCs w:val="22"/>
              </w:rPr>
              <w:t>meetings / workshops</w:t>
            </w:r>
            <w:r>
              <w:rPr>
                <w:rFonts w:cs="Arial"/>
                <w:sz w:val="22"/>
                <w:szCs w:val="22"/>
              </w:rPr>
              <w:t xml:space="preserve">, to obtain further understanding about </w:t>
            </w:r>
            <w:r w:rsidR="008A7043">
              <w:rPr>
                <w:rFonts w:cs="Arial"/>
                <w:sz w:val="22"/>
                <w:szCs w:val="22"/>
              </w:rPr>
              <w:t xml:space="preserve">industry’s views on </w:t>
            </w:r>
            <w:r>
              <w:rPr>
                <w:rFonts w:cs="Arial"/>
                <w:sz w:val="22"/>
                <w:szCs w:val="22"/>
              </w:rPr>
              <w:t>the effectiveness of the current CP6 charges</w:t>
            </w:r>
            <w:r w:rsidR="008A7043">
              <w:rPr>
                <w:rFonts w:cs="Arial"/>
                <w:sz w:val="22"/>
                <w:szCs w:val="22"/>
              </w:rPr>
              <w:t xml:space="preserve"> regime</w:t>
            </w:r>
            <w:r w:rsidR="009521C1">
              <w:rPr>
                <w:rFonts w:cs="Arial"/>
                <w:sz w:val="22"/>
                <w:szCs w:val="22"/>
              </w:rPr>
              <w:t>.</w:t>
            </w:r>
          </w:p>
          <w:p w14:paraId="356BB8F8" w14:textId="77777777" w:rsidR="00773A22" w:rsidRDefault="00773A22" w:rsidP="00773A22">
            <w:pPr>
              <w:pStyle w:val="ListParagraph"/>
              <w:rPr>
                <w:rFonts w:cs="Arial"/>
                <w:sz w:val="22"/>
                <w:szCs w:val="22"/>
              </w:rPr>
            </w:pPr>
          </w:p>
          <w:p w14:paraId="4825B7AE" w14:textId="5E954472" w:rsidR="00C73BAB" w:rsidRDefault="00C73BAB" w:rsidP="00C73BAB">
            <w:pPr>
              <w:pStyle w:val="ListParagraph"/>
              <w:numPr>
                <w:ilvl w:val="0"/>
                <w:numId w:val="28"/>
              </w:numPr>
              <w:rPr>
                <w:rFonts w:cs="Arial"/>
                <w:sz w:val="22"/>
                <w:szCs w:val="22"/>
              </w:rPr>
            </w:pPr>
            <w:r>
              <w:rPr>
                <w:rFonts w:cs="Arial"/>
                <w:sz w:val="22"/>
                <w:szCs w:val="22"/>
              </w:rPr>
              <w:t>Assessing the implications for the charges regime of franchised operators’ ERMA a</w:t>
            </w:r>
            <w:r w:rsidR="00395B54">
              <w:rPr>
                <w:rFonts w:cs="Arial"/>
                <w:sz w:val="22"/>
                <w:szCs w:val="22"/>
              </w:rPr>
              <w:t xml:space="preserve">rrangements and possible future industry </w:t>
            </w:r>
            <w:r>
              <w:rPr>
                <w:rFonts w:cs="Arial"/>
                <w:sz w:val="22"/>
                <w:szCs w:val="22"/>
              </w:rPr>
              <w:t>reform</w:t>
            </w:r>
            <w:r w:rsidR="009521C1">
              <w:rPr>
                <w:rFonts w:cs="Arial"/>
                <w:sz w:val="22"/>
                <w:szCs w:val="22"/>
              </w:rPr>
              <w:t>.</w:t>
            </w:r>
          </w:p>
          <w:p w14:paraId="4BB87C94" w14:textId="77777777" w:rsidR="009521C1" w:rsidRDefault="009521C1" w:rsidP="009521C1">
            <w:pPr>
              <w:pStyle w:val="ListParagraph"/>
              <w:rPr>
                <w:rFonts w:cs="Arial"/>
                <w:sz w:val="22"/>
                <w:szCs w:val="22"/>
              </w:rPr>
            </w:pPr>
          </w:p>
          <w:p w14:paraId="6A0461D4" w14:textId="714DAB7B" w:rsidR="00C73BAB" w:rsidRDefault="00C73BAB" w:rsidP="00C73BAB">
            <w:pPr>
              <w:pStyle w:val="ListParagraph"/>
              <w:numPr>
                <w:ilvl w:val="0"/>
                <w:numId w:val="28"/>
              </w:numPr>
              <w:rPr>
                <w:rFonts w:cs="Arial"/>
                <w:sz w:val="22"/>
                <w:szCs w:val="22"/>
              </w:rPr>
            </w:pPr>
            <w:r>
              <w:rPr>
                <w:rFonts w:cs="Arial"/>
                <w:sz w:val="22"/>
                <w:szCs w:val="22"/>
              </w:rPr>
              <w:t>Developing an initial set of policy options</w:t>
            </w:r>
            <w:r w:rsidR="00C755CE">
              <w:rPr>
                <w:rFonts w:cs="Arial"/>
                <w:sz w:val="22"/>
                <w:szCs w:val="22"/>
              </w:rPr>
              <w:t xml:space="preserve"> for reform of the charges framework</w:t>
            </w:r>
            <w:r>
              <w:rPr>
                <w:rFonts w:cs="Arial"/>
                <w:sz w:val="22"/>
                <w:szCs w:val="22"/>
              </w:rPr>
              <w:t>, prioritising the areas where reform could add most value at lowest cost.</w:t>
            </w:r>
            <w:r w:rsidR="00621A0B">
              <w:rPr>
                <w:rFonts w:cs="Arial"/>
                <w:sz w:val="22"/>
                <w:szCs w:val="22"/>
              </w:rPr>
              <w:t xml:space="preserve"> </w:t>
            </w:r>
          </w:p>
          <w:p w14:paraId="4529F721" w14:textId="3FC3DA38" w:rsidR="00C73BAB" w:rsidRDefault="008A7043" w:rsidP="00C73BAB">
            <w:pPr>
              <w:rPr>
                <w:rFonts w:cs="Arial"/>
                <w:sz w:val="22"/>
                <w:szCs w:val="22"/>
              </w:rPr>
            </w:pPr>
            <w:r>
              <w:rPr>
                <w:rFonts w:cs="Arial"/>
                <w:sz w:val="22"/>
                <w:szCs w:val="22"/>
              </w:rPr>
              <w:t>As with the other workstream, t</w:t>
            </w:r>
            <w:r w:rsidR="00C97DCE">
              <w:rPr>
                <w:rFonts w:cs="Arial"/>
                <w:sz w:val="22"/>
                <w:szCs w:val="22"/>
              </w:rPr>
              <w:t xml:space="preserve">he consultant would work on these activities as part of ORR’s project team, </w:t>
            </w:r>
            <w:r w:rsidR="004A354B">
              <w:rPr>
                <w:rFonts w:cs="Arial"/>
                <w:sz w:val="22"/>
                <w:szCs w:val="22"/>
              </w:rPr>
              <w:t xml:space="preserve">which will also include </w:t>
            </w:r>
            <w:r w:rsidR="00C97DCE">
              <w:rPr>
                <w:rFonts w:cs="Arial"/>
                <w:sz w:val="22"/>
                <w:szCs w:val="22"/>
              </w:rPr>
              <w:t xml:space="preserve">a lead </w:t>
            </w:r>
            <w:r w:rsidR="00F8369B">
              <w:rPr>
                <w:rFonts w:cs="Arial"/>
                <w:sz w:val="22"/>
                <w:szCs w:val="22"/>
              </w:rPr>
              <w:t xml:space="preserve">economist and </w:t>
            </w:r>
            <w:r w:rsidR="00A57BB6">
              <w:rPr>
                <w:rFonts w:cs="Arial"/>
                <w:sz w:val="22"/>
                <w:szCs w:val="22"/>
              </w:rPr>
              <w:t>other</w:t>
            </w:r>
            <w:r w:rsidR="00F8369B">
              <w:rPr>
                <w:rFonts w:cs="Arial"/>
                <w:sz w:val="22"/>
                <w:szCs w:val="22"/>
              </w:rPr>
              <w:t xml:space="preserve"> economist</w:t>
            </w:r>
            <w:r w:rsidR="00A673BF">
              <w:rPr>
                <w:rFonts w:cs="Arial"/>
                <w:sz w:val="22"/>
                <w:szCs w:val="22"/>
              </w:rPr>
              <w:t xml:space="preserve"> (</w:t>
            </w:r>
            <w:r w:rsidR="004A354B">
              <w:rPr>
                <w:rFonts w:cs="Arial"/>
                <w:sz w:val="22"/>
                <w:szCs w:val="22"/>
              </w:rPr>
              <w:t>t</w:t>
            </w:r>
            <w:r w:rsidR="00A673BF">
              <w:rPr>
                <w:rFonts w:cs="Arial"/>
                <w:sz w:val="22"/>
                <w:szCs w:val="22"/>
              </w:rPr>
              <w:t>his is a different ORR team from the colleagues engaged in work on the performance and possessions regimes)</w:t>
            </w:r>
            <w:r w:rsidR="00161013">
              <w:rPr>
                <w:rFonts w:cs="Arial"/>
                <w:sz w:val="22"/>
                <w:szCs w:val="22"/>
              </w:rPr>
              <w:t>.</w:t>
            </w:r>
            <w:r w:rsidR="00A673BF">
              <w:rPr>
                <w:rFonts w:cs="Arial"/>
                <w:sz w:val="22"/>
                <w:szCs w:val="22"/>
              </w:rPr>
              <w:t xml:space="preserve"> </w:t>
            </w:r>
          </w:p>
          <w:p w14:paraId="75FA8327" w14:textId="5F0B66E9" w:rsidR="00C73BAB" w:rsidRDefault="00C73BAB" w:rsidP="00C73BAB">
            <w:pPr>
              <w:rPr>
                <w:rFonts w:cs="Arial"/>
                <w:sz w:val="22"/>
                <w:szCs w:val="22"/>
              </w:rPr>
            </w:pPr>
            <w:r>
              <w:rPr>
                <w:rFonts w:cs="Arial"/>
                <w:sz w:val="22"/>
                <w:szCs w:val="22"/>
              </w:rPr>
              <w:t>We expect this work will feed into an initial consultation on high-level options for reform of the charges regime, which is planned for summer 2021</w:t>
            </w:r>
            <w:r w:rsidR="008A7043">
              <w:rPr>
                <w:rFonts w:cs="Arial"/>
                <w:sz w:val="22"/>
                <w:szCs w:val="22"/>
              </w:rPr>
              <w:t>. This means that this workstream has slightly longer timescales than the other workstream on performance and possessions regimes. Section 2.4 below sets out further details about the timetable for this workstream.</w:t>
            </w:r>
          </w:p>
          <w:p w14:paraId="26866B07" w14:textId="5FD103EE" w:rsidR="00C73BAB" w:rsidRDefault="00773A22" w:rsidP="00C73BAB">
            <w:pPr>
              <w:rPr>
                <w:rFonts w:cs="Arial"/>
                <w:sz w:val="22"/>
                <w:szCs w:val="22"/>
              </w:rPr>
            </w:pPr>
            <w:r>
              <w:rPr>
                <w:rFonts w:cs="Arial"/>
                <w:sz w:val="22"/>
                <w:szCs w:val="22"/>
              </w:rPr>
              <w:t xml:space="preserve">As </w:t>
            </w:r>
            <w:r w:rsidR="00BB1FF4">
              <w:rPr>
                <w:rFonts w:cs="Arial"/>
                <w:sz w:val="22"/>
                <w:szCs w:val="22"/>
              </w:rPr>
              <w:t xml:space="preserve">explained above, the </w:t>
            </w:r>
            <w:r w:rsidR="00915167">
              <w:rPr>
                <w:rFonts w:cs="Arial"/>
                <w:sz w:val="22"/>
                <w:szCs w:val="22"/>
              </w:rPr>
              <w:t xml:space="preserve">focus of the </w:t>
            </w:r>
            <w:r>
              <w:rPr>
                <w:rFonts w:cs="Arial"/>
                <w:sz w:val="22"/>
                <w:szCs w:val="22"/>
              </w:rPr>
              <w:t>design phase is on identifying a set of high-level o</w:t>
            </w:r>
            <w:r w:rsidR="00BB1FF4">
              <w:rPr>
                <w:rFonts w:cs="Arial"/>
                <w:sz w:val="22"/>
                <w:szCs w:val="22"/>
              </w:rPr>
              <w:t>ptions or ‘packages’ for reform. As such,</w:t>
            </w:r>
            <w:r>
              <w:rPr>
                <w:rFonts w:cs="Arial"/>
                <w:sz w:val="22"/>
                <w:szCs w:val="22"/>
              </w:rPr>
              <w:t xml:space="preserve"> this </w:t>
            </w:r>
            <w:r w:rsidR="00C73BAB">
              <w:rPr>
                <w:rFonts w:cs="Arial"/>
                <w:sz w:val="22"/>
                <w:szCs w:val="22"/>
              </w:rPr>
              <w:t xml:space="preserve">work will not involve thinking about the detailed design </w:t>
            </w:r>
            <w:r w:rsidR="00E863B4">
              <w:rPr>
                <w:rFonts w:cs="Arial"/>
                <w:sz w:val="22"/>
                <w:szCs w:val="22"/>
              </w:rPr>
              <w:t xml:space="preserve">of specific options, </w:t>
            </w:r>
            <w:r w:rsidR="00C73BAB">
              <w:rPr>
                <w:rFonts w:cs="Arial"/>
                <w:sz w:val="22"/>
                <w:szCs w:val="22"/>
              </w:rPr>
              <w:t xml:space="preserve">or </w:t>
            </w:r>
            <w:r w:rsidR="00E863B4">
              <w:rPr>
                <w:rFonts w:cs="Arial"/>
                <w:sz w:val="22"/>
                <w:szCs w:val="22"/>
              </w:rPr>
              <w:t xml:space="preserve">the </w:t>
            </w:r>
            <w:r w:rsidR="00C73BAB">
              <w:rPr>
                <w:rFonts w:cs="Arial"/>
                <w:sz w:val="22"/>
                <w:szCs w:val="22"/>
              </w:rPr>
              <w:t>calibration</w:t>
            </w:r>
            <w:r w:rsidR="00E863B4">
              <w:rPr>
                <w:rFonts w:cs="Arial"/>
                <w:sz w:val="22"/>
                <w:szCs w:val="22"/>
              </w:rPr>
              <w:t xml:space="preserve"> </w:t>
            </w:r>
            <w:r>
              <w:rPr>
                <w:rFonts w:cs="Arial"/>
                <w:sz w:val="22"/>
                <w:szCs w:val="22"/>
              </w:rPr>
              <w:t xml:space="preserve">/ </w:t>
            </w:r>
            <w:r w:rsidR="00E863B4">
              <w:rPr>
                <w:rFonts w:cs="Arial"/>
                <w:sz w:val="22"/>
                <w:szCs w:val="22"/>
              </w:rPr>
              <w:t>implementation</w:t>
            </w:r>
            <w:r w:rsidR="00C73BAB">
              <w:rPr>
                <w:rFonts w:cs="Arial"/>
                <w:sz w:val="22"/>
                <w:szCs w:val="22"/>
              </w:rPr>
              <w:t xml:space="preserve"> of specific charges. </w:t>
            </w:r>
          </w:p>
          <w:p w14:paraId="0745FAC9" w14:textId="4487A2C1" w:rsidR="006D42E8" w:rsidRPr="00E863B4" w:rsidRDefault="006D42E8" w:rsidP="00B11EE0">
            <w:pPr>
              <w:rPr>
                <w:rFonts w:cs="Arial"/>
                <w:b/>
                <w:sz w:val="22"/>
                <w:szCs w:val="22"/>
              </w:rPr>
            </w:pPr>
            <w:r w:rsidRPr="00E863B4">
              <w:rPr>
                <w:rFonts w:cs="Arial"/>
                <w:b/>
                <w:sz w:val="22"/>
                <w:szCs w:val="22"/>
              </w:rPr>
              <w:t>Extension option</w:t>
            </w:r>
          </w:p>
          <w:p w14:paraId="2FB321AF" w14:textId="77777777" w:rsidR="005D39C1" w:rsidRDefault="00D00F6F" w:rsidP="00F8369B">
            <w:pPr>
              <w:rPr>
                <w:rFonts w:cs="Arial"/>
                <w:sz w:val="22"/>
                <w:szCs w:val="22"/>
              </w:rPr>
            </w:pPr>
            <w:r>
              <w:rPr>
                <w:rFonts w:cs="Arial"/>
                <w:sz w:val="22"/>
                <w:szCs w:val="22"/>
              </w:rPr>
              <w:t>For both workstreams t</w:t>
            </w:r>
            <w:r w:rsidR="006D42E8" w:rsidRPr="005F3C7A">
              <w:rPr>
                <w:rFonts w:cs="Arial"/>
                <w:sz w:val="22"/>
                <w:szCs w:val="22"/>
              </w:rPr>
              <w:t xml:space="preserve">here </w:t>
            </w:r>
            <w:r w:rsidR="00B11EE0" w:rsidRPr="005F3C7A">
              <w:rPr>
                <w:rFonts w:cs="Arial"/>
                <w:sz w:val="22"/>
                <w:szCs w:val="22"/>
              </w:rPr>
              <w:t xml:space="preserve">is </w:t>
            </w:r>
            <w:r w:rsidR="005F3C7A" w:rsidRPr="005F3C7A">
              <w:rPr>
                <w:rFonts w:cs="Arial"/>
                <w:sz w:val="22"/>
                <w:szCs w:val="22"/>
              </w:rPr>
              <w:t xml:space="preserve">a </w:t>
            </w:r>
            <w:r w:rsidR="00B11EE0" w:rsidRPr="005F3C7A">
              <w:rPr>
                <w:rFonts w:cs="Arial"/>
                <w:sz w:val="22"/>
                <w:szCs w:val="22"/>
              </w:rPr>
              <w:t xml:space="preserve">likelihood of the consultants’ work being extended for a further phase beyond the </w:t>
            </w:r>
            <w:r w:rsidR="006D42E8">
              <w:rPr>
                <w:rFonts w:cs="Arial"/>
                <w:sz w:val="22"/>
                <w:szCs w:val="22"/>
              </w:rPr>
              <w:t>initial consultations</w:t>
            </w:r>
            <w:r w:rsidR="00B11EE0" w:rsidRPr="005F3C7A">
              <w:rPr>
                <w:rFonts w:cs="Arial"/>
                <w:sz w:val="22"/>
                <w:szCs w:val="22"/>
              </w:rPr>
              <w:t>.</w:t>
            </w:r>
            <w:r w:rsidR="00EC037B">
              <w:rPr>
                <w:rFonts w:cs="Arial"/>
                <w:sz w:val="22"/>
                <w:szCs w:val="22"/>
              </w:rPr>
              <w:t xml:space="preserve"> Further details about this extension are set out in Section 2.4 below.</w:t>
            </w:r>
          </w:p>
          <w:p w14:paraId="06200EFE" w14:textId="77777777" w:rsidR="008716D0" w:rsidRPr="008716D0" w:rsidRDefault="008716D0" w:rsidP="008716D0">
            <w:pPr>
              <w:rPr>
                <w:rFonts w:cs="Arial"/>
                <w:b/>
                <w:sz w:val="22"/>
                <w:szCs w:val="22"/>
              </w:rPr>
            </w:pPr>
            <w:r w:rsidRPr="008716D0">
              <w:rPr>
                <w:rFonts w:cs="Arial"/>
                <w:b/>
                <w:sz w:val="22"/>
                <w:szCs w:val="22"/>
              </w:rPr>
              <w:t>Contract Model</w:t>
            </w:r>
          </w:p>
          <w:p w14:paraId="799EE161" w14:textId="425469D1" w:rsidR="008716D0" w:rsidRPr="00FD0985" w:rsidRDefault="008716D0" w:rsidP="008716D0">
            <w:pPr>
              <w:rPr>
                <w:rFonts w:cs="Arial"/>
                <w:sz w:val="22"/>
                <w:szCs w:val="22"/>
              </w:rPr>
            </w:pPr>
            <w:r w:rsidRPr="00EF3A1E">
              <w:rPr>
                <w:rFonts w:cs="Arial"/>
                <w:sz w:val="22"/>
                <w:szCs w:val="22"/>
              </w:rPr>
              <w:t xml:space="preserve">To enable the </w:t>
            </w:r>
            <w:r>
              <w:rPr>
                <w:rFonts w:cs="Arial"/>
                <w:sz w:val="22"/>
                <w:szCs w:val="22"/>
              </w:rPr>
              <w:t xml:space="preserve">widest </w:t>
            </w:r>
            <w:r w:rsidRPr="00EF3A1E">
              <w:rPr>
                <w:rFonts w:cs="Arial"/>
                <w:sz w:val="22"/>
                <w:szCs w:val="22"/>
              </w:rPr>
              <w:t>possible</w:t>
            </w:r>
            <w:r>
              <w:rPr>
                <w:rFonts w:cs="Arial"/>
                <w:sz w:val="22"/>
                <w:szCs w:val="22"/>
              </w:rPr>
              <w:t xml:space="preserve"> response and to ensure value for money we are adopting a contracting model that could see either two individual contracts placed (one for each workstream) or a single contract placed for both workstreams.  Bidders may therefore apply for one or both workstreams as well as a combined offer.</w:t>
            </w:r>
          </w:p>
        </w:tc>
      </w:tr>
      <w:tr w:rsidR="00F52BE8" w:rsidRPr="0036077E" w14:paraId="5518EA4E" w14:textId="77777777" w:rsidTr="00E94D37">
        <w:trPr>
          <w:trHeight w:val="566"/>
        </w:trPr>
        <w:tc>
          <w:tcPr>
            <w:tcW w:w="8528" w:type="dxa"/>
            <w:shd w:val="clear" w:color="auto" w:fill="99CCFF"/>
          </w:tcPr>
          <w:p w14:paraId="34FC7B74" w14:textId="05E3515D" w:rsidR="00F52BE8" w:rsidRPr="0036077E" w:rsidRDefault="00F52BE8" w:rsidP="00AC621F">
            <w:pPr>
              <w:keepNext/>
              <w:rPr>
                <w:rFonts w:cs="Arial"/>
                <w:b/>
                <w:sz w:val="28"/>
                <w:szCs w:val="28"/>
              </w:rPr>
            </w:pPr>
            <w:r w:rsidRPr="0036077E">
              <w:rPr>
                <w:rFonts w:cs="Arial"/>
                <w:b/>
                <w:sz w:val="28"/>
                <w:szCs w:val="28"/>
              </w:rPr>
              <w:lastRenderedPageBreak/>
              <w:t>2.3 Project Outputs</w:t>
            </w:r>
            <w:r>
              <w:rPr>
                <w:rFonts w:cs="Arial"/>
                <w:b/>
                <w:sz w:val="28"/>
                <w:szCs w:val="28"/>
              </w:rPr>
              <w:t>,</w:t>
            </w:r>
            <w:r w:rsidR="00621A0B">
              <w:rPr>
                <w:rFonts w:cs="Arial"/>
                <w:b/>
                <w:sz w:val="28"/>
                <w:szCs w:val="28"/>
              </w:rPr>
              <w:t xml:space="preserve"> </w:t>
            </w:r>
            <w:r w:rsidRPr="0036077E">
              <w:rPr>
                <w:rFonts w:cs="Arial"/>
                <w:b/>
                <w:sz w:val="28"/>
                <w:szCs w:val="28"/>
              </w:rPr>
              <w:t>Deliverables</w:t>
            </w:r>
            <w:r>
              <w:rPr>
                <w:rFonts w:cs="Arial"/>
                <w:b/>
                <w:sz w:val="28"/>
                <w:szCs w:val="28"/>
              </w:rPr>
              <w:t xml:space="preserve"> and Contract Management </w:t>
            </w:r>
          </w:p>
        </w:tc>
      </w:tr>
      <w:tr w:rsidR="00F52BE8" w:rsidRPr="0036077E" w14:paraId="07D8F512" w14:textId="77777777" w:rsidTr="00E94D37">
        <w:trPr>
          <w:trHeight w:val="757"/>
        </w:trPr>
        <w:tc>
          <w:tcPr>
            <w:tcW w:w="8528" w:type="dxa"/>
            <w:tcBorders>
              <w:bottom w:val="single" w:sz="4" w:space="0" w:color="auto"/>
            </w:tcBorders>
            <w:shd w:val="clear" w:color="auto" w:fill="auto"/>
          </w:tcPr>
          <w:p w14:paraId="3360C9C1" w14:textId="72C42C9C" w:rsidR="006664E8" w:rsidRPr="00E96D73" w:rsidRDefault="006664E8" w:rsidP="00E94D37">
            <w:pPr>
              <w:autoSpaceDE w:val="0"/>
              <w:autoSpaceDN w:val="0"/>
              <w:adjustRightInd w:val="0"/>
              <w:spacing w:after="0"/>
              <w:rPr>
                <w:rFonts w:cs="Arial"/>
                <w:sz w:val="22"/>
                <w:szCs w:val="22"/>
              </w:rPr>
            </w:pPr>
            <w:r w:rsidRPr="00E96D73">
              <w:rPr>
                <w:rFonts w:cs="Arial"/>
                <w:sz w:val="22"/>
                <w:szCs w:val="22"/>
              </w:rPr>
              <w:t xml:space="preserve">For </w:t>
            </w:r>
            <w:r w:rsidRPr="00E96D73">
              <w:rPr>
                <w:rFonts w:cs="Arial"/>
                <w:b/>
                <w:sz w:val="22"/>
                <w:szCs w:val="22"/>
              </w:rPr>
              <w:t>train performance incentives</w:t>
            </w:r>
            <w:r w:rsidR="00F267F2" w:rsidRPr="00E96D73">
              <w:rPr>
                <w:rFonts w:cs="Arial"/>
                <w:b/>
                <w:sz w:val="22"/>
                <w:szCs w:val="22"/>
              </w:rPr>
              <w:t xml:space="preserve"> </w:t>
            </w:r>
            <w:r w:rsidR="00F267F2" w:rsidRPr="00E96D73">
              <w:rPr>
                <w:rFonts w:cs="Arial"/>
                <w:sz w:val="22"/>
                <w:szCs w:val="22"/>
              </w:rPr>
              <w:t xml:space="preserve">and </w:t>
            </w:r>
            <w:r w:rsidR="00F267F2" w:rsidRPr="00E96D73">
              <w:rPr>
                <w:rFonts w:cs="Arial"/>
                <w:b/>
                <w:sz w:val="22"/>
                <w:szCs w:val="22"/>
              </w:rPr>
              <w:t>the possessions regime</w:t>
            </w:r>
            <w:r w:rsidRPr="00E96D73">
              <w:rPr>
                <w:rFonts w:cs="Arial"/>
                <w:sz w:val="22"/>
                <w:szCs w:val="22"/>
              </w:rPr>
              <w:t xml:space="preserve">, key outputs will be: </w:t>
            </w:r>
          </w:p>
          <w:p w14:paraId="2328C064" w14:textId="3F44C082" w:rsidR="00070F1D" w:rsidRPr="00E96D73" w:rsidRDefault="0081437C" w:rsidP="00B8784E">
            <w:pPr>
              <w:pStyle w:val="ListParagraph"/>
              <w:numPr>
                <w:ilvl w:val="0"/>
                <w:numId w:val="36"/>
              </w:numPr>
              <w:autoSpaceDE w:val="0"/>
              <w:autoSpaceDN w:val="0"/>
              <w:adjustRightInd w:val="0"/>
              <w:spacing w:after="0"/>
              <w:rPr>
                <w:rFonts w:cs="Arial"/>
                <w:sz w:val="22"/>
                <w:szCs w:val="22"/>
              </w:rPr>
            </w:pPr>
            <w:r w:rsidRPr="00E96D73">
              <w:rPr>
                <w:rFonts w:cs="Arial"/>
                <w:sz w:val="22"/>
                <w:szCs w:val="22"/>
              </w:rPr>
              <w:t xml:space="preserve">Collation and development of options, and assessment of options against criteria, documented in a </w:t>
            </w:r>
            <w:r w:rsidR="007F38E0">
              <w:rPr>
                <w:rFonts w:cs="Arial"/>
                <w:sz w:val="22"/>
                <w:szCs w:val="22"/>
              </w:rPr>
              <w:t xml:space="preserve">detailed </w:t>
            </w:r>
            <w:r w:rsidRPr="00E96D73">
              <w:rPr>
                <w:rFonts w:cs="Arial"/>
                <w:sz w:val="22"/>
                <w:szCs w:val="22"/>
              </w:rPr>
              <w:t>slide-pack</w:t>
            </w:r>
            <w:r w:rsidR="003434EB" w:rsidRPr="00E96D73">
              <w:rPr>
                <w:rFonts w:cs="Arial"/>
                <w:sz w:val="22"/>
                <w:szCs w:val="22"/>
              </w:rPr>
              <w:t xml:space="preserve">. </w:t>
            </w:r>
            <w:r w:rsidR="00BC4945">
              <w:rPr>
                <w:rFonts w:cs="Arial"/>
                <w:sz w:val="22"/>
                <w:szCs w:val="22"/>
              </w:rPr>
              <w:t xml:space="preserve">This should contain: relevant background; summary of objectives and assessment criteria; options description; evaluation of options against criteria. The slide-pack should </w:t>
            </w:r>
            <w:r w:rsidR="003434EB" w:rsidRPr="00E96D73">
              <w:rPr>
                <w:rFonts w:cs="Arial"/>
                <w:sz w:val="22"/>
                <w:szCs w:val="22"/>
              </w:rPr>
              <w:t>be iterated with ORR and through engagement with stakeholders.</w:t>
            </w:r>
            <w:r w:rsidR="00621A0B">
              <w:rPr>
                <w:rFonts w:cs="Arial"/>
                <w:sz w:val="22"/>
                <w:szCs w:val="22"/>
              </w:rPr>
              <w:t xml:space="preserve"> </w:t>
            </w:r>
          </w:p>
          <w:p w14:paraId="17838250" w14:textId="77777777" w:rsidR="00B8784E" w:rsidRDefault="00B8784E" w:rsidP="00B8784E">
            <w:pPr>
              <w:pStyle w:val="ListParagraph"/>
              <w:autoSpaceDE w:val="0"/>
              <w:autoSpaceDN w:val="0"/>
              <w:adjustRightInd w:val="0"/>
              <w:spacing w:after="0"/>
              <w:rPr>
                <w:rFonts w:cs="Arial"/>
                <w:sz w:val="22"/>
                <w:szCs w:val="22"/>
              </w:rPr>
            </w:pPr>
          </w:p>
          <w:p w14:paraId="01DB29FE" w14:textId="330665FE" w:rsidR="003434EB" w:rsidRPr="00E96D73" w:rsidRDefault="003434EB" w:rsidP="00B8784E">
            <w:pPr>
              <w:pStyle w:val="ListParagraph"/>
              <w:numPr>
                <w:ilvl w:val="0"/>
                <w:numId w:val="36"/>
              </w:numPr>
              <w:autoSpaceDE w:val="0"/>
              <w:autoSpaceDN w:val="0"/>
              <w:adjustRightInd w:val="0"/>
              <w:spacing w:after="0"/>
              <w:rPr>
                <w:rFonts w:cs="Arial"/>
                <w:sz w:val="22"/>
                <w:szCs w:val="22"/>
              </w:rPr>
            </w:pPr>
            <w:r w:rsidRPr="00E96D73">
              <w:rPr>
                <w:rFonts w:cs="Arial"/>
                <w:sz w:val="22"/>
                <w:szCs w:val="22"/>
              </w:rPr>
              <w:t xml:space="preserve">Written summaries and impact assessments of each option for use in the planned consultation. </w:t>
            </w:r>
          </w:p>
          <w:p w14:paraId="2C45D5D6" w14:textId="77777777" w:rsidR="00B8784E" w:rsidRDefault="00B8784E" w:rsidP="00B8784E">
            <w:pPr>
              <w:pStyle w:val="ListParagraph"/>
              <w:autoSpaceDE w:val="0"/>
              <w:autoSpaceDN w:val="0"/>
              <w:adjustRightInd w:val="0"/>
              <w:spacing w:after="0"/>
              <w:rPr>
                <w:rFonts w:cs="Arial"/>
                <w:sz w:val="22"/>
                <w:szCs w:val="22"/>
              </w:rPr>
            </w:pPr>
          </w:p>
          <w:p w14:paraId="6D69768C" w14:textId="363254C5" w:rsidR="006664E8" w:rsidRPr="00E96D73" w:rsidRDefault="006664E8" w:rsidP="00B8784E">
            <w:pPr>
              <w:pStyle w:val="ListParagraph"/>
              <w:numPr>
                <w:ilvl w:val="0"/>
                <w:numId w:val="36"/>
              </w:numPr>
              <w:autoSpaceDE w:val="0"/>
              <w:autoSpaceDN w:val="0"/>
              <w:adjustRightInd w:val="0"/>
              <w:spacing w:after="0"/>
              <w:rPr>
                <w:rFonts w:cs="Arial"/>
                <w:sz w:val="22"/>
                <w:szCs w:val="22"/>
              </w:rPr>
            </w:pPr>
            <w:r w:rsidRPr="00DD5076">
              <w:rPr>
                <w:rFonts w:cs="Arial"/>
                <w:sz w:val="22"/>
                <w:szCs w:val="22"/>
              </w:rPr>
              <w:t xml:space="preserve">Planning and delivery of </w:t>
            </w:r>
            <w:r w:rsidR="00DD4CEE" w:rsidRPr="00DD5076">
              <w:rPr>
                <w:rFonts w:cs="Arial"/>
                <w:sz w:val="22"/>
                <w:szCs w:val="22"/>
              </w:rPr>
              <w:t>around ten</w:t>
            </w:r>
            <w:r w:rsidR="007F38E0" w:rsidRPr="00DD5076">
              <w:rPr>
                <w:rFonts w:cs="Arial"/>
                <w:sz w:val="22"/>
                <w:szCs w:val="22"/>
              </w:rPr>
              <w:t xml:space="preserve"> </w:t>
            </w:r>
            <w:r w:rsidR="00DD4CEE" w:rsidRPr="00DD5076">
              <w:rPr>
                <w:rFonts w:cs="Arial"/>
                <w:sz w:val="22"/>
                <w:szCs w:val="22"/>
              </w:rPr>
              <w:t xml:space="preserve">bilateral </w:t>
            </w:r>
            <w:r w:rsidRPr="00DD5076">
              <w:rPr>
                <w:rFonts w:cs="Arial"/>
                <w:sz w:val="22"/>
                <w:szCs w:val="22"/>
              </w:rPr>
              <w:t xml:space="preserve">stakeholder </w:t>
            </w:r>
            <w:r w:rsidR="007F38E0" w:rsidRPr="00DD5076">
              <w:rPr>
                <w:rFonts w:cs="Arial"/>
                <w:sz w:val="22"/>
                <w:szCs w:val="22"/>
              </w:rPr>
              <w:t xml:space="preserve">meetings and around six stakeholder </w:t>
            </w:r>
            <w:r w:rsidRPr="00DD5076">
              <w:rPr>
                <w:rFonts w:cs="Arial"/>
                <w:sz w:val="22"/>
                <w:szCs w:val="22"/>
              </w:rPr>
              <w:t>workshops</w:t>
            </w:r>
            <w:r w:rsidRPr="00E96D73">
              <w:rPr>
                <w:rFonts w:cs="Arial"/>
                <w:sz w:val="22"/>
                <w:szCs w:val="22"/>
              </w:rPr>
              <w:t xml:space="preserve"> to aid in options development</w:t>
            </w:r>
            <w:r w:rsidR="00070F1D" w:rsidRPr="00E96D73">
              <w:rPr>
                <w:rFonts w:cs="Arial"/>
                <w:sz w:val="22"/>
                <w:szCs w:val="22"/>
              </w:rPr>
              <w:t>, and producing notes of those meetings</w:t>
            </w:r>
            <w:r w:rsidR="003434EB" w:rsidRPr="00E96D73">
              <w:rPr>
                <w:rFonts w:cs="Arial"/>
                <w:sz w:val="22"/>
                <w:szCs w:val="22"/>
              </w:rPr>
              <w:t xml:space="preserve">. </w:t>
            </w:r>
          </w:p>
          <w:p w14:paraId="4A9BA5C6" w14:textId="77777777" w:rsidR="00070F1D" w:rsidRPr="00E96D73" w:rsidRDefault="00070F1D" w:rsidP="00CB7C55">
            <w:pPr>
              <w:autoSpaceDE w:val="0"/>
              <w:autoSpaceDN w:val="0"/>
              <w:adjustRightInd w:val="0"/>
              <w:spacing w:after="0"/>
              <w:rPr>
                <w:rFonts w:cs="Arial"/>
                <w:sz w:val="22"/>
                <w:szCs w:val="22"/>
              </w:rPr>
            </w:pPr>
          </w:p>
          <w:p w14:paraId="3A53BACB" w14:textId="7338B114" w:rsidR="00867592" w:rsidRDefault="00F76B8E" w:rsidP="00F76B8E">
            <w:pPr>
              <w:autoSpaceDE w:val="0"/>
              <w:autoSpaceDN w:val="0"/>
              <w:adjustRightInd w:val="0"/>
              <w:spacing w:after="0"/>
              <w:rPr>
                <w:rFonts w:cs="Arial"/>
                <w:sz w:val="22"/>
                <w:szCs w:val="22"/>
              </w:rPr>
            </w:pPr>
            <w:r w:rsidRPr="00E96D73">
              <w:rPr>
                <w:rFonts w:cs="Arial"/>
                <w:sz w:val="22"/>
                <w:szCs w:val="22"/>
              </w:rPr>
              <w:t xml:space="preserve">For </w:t>
            </w:r>
            <w:r w:rsidR="00B8784E">
              <w:rPr>
                <w:rFonts w:cs="Arial"/>
                <w:sz w:val="22"/>
                <w:szCs w:val="22"/>
              </w:rPr>
              <w:t xml:space="preserve">the </w:t>
            </w:r>
            <w:r w:rsidR="00B8784E">
              <w:rPr>
                <w:rFonts w:cs="Arial"/>
                <w:b/>
                <w:sz w:val="22"/>
                <w:szCs w:val="22"/>
              </w:rPr>
              <w:t>review of a</w:t>
            </w:r>
            <w:r w:rsidRPr="00E96D73">
              <w:rPr>
                <w:rFonts w:cs="Arial"/>
                <w:b/>
                <w:sz w:val="22"/>
                <w:szCs w:val="22"/>
              </w:rPr>
              <w:t>ccess charges</w:t>
            </w:r>
            <w:r w:rsidRPr="00E96D73">
              <w:rPr>
                <w:rFonts w:cs="Arial"/>
                <w:sz w:val="22"/>
                <w:szCs w:val="22"/>
              </w:rPr>
              <w:t>,</w:t>
            </w:r>
            <w:r w:rsidR="00ED1BBF" w:rsidRPr="00E96D73">
              <w:rPr>
                <w:rFonts w:cs="Arial"/>
                <w:sz w:val="22"/>
                <w:szCs w:val="22"/>
              </w:rPr>
              <w:t xml:space="preserve"> we expect t</w:t>
            </w:r>
            <w:r w:rsidR="00B8784E">
              <w:rPr>
                <w:rFonts w:cs="Arial"/>
                <w:sz w:val="22"/>
                <w:szCs w:val="22"/>
              </w:rPr>
              <w:t xml:space="preserve">he key outputs will be </w:t>
            </w:r>
            <w:r w:rsidR="009F70F4">
              <w:rPr>
                <w:rFonts w:cs="Arial"/>
                <w:sz w:val="22"/>
                <w:szCs w:val="22"/>
              </w:rPr>
              <w:t xml:space="preserve">largely </w:t>
            </w:r>
            <w:r w:rsidR="00B8784E">
              <w:rPr>
                <w:rFonts w:cs="Arial"/>
                <w:sz w:val="22"/>
                <w:szCs w:val="22"/>
              </w:rPr>
              <w:t>similar. We woul</w:t>
            </w:r>
            <w:r w:rsidR="00867592">
              <w:rPr>
                <w:rFonts w:cs="Arial"/>
                <w:sz w:val="22"/>
                <w:szCs w:val="22"/>
              </w:rPr>
              <w:t>d work</w:t>
            </w:r>
            <w:r w:rsidR="00314899">
              <w:rPr>
                <w:rFonts w:cs="Arial"/>
                <w:sz w:val="22"/>
                <w:szCs w:val="22"/>
              </w:rPr>
              <w:t xml:space="preserve"> with</w:t>
            </w:r>
            <w:r w:rsidR="00867592">
              <w:rPr>
                <w:rFonts w:cs="Arial"/>
                <w:sz w:val="22"/>
                <w:szCs w:val="22"/>
              </w:rPr>
              <w:t xml:space="preserve"> the consultant to develop a sensible set of options for reform. As this phase of the project would be </w:t>
            </w:r>
            <w:r w:rsidR="00C755CE">
              <w:rPr>
                <w:rFonts w:cs="Arial"/>
                <w:sz w:val="22"/>
                <w:szCs w:val="22"/>
              </w:rPr>
              <w:t xml:space="preserve">focused on </w:t>
            </w:r>
            <w:r w:rsidR="00867592">
              <w:rPr>
                <w:rFonts w:cs="Arial"/>
                <w:sz w:val="22"/>
                <w:szCs w:val="22"/>
              </w:rPr>
              <w:t>identifying options</w:t>
            </w:r>
            <w:r w:rsidR="00C47112">
              <w:rPr>
                <w:rFonts w:cs="Arial"/>
                <w:sz w:val="22"/>
                <w:szCs w:val="22"/>
              </w:rPr>
              <w:t xml:space="preserve"> at a relatively high level</w:t>
            </w:r>
            <w:r w:rsidR="00867592">
              <w:rPr>
                <w:rFonts w:cs="Arial"/>
                <w:sz w:val="22"/>
                <w:szCs w:val="22"/>
              </w:rPr>
              <w:t xml:space="preserve">, we </w:t>
            </w:r>
            <w:r w:rsidR="00C47112">
              <w:rPr>
                <w:rFonts w:cs="Arial"/>
                <w:sz w:val="22"/>
                <w:szCs w:val="22"/>
              </w:rPr>
              <w:t xml:space="preserve">expect that it </w:t>
            </w:r>
            <w:r w:rsidR="00867592">
              <w:rPr>
                <w:rFonts w:cs="Arial"/>
                <w:sz w:val="22"/>
                <w:szCs w:val="22"/>
              </w:rPr>
              <w:t xml:space="preserve">would </w:t>
            </w:r>
            <w:r w:rsidR="00C755CE">
              <w:rPr>
                <w:rFonts w:cs="Arial"/>
                <w:sz w:val="22"/>
                <w:szCs w:val="22"/>
              </w:rPr>
              <w:t xml:space="preserve">cover </w:t>
            </w:r>
            <w:r w:rsidR="00867592">
              <w:rPr>
                <w:rFonts w:cs="Arial"/>
                <w:sz w:val="22"/>
                <w:szCs w:val="22"/>
              </w:rPr>
              <w:t>around 3-5 options</w:t>
            </w:r>
            <w:r w:rsidR="00C47112">
              <w:rPr>
                <w:rFonts w:cs="Arial"/>
                <w:sz w:val="22"/>
                <w:szCs w:val="22"/>
              </w:rPr>
              <w:t xml:space="preserve"> in total</w:t>
            </w:r>
            <w:r w:rsidR="003D40C7">
              <w:rPr>
                <w:rFonts w:cs="Arial"/>
                <w:sz w:val="22"/>
                <w:szCs w:val="22"/>
              </w:rPr>
              <w:t>.</w:t>
            </w:r>
            <w:r w:rsidR="00867592">
              <w:rPr>
                <w:rFonts w:cs="Arial"/>
                <w:sz w:val="22"/>
                <w:szCs w:val="22"/>
              </w:rPr>
              <w:t xml:space="preserve"> </w:t>
            </w:r>
            <w:r w:rsidR="00B8784E">
              <w:rPr>
                <w:rFonts w:cs="Arial"/>
                <w:sz w:val="22"/>
                <w:szCs w:val="22"/>
              </w:rPr>
              <w:t xml:space="preserve">  </w:t>
            </w:r>
          </w:p>
          <w:p w14:paraId="5F4AF3EF" w14:textId="77777777" w:rsidR="00867592" w:rsidRDefault="00867592" w:rsidP="00F76B8E">
            <w:pPr>
              <w:autoSpaceDE w:val="0"/>
              <w:autoSpaceDN w:val="0"/>
              <w:adjustRightInd w:val="0"/>
              <w:spacing w:after="0"/>
              <w:rPr>
                <w:rFonts w:cs="Arial"/>
                <w:sz w:val="22"/>
                <w:szCs w:val="22"/>
              </w:rPr>
            </w:pPr>
          </w:p>
          <w:p w14:paraId="21AFF175" w14:textId="3EE0EB7A" w:rsidR="00F76B8E" w:rsidRPr="00E96D73" w:rsidRDefault="00867592" w:rsidP="00F76B8E">
            <w:pPr>
              <w:autoSpaceDE w:val="0"/>
              <w:autoSpaceDN w:val="0"/>
              <w:adjustRightInd w:val="0"/>
              <w:spacing w:after="0"/>
              <w:rPr>
                <w:rFonts w:cs="Arial"/>
                <w:sz w:val="22"/>
                <w:szCs w:val="22"/>
              </w:rPr>
            </w:pPr>
            <w:r>
              <w:rPr>
                <w:rFonts w:cs="Arial"/>
                <w:sz w:val="22"/>
                <w:szCs w:val="22"/>
              </w:rPr>
              <w:t>G</w:t>
            </w:r>
            <w:r w:rsidR="00F8369B">
              <w:rPr>
                <w:rFonts w:cs="Arial"/>
                <w:sz w:val="22"/>
                <w:szCs w:val="22"/>
              </w:rPr>
              <w:t>iven that this workstream has</w:t>
            </w:r>
            <w:r w:rsidR="00395B54">
              <w:rPr>
                <w:rFonts w:cs="Arial"/>
                <w:sz w:val="22"/>
                <w:szCs w:val="22"/>
              </w:rPr>
              <w:t xml:space="preserve"> longer timescales, </w:t>
            </w:r>
            <w:r>
              <w:rPr>
                <w:rFonts w:cs="Arial"/>
                <w:sz w:val="22"/>
                <w:szCs w:val="22"/>
              </w:rPr>
              <w:t>the outputs</w:t>
            </w:r>
            <w:r w:rsidR="00ED1BBF" w:rsidRPr="00E96D73">
              <w:rPr>
                <w:rFonts w:cs="Arial"/>
                <w:sz w:val="22"/>
                <w:szCs w:val="22"/>
              </w:rPr>
              <w:t xml:space="preserve"> would be developed </w:t>
            </w:r>
            <w:r w:rsidR="00F8369B">
              <w:rPr>
                <w:rFonts w:cs="Arial"/>
                <w:sz w:val="22"/>
                <w:szCs w:val="22"/>
              </w:rPr>
              <w:t xml:space="preserve">and delivered </w:t>
            </w:r>
            <w:r w:rsidR="00ED1BBF" w:rsidRPr="00E96D73">
              <w:rPr>
                <w:rFonts w:cs="Arial"/>
                <w:sz w:val="22"/>
                <w:szCs w:val="22"/>
              </w:rPr>
              <w:t>over a longer timeframe (see Section 2.4 b</w:t>
            </w:r>
            <w:r w:rsidR="00395B54">
              <w:rPr>
                <w:rFonts w:cs="Arial"/>
                <w:sz w:val="22"/>
                <w:szCs w:val="22"/>
              </w:rPr>
              <w:t>elow for further details</w:t>
            </w:r>
            <w:r w:rsidR="00141D99" w:rsidRPr="00E96D73">
              <w:rPr>
                <w:rFonts w:cs="Arial"/>
                <w:sz w:val="22"/>
                <w:szCs w:val="22"/>
              </w:rPr>
              <w:t xml:space="preserve">). </w:t>
            </w:r>
          </w:p>
          <w:p w14:paraId="2F1A8544" w14:textId="77777777" w:rsidR="00141D99" w:rsidRPr="00E96D73" w:rsidRDefault="00141D99" w:rsidP="00F76B8E">
            <w:pPr>
              <w:autoSpaceDE w:val="0"/>
              <w:autoSpaceDN w:val="0"/>
              <w:adjustRightInd w:val="0"/>
              <w:spacing w:after="0"/>
              <w:rPr>
                <w:rFonts w:cs="Arial"/>
                <w:sz w:val="22"/>
                <w:szCs w:val="22"/>
              </w:rPr>
            </w:pPr>
          </w:p>
          <w:p w14:paraId="611C1380" w14:textId="27222D36" w:rsidR="00826A19" w:rsidRPr="00C755CE" w:rsidRDefault="00F267F2" w:rsidP="00826A19">
            <w:pPr>
              <w:autoSpaceDE w:val="0"/>
              <w:autoSpaceDN w:val="0"/>
              <w:adjustRightInd w:val="0"/>
              <w:spacing w:after="0"/>
              <w:rPr>
                <w:rFonts w:cs="Arial"/>
                <w:sz w:val="22"/>
                <w:szCs w:val="22"/>
              </w:rPr>
            </w:pPr>
            <w:r w:rsidRPr="00E96D73">
              <w:rPr>
                <w:rFonts w:cs="Arial"/>
                <w:sz w:val="22"/>
                <w:szCs w:val="22"/>
              </w:rPr>
              <w:t>The successful bidder will work jointly with ORR’s project teams to deliver the outputs.</w:t>
            </w:r>
            <w:r w:rsidR="00826A19" w:rsidRPr="00E96D73">
              <w:rPr>
                <w:rFonts w:cs="Arial"/>
                <w:sz w:val="22"/>
                <w:szCs w:val="22"/>
              </w:rPr>
              <w:t xml:space="preserve"> As such, we would expect to have regular interaction with the consultant, as required by the work.</w:t>
            </w:r>
            <w:r w:rsidRPr="00E96D73">
              <w:rPr>
                <w:rFonts w:cs="Arial"/>
                <w:sz w:val="22"/>
                <w:szCs w:val="22"/>
              </w:rPr>
              <w:t xml:space="preserve"> </w:t>
            </w:r>
          </w:p>
          <w:p w14:paraId="1A1DE4A3" w14:textId="22A64E71" w:rsidR="00C47112" w:rsidRPr="00826A19" w:rsidRDefault="00C47112" w:rsidP="00826A19">
            <w:pPr>
              <w:autoSpaceDE w:val="0"/>
              <w:autoSpaceDN w:val="0"/>
              <w:adjustRightInd w:val="0"/>
              <w:spacing w:after="0"/>
              <w:rPr>
                <w:rFonts w:cs="Arial"/>
                <w:b/>
              </w:rPr>
            </w:pPr>
          </w:p>
        </w:tc>
      </w:tr>
      <w:tr w:rsidR="00F52BE8" w:rsidRPr="0036077E" w14:paraId="58426A4C" w14:textId="77777777" w:rsidTr="00E94D37">
        <w:trPr>
          <w:trHeight w:val="250"/>
        </w:trPr>
        <w:tc>
          <w:tcPr>
            <w:tcW w:w="8528" w:type="dxa"/>
            <w:shd w:val="clear" w:color="auto" w:fill="99CCFF"/>
          </w:tcPr>
          <w:p w14:paraId="293E5B54" w14:textId="77777777" w:rsidR="00F52BE8" w:rsidRPr="0036077E" w:rsidRDefault="00F52BE8" w:rsidP="00E94D37">
            <w:pPr>
              <w:rPr>
                <w:rFonts w:cs="Arial"/>
                <w:b/>
                <w:sz w:val="28"/>
                <w:szCs w:val="28"/>
              </w:rPr>
            </w:pPr>
            <w:r w:rsidRPr="0036077E">
              <w:rPr>
                <w:rFonts w:cs="Arial"/>
                <w:b/>
                <w:sz w:val="28"/>
                <w:szCs w:val="28"/>
              </w:rPr>
              <w:t>2.4 Project Timescales</w:t>
            </w:r>
          </w:p>
        </w:tc>
      </w:tr>
      <w:tr w:rsidR="00F52BE8" w:rsidRPr="0036077E" w14:paraId="4D8FD576" w14:textId="77777777" w:rsidTr="00E94D37">
        <w:trPr>
          <w:trHeight w:val="250"/>
        </w:trPr>
        <w:tc>
          <w:tcPr>
            <w:tcW w:w="8528" w:type="dxa"/>
            <w:tcBorders>
              <w:bottom w:val="single" w:sz="4" w:space="0" w:color="auto"/>
            </w:tcBorders>
            <w:shd w:val="clear" w:color="auto" w:fill="auto"/>
          </w:tcPr>
          <w:p w14:paraId="06F4DC13" w14:textId="147C1F69" w:rsidR="00F52BE8" w:rsidRPr="00B93903" w:rsidRDefault="005F3C7A" w:rsidP="00E94D37">
            <w:pPr>
              <w:autoSpaceDE w:val="0"/>
              <w:autoSpaceDN w:val="0"/>
              <w:adjustRightInd w:val="0"/>
              <w:rPr>
                <w:rFonts w:cs="Arial"/>
                <w:color w:val="000000"/>
                <w:sz w:val="22"/>
                <w:szCs w:val="22"/>
                <w:lang w:eastAsia="en-GB"/>
              </w:rPr>
            </w:pPr>
            <w:r>
              <w:rPr>
                <w:rFonts w:cs="Arial"/>
                <w:color w:val="000000"/>
                <w:sz w:val="22"/>
                <w:szCs w:val="22"/>
                <w:lang w:eastAsia="en-GB"/>
              </w:rPr>
              <w:t xml:space="preserve">For </w:t>
            </w:r>
            <w:r w:rsidRPr="005F3C7A">
              <w:rPr>
                <w:rFonts w:cs="Arial"/>
                <w:b/>
                <w:color w:val="000000"/>
                <w:sz w:val="22"/>
                <w:szCs w:val="22"/>
                <w:lang w:eastAsia="en-GB"/>
              </w:rPr>
              <w:t>train performance incentives and the possessions regime</w:t>
            </w:r>
            <w:r>
              <w:rPr>
                <w:rFonts w:cs="Arial"/>
                <w:color w:val="000000"/>
                <w:sz w:val="22"/>
                <w:szCs w:val="22"/>
                <w:lang w:eastAsia="en-GB"/>
              </w:rPr>
              <w:t>, t</w:t>
            </w:r>
            <w:r w:rsidR="00F52BE8" w:rsidRPr="0036077E">
              <w:rPr>
                <w:rFonts w:cs="Arial"/>
                <w:color w:val="000000"/>
                <w:sz w:val="22"/>
                <w:szCs w:val="22"/>
                <w:lang w:eastAsia="en-GB"/>
              </w:rPr>
              <w:t xml:space="preserve">he provisional timetable </w:t>
            </w:r>
            <w:r w:rsidR="00BA1E28">
              <w:rPr>
                <w:rFonts w:cs="Arial"/>
                <w:color w:val="000000"/>
                <w:sz w:val="22"/>
                <w:szCs w:val="22"/>
                <w:lang w:eastAsia="en-GB"/>
              </w:rPr>
              <w:t xml:space="preserve">for consultancy support </w:t>
            </w:r>
            <w:r w:rsidR="00F52BE8" w:rsidRPr="00B93903">
              <w:rPr>
                <w:rFonts w:cs="Arial"/>
                <w:color w:val="000000"/>
                <w:sz w:val="22"/>
                <w:szCs w:val="22"/>
                <w:lang w:eastAsia="en-GB"/>
              </w:rPr>
              <w:t>is as follows:</w:t>
            </w:r>
          </w:p>
          <w:p w14:paraId="7AAB7F0B" w14:textId="17818307" w:rsidR="00FD0985" w:rsidRPr="00B93903" w:rsidRDefault="00BA1E28" w:rsidP="00FD0985">
            <w:pPr>
              <w:numPr>
                <w:ilvl w:val="0"/>
                <w:numId w:val="12"/>
              </w:numPr>
              <w:autoSpaceDE w:val="0"/>
              <w:autoSpaceDN w:val="0"/>
              <w:adjustRightInd w:val="0"/>
              <w:spacing w:after="0"/>
              <w:rPr>
                <w:rFonts w:cs="Arial"/>
                <w:color w:val="000000"/>
                <w:sz w:val="22"/>
                <w:szCs w:val="22"/>
                <w:lang w:eastAsia="en-GB"/>
              </w:rPr>
            </w:pPr>
            <w:r w:rsidRPr="00B93903">
              <w:rPr>
                <w:rFonts w:cs="Arial"/>
                <w:color w:val="000000"/>
                <w:sz w:val="22"/>
                <w:szCs w:val="22"/>
                <w:lang w:eastAsia="en-GB"/>
              </w:rPr>
              <w:t>Start-</w:t>
            </w:r>
            <w:r w:rsidR="00F52BE8" w:rsidRPr="00B93903">
              <w:rPr>
                <w:rFonts w:cs="Arial"/>
                <w:color w:val="000000"/>
                <w:sz w:val="22"/>
                <w:szCs w:val="22"/>
                <w:lang w:eastAsia="en-GB"/>
              </w:rPr>
              <w:t xml:space="preserve">up meeting and commencement </w:t>
            </w:r>
            <w:r w:rsidRPr="00B93903">
              <w:rPr>
                <w:rFonts w:cs="Arial"/>
                <w:color w:val="000000"/>
                <w:sz w:val="22"/>
                <w:szCs w:val="22"/>
                <w:lang w:eastAsia="en-GB"/>
              </w:rPr>
              <w:t xml:space="preserve">– </w:t>
            </w:r>
            <w:r w:rsidR="00F52BE8" w:rsidRPr="00B93903">
              <w:rPr>
                <w:rFonts w:cs="Arial"/>
                <w:color w:val="000000"/>
                <w:sz w:val="22"/>
                <w:szCs w:val="22"/>
                <w:lang w:eastAsia="en-GB"/>
              </w:rPr>
              <w:t>w/</w:t>
            </w:r>
            <w:r w:rsidR="00A70554" w:rsidRPr="00B93903">
              <w:rPr>
                <w:rFonts w:cs="Arial"/>
                <w:color w:val="000000"/>
                <w:sz w:val="22"/>
                <w:szCs w:val="22"/>
                <w:lang w:eastAsia="en-GB"/>
              </w:rPr>
              <w:t>s</w:t>
            </w:r>
            <w:r w:rsidR="00F52BE8" w:rsidRPr="00B93903">
              <w:rPr>
                <w:rFonts w:cs="Arial"/>
                <w:color w:val="000000"/>
                <w:sz w:val="22"/>
                <w:szCs w:val="22"/>
                <w:lang w:eastAsia="en-GB"/>
              </w:rPr>
              <w:t xml:space="preserve"> </w:t>
            </w:r>
            <w:r w:rsidR="00C37C63" w:rsidRPr="00B93903">
              <w:rPr>
                <w:rFonts w:cs="Arial"/>
                <w:color w:val="000000"/>
                <w:sz w:val="22"/>
                <w:szCs w:val="22"/>
                <w:lang w:eastAsia="en-GB"/>
              </w:rPr>
              <w:t>14</w:t>
            </w:r>
            <w:r w:rsidR="00FD0985" w:rsidRPr="00B93903">
              <w:rPr>
                <w:rFonts w:cs="Arial"/>
                <w:color w:val="000000"/>
                <w:sz w:val="22"/>
                <w:szCs w:val="22"/>
                <w:lang w:eastAsia="en-GB"/>
              </w:rPr>
              <w:t xml:space="preserve"> December 2020</w:t>
            </w:r>
            <w:r w:rsidR="009F70F4" w:rsidRPr="00B93903">
              <w:rPr>
                <w:rFonts w:cs="Arial"/>
                <w:color w:val="000000"/>
                <w:sz w:val="22"/>
                <w:szCs w:val="22"/>
                <w:lang w:eastAsia="en-GB"/>
              </w:rPr>
              <w:t>.</w:t>
            </w:r>
          </w:p>
          <w:p w14:paraId="294683F7" w14:textId="3E29FEAF" w:rsidR="005F3C7A" w:rsidRPr="005F3C7A" w:rsidRDefault="005F3C7A" w:rsidP="00FD0985">
            <w:pPr>
              <w:numPr>
                <w:ilvl w:val="0"/>
                <w:numId w:val="12"/>
              </w:numPr>
              <w:autoSpaceDE w:val="0"/>
              <w:autoSpaceDN w:val="0"/>
              <w:adjustRightInd w:val="0"/>
              <w:spacing w:after="0"/>
              <w:rPr>
                <w:rFonts w:cs="Arial"/>
                <w:color w:val="000000"/>
                <w:sz w:val="22"/>
                <w:szCs w:val="22"/>
                <w:lang w:eastAsia="en-GB"/>
              </w:rPr>
            </w:pPr>
            <w:r w:rsidRPr="005F3C7A">
              <w:rPr>
                <w:rFonts w:cs="Arial"/>
                <w:color w:val="000000"/>
                <w:sz w:val="22"/>
                <w:szCs w:val="22"/>
                <w:lang w:eastAsia="en-GB"/>
              </w:rPr>
              <w:t>Internal governance milestone – late January 2021</w:t>
            </w:r>
            <w:r w:rsidR="00B01FC4">
              <w:rPr>
                <w:rFonts w:cs="Arial"/>
                <w:color w:val="000000"/>
                <w:sz w:val="22"/>
                <w:szCs w:val="22"/>
                <w:lang w:eastAsia="en-GB"/>
              </w:rPr>
              <w:t>.</w:t>
            </w:r>
          </w:p>
          <w:p w14:paraId="2FB1C8E1" w14:textId="06239713" w:rsidR="00161013" w:rsidRDefault="00161013" w:rsidP="00FD098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Stakeholder meetings / workshops – January to February 2021</w:t>
            </w:r>
          </w:p>
          <w:p w14:paraId="4A2F7E61" w14:textId="1DEA8500" w:rsidR="00FD0985" w:rsidRPr="005F3C7A" w:rsidRDefault="00FD0985" w:rsidP="00FD0985">
            <w:pPr>
              <w:numPr>
                <w:ilvl w:val="0"/>
                <w:numId w:val="12"/>
              </w:numPr>
              <w:autoSpaceDE w:val="0"/>
              <w:autoSpaceDN w:val="0"/>
              <w:adjustRightInd w:val="0"/>
              <w:spacing w:after="0"/>
              <w:rPr>
                <w:rFonts w:cs="Arial"/>
                <w:color w:val="000000"/>
                <w:sz w:val="22"/>
                <w:szCs w:val="22"/>
                <w:lang w:eastAsia="en-GB"/>
              </w:rPr>
            </w:pPr>
            <w:r w:rsidRPr="005F3C7A">
              <w:rPr>
                <w:rFonts w:cs="Arial"/>
                <w:color w:val="000000"/>
                <w:sz w:val="22"/>
                <w:szCs w:val="22"/>
                <w:lang w:eastAsia="en-GB"/>
              </w:rPr>
              <w:t xml:space="preserve">Work towards ORR’s initial consultation </w:t>
            </w:r>
            <w:r w:rsidR="005D5155" w:rsidRPr="005F3C7A">
              <w:rPr>
                <w:rFonts w:cs="Arial"/>
                <w:color w:val="000000"/>
                <w:sz w:val="22"/>
                <w:szCs w:val="22"/>
                <w:lang w:eastAsia="en-GB"/>
              </w:rPr>
              <w:t xml:space="preserve">on </w:t>
            </w:r>
            <w:r w:rsidR="00340C1E">
              <w:rPr>
                <w:rFonts w:cs="Arial"/>
                <w:color w:val="000000"/>
                <w:sz w:val="22"/>
                <w:szCs w:val="22"/>
                <w:lang w:eastAsia="en-GB"/>
              </w:rPr>
              <w:t xml:space="preserve">the </w:t>
            </w:r>
            <w:r w:rsidR="005D5155" w:rsidRPr="005F3C7A">
              <w:rPr>
                <w:rFonts w:cs="Arial"/>
                <w:color w:val="000000"/>
                <w:sz w:val="22"/>
                <w:szCs w:val="22"/>
                <w:lang w:eastAsia="en-GB"/>
              </w:rPr>
              <w:t xml:space="preserve">train performance </w:t>
            </w:r>
            <w:r w:rsidR="00340C1E">
              <w:rPr>
                <w:rFonts w:cs="Arial"/>
                <w:color w:val="000000"/>
                <w:sz w:val="22"/>
                <w:szCs w:val="22"/>
                <w:lang w:eastAsia="en-GB"/>
              </w:rPr>
              <w:t xml:space="preserve">regime </w:t>
            </w:r>
            <w:r w:rsidRPr="005F3C7A">
              <w:rPr>
                <w:rFonts w:cs="Arial"/>
                <w:color w:val="000000"/>
                <w:sz w:val="22"/>
                <w:szCs w:val="22"/>
                <w:lang w:eastAsia="en-GB"/>
              </w:rPr>
              <w:t>– planned for April 2021</w:t>
            </w:r>
            <w:r w:rsidR="00B01FC4">
              <w:rPr>
                <w:rFonts w:cs="Arial"/>
                <w:color w:val="000000"/>
                <w:sz w:val="22"/>
                <w:szCs w:val="22"/>
                <w:lang w:eastAsia="en-GB"/>
              </w:rPr>
              <w:t>.</w:t>
            </w:r>
            <w:r w:rsidR="00340C1E">
              <w:rPr>
                <w:rFonts w:cs="Arial"/>
                <w:color w:val="000000"/>
                <w:sz w:val="22"/>
                <w:szCs w:val="22"/>
                <w:lang w:eastAsia="en-GB"/>
              </w:rPr>
              <w:t xml:space="preserve"> (The consultation on the possessions regime may be separated out and follow at a later point in the summer.) </w:t>
            </w:r>
          </w:p>
          <w:p w14:paraId="62C35F8D" w14:textId="77777777" w:rsidR="005F3C7A" w:rsidRPr="005F3C7A" w:rsidRDefault="005F3C7A" w:rsidP="005F3C7A">
            <w:pPr>
              <w:autoSpaceDE w:val="0"/>
              <w:autoSpaceDN w:val="0"/>
              <w:adjustRightInd w:val="0"/>
              <w:spacing w:after="0"/>
              <w:ind w:left="360"/>
              <w:rPr>
                <w:rFonts w:cs="Arial"/>
                <w:color w:val="000000"/>
                <w:sz w:val="22"/>
                <w:szCs w:val="22"/>
                <w:lang w:eastAsia="en-GB"/>
              </w:rPr>
            </w:pPr>
          </w:p>
          <w:p w14:paraId="308A3FED" w14:textId="6B58ABE4" w:rsidR="005F3C7A" w:rsidRPr="00487E1D" w:rsidRDefault="005F3C7A" w:rsidP="007F38E0">
            <w:pPr>
              <w:autoSpaceDE w:val="0"/>
              <w:autoSpaceDN w:val="0"/>
              <w:adjustRightInd w:val="0"/>
              <w:spacing w:after="0"/>
              <w:rPr>
                <w:rFonts w:cs="Arial"/>
                <w:color w:val="000000"/>
                <w:sz w:val="22"/>
                <w:szCs w:val="22"/>
                <w:lang w:eastAsia="en-GB"/>
              </w:rPr>
            </w:pPr>
            <w:r w:rsidRPr="00487E1D">
              <w:rPr>
                <w:rFonts w:cs="Arial"/>
                <w:color w:val="000000"/>
                <w:sz w:val="22"/>
                <w:szCs w:val="22"/>
                <w:lang w:eastAsia="en-GB"/>
              </w:rPr>
              <w:t>For</w:t>
            </w:r>
            <w:r w:rsidR="00B8784E">
              <w:rPr>
                <w:rFonts w:cs="Arial"/>
                <w:color w:val="000000"/>
                <w:sz w:val="22"/>
                <w:szCs w:val="22"/>
                <w:lang w:eastAsia="en-GB"/>
              </w:rPr>
              <w:t xml:space="preserve"> the</w:t>
            </w:r>
            <w:r w:rsidRPr="00487E1D">
              <w:rPr>
                <w:rFonts w:cs="Arial"/>
                <w:color w:val="000000"/>
                <w:sz w:val="22"/>
                <w:szCs w:val="22"/>
                <w:lang w:eastAsia="en-GB"/>
              </w:rPr>
              <w:t xml:space="preserve"> </w:t>
            </w:r>
            <w:r w:rsidR="00B8784E">
              <w:rPr>
                <w:rFonts w:cs="Arial"/>
                <w:b/>
                <w:color w:val="000000"/>
                <w:sz w:val="22"/>
                <w:szCs w:val="22"/>
                <w:lang w:eastAsia="en-GB"/>
              </w:rPr>
              <w:t>review of a</w:t>
            </w:r>
            <w:r w:rsidRPr="00E15FA9">
              <w:rPr>
                <w:rFonts w:cs="Arial"/>
                <w:b/>
                <w:color w:val="000000"/>
                <w:sz w:val="22"/>
                <w:szCs w:val="22"/>
                <w:lang w:eastAsia="en-GB"/>
              </w:rPr>
              <w:t>ccess charges</w:t>
            </w:r>
            <w:r w:rsidR="00B8784E">
              <w:rPr>
                <w:rFonts w:cs="Arial"/>
                <w:color w:val="000000"/>
                <w:sz w:val="22"/>
                <w:szCs w:val="22"/>
                <w:lang w:eastAsia="en-GB"/>
              </w:rPr>
              <w:t xml:space="preserve">, this work would </w:t>
            </w:r>
            <w:r w:rsidR="003D40C7">
              <w:rPr>
                <w:rFonts w:cs="Arial"/>
                <w:color w:val="000000"/>
                <w:sz w:val="22"/>
                <w:szCs w:val="22"/>
                <w:lang w:eastAsia="en-GB"/>
              </w:rPr>
              <w:t xml:space="preserve">proceed on a longer timescale </w:t>
            </w:r>
            <w:r w:rsidR="00B8784E">
              <w:rPr>
                <w:rFonts w:cs="Arial"/>
                <w:color w:val="000000"/>
                <w:sz w:val="22"/>
                <w:szCs w:val="22"/>
                <w:lang w:eastAsia="en-GB"/>
              </w:rPr>
              <w:t xml:space="preserve">than the other workstream. A </w:t>
            </w:r>
            <w:r w:rsidRPr="00487E1D">
              <w:rPr>
                <w:rFonts w:cs="Arial"/>
                <w:color w:val="000000"/>
                <w:sz w:val="22"/>
                <w:szCs w:val="22"/>
                <w:lang w:eastAsia="en-GB"/>
              </w:rPr>
              <w:t>provisio</w:t>
            </w:r>
            <w:r w:rsidR="003D40C7">
              <w:rPr>
                <w:rFonts w:cs="Arial"/>
                <w:color w:val="000000"/>
                <w:sz w:val="22"/>
                <w:szCs w:val="22"/>
                <w:lang w:eastAsia="en-GB"/>
              </w:rPr>
              <w:t xml:space="preserve">nal timetable </w:t>
            </w:r>
            <w:r w:rsidRPr="00487E1D">
              <w:rPr>
                <w:rFonts w:cs="Arial"/>
                <w:color w:val="000000"/>
                <w:sz w:val="22"/>
                <w:szCs w:val="22"/>
                <w:lang w:eastAsia="en-GB"/>
              </w:rPr>
              <w:t xml:space="preserve">is as follows: </w:t>
            </w:r>
          </w:p>
          <w:p w14:paraId="6FB57B2C" w14:textId="2E3A0A6C" w:rsidR="00487E1D" w:rsidRPr="00487E1D" w:rsidRDefault="00487E1D" w:rsidP="007F38E0">
            <w:pPr>
              <w:pStyle w:val="ListParagraph"/>
              <w:numPr>
                <w:ilvl w:val="0"/>
                <w:numId w:val="12"/>
              </w:numPr>
              <w:spacing w:after="0"/>
              <w:rPr>
                <w:rFonts w:cs="Arial"/>
                <w:color w:val="000000"/>
                <w:sz w:val="22"/>
                <w:szCs w:val="22"/>
                <w:lang w:eastAsia="en-GB"/>
              </w:rPr>
            </w:pPr>
            <w:r w:rsidRPr="00487E1D">
              <w:rPr>
                <w:rFonts w:cs="Arial"/>
                <w:color w:val="000000"/>
                <w:sz w:val="22"/>
                <w:szCs w:val="22"/>
                <w:lang w:eastAsia="en-GB"/>
              </w:rPr>
              <w:t xml:space="preserve">Start-up meeting and </w:t>
            </w:r>
            <w:r w:rsidRPr="003D40C7">
              <w:rPr>
                <w:rFonts w:cs="Arial"/>
                <w:color w:val="000000"/>
                <w:sz w:val="22"/>
                <w:szCs w:val="22"/>
                <w:lang w:eastAsia="en-GB"/>
              </w:rPr>
              <w:t xml:space="preserve">commencement – w/s </w:t>
            </w:r>
            <w:r w:rsidR="00B8784E" w:rsidRPr="003D40C7">
              <w:rPr>
                <w:rFonts w:cs="Arial"/>
                <w:color w:val="000000"/>
                <w:sz w:val="22"/>
                <w:szCs w:val="22"/>
                <w:lang w:eastAsia="en-GB"/>
              </w:rPr>
              <w:t>1</w:t>
            </w:r>
            <w:r w:rsidR="003D40C7" w:rsidRPr="003D40C7">
              <w:rPr>
                <w:rFonts w:cs="Arial"/>
                <w:color w:val="000000"/>
                <w:sz w:val="22"/>
                <w:szCs w:val="22"/>
                <w:lang w:eastAsia="en-GB"/>
              </w:rPr>
              <w:t>4 December</w:t>
            </w:r>
            <w:r w:rsidR="00B8784E" w:rsidRPr="003D40C7">
              <w:rPr>
                <w:rFonts w:cs="Arial"/>
                <w:color w:val="000000"/>
                <w:sz w:val="22"/>
                <w:szCs w:val="22"/>
                <w:lang w:eastAsia="en-GB"/>
              </w:rPr>
              <w:t xml:space="preserve"> </w:t>
            </w:r>
            <w:r w:rsidRPr="003D40C7">
              <w:rPr>
                <w:rFonts w:cs="Arial"/>
                <w:color w:val="000000"/>
                <w:sz w:val="22"/>
                <w:szCs w:val="22"/>
                <w:lang w:eastAsia="en-GB"/>
              </w:rPr>
              <w:t>20</w:t>
            </w:r>
            <w:r w:rsidR="00B8784E" w:rsidRPr="003D40C7">
              <w:rPr>
                <w:rFonts w:cs="Arial"/>
                <w:color w:val="000000"/>
                <w:sz w:val="22"/>
                <w:szCs w:val="22"/>
                <w:lang w:eastAsia="en-GB"/>
              </w:rPr>
              <w:t>2</w:t>
            </w:r>
            <w:r w:rsidR="00CB1751">
              <w:rPr>
                <w:rFonts w:cs="Arial"/>
                <w:color w:val="000000"/>
                <w:sz w:val="22"/>
                <w:szCs w:val="22"/>
                <w:lang w:eastAsia="en-GB"/>
              </w:rPr>
              <w:t>0</w:t>
            </w:r>
            <w:r w:rsidR="00E82E74">
              <w:rPr>
                <w:rFonts w:cs="Arial"/>
                <w:color w:val="000000"/>
                <w:sz w:val="22"/>
                <w:szCs w:val="22"/>
                <w:lang w:eastAsia="en-GB"/>
              </w:rPr>
              <w:t>.</w:t>
            </w:r>
          </w:p>
          <w:p w14:paraId="5C456553" w14:textId="5BBF15E0" w:rsidR="00E82E74" w:rsidRDefault="00E82E74" w:rsidP="007F38E0">
            <w:pPr>
              <w:pStyle w:val="ListParagraph"/>
              <w:numPr>
                <w:ilvl w:val="0"/>
                <w:numId w:val="12"/>
              </w:numPr>
              <w:spacing w:after="0"/>
              <w:rPr>
                <w:rFonts w:cs="Arial"/>
                <w:color w:val="000000"/>
                <w:sz w:val="22"/>
                <w:szCs w:val="22"/>
                <w:lang w:eastAsia="en-GB"/>
              </w:rPr>
            </w:pPr>
            <w:r>
              <w:rPr>
                <w:rFonts w:cs="Arial"/>
                <w:color w:val="000000"/>
                <w:sz w:val="22"/>
                <w:szCs w:val="22"/>
                <w:lang w:eastAsia="en-GB"/>
              </w:rPr>
              <w:t>Initial set of high-level options for consideration – end January 2021</w:t>
            </w:r>
          </w:p>
          <w:p w14:paraId="14314253" w14:textId="7684B5F5" w:rsidR="00487E1D" w:rsidRDefault="0081593E" w:rsidP="007F38E0">
            <w:pPr>
              <w:pStyle w:val="ListParagraph"/>
              <w:numPr>
                <w:ilvl w:val="0"/>
                <w:numId w:val="12"/>
              </w:numPr>
              <w:spacing w:after="0"/>
              <w:rPr>
                <w:rFonts w:cs="Arial"/>
                <w:color w:val="000000"/>
                <w:sz w:val="22"/>
                <w:szCs w:val="22"/>
                <w:lang w:eastAsia="en-GB"/>
              </w:rPr>
            </w:pPr>
            <w:r>
              <w:rPr>
                <w:rFonts w:cs="Arial"/>
                <w:color w:val="000000"/>
                <w:sz w:val="22"/>
                <w:szCs w:val="22"/>
                <w:lang w:eastAsia="en-GB"/>
              </w:rPr>
              <w:t xml:space="preserve">Stakeholder meetings / workshops – </w:t>
            </w:r>
            <w:r w:rsidR="00F8369B">
              <w:rPr>
                <w:rFonts w:cs="Arial"/>
                <w:color w:val="000000"/>
                <w:sz w:val="22"/>
                <w:szCs w:val="22"/>
                <w:lang w:eastAsia="en-GB"/>
              </w:rPr>
              <w:t xml:space="preserve">February </w:t>
            </w:r>
            <w:r>
              <w:rPr>
                <w:rFonts w:cs="Arial"/>
                <w:color w:val="000000"/>
                <w:sz w:val="22"/>
                <w:szCs w:val="22"/>
                <w:lang w:eastAsia="en-GB"/>
              </w:rPr>
              <w:t>to March 2021</w:t>
            </w:r>
            <w:r w:rsidR="00E82E74">
              <w:rPr>
                <w:rFonts w:cs="Arial"/>
                <w:color w:val="000000"/>
                <w:sz w:val="22"/>
                <w:szCs w:val="22"/>
                <w:lang w:eastAsia="en-GB"/>
              </w:rPr>
              <w:t>.</w:t>
            </w:r>
            <w:r>
              <w:rPr>
                <w:rFonts w:cs="Arial"/>
                <w:color w:val="000000"/>
                <w:sz w:val="22"/>
                <w:szCs w:val="22"/>
                <w:lang w:eastAsia="en-GB"/>
              </w:rPr>
              <w:t xml:space="preserve"> </w:t>
            </w:r>
          </w:p>
          <w:p w14:paraId="6503F7FB" w14:textId="1E00AC33" w:rsidR="0081593E" w:rsidRDefault="00E82E74" w:rsidP="007F38E0">
            <w:pPr>
              <w:pStyle w:val="ListParagraph"/>
              <w:numPr>
                <w:ilvl w:val="0"/>
                <w:numId w:val="12"/>
              </w:numPr>
              <w:spacing w:after="0"/>
              <w:rPr>
                <w:rFonts w:cs="Arial"/>
                <w:color w:val="000000"/>
                <w:sz w:val="22"/>
                <w:szCs w:val="22"/>
                <w:lang w:eastAsia="en-GB"/>
              </w:rPr>
            </w:pPr>
            <w:r>
              <w:rPr>
                <w:rFonts w:cs="Arial"/>
                <w:color w:val="000000"/>
                <w:sz w:val="22"/>
                <w:szCs w:val="22"/>
                <w:lang w:eastAsia="en-GB"/>
              </w:rPr>
              <w:t>H</w:t>
            </w:r>
            <w:r w:rsidR="00B8784E">
              <w:rPr>
                <w:rFonts w:cs="Arial"/>
                <w:color w:val="000000"/>
                <w:sz w:val="22"/>
                <w:szCs w:val="22"/>
                <w:lang w:eastAsia="en-GB"/>
              </w:rPr>
              <w:t xml:space="preserve">igh-level </w:t>
            </w:r>
            <w:r w:rsidR="0081593E">
              <w:rPr>
                <w:rFonts w:cs="Arial"/>
                <w:color w:val="000000"/>
                <w:sz w:val="22"/>
                <w:szCs w:val="22"/>
                <w:lang w:eastAsia="en-GB"/>
              </w:rPr>
              <w:t xml:space="preserve">options </w:t>
            </w:r>
            <w:r w:rsidR="00B01FC4">
              <w:rPr>
                <w:rFonts w:cs="Arial"/>
                <w:color w:val="000000"/>
                <w:sz w:val="22"/>
                <w:szCs w:val="22"/>
                <w:lang w:eastAsia="en-GB"/>
              </w:rPr>
              <w:t xml:space="preserve">for consultation </w:t>
            </w:r>
            <w:r w:rsidR="0081593E">
              <w:rPr>
                <w:rFonts w:cs="Arial"/>
                <w:color w:val="000000"/>
                <w:sz w:val="22"/>
                <w:szCs w:val="22"/>
                <w:lang w:eastAsia="en-GB"/>
              </w:rPr>
              <w:t xml:space="preserve">agreed – late </w:t>
            </w:r>
            <w:r w:rsidR="00B8784E">
              <w:rPr>
                <w:rFonts w:cs="Arial"/>
                <w:color w:val="000000"/>
                <w:sz w:val="22"/>
                <w:szCs w:val="22"/>
                <w:lang w:eastAsia="en-GB"/>
              </w:rPr>
              <w:t xml:space="preserve">April </w:t>
            </w:r>
            <w:r w:rsidR="0081593E">
              <w:rPr>
                <w:rFonts w:cs="Arial"/>
                <w:color w:val="000000"/>
                <w:sz w:val="22"/>
                <w:szCs w:val="22"/>
                <w:lang w:eastAsia="en-GB"/>
              </w:rPr>
              <w:t>2021</w:t>
            </w:r>
            <w:r>
              <w:rPr>
                <w:rFonts w:cs="Arial"/>
                <w:color w:val="000000"/>
                <w:sz w:val="22"/>
                <w:szCs w:val="22"/>
                <w:lang w:eastAsia="en-GB"/>
              </w:rPr>
              <w:t>.</w:t>
            </w:r>
          </w:p>
          <w:p w14:paraId="65C186A5" w14:textId="0320704A" w:rsidR="005D5155" w:rsidRDefault="005D5155" w:rsidP="00487E1D">
            <w:pPr>
              <w:pStyle w:val="ListParagraph"/>
              <w:numPr>
                <w:ilvl w:val="0"/>
                <w:numId w:val="12"/>
              </w:numPr>
              <w:rPr>
                <w:rFonts w:cs="Arial"/>
                <w:color w:val="000000"/>
                <w:sz w:val="22"/>
                <w:szCs w:val="22"/>
                <w:lang w:eastAsia="en-GB"/>
              </w:rPr>
            </w:pPr>
            <w:r w:rsidRPr="00487E1D">
              <w:rPr>
                <w:rFonts w:cs="Arial"/>
                <w:color w:val="000000"/>
                <w:sz w:val="22"/>
                <w:szCs w:val="22"/>
                <w:lang w:eastAsia="en-GB"/>
              </w:rPr>
              <w:t>Work towards ORR’s initial consultation on access charges – planned for</w:t>
            </w:r>
            <w:r w:rsidR="0094492D">
              <w:rPr>
                <w:rFonts w:cs="Arial"/>
                <w:color w:val="000000"/>
                <w:sz w:val="22"/>
                <w:szCs w:val="22"/>
                <w:lang w:eastAsia="en-GB"/>
              </w:rPr>
              <w:t xml:space="preserve"> summer </w:t>
            </w:r>
            <w:r w:rsidRPr="00487E1D">
              <w:rPr>
                <w:rFonts w:cs="Arial"/>
                <w:color w:val="000000"/>
                <w:sz w:val="22"/>
                <w:szCs w:val="22"/>
                <w:lang w:eastAsia="en-GB"/>
              </w:rPr>
              <w:t>2021</w:t>
            </w:r>
            <w:r w:rsidR="00E82E74">
              <w:rPr>
                <w:rFonts w:cs="Arial"/>
                <w:color w:val="000000"/>
                <w:sz w:val="22"/>
                <w:szCs w:val="22"/>
                <w:lang w:eastAsia="en-GB"/>
              </w:rPr>
              <w:t>.</w:t>
            </w:r>
          </w:p>
          <w:p w14:paraId="5491E69F" w14:textId="6B9E76B8" w:rsidR="00F52BE8" w:rsidRDefault="00F52BE8" w:rsidP="00E94D37">
            <w:pPr>
              <w:autoSpaceDE w:val="0"/>
              <w:autoSpaceDN w:val="0"/>
              <w:adjustRightInd w:val="0"/>
              <w:spacing w:after="0"/>
              <w:rPr>
                <w:rFonts w:cs="Arial"/>
                <w:b/>
                <w:color w:val="000000"/>
                <w:sz w:val="22"/>
                <w:szCs w:val="22"/>
                <w:lang w:eastAsia="en-GB"/>
              </w:rPr>
            </w:pPr>
            <w:r>
              <w:rPr>
                <w:rFonts w:cs="Arial"/>
                <w:b/>
                <w:color w:val="000000"/>
                <w:sz w:val="22"/>
                <w:szCs w:val="22"/>
                <w:lang w:eastAsia="en-GB"/>
              </w:rPr>
              <w:t>Extension option</w:t>
            </w:r>
            <w:r w:rsidR="008716D0">
              <w:rPr>
                <w:rFonts w:cs="Arial"/>
                <w:b/>
                <w:color w:val="000000"/>
                <w:sz w:val="22"/>
                <w:szCs w:val="22"/>
                <w:lang w:eastAsia="en-GB"/>
              </w:rPr>
              <w:t xml:space="preserve"> for ‘Develop’ phase</w:t>
            </w:r>
            <w:r>
              <w:rPr>
                <w:rFonts w:cs="Arial"/>
                <w:b/>
                <w:color w:val="000000"/>
                <w:sz w:val="22"/>
                <w:szCs w:val="22"/>
                <w:lang w:eastAsia="en-GB"/>
              </w:rPr>
              <w:t xml:space="preserve">: </w:t>
            </w:r>
          </w:p>
          <w:p w14:paraId="7C4935AE" w14:textId="77777777" w:rsidR="00F52BE8" w:rsidRDefault="00F52BE8" w:rsidP="00E94D37">
            <w:pPr>
              <w:autoSpaceDE w:val="0"/>
              <w:autoSpaceDN w:val="0"/>
              <w:adjustRightInd w:val="0"/>
              <w:spacing w:after="0"/>
              <w:rPr>
                <w:rFonts w:cs="Arial"/>
                <w:b/>
                <w:color w:val="000000"/>
                <w:sz w:val="22"/>
                <w:szCs w:val="22"/>
                <w:lang w:eastAsia="en-GB"/>
              </w:rPr>
            </w:pPr>
          </w:p>
          <w:p w14:paraId="5750DD65" w14:textId="4E39749F" w:rsidR="00941303" w:rsidRDefault="00D00F6F" w:rsidP="00E94D37">
            <w:pPr>
              <w:autoSpaceDE w:val="0"/>
              <w:autoSpaceDN w:val="0"/>
              <w:adjustRightInd w:val="0"/>
              <w:spacing w:after="0"/>
              <w:rPr>
                <w:rFonts w:cs="Arial"/>
                <w:color w:val="000000"/>
                <w:sz w:val="22"/>
                <w:szCs w:val="22"/>
                <w:lang w:eastAsia="en-GB"/>
              </w:rPr>
            </w:pPr>
            <w:r>
              <w:rPr>
                <w:rFonts w:cs="Arial"/>
                <w:color w:val="000000"/>
                <w:sz w:val="22"/>
                <w:szCs w:val="22"/>
                <w:lang w:eastAsia="en-GB"/>
              </w:rPr>
              <w:lastRenderedPageBreak/>
              <w:t xml:space="preserve">For both workstreams there </w:t>
            </w:r>
            <w:r w:rsidR="005D39C1">
              <w:rPr>
                <w:rFonts w:cs="Arial"/>
                <w:color w:val="000000"/>
                <w:sz w:val="22"/>
                <w:szCs w:val="22"/>
                <w:lang w:eastAsia="en-GB"/>
              </w:rPr>
              <w:t xml:space="preserve">may be a requirement for support beyond this initial phase, to contribute to further work on options ahead of a second consultation planned for early 2022. </w:t>
            </w:r>
          </w:p>
          <w:p w14:paraId="7EA2FE7F" w14:textId="4E0A5A67" w:rsidR="00D00F6F" w:rsidRDefault="00D00F6F" w:rsidP="00E94D37">
            <w:pPr>
              <w:autoSpaceDE w:val="0"/>
              <w:autoSpaceDN w:val="0"/>
              <w:adjustRightInd w:val="0"/>
              <w:spacing w:after="0"/>
              <w:rPr>
                <w:rFonts w:cs="Arial"/>
                <w:color w:val="000000"/>
                <w:sz w:val="22"/>
                <w:szCs w:val="22"/>
                <w:lang w:eastAsia="en-GB"/>
              </w:rPr>
            </w:pPr>
          </w:p>
          <w:p w14:paraId="52286A64" w14:textId="77777777" w:rsidR="00990C8D" w:rsidRDefault="00990C8D" w:rsidP="00990C8D">
            <w:pPr>
              <w:autoSpaceDE w:val="0"/>
              <w:autoSpaceDN w:val="0"/>
              <w:adjustRightInd w:val="0"/>
              <w:spacing w:after="0"/>
              <w:rPr>
                <w:rFonts w:cs="Arial"/>
                <w:color w:val="000000"/>
                <w:sz w:val="22"/>
                <w:szCs w:val="22"/>
                <w:lang w:eastAsia="en-GB"/>
              </w:rPr>
            </w:pPr>
            <w:r w:rsidRPr="00D00F6F">
              <w:rPr>
                <w:rFonts w:cs="Arial"/>
                <w:color w:val="000000"/>
                <w:sz w:val="22"/>
                <w:szCs w:val="22"/>
                <w:lang w:eastAsia="en-GB"/>
              </w:rPr>
              <w:t>As indicated above</w:t>
            </w:r>
            <w:r>
              <w:rPr>
                <w:rFonts w:cs="Arial"/>
                <w:color w:val="000000"/>
                <w:sz w:val="22"/>
                <w:szCs w:val="22"/>
                <w:lang w:eastAsia="en-GB"/>
              </w:rPr>
              <w:t>,</w:t>
            </w:r>
            <w:r w:rsidRPr="00D00F6F">
              <w:rPr>
                <w:rFonts w:cs="Arial"/>
                <w:color w:val="000000"/>
                <w:sz w:val="22"/>
                <w:szCs w:val="22"/>
                <w:lang w:eastAsia="en-GB"/>
              </w:rPr>
              <w:t xml:space="preserve"> this requirement includes an option </w:t>
            </w:r>
            <w:r>
              <w:rPr>
                <w:rFonts w:cs="Arial"/>
                <w:color w:val="000000"/>
                <w:sz w:val="22"/>
                <w:szCs w:val="22"/>
                <w:lang w:eastAsia="en-GB"/>
              </w:rPr>
              <w:t>for further work to d</w:t>
            </w:r>
            <w:r w:rsidRPr="00D00F6F">
              <w:rPr>
                <w:rFonts w:cs="Arial"/>
                <w:color w:val="000000"/>
                <w:sz w:val="22"/>
                <w:szCs w:val="22"/>
                <w:lang w:eastAsia="en-GB"/>
              </w:rPr>
              <w:t xml:space="preserve">evelop the </w:t>
            </w:r>
            <w:r>
              <w:rPr>
                <w:rFonts w:cs="Arial"/>
                <w:color w:val="000000"/>
                <w:sz w:val="22"/>
                <w:szCs w:val="22"/>
                <w:lang w:eastAsia="en-GB"/>
              </w:rPr>
              <w:t>p</w:t>
            </w:r>
            <w:r w:rsidRPr="00D00F6F">
              <w:rPr>
                <w:rFonts w:cs="Arial"/>
                <w:color w:val="000000"/>
                <w:sz w:val="22"/>
                <w:szCs w:val="22"/>
                <w:lang w:eastAsia="en-GB"/>
              </w:rPr>
              <w:t xml:space="preserve">referred </w:t>
            </w:r>
            <w:r>
              <w:rPr>
                <w:rFonts w:cs="Arial"/>
                <w:color w:val="000000"/>
                <w:sz w:val="22"/>
                <w:szCs w:val="22"/>
                <w:lang w:eastAsia="en-GB"/>
              </w:rPr>
              <w:t>options for both work</w:t>
            </w:r>
            <w:r w:rsidRPr="00D00F6F">
              <w:rPr>
                <w:rFonts w:cs="Arial"/>
                <w:color w:val="000000"/>
                <w:sz w:val="22"/>
                <w:szCs w:val="22"/>
                <w:lang w:eastAsia="en-GB"/>
              </w:rPr>
              <w:t>streams</w:t>
            </w:r>
            <w:r>
              <w:rPr>
                <w:rFonts w:cs="Arial"/>
                <w:color w:val="000000"/>
                <w:sz w:val="22"/>
                <w:szCs w:val="22"/>
                <w:lang w:eastAsia="en-GB"/>
              </w:rPr>
              <w:t xml:space="preserve"> (the ‘Develop’ phase). </w:t>
            </w:r>
            <w:r w:rsidRPr="00D00F6F">
              <w:rPr>
                <w:rFonts w:cs="Arial"/>
                <w:color w:val="000000"/>
                <w:sz w:val="22"/>
                <w:szCs w:val="22"/>
                <w:lang w:eastAsia="en-GB"/>
              </w:rPr>
              <w:t xml:space="preserve">ORR accepts that it is not possible for supplier to price this from the outset and has therefore included a mechanism within the draft form of agreement that sets out how these options would be formally incorporated into the contract. </w:t>
            </w:r>
          </w:p>
          <w:p w14:paraId="73865205" w14:textId="77777777" w:rsidR="00990C8D" w:rsidRDefault="00990C8D" w:rsidP="00990C8D">
            <w:pPr>
              <w:autoSpaceDE w:val="0"/>
              <w:autoSpaceDN w:val="0"/>
              <w:adjustRightInd w:val="0"/>
              <w:spacing w:after="0"/>
              <w:rPr>
                <w:rFonts w:cs="Arial"/>
                <w:color w:val="000000"/>
                <w:sz w:val="22"/>
                <w:szCs w:val="22"/>
                <w:lang w:eastAsia="en-GB"/>
              </w:rPr>
            </w:pPr>
          </w:p>
          <w:p w14:paraId="0305915E" w14:textId="4BD2E622" w:rsidR="00990C8D" w:rsidRDefault="00990C8D" w:rsidP="00990C8D">
            <w:pPr>
              <w:autoSpaceDE w:val="0"/>
              <w:autoSpaceDN w:val="0"/>
              <w:adjustRightInd w:val="0"/>
              <w:spacing w:after="0"/>
              <w:rPr>
                <w:rFonts w:cs="Arial"/>
                <w:color w:val="000000"/>
                <w:sz w:val="22"/>
                <w:szCs w:val="22"/>
                <w:lang w:eastAsia="en-GB"/>
              </w:rPr>
            </w:pPr>
            <w:r w:rsidRPr="00D00F6F">
              <w:rPr>
                <w:rFonts w:cs="Arial"/>
                <w:color w:val="000000"/>
                <w:sz w:val="22"/>
                <w:szCs w:val="22"/>
                <w:lang w:eastAsia="en-GB"/>
              </w:rPr>
              <w:t>In summary, at the point the preferred options are known (</w:t>
            </w:r>
            <w:r>
              <w:rPr>
                <w:rFonts w:cs="Arial"/>
                <w:color w:val="000000"/>
                <w:sz w:val="22"/>
                <w:szCs w:val="22"/>
                <w:lang w:eastAsia="en-GB"/>
              </w:rPr>
              <w:t xml:space="preserve">which </w:t>
            </w:r>
            <w:r w:rsidRPr="00D00F6F">
              <w:rPr>
                <w:rFonts w:cs="Arial"/>
                <w:color w:val="000000"/>
                <w:sz w:val="22"/>
                <w:szCs w:val="22"/>
                <w:lang w:eastAsia="en-GB"/>
              </w:rPr>
              <w:t>may be at different points</w:t>
            </w:r>
            <w:r>
              <w:rPr>
                <w:rFonts w:cs="Arial"/>
                <w:color w:val="000000"/>
                <w:sz w:val="22"/>
                <w:szCs w:val="22"/>
                <w:lang w:eastAsia="en-GB"/>
              </w:rPr>
              <w:t xml:space="preserve"> in time for the different work</w:t>
            </w:r>
            <w:r w:rsidRPr="00D00F6F">
              <w:rPr>
                <w:rFonts w:cs="Arial"/>
                <w:color w:val="000000"/>
                <w:sz w:val="22"/>
                <w:szCs w:val="22"/>
                <w:lang w:eastAsia="en-GB"/>
              </w:rPr>
              <w:t xml:space="preserve">streams) ORR would require the successful supplier to set out its proposal for </w:t>
            </w:r>
            <w:r>
              <w:rPr>
                <w:rFonts w:cs="Arial"/>
                <w:color w:val="000000"/>
                <w:sz w:val="22"/>
                <w:szCs w:val="22"/>
                <w:lang w:eastAsia="en-GB"/>
              </w:rPr>
              <w:t>d</w:t>
            </w:r>
            <w:r w:rsidRPr="00D00F6F">
              <w:rPr>
                <w:rFonts w:cs="Arial"/>
                <w:color w:val="000000"/>
                <w:sz w:val="22"/>
                <w:szCs w:val="22"/>
                <w:lang w:eastAsia="en-GB"/>
              </w:rPr>
              <w:t>e</w:t>
            </w:r>
            <w:r>
              <w:rPr>
                <w:rFonts w:cs="Arial"/>
                <w:color w:val="000000"/>
                <w:sz w:val="22"/>
                <w:szCs w:val="22"/>
                <w:lang w:eastAsia="en-GB"/>
              </w:rPr>
              <w:t>veloping the preferred option</w:t>
            </w:r>
            <w:r w:rsidRPr="00D00F6F">
              <w:rPr>
                <w:rFonts w:cs="Arial"/>
                <w:color w:val="000000"/>
                <w:sz w:val="22"/>
                <w:szCs w:val="22"/>
                <w:lang w:eastAsia="en-GB"/>
              </w:rPr>
              <w:t xml:space="preserve">. This proposal would include the supplier’s methodology, anticipated resource and proposed price using the agreed contract rates. This would then be assessed by ORR </w:t>
            </w:r>
            <w:r w:rsidR="000E4BDA">
              <w:rPr>
                <w:rFonts w:cs="Arial"/>
                <w:color w:val="000000"/>
                <w:sz w:val="22"/>
                <w:szCs w:val="22"/>
                <w:lang w:eastAsia="en-GB"/>
              </w:rPr>
              <w:t>to</w:t>
            </w:r>
            <w:r w:rsidRPr="00D00F6F">
              <w:rPr>
                <w:rFonts w:cs="Arial"/>
                <w:color w:val="000000"/>
                <w:sz w:val="22"/>
                <w:szCs w:val="22"/>
                <w:lang w:eastAsia="en-GB"/>
              </w:rPr>
              <w:t xml:space="preserve"> assure itself of value for m</w:t>
            </w:r>
            <w:r>
              <w:rPr>
                <w:rFonts w:cs="Arial"/>
                <w:color w:val="000000"/>
                <w:sz w:val="22"/>
                <w:szCs w:val="22"/>
                <w:lang w:eastAsia="en-GB"/>
              </w:rPr>
              <w:t xml:space="preserve">oney and a successful outcome prior to raising a formal contract variation. </w:t>
            </w:r>
          </w:p>
          <w:p w14:paraId="07A666E5" w14:textId="77777777" w:rsidR="00990C8D" w:rsidRDefault="00990C8D" w:rsidP="00990C8D">
            <w:pPr>
              <w:autoSpaceDE w:val="0"/>
              <w:autoSpaceDN w:val="0"/>
              <w:adjustRightInd w:val="0"/>
              <w:spacing w:after="0"/>
              <w:rPr>
                <w:rFonts w:cs="Arial"/>
                <w:color w:val="000000"/>
                <w:sz w:val="22"/>
                <w:szCs w:val="22"/>
                <w:lang w:eastAsia="en-GB"/>
              </w:rPr>
            </w:pPr>
          </w:p>
          <w:p w14:paraId="15C604F6" w14:textId="77777777" w:rsidR="00990C8D" w:rsidRPr="005D39C1" w:rsidRDefault="00990C8D" w:rsidP="00990C8D">
            <w:pPr>
              <w:autoSpaceDE w:val="0"/>
              <w:autoSpaceDN w:val="0"/>
              <w:adjustRightInd w:val="0"/>
              <w:spacing w:after="0"/>
              <w:rPr>
                <w:rFonts w:cs="Arial"/>
                <w:color w:val="000000"/>
                <w:sz w:val="22"/>
                <w:szCs w:val="22"/>
                <w:lang w:eastAsia="en-GB"/>
              </w:rPr>
            </w:pPr>
            <w:r w:rsidRPr="00D00F6F">
              <w:rPr>
                <w:rFonts w:cs="Arial"/>
                <w:color w:val="000000"/>
                <w:sz w:val="22"/>
                <w:szCs w:val="22"/>
                <w:lang w:eastAsia="en-GB"/>
              </w:rPr>
              <w:t>The bidder is required to commit to supplying such a proposal(s), but ORR retains the right not proceed and/or to openly compete this next phase (or parts thereof) under a new tender exercise.</w:t>
            </w:r>
          </w:p>
          <w:p w14:paraId="6E805D7F" w14:textId="01847926" w:rsidR="00F52BE8" w:rsidRPr="0036077E" w:rsidRDefault="00F52BE8" w:rsidP="00E94D37">
            <w:pPr>
              <w:autoSpaceDE w:val="0"/>
              <w:autoSpaceDN w:val="0"/>
              <w:adjustRightInd w:val="0"/>
              <w:spacing w:after="0"/>
              <w:rPr>
                <w:rFonts w:cs="Arial"/>
                <w:color w:val="000000"/>
                <w:sz w:val="22"/>
                <w:szCs w:val="22"/>
                <w:lang w:eastAsia="en-GB"/>
              </w:rPr>
            </w:pPr>
          </w:p>
        </w:tc>
      </w:tr>
      <w:tr w:rsidR="00F52BE8" w:rsidRPr="0036077E" w14:paraId="7D5CA4E8" w14:textId="77777777" w:rsidTr="00E94D37">
        <w:trPr>
          <w:trHeight w:val="129"/>
        </w:trPr>
        <w:tc>
          <w:tcPr>
            <w:tcW w:w="8528" w:type="dxa"/>
            <w:shd w:val="clear" w:color="auto" w:fill="99CCFF"/>
          </w:tcPr>
          <w:p w14:paraId="21FCE151" w14:textId="77777777" w:rsidR="00F52BE8" w:rsidRPr="0036077E" w:rsidRDefault="00F52BE8" w:rsidP="00E94D37">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46AC6F3A" w14:textId="77777777" w:rsidTr="00E94D37">
        <w:trPr>
          <w:trHeight w:val="127"/>
        </w:trPr>
        <w:tc>
          <w:tcPr>
            <w:tcW w:w="8528" w:type="dxa"/>
            <w:tcBorders>
              <w:bottom w:val="single" w:sz="4" w:space="0" w:color="auto"/>
            </w:tcBorders>
            <w:shd w:val="clear" w:color="auto" w:fill="auto"/>
          </w:tcPr>
          <w:p w14:paraId="55C81948" w14:textId="1FB2F5D1" w:rsidR="00776365" w:rsidRDefault="00776365" w:rsidP="00776365">
            <w:pPr>
              <w:rPr>
                <w:rFonts w:cs="Arial"/>
                <w:color w:val="000000"/>
                <w:sz w:val="22"/>
                <w:szCs w:val="22"/>
              </w:rPr>
            </w:pPr>
            <w:r>
              <w:rPr>
                <w:sz w:val="22"/>
                <w:szCs w:val="22"/>
              </w:rPr>
              <w:t>The maximum budget for this work is £100,000 (i</w:t>
            </w:r>
            <w:r w:rsidR="000E4BDA">
              <w:rPr>
                <w:sz w:val="22"/>
                <w:szCs w:val="22"/>
              </w:rPr>
              <w:t xml:space="preserve">nc. of expenses, exc. of VAT). </w:t>
            </w:r>
          </w:p>
          <w:p w14:paraId="787EC162" w14:textId="6ED85A12" w:rsidR="00776365" w:rsidRDefault="00CC25C7" w:rsidP="00776365">
            <w:pPr>
              <w:rPr>
                <w:rFonts w:cs="Arial"/>
                <w:color w:val="000000"/>
                <w:sz w:val="22"/>
                <w:szCs w:val="22"/>
              </w:rPr>
            </w:pPr>
            <w:r>
              <w:rPr>
                <w:rFonts w:cs="Arial"/>
                <w:color w:val="000000"/>
                <w:sz w:val="22"/>
                <w:szCs w:val="22"/>
              </w:rPr>
              <w:t>As an indication, we envisage t</w:t>
            </w:r>
            <w:r w:rsidR="00776365">
              <w:rPr>
                <w:rFonts w:cs="Arial"/>
                <w:color w:val="000000"/>
                <w:sz w:val="22"/>
                <w:szCs w:val="22"/>
              </w:rPr>
              <w:t xml:space="preserve">his overall sum </w:t>
            </w:r>
            <w:r>
              <w:rPr>
                <w:rFonts w:cs="Arial"/>
                <w:color w:val="000000"/>
                <w:sz w:val="22"/>
                <w:szCs w:val="22"/>
              </w:rPr>
              <w:t xml:space="preserve">being </w:t>
            </w:r>
            <w:r w:rsidR="00776365">
              <w:rPr>
                <w:rFonts w:cs="Arial"/>
                <w:color w:val="000000"/>
                <w:sz w:val="22"/>
                <w:szCs w:val="22"/>
              </w:rPr>
              <w:t>broken down as follows</w:t>
            </w:r>
            <w:r>
              <w:rPr>
                <w:rFonts w:cs="Arial"/>
                <w:color w:val="000000"/>
                <w:sz w:val="22"/>
                <w:szCs w:val="22"/>
              </w:rPr>
              <w:t xml:space="preserve">, though </w:t>
            </w:r>
            <w:r w:rsidR="00161013">
              <w:rPr>
                <w:rFonts w:cs="Arial"/>
                <w:color w:val="000000"/>
                <w:sz w:val="22"/>
                <w:szCs w:val="22"/>
              </w:rPr>
              <w:t xml:space="preserve">there is some flexibility </w:t>
            </w:r>
            <w:r>
              <w:rPr>
                <w:rFonts w:cs="Arial"/>
                <w:color w:val="000000"/>
                <w:sz w:val="22"/>
                <w:szCs w:val="22"/>
              </w:rPr>
              <w:t>on this point</w:t>
            </w:r>
            <w:r w:rsidR="00776365">
              <w:rPr>
                <w:rFonts w:cs="Arial"/>
                <w:color w:val="000000"/>
                <w:sz w:val="22"/>
                <w:szCs w:val="22"/>
              </w:rPr>
              <w:t xml:space="preserve">: </w:t>
            </w:r>
          </w:p>
          <w:p w14:paraId="31CDD1D3" w14:textId="595E40F0" w:rsidR="00776365" w:rsidRDefault="00776365" w:rsidP="00776365">
            <w:pPr>
              <w:pStyle w:val="ListParagraph"/>
              <w:numPr>
                <w:ilvl w:val="0"/>
                <w:numId w:val="30"/>
              </w:numPr>
              <w:rPr>
                <w:rFonts w:cs="Arial"/>
                <w:color w:val="000000"/>
                <w:sz w:val="22"/>
                <w:szCs w:val="22"/>
              </w:rPr>
            </w:pPr>
            <w:r>
              <w:rPr>
                <w:rFonts w:cs="Arial"/>
                <w:color w:val="000000"/>
                <w:sz w:val="22"/>
                <w:szCs w:val="22"/>
              </w:rPr>
              <w:t xml:space="preserve">£50,000 for the </w:t>
            </w:r>
            <w:r w:rsidR="00CB1751">
              <w:rPr>
                <w:rFonts w:cs="Arial"/>
                <w:color w:val="000000"/>
                <w:sz w:val="22"/>
                <w:szCs w:val="22"/>
              </w:rPr>
              <w:t xml:space="preserve">workstream covering </w:t>
            </w:r>
            <w:r>
              <w:rPr>
                <w:rFonts w:cs="Arial"/>
                <w:color w:val="000000"/>
                <w:sz w:val="22"/>
                <w:szCs w:val="22"/>
              </w:rPr>
              <w:t>access charges</w:t>
            </w:r>
            <w:r w:rsidR="007777B6">
              <w:rPr>
                <w:rFonts w:cs="Arial"/>
                <w:color w:val="000000"/>
                <w:sz w:val="22"/>
                <w:szCs w:val="22"/>
              </w:rPr>
              <w:t xml:space="preserve">; and </w:t>
            </w:r>
          </w:p>
          <w:p w14:paraId="30EE2543" w14:textId="77777777" w:rsidR="007777B6" w:rsidRDefault="007777B6" w:rsidP="007777B6">
            <w:pPr>
              <w:pStyle w:val="ListParagraph"/>
              <w:rPr>
                <w:rFonts w:cs="Arial"/>
                <w:color w:val="000000"/>
                <w:sz w:val="22"/>
                <w:szCs w:val="22"/>
              </w:rPr>
            </w:pPr>
          </w:p>
          <w:p w14:paraId="3FF763FE" w14:textId="5226B06A" w:rsidR="00776365" w:rsidRDefault="00776365" w:rsidP="00776365">
            <w:pPr>
              <w:pStyle w:val="ListParagraph"/>
              <w:numPr>
                <w:ilvl w:val="0"/>
                <w:numId w:val="30"/>
              </w:numPr>
              <w:rPr>
                <w:rFonts w:cs="Arial"/>
                <w:color w:val="000000"/>
                <w:sz w:val="22"/>
                <w:szCs w:val="22"/>
              </w:rPr>
            </w:pPr>
            <w:r>
              <w:rPr>
                <w:rFonts w:cs="Arial"/>
                <w:color w:val="000000"/>
                <w:sz w:val="22"/>
                <w:szCs w:val="22"/>
              </w:rPr>
              <w:t xml:space="preserve">£50,000 for the </w:t>
            </w:r>
            <w:r w:rsidR="00CB1751">
              <w:rPr>
                <w:rFonts w:cs="Arial"/>
                <w:color w:val="000000"/>
                <w:sz w:val="22"/>
                <w:szCs w:val="22"/>
              </w:rPr>
              <w:t xml:space="preserve">workstream covering </w:t>
            </w:r>
            <w:r>
              <w:rPr>
                <w:rFonts w:cs="Arial"/>
                <w:color w:val="000000"/>
                <w:sz w:val="22"/>
                <w:szCs w:val="22"/>
              </w:rPr>
              <w:t>train performance incentives and the possessions regime</w:t>
            </w:r>
          </w:p>
          <w:p w14:paraId="10C3E709" w14:textId="418937EE" w:rsidR="00776365" w:rsidRDefault="00776365" w:rsidP="00776365">
            <w:pPr>
              <w:rPr>
                <w:rFonts w:cs="Arial"/>
                <w:color w:val="000000"/>
                <w:sz w:val="22"/>
                <w:szCs w:val="22"/>
              </w:rPr>
            </w:pPr>
            <w:r>
              <w:rPr>
                <w:rFonts w:cs="Arial"/>
                <w:color w:val="000000"/>
                <w:sz w:val="22"/>
                <w:szCs w:val="22"/>
              </w:rPr>
              <w:t>We request that you break down your bid into sums for the two work</w:t>
            </w:r>
            <w:r w:rsidR="00CB1751">
              <w:rPr>
                <w:rFonts w:cs="Arial"/>
                <w:color w:val="000000"/>
                <w:sz w:val="22"/>
                <w:szCs w:val="22"/>
              </w:rPr>
              <w:t>streams</w:t>
            </w:r>
            <w:r>
              <w:rPr>
                <w:rFonts w:cs="Arial"/>
                <w:color w:val="000000"/>
                <w:sz w:val="22"/>
                <w:szCs w:val="22"/>
              </w:rPr>
              <w:t xml:space="preserve">. We may award both </w:t>
            </w:r>
            <w:r w:rsidR="00CB1751">
              <w:rPr>
                <w:rFonts w:cs="Arial"/>
                <w:color w:val="000000"/>
                <w:sz w:val="22"/>
                <w:szCs w:val="22"/>
              </w:rPr>
              <w:t xml:space="preserve">workstreams </w:t>
            </w:r>
            <w:r>
              <w:rPr>
                <w:rFonts w:cs="Arial"/>
                <w:color w:val="000000"/>
                <w:sz w:val="22"/>
                <w:szCs w:val="22"/>
              </w:rPr>
              <w:t xml:space="preserve">to a single consultant, or to different consultants. Bidders are welcome to bid for just a single </w:t>
            </w:r>
            <w:r w:rsidR="00CB1751">
              <w:rPr>
                <w:rFonts w:cs="Arial"/>
                <w:color w:val="000000"/>
                <w:sz w:val="22"/>
                <w:szCs w:val="22"/>
              </w:rPr>
              <w:t>workstream</w:t>
            </w:r>
            <w:r>
              <w:rPr>
                <w:rFonts w:cs="Arial"/>
                <w:color w:val="000000"/>
                <w:sz w:val="22"/>
                <w:szCs w:val="22"/>
              </w:rPr>
              <w:t>.</w:t>
            </w:r>
          </w:p>
          <w:p w14:paraId="7247C70F" w14:textId="228DCF88" w:rsidR="007777B6" w:rsidRPr="00776365" w:rsidRDefault="00776365" w:rsidP="00CB1751">
            <w:pPr>
              <w:rPr>
                <w:sz w:val="22"/>
                <w:szCs w:val="22"/>
              </w:rPr>
            </w:pPr>
            <w:r>
              <w:rPr>
                <w:sz w:val="22"/>
                <w:szCs w:val="22"/>
              </w:rPr>
              <w:t xml:space="preserve">ORR would prefer to pay upon successful completion of each </w:t>
            </w:r>
            <w:r w:rsidR="00CB1751">
              <w:rPr>
                <w:sz w:val="22"/>
                <w:szCs w:val="22"/>
              </w:rPr>
              <w:t>workstream</w:t>
            </w:r>
            <w:r>
              <w:rPr>
                <w:sz w:val="22"/>
                <w:szCs w:val="22"/>
              </w:rPr>
              <w:t>; however, if bidders wish to supply a milestone payment schedule then this would be considered. Any proposed milestones must be linked to a tangible deliverable. Payments should also not be front loaded and should reflect the value of the deliverable.</w:t>
            </w:r>
          </w:p>
        </w:tc>
      </w:tr>
      <w:tr w:rsidR="00F52BE8" w:rsidRPr="0036077E" w14:paraId="429B30E2" w14:textId="77777777" w:rsidTr="00E94D37">
        <w:trPr>
          <w:trHeight w:val="127"/>
        </w:trPr>
        <w:tc>
          <w:tcPr>
            <w:tcW w:w="8528" w:type="dxa"/>
            <w:shd w:val="clear" w:color="auto" w:fill="99CCFF"/>
          </w:tcPr>
          <w:p w14:paraId="6033E9BF" w14:textId="77777777" w:rsidR="00F52BE8" w:rsidRPr="0036077E" w:rsidRDefault="00F52BE8" w:rsidP="00E94D37">
            <w:pPr>
              <w:rPr>
                <w:rFonts w:cs="Arial"/>
                <w:b/>
                <w:sz w:val="28"/>
                <w:szCs w:val="28"/>
              </w:rPr>
            </w:pPr>
            <w:r w:rsidRPr="0036077E">
              <w:rPr>
                <w:rFonts w:cs="Arial"/>
                <w:b/>
                <w:sz w:val="28"/>
                <w:szCs w:val="28"/>
              </w:rPr>
              <w:t>2.6 Further project related information for bidders</w:t>
            </w:r>
          </w:p>
        </w:tc>
      </w:tr>
      <w:tr w:rsidR="00F52BE8" w:rsidRPr="0036077E" w14:paraId="600DCFDF" w14:textId="77777777" w:rsidTr="00E94D37">
        <w:trPr>
          <w:trHeight w:val="127"/>
        </w:trPr>
        <w:tc>
          <w:tcPr>
            <w:tcW w:w="8528" w:type="dxa"/>
            <w:shd w:val="clear" w:color="auto" w:fill="auto"/>
          </w:tcPr>
          <w:p w14:paraId="18B31931" w14:textId="77777777" w:rsidR="00F52BE8" w:rsidRDefault="00F52BE8" w:rsidP="00E94D37">
            <w:pPr>
              <w:pStyle w:val="ListNumber"/>
              <w:numPr>
                <w:ilvl w:val="0"/>
                <w:numId w:val="0"/>
              </w:numPr>
              <w:tabs>
                <w:tab w:val="clear" w:pos="720"/>
              </w:tabs>
              <w:spacing w:before="0"/>
              <w:rPr>
                <w:b/>
                <w:sz w:val="22"/>
                <w:szCs w:val="22"/>
              </w:rPr>
            </w:pPr>
            <w:r>
              <w:rPr>
                <w:b/>
                <w:sz w:val="22"/>
                <w:szCs w:val="22"/>
              </w:rPr>
              <w:t>Transparency requirements</w:t>
            </w:r>
          </w:p>
          <w:p w14:paraId="29DA2539" w14:textId="77777777" w:rsidR="00F52BE8" w:rsidRPr="003974B6" w:rsidRDefault="00F52BE8" w:rsidP="00E94D3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30D2CCEE" w14:textId="77777777" w:rsidR="00F52BE8" w:rsidRPr="0036077E" w:rsidRDefault="00F52BE8" w:rsidP="00E94D37">
            <w:pPr>
              <w:pStyle w:val="ListNumber"/>
              <w:numPr>
                <w:ilvl w:val="0"/>
                <w:numId w:val="0"/>
              </w:numPr>
              <w:spacing w:before="0" w:after="0"/>
              <w:rPr>
                <w:b/>
                <w:sz w:val="22"/>
                <w:szCs w:val="22"/>
              </w:rPr>
            </w:pPr>
            <w:r w:rsidRPr="0036077E">
              <w:rPr>
                <w:b/>
                <w:sz w:val="22"/>
                <w:szCs w:val="22"/>
              </w:rPr>
              <w:lastRenderedPageBreak/>
              <w:t>Confidentiality</w:t>
            </w:r>
          </w:p>
          <w:p w14:paraId="220C9C68" w14:textId="77777777" w:rsidR="00F52BE8" w:rsidRPr="0036077E" w:rsidRDefault="00F52BE8" w:rsidP="00E94D37">
            <w:pPr>
              <w:pStyle w:val="ListNumber"/>
              <w:numPr>
                <w:ilvl w:val="0"/>
                <w:numId w:val="0"/>
              </w:numPr>
              <w:spacing w:before="0" w:after="0"/>
              <w:rPr>
                <w:sz w:val="22"/>
                <w:szCs w:val="22"/>
              </w:rPr>
            </w:pPr>
          </w:p>
          <w:p w14:paraId="58D9025E" w14:textId="0D548DB8" w:rsidR="00F52BE8" w:rsidRDefault="00F52BE8" w:rsidP="00E94D3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w:t>
            </w:r>
            <w:r w:rsidR="00621A0B">
              <w:rPr>
                <w:sz w:val="22"/>
                <w:szCs w:val="22"/>
              </w:rPr>
              <w:t xml:space="preserve"> </w:t>
            </w:r>
            <w:r w:rsidRPr="0036077E">
              <w:rPr>
                <w:sz w:val="22"/>
                <w:szCs w:val="22"/>
              </w:rPr>
              <w:t xml:space="preserve">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83CC005" w14:textId="77777777" w:rsidR="00F52BE8" w:rsidRDefault="00F52BE8" w:rsidP="00E94D37">
            <w:pPr>
              <w:pStyle w:val="ListNumber"/>
              <w:numPr>
                <w:ilvl w:val="0"/>
                <w:numId w:val="0"/>
              </w:numPr>
              <w:spacing w:before="0" w:after="0"/>
              <w:rPr>
                <w:sz w:val="22"/>
                <w:szCs w:val="22"/>
              </w:rPr>
            </w:pPr>
          </w:p>
          <w:p w14:paraId="6D9F3A8F"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10966960" w14:textId="77777777" w:rsidR="00907369" w:rsidRPr="00907369" w:rsidRDefault="00907369" w:rsidP="00907369">
            <w:pPr>
              <w:pStyle w:val="BodyTextIndent"/>
              <w:spacing w:after="0"/>
              <w:rPr>
                <w:rFonts w:cs="Arial"/>
                <w:sz w:val="22"/>
                <w:szCs w:val="22"/>
              </w:rPr>
            </w:pPr>
          </w:p>
          <w:p w14:paraId="7555513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651A179A" w14:textId="77777777" w:rsidR="00D74997" w:rsidRPr="00D74997" w:rsidRDefault="00D74997" w:rsidP="00D74997">
            <w:pPr>
              <w:pStyle w:val="BodyTextIndent"/>
              <w:spacing w:after="0"/>
              <w:ind w:left="0"/>
              <w:rPr>
                <w:rFonts w:cs="Arial"/>
                <w:sz w:val="22"/>
                <w:szCs w:val="22"/>
              </w:rPr>
            </w:pPr>
          </w:p>
          <w:p w14:paraId="350860C3"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1D74EF4F" w14:textId="77777777" w:rsidR="00D74997" w:rsidRPr="00D74997" w:rsidRDefault="00D74997" w:rsidP="00D74997">
            <w:pPr>
              <w:pStyle w:val="BodyTextIndent"/>
              <w:spacing w:after="0"/>
              <w:ind w:left="0"/>
              <w:rPr>
                <w:rFonts w:cs="Arial"/>
                <w:sz w:val="22"/>
                <w:szCs w:val="22"/>
              </w:rPr>
            </w:pPr>
          </w:p>
          <w:p w14:paraId="2A0D74B4" w14:textId="77777777" w:rsidR="00907369" w:rsidRPr="00BA1E28"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6142F069" w14:textId="77777777" w:rsidR="00F52BE8" w:rsidRPr="0036077E" w:rsidRDefault="00F52BE8" w:rsidP="00D74997">
            <w:pPr>
              <w:pStyle w:val="ListNumber"/>
              <w:numPr>
                <w:ilvl w:val="0"/>
                <w:numId w:val="0"/>
              </w:numPr>
              <w:tabs>
                <w:tab w:val="clear" w:pos="720"/>
              </w:tabs>
              <w:spacing w:before="0"/>
              <w:rPr>
                <w:rFonts w:cs="Arial"/>
                <w:b/>
              </w:rPr>
            </w:pPr>
          </w:p>
        </w:tc>
      </w:tr>
    </w:tbl>
    <w:p w14:paraId="0CEC9527"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2B2C544A" w14:textId="77777777" w:rsidTr="00E94D37">
        <w:tc>
          <w:tcPr>
            <w:tcW w:w="8528" w:type="dxa"/>
            <w:shd w:val="clear" w:color="auto" w:fill="99CCFF"/>
          </w:tcPr>
          <w:p w14:paraId="6B22A54C" w14:textId="77777777" w:rsidR="00F52BE8" w:rsidRPr="0036077E" w:rsidRDefault="00F52BE8" w:rsidP="00E94D37">
            <w:pPr>
              <w:rPr>
                <w:rFonts w:cs="Arial"/>
                <w:b/>
                <w:sz w:val="28"/>
                <w:szCs w:val="28"/>
              </w:rPr>
            </w:pPr>
            <w:r w:rsidRPr="0036077E">
              <w:rPr>
                <w:rFonts w:cs="Arial"/>
                <w:b/>
                <w:sz w:val="28"/>
                <w:szCs w:val="28"/>
              </w:rPr>
              <w:t>3.1 The Tender Response</w:t>
            </w:r>
          </w:p>
        </w:tc>
      </w:tr>
      <w:tr w:rsidR="00F52BE8" w:rsidRPr="0036077E" w14:paraId="4390B3F4" w14:textId="77777777" w:rsidTr="00B93903">
        <w:trPr>
          <w:trHeight w:val="1266"/>
        </w:trPr>
        <w:tc>
          <w:tcPr>
            <w:tcW w:w="8528" w:type="dxa"/>
            <w:tcBorders>
              <w:bottom w:val="single" w:sz="4" w:space="0" w:color="auto"/>
            </w:tcBorders>
            <w:shd w:val="clear" w:color="auto" w:fill="auto"/>
          </w:tcPr>
          <w:p w14:paraId="2C9506BA" w14:textId="77777777" w:rsidR="008716D0" w:rsidRDefault="008716D0" w:rsidP="008716D0">
            <w:pPr>
              <w:rPr>
                <w:rFonts w:cs="Arial"/>
                <w:sz w:val="22"/>
                <w:szCs w:val="22"/>
              </w:rPr>
            </w:pPr>
            <w:r>
              <w:rPr>
                <w:rFonts w:cs="Arial"/>
                <w:sz w:val="22"/>
                <w:szCs w:val="22"/>
              </w:rPr>
              <w:t>Each workstream shall be evaluated individually and therefore if bidding for both workstreams bidders should supply the following proposals/information for each workstream or clearly indicate that the supplied information applies to both workstreams.</w:t>
            </w:r>
          </w:p>
          <w:p w14:paraId="5EAA6223" w14:textId="1642FF76" w:rsidR="00F52BE8" w:rsidRPr="0036077E" w:rsidRDefault="00F52BE8" w:rsidP="00E94D3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r w:rsidR="00621A0B">
              <w:rPr>
                <w:rFonts w:cs="Arial"/>
                <w:sz w:val="22"/>
                <w:szCs w:val="22"/>
              </w:rPr>
              <w:t xml:space="preserve"> </w:t>
            </w:r>
          </w:p>
          <w:p w14:paraId="4983CEF4" w14:textId="77777777" w:rsidR="00F52BE8" w:rsidRPr="0036077E" w:rsidRDefault="00F52BE8" w:rsidP="00E94D37">
            <w:pPr>
              <w:pStyle w:val="Default"/>
              <w:rPr>
                <w:sz w:val="22"/>
                <w:szCs w:val="22"/>
              </w:rPr>
            </w:pPr>
            <w:r w:rsidRPr="0036077E">
              <w:rPr>
                <w:b/>
                <w:bCs/>
                <w:sz w:val="22"/>
                <w:szCs w:val="22"/>
              </w:rPr>
              <w:t xml:space="preserve">a) Understanding of customer's requirements </w:t>
            </w:r>
          </w:p>
          <w:p w14:paraId="60A7323E" w14:textId="77777777" w:rsidR="00F52BE8" w:rsidRPr="0036077E" w:rsidRDefault="00F52BE8" w:rsidP="00E94D37">
            <w:pPr>
              <w:autoSpaceDE w:val="0"/>
              <w:autoSpaceDN w:val="0"/>
              <w:adjustRightInd w:val="0"/>
              <w:spacing w:after="0"/>
              <w:rPr>
                <w:rFonts w:cs="Arial"/>
                <w:color w:val="000000"/>
                <w:sz w:val="22"/>
                <w:szCs w:val="22"/>
                <w:lang w:eastAsia="en-GB"/>
              </w:rPr>
            </w:pPr>
          </w:p>
          <w:p w14:paraId="093F58EE"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5E436538" w14:textId="77777777" w:rsidR="00F52BE8" w:rsidRPr="0036077E" w:rsidRDefault="00F52BE8" w:rsidP="00E94D37">
            <w:pPr>
              <w:autoSpaceDE w:val="0"/>
              <w:autoSpaceDN w:val="0"/>
              <w:adjustRightInd w:val="0"/>
              <w:spacing w:after="0"/>
              <w:rPr>
                <w:rFonts w:cs="Arial"/>
                <w:color w:val="000000"/>
                <w:sz w:val="22"/>
                <w:szCs w:val="22"/>
                <w:lang w:eastAsia="en-GB"/>
              </w:rPr>
            </w:pPr>
          </w:p>
          <w:p w14:paraId="3D519802"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Provide an explanation of the proposed approach </w:t>
            </w:r>
            <w:r w:rsidR="00903A9E">
              <w:rPr>
                <w:rFonts w:cs="Arial"/>
                <w:color w:val="000000"/>
                <w:sz w:val="22"/>
                <w:szCs w:val="22"/>
                <w:lang w:eastAsia="en-GB"/>
              </w:rPr>
              <w:t>to the work</w:t>
            </w:r>
            <w:r w:rsidRPr="0036077E">
              <w:rPr>
                <w:sz w:val="22"/>
                <w:szCs w:val="22"/>
              </w:rPr>
              <w:t>;</w:t>
            </w:r>
          </w:p>
          <w:p w14:paraId="7E4152A6" w14:textId="77777777" w:rsidR="00F52BE8" w:rsidRPr="0036077E" w:rsidRDefault="00F52BE8" w:rsidP="00E94D37">
            <w:pPr>
              <w:autoSpaceDE w:val="0"/>
              <w:autoSpaceDN w:val="0"/>
              <w:adjustRightInd w:val="0"/>
              <w:spacing w:after="0"/>
              <w:rPr>
                <w:rFonts w:cs="Arial"/>
                <w:color w:val="000000"/>
                <w:sz w:val="22"/>
                <w:szCs w:val="22"/>
                <w:lang w:eastAsia="en-GB"/>
              </w:rPr>
            </w:pPr>
          </w:p>
          <w:p w14:paraId="2B0CA6E9"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1F6C152F" w14:textId="6F99737B" w:rsidR="00F52BE8" w:rsidRPr="0036077E" w:rsidRDefault="00903A9E" w:rsidP="00E94D37">
            <w:pPr>
              <w:pStyle w:val="ListNumber"/>
              <w:numPr>
                <w:ilvl w:val="0"/>
                <w:numId w:val="0"/>
              </w:numPr>
              <w:rPr>
                <w:b/>
                <w:bCs/>
                <w:sz w:val="22"/>
                <w:szCs w:val="22"/>
              </w:rPr>
            </w:pPr>
            <w:r>
              <w:rPr>
                <w:b/>
                <w:sz w:val="22"/>
                <w:szCs w:val="22"/>
              </w:rPr>
              <w:t>b</w:t>
            </w:r>
            <w:r w:rsidR="00F52BE8" w:rsidRPr="0013676E">
              <w:rPr>
                <w:b/>
                <w:sz w:val="22"/>
                <w:szCs w:val="22"/>
              </w:rPr>
              <w:t>)</w:t>
            </w:r>
            <w:r w:rsidR="00621A0B">
              <w:rPr>
                <w:b/>
                <w:sz w:val="22"/>
                <w:szCs w:val="22"/>
              </w:rPr>
              <w:t xml:space="preserve"> </w:t>
            </w:r>
            <w:r w:rsidR="00F52BE8" w:rsidRPr="0036077E">
              <w:rPr>
                <w:b/>
                <w:bCs/>
                <w:sz w:val="22"/>
                <w:szCs w:val="22"/>
              </w:rPr>
              <w:t>Proposed delivery team</w:t>
            </w:r>
          </w:p>
          <w:p w14:paraId="10756C11"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w:t>
            </w:r>
            <w:r w:rsidR="00BA1E28">
              <w:rPr>
                <w:rFonts w:cs="Arial"/>
                <w:color w:val="000000"/>
                <w:sz w:val="22"/>
                <w:szCs w:val="22"/>
                <w:lang w:eastAsia="en-GB"/>
              </w:rPr>
              <w:t>he delivery of the project;</w:t>
            </w:r>
          </w:p>
          <w:p w14:paraId="03BF804D" w14:textId="77777777" w:rsidR="00F52BE8" w:rsidRPr="0036077E" w:rsidRDefault="00F52BE8" w:rsidP="00E94D37">
            <w:pPr>
              <w:autoSpaceDE w:val="0"/>
              <w:autoSpaceDN w:val="0"/>
              <w:adjustRightInd w:val="0"/>
              <w:spacing w:after="0"/>
              <w:rPr>
                <w:rFonts w:cs="Arial"/>
                <w:color w:val="000000"/>
                <w:sz w:val="22"/>
                <w:szCs w:val="22"/>
                <w:lang w:eastAsia="en-GB"/>
              </w:rPr>
            </w:pPr>
          </w:p>
          <w:p w14:paraId="524EB7E6" w14:textId="77777777" w:rsidR="00990C8D" w:rsidRPr="0036077E" w:rsidRDefault="00990C8D" w:rsidP="00990C8D">
            <w:pPr>
              <w:numPr>
                <w:ilvl w:val="0"/>
                <w:numId w:val="18"/>
              </w:numPr>
              <w:autoSpaceDE w:val="0"/>
              <w:autoSpaceDN w:val="0"/>
              <w:adjustRightInd w:val="0"/>
              <w:spacing w:after="0"/>
              <w:rPr>
                <w:rFonts w:cs="Arial"/>
                <w:color w:val="000000"/>
                <w:sz w:val="22"/>
                <w:szCs w:val="22"/>
                <w:lang w:eastAsia="en-GB"/>
              </w:rPr>
            </w:pPr>
            <w:r>
              <w:rPr>
                <w:rFonts w:cs="Arial"/>
                <w:color w:val="000000"/>
                <w:sz w:val="22"/>
                <w:szCs w:val="22"/>
                <w:lang w:eastAsia="en-GB"/>
              </w:rPr>
              <w:t>An indication of any additional resource that the supplier can access for the  Develop phase, if different to the Design phase;</w:t>
            </w:r>
          </w:p>
          <w:p w14:paraId="30F1E2CC" w14:textId="77777777" w:rsidR="00990C8D" w:rsidRPr="0036077E" w:rsidRDefault="00990C8D" w:rsidP="00990C8D">
            <w:pPr>
              <w:autoSpaceDE w:val="0"/>
              <w:autoSpaceDN w:val="0"/>
              <w:adjustRightInd w:val="0"/>
              <w:spacing w:after="0"/>
              <w:rPr>
                <w:rFonts w:cs="Arial"/>
                <w:color w:val="000000"/>
                <w:sz w:val="22"/>
                <w:szCs w:val="22"/>
                <w:lang w:eastAsia="en-GB"/>
              </w:rPr>
            </w:pPr>
          </w:p>
          <w:p w14:paraId="64A9BF52" w14:textId="48802CA0" w:rsidR="00BA1E28" w:rsidRDefault="00BA1E28" w:rsidP="00BA1E28">
            <w:pPr>
              <w:numPr>
                <w:ilvl w:val="0"/>
                <w:numId w:val="18"/>
              </w:numPr>
              <w:autoSpaceDE w:val="0"/>
              <w:autoSpaceDN w:val="0"/>
              <w:adjustRightInd w:val="0"/>
              <w:spacing w:after="0"/>
              <w:rPr>
                <w:rFonts w:cs="Arial"/>
                <w:color w:val="000000"/>
                <w:sz w:val="22"/>
                <w:szCs w:val="22"/>
                <w:lang w:eastAsia="en-GB"/>
              </w:rPr>
            </w:pPr>
            <w:r w:rsidRPr="0036077E">
              <w:rPr>
                <w:rFonts w:cs="Arial"/>
                <w:sz w:val="22"/>
                <w:szCs w:val="22"/>
              </w:rPr>
              <w:t>Some relevant examples of previous work that bidders have carried out</w:t>
            </w:r>
            <w:r w:rsidR="00E82E74">
              <w:rPr>
                <w:rFonts w:cs="Arial"/>
                <w:sz w:val="22"/>
                <w:szCs w:val="22"/>
              </w:rPr>
              <w:t>, including where bidders have worked closely with the client as part of the project team</w:t>
            </w:r>
            <w:r>
              <w:rPr>
                <w:rFonts w:cs="Arial"/>
                <w:sz w:val="22"/>
                <w:szCs w:val="22"/>
              </w:rPr>
              <w:t xml:space="preserve">; </w:t>
            </w:r>
          </w:p>
          <w:p w14:paraId="5F1D9337" w14:textId="77777777" w:rsidR="00BA1E28" w:rsidRPr="00BA1E28" w:rsidRDefault="00BA1E28" w:rsidP="00BA1E28">
            <w:pPr>
              <w:autoSpaceDE w:val="0"/>
              <w:autoSpaceDN w:val="0"/>
              <w:adjustRightInd w:val="0"/>
              <w:spacing w:after="0"/>
              <w:ind w:left="360"/>
              <w:rPr>
                <w:rFonts w:cs="Arial"/>
                <w:color w:val="000000"/>
                <w:sz w:val="22"/>
                <w:szCs w:val="22"/>
                <w:lang w:eastAsia="en-GB"/>
              </w:rPr>
            </w:pPr>
          </w:p>
          <w:p w14:paraId="0CA58A70" w14:textId="77777777" w:rsidR="00F52BE8" w:rsidRPr="00903A9E" w:rsidRDefault="00F52BE8" w:rsidP="00903A9E">
            <w:pPr>
              <w:numPr>
                <w:ilvl w:val="0"/>
                <w:numId w:val="6"/>
              </w:numPr>
              <w:rPr>
                <w:rFonts w:cs="Arial"/>
                <w:sz w:val="22"/>
                <w:szCs w:val="22"/>
              </w:rPr>
            </w:pPr>
            <w:r w:rsidRPr="00903A9E">
              <w:rPr>
                <w:rFonts w:cs="Arial"/>
                <w:sz w:val="22"/>
                <w:szCs w:val="22"/>
              </w:rPr>
              <w:t>Confirmation that you have carried out the necessary employment checks (e.g. right to work in the UK)</w:t>
            </w:r>
            <w:r w:rsidR="00BA1E28" w:rsidRPr="00903A9E">
              <w:rPr>
                <w:rFonts w:cs="Arial"/>
                <w:sz w:val="22"/>
                <w:szCs w:val="22"/>
              </w:rPr>
              <w:t xml:space="preserve">. </w:t>
            </w:r>
          </w:p>
          <w:p w14:paraId="45BC9BEA" w14:textId="77777777" w:rsidR="00F52BE8" w:rsidRPr="0036077E" w:rsidRDefault="00903A9E" w:rsidP="00E94D37">
            <w:pPr>
              <w:rPr>
                <w:rFonts w:cs="Arial"/>
                <w:b/>
                <w:sz w:val="22"/>
                <w:szCs w:val="22"/>
              </w:rPr>
            </w:pPr>
            <w:r>
              <w:rPr>
                <w:rFonts w:cs="Arial"/>
                <w:b/>
                <w:sz w:val="22"/>
                <w:szCs w:val="22"/>
              </w:rPr>
              <w:t>c</w:t>
            </w:r>
            <w:r w:rsidR="00F52BE8" w:rsidRPr="0036077E">
              <w:rPr>
                <w:rFonts w:cs="Arial"/>
                <w:b/>
                <w:sz w:val="22"/>
                <w:szCs w:val="22"/>
              </w:rPr>
              <w:t>) Pricing</w:t>
            </w:r>
          </w:p>
          <w:p w14:paraId="4F8904EC" w14:textId="77777777" w:rsidR="00990C8D" w:rsidRPr="00B93903" w:rsidRDefault="00990C8D" w:rsidP="00990C8D">
            <w:pPr>
              <w:pStyle w:val="Default"/>
              <w:rPr>
                <w:sz w:val="22"/>
                <w:szCs w:val="22"/>
              </w:rPr>
            </w:pPr>
            <w:r w:rsidRPr="00B93903">
              <w:rPr>
                <w:sz w:val="22"/>
                <w:szCs w:val="22"/>
              </w:rPr>
              <w:t xml:space="preserve">A fixed fee for the Design phase, inclusive of all expense. This should include: </w:t>
            </w:r>
          </w:p>
          <w:p w14:paraId="71000927" w14:textId="77777777" w:rsidR="00990C8D" w:rsidRPr="00990C8D" w:rsidRDefault="00990C8D" w:rsidP="00B93903">
            <w:pPr>
              <w:pStyle w:val="Default"/>
              <w:numPr>
                <w:ilvl w:val="0"/>
                <w:numId w:val="30"/>
              </w:numPr>
              <w:rPr>
                <w:sz w:val="22"/>
                <w:szCs w:val="22"/>
              </w:rPr>
            </w:pPr>
            <w:r w:rsidRPr="00B93903">
              <w:rPr>
                <w:sz w:val="22"/>
                <w:szCs w:val="22"/>
              </w:rPr>
              <w:t>A breakdown of the personnel who will be involved with the project, along with associated charge rates and anticipated time inputs that can be reconciled to the fixed fee.</w:t>
            </w:r>
          </w:p>
          <w:p w14:paraId="4FF39253" w14:textId="77777777" w:rsidR="000E4BDA" w:rsidRDefault="000E4BDA" w:rsidP="000E4BDA">
            <w:pPr>
              <w:pStyle w:val="Default"/>
              <w:rPr>
                <w:sz w:val="22"/>
                <w:szCs w:val="22"/>
              </w:rPr>
            </w:pPr>
          </w:p>
          <w:p w14:paraId="4F5B7EA2" w14:textId="2F8D0488" w:rsidR="00990C8D" w:rsidRPr="008716D0" w:rsidRDefault="00990C8D" w:rsidP="000E4BDA">
            <w:pPr>
              <w:pStyle w:val="Default"/>
              <w:rPr>
                <w:sz w:val="22"/>
                <w:szCs w:val="22"/>
              </w:rPr>
            </w:pPr>
            <w:r w:rsidRPr="008716D0">
              <w:rPr>
                <w:sz w:val="22"/>
                <w:szCs w:val="22"/>
              </w:rPr>
              <w:t>Day rates (inclusive of all expenses) for the optional Develop phase.</w:t>
            </w:r>
          </w:p>
          <w:p w14:paraId="11B9EB4C" w14:textId="77777777" w:rsidR="00990C8D" w:rsidRPr="00B93903" w:rsidRDefault="00990C8D" w:rsidP="00E94D37">
            <w:pPr>
              <w:pStyle w:val="Default"/>
              <w:rPr>
                <w:sz w:val="22"/>
                <w:szCs w:val="22"/>
              </w:rPr>
            </w:pPr>
          </w:p>
          <w:p w14:paraId="0019BC6B" w14:textId="77777777" w:rsidR="00F52BE8" w:rsidRDefault="00F52BE8" w:rsidP="00E94D37">
            <w:pPr>
              <w:autoSpaceDE w:val="0"/>
              <w:autoSpaceDN w:val="0"/>
              <w:adjustRightInd w:val="0"/>
              <w:spacing w:after="0"/>
              <w:rPr>
                <w:rFonts w:cs="Arial"/>
                <w:color w:val="000000"/>
                <w:sz w:val="22"/>
                <w:szCs w:val="22"/>
                <w:lang w:eastAsia="en-GB"/>
              </w:rPr>
            </w:pPr>
          </w:p>
          <w:p w14:paraId="765DF7C9" w14:textId="77777777" w:rsidR="009878A7" w:rsidRPr="009878A7" w:rsidRDefault="00903A9E" w:rsidP="00CB1751">
            <w:pPr>
              <w:keepNext/>
              <w:autoSpaceDE w:val="0"/>
              <w:autoSpaceDN w:val="0"/>
              <w:adjustRightInd w:val="0"/>
              <w:spacing w:after="0"/>
              <w:rPr>
                <w:rFonts w:cs="Arial"/>
                <w:b/>
                <w:color w:val="000000"/>
                <w:sz w:val="22"/>
                <w:szCs w:val="22"/>
                <w:lang w:eastAsia="en-GB"/>
              </w:rPr>
            </w:pPr>
            <w:r>
              <w:rPr>
                <w:rFonts w:cs="Arial"/>
                <w:b/>
                <w:color w:val="000000"/>
                <w:sz w:val="22"/>
                <w:szCs w:val="22"/>
                <w:lang w:eastAsia="en-GB"/>
              </w:rPr>
              <w:t>d</w:t>
            </w:r>
            <w:r w:rsidR="009878A7" w:rsidRPr="009878A7">
              <w:rPr>
                <w:rFonts w:cs="Arial"/>
                <w:b/>
                <w:color w:val="000000"/>
                <w:sz w:val="22"/>
                <w:szCs w:val="22"/>
                <w:lang w:eastAsia="en-GB"/>
              </w:rPr>
              <w:t>) Conflicts of Interest</w:t>
            </w:r>
          </w:p>
          <w:p w14:paraId="0DF7CC97" w14:textId="77777777" w:rsidR="009878A7" w:rsidRDefault="009878A7" w:rsidP="00E94D37">
            <w:pPr>
              <w:autoSpaceDE w:val="0"/>
              <w:autoSpaceDN w:val="0"/>
              <w:adjustRightInd w:val="0"/>
              <w:spacing w:after="0"/>
              <w:rPr>
                <w:rFonts w:cs="Arial"/>
                <w:color w:val="000000"/>
                <w:sz w:val="22"/>
                <w:szCs w:val="22"/>
                <w:lang w:eastAsia="en-GB"/>
              </w:rPr>
            </w:pPr>
          </w:p>
          <w:p w14:paraId="767073A0"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5310B8DC" w14:textId="77777777" w:rsidR="00903A9E" w:rsidRPr="009878A7" w:rsidRDefault="00903A9E" w:rsidP="009878A7">
            <w:pPr>
              <w:autoSpaceDE w:val="0"/>
              <w:autoSpaceDN w:val="0"/>
              <w:adjustRightInd w:val="0"/>
              <w:spacing w:after="0"/>
              <w:rPr>
                <w:rFonts w:cs="Arial"/>
                <w:color w:val="000000"/>
                <w:sz w:val="22"/>
                <w:szCs w:val="22"/>
                <w:lang w:eastAsia="en-GB"/>
              </w:rPr>
            </w:pPr>
          </w:p>
        </w:tc>
      </w:tr>
      <w:tr w:rsidR="00F52BE8" w:rsidRPr="0036077E" w14:paraId="3CA40F1C" w14:textId="77777777" w:rsidTr="00E94D37">
        <w:trPr>
          <w:trHeight w:val="353"/>
        </w:trPr>
        <w:tc>
          <w:tcPr>
            <w:tcW w:w="8528" w:type="dxa"/>
            <w:tcBorders>
              <w:bottom w:val="single" w:sz="4" w:space="0" w:color="auto"/>
            </w:tcBorders>
            <w:shd w:val="clear" w:color="auto" w:fill="99CCFF"/>
          </w:tcPr>
          <w:p w14:paraId="21545DED" w14:textId="77777777" w:rsidR="00F52BE8" w:rsidRPr="0036077E" w:rsidRDefault="00F52BE8" w:rsidP="00E94D37">
            <w:pPr>
              <w:rPr>
                <w:rFonts w:cs="Arial"/>
                <w:b/>
                <w:sz w:val="28"/>
                <w:szCs w:val="28"/>
              </w:rPr>
            </w:pPr>
            <w:r w:rsidRPr="0036077E">
              <w:rPr>
                <w:rFonts w:cs="Arial"/>
                <w:b/>
                <w:sz w:val="28"/>
                <w:szCs w:val="28"/>
              </w:rPr>
              <w:lastRenderedPageBreak/>
              <w:t>3.2 Evaluation Criteria</w:t>
            </w:r>
          </w:p>
        </w:tc>
      </w:tr>
      <w:tr w:rsidR="00F52BE8" w:rsidRPr="0036077E" w14:paraId="1D75C504" w14:textId="77777777" w:rsidTr="00E94D37">
        <w:trPr>
          <w:trHeight w:val="352"/>
        </w:trPr>
        <w:tc>
          <w:tcPr>
            <w:tcW w:w="8528" w:type="dxa"/>
            <w:tcBorders>
              <w:bottom w:val="single" w:sz="4" w:space="0" w:color="auto"/>
            </w:tcBorders>
            <w:shd w:val="clear" w:color="auto" w:fill="auto"/>
          </w:tcPr>
          <w:p w14:paraId="7CE47FFB" w14:textId="77777777"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650EC614" w14:textId="77777777"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2D1DDE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483A012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744B8ED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11B38BC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3005F14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6F066CDC" w14:textId="77777777"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48B30FA" w14:textId="542DEFC8" w:rsidR="00F52BE8" w:rsidRPr="0036077E" w:rsidRDefault="00F52BE8" w:rsidP="00E94D3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that are not compliant may be disqualified from the process.</w:t>
            </w:r>
            <w:r w:rsidR="00621A0B">
              <w:rPr>
                <w:rFonts w:ascii="Arial" w:hAnsi="Arial" w:cs="Arial"/>
                <w:sz w:val="22"/>
                <w:szCs w:val="22"/>
              </w:rPr>
              <w:t xml:space="preserve"> </w:t>
            </w:r>
            <w:r w:rsidRPr="0036077E">
              <w:rPr>
                <w:rFonts w:ascii="Arial" w:hAnsi="Arial" w:cs="Arial"/>
                <w:sz w:val="22"/>
                <w:szCs w:val="22"/>
              </w:rPr>
              <w:t xml:space="preserve">We reserve the right to clarify any issues regarding a Bidder’s compliance. It will be at ORR's sole discretion whether to include the relevant Bidder’s response in the next stage of the process. </w:t>
            </w:r>
          </w:p>
          <w:p w14:paraId="4AE2C6CE" w14:textId="24DF4242" w:rsidR="00F52BE8" w:rsidRPr="0036077E" w:rsidRDefault="00990C8D" w:rsidP="00E94D37">
            <w:pPr>
              <w:pStyle w:val="ListNumber"/>
              <w:numPr>
                <w:ilvl w:val="0"/>
                <w:numId w:val="0"/>
              </w:numPr>
              <w:rPr>
                <w:sz w:val="22"/>
                <w:szCs w:val="22"/>
              </w:rPr>
            </w:pPr>
            <w:r>
              <w:rPr>
                <w:sz w:val="22"/>
                <w:szCs w:val="22"/>
              </w:rPr>
              <w:t>For each workstream t</w:t>
            </w:r>
            <w:r w:rsidRPr="0036077E">
              <w:rPr>
                <w:sz w:val="22"/>
                <w:szCs w:val="22"/>
              </w:rPr>
              <w:t xml:space="preserve">he </w:t>
            </w:r>
            <w:r w:rsidR="00F52BE8" w:rsidRPr="0036077E">
              <w:rPr>
                <w:sz w:val="22"/>
                <w:szCs w:val="22"/>
              </w:rPr>
              <w:t xml:space="preserve">contract will be awarded to the Bidder(s) submitting the </w:t>
            </w:r>
            <w:r w:rsidR="00F52BE8" w:rsidRPr="0036077E">
              <w:rPr>
                <w:b/>
                <w:sz w:val="22"/>
                <w:szCs w:val="22"/>
                <w:u w:val="single"/>
              </w:rPr>
              <w:t>‘most economically advantageous tender’</w:t>
            </w:r>
            <w:r>
              <w:t xml:space="preserve"> </w:t>
            </w:r>
            <w:r w:rsidR="000E4BDA">
              <w:t xml:space="preserve">(MEAT) </w:t>
            </w:r>
            <w:r w:rsidRPr="000E4BDA">
              <w:rPr>
                <w:sz w:val="22"/>
                <w:szCs w:val="22"/>
              </w:rPr>
              <w:t>or a combined offer as set out below</w:t>
            </w:r>
            <w:r w:rsidR="00F52BE8" w:rsidRPr="000E4BDA">
              <w:rPr>
                <w:sz w:val="22"/>
                <w:szCs w:val="22"/>
              </w:rPr>
              <w:t xml:space="preserve">. Tenders will be evaluated according to </w:t>
            </w:r>
            <w:r w:rsidR="00F52BE8" w:rsidRPr="0036077E">
              <w:rPr>
                <w:sz w:val="22"/>
                <w:szCs w:val="22"/>
              </w:rPr>
              <w:t xml:space="preserve">weighted criteria as follows: </w:t>
            </w:r>
          </w:p>
          <w:p w14:paraId="464B2F3E" w14:textId="77777777" w:rsidR="00F52BE8" w:rsidRPr="0036077E" w:rsidRDefault="00F52BE8" w:rsidP="00E94D37">
            <w:pPr>
              <w:pStyle w:val="ListNumber"/>
              <w:numPr>
                <w:ilvl w:val="0"/>
                <w:numId w:val="0"/>
              </w:numPr>
              <w:rPr>
                <w:rFonts w:cs="Arial"/>
                <w:sz w:val="22"/>
                <w:szCs w:val="22"/>
              </w:rPr>
            </w:pPr>
          </w:p>
          <w:p w14:paraId="7E344328" w14:textId="2929C31C" w:rsidR="005E32F8" w:rsidRDefault="005E32F8" w:rsidP="00E94D37">
            <w:pPr>
              <w:pStyle w:val="ListNumber"/>
              <w:numPr>
                <w:ilvl w:val="0"/>
                <w:numId w:val="0"/>
              </w:numPr>
              <w:tabs>
                <w:tab w:val="clear" w:pos="720"/>
                <w:tab w:val="left" w:pos="426"/>
              </w:tabs>
              <w:rPr>
                <w:rFonts w:cs="Arial"/>
                <w:b/>
                <w:szCs w:val="24"/>
              </w:rPr>
            </w:pPr>
            <w:r>
              <w:rPr>
                <w:rFonts w:cs="Arial"/>
                <w:b/>
                <w:szCs w:val="24"/>
              </w:rPr>
              <w:t>Methodology and Delivery (20%)</w:t>
            </w:r>
          </w:p>
          <w:p w14:paraId="6BA7A606" w14:textId="4D3F1EE5"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The proposal should set out how the project requirement will be delivered. In particular it should: </w:t>
            </w:r>
          </w:p>
          <w:p w14:paraId="09910F29" w14:textId="6A2D9EFD"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a) Explain how the work will be delivered to timescale and how milestones will be met, detailing the resources that will be allocated to each stage; </w:t>
            </w:r>
          </w:p>
          <w:p w14:paraId="73394924" w14:textId="0B12DA8C"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b) Demonstrate an understanding of risks and how they will be mitigated to ensure project delivery; </w:t>
            </w:r>
          </w:p>
          <w:p w14:paraId="6D56DB3D" w14:textId="5E8E5BEA" w:rsidR="005E32F8" w:rsidRPr="00E82E74" w:rsidRDefault="005E32F8" w:rsidP="00E94D37">
            <w:pPr>
              <w:pStyle w:val="ListNumber"/>
              <w:numPr>
                <w:ilvl w:val="0"/>
                <w:numId w:val="0"/>
              </w:numPr>
              <w:tabs>
                <w:tab w:val="clear" w:pos="720"/>
                <w:tab w:val="left" w:pos="426"/>
              </w:tabs>
              <w:rPr>
                <w:rFonts w:cs="Arial"/>
                <w:sz w:val="22"/>
                <w:szCs w:val="22"/>
              </w:rPr>
            </w:pPr>
            <w:r w:rsidRPr="00E82E74">
              <w:rPr>
                <w:rFonts w:cs="Arial"/>
                <w:sz w:val="22"/>
                <w:szCs w:val="22"/>
              </w:rPr>
              <w:t xml:space="preserve">c) Explain how you will work with ORR to ensure the project’s requirements are met. </w:t>
            </w:r>
          </w:p>
          <w:p w14:paraId="110D580B" w14:textId="77777777" w:rsidR="005E32F8" w:rsidRDefault="005E32F8" w:rsidP="00E94D37">
            <w:pPr>
              <w:pStyle w:val="ListNumber"/>
              <w:numPr>
                <w:ilvl w:val="0"/>
                <w:numId w:val="0"/>
              </w:numPr>
              <w:tabs>
                <w:tab w:val="clear" w:pos="720"/>
                <w:tab w:val="left" w:pos="426"/>
              </w:tabs>
              <w:rPr>
                <w:rFonts w:cs="Arial"/>
                <w:b/>
                <w:szCs w:val="24"/>
              </w:rPr>
            </w:pPr>
          </w:p>
          <w:p w14:paraId="4D60321F" w14:textId="49CF6CB9" w:rsidR="00F52BE8" w:rsidRPr="0036077E" w:rsidRDefault="00903A9E" w:rsidP="00E94D37">
            <w:pPr>
              <w:pStyle w:val="ListNumber"/>
              <w:numPr>
                <w:ilvl w:val="0"/>
                <w:numId w:val="0"/>
              </w:numPr>
              <w:tabs>
                <w:tab w:val="clear" w:pos="720"/>
                <w:tab w:val="left" w:pos="426"/>
              </w:tabs>
              <w:rPr>
                <w:rFonts w:cs="Arial"/>
                <w:b/>
                <w:szCs w:val="24"/>
              </w:rPr>
            </w:pPr>
            <w:r>
              <w:rPr>
                <w:rFonts w:cs="Arial"/>
                <w:b/>
                <w:szCs w:val="24"/>
              </w:rPr>
              <w:t>Experience (</w:t>
            </w:r>
            <w:r w:rsidR="005E32F8">
              <w:rPr>
                <w:rFonts w:cs="Arial"/>
                <w:b/>
                <w:szCs w:val="24"/>
              </w:rPr>
              <w:t>4</w:t>
            </w:r>
            <w:r>
              <w:rPr>
                <w:rFonts w:cs="Arial"/>
                <w:b/>
                <w:szCs w:val="24"/>
              </w:rPr>
              <w:t>0</w:t>
            </w:r>
            <w:r w:rsidR="00F52BE8" w:rsidRPr="0036077E">
              <w:rPr>
                <w:rFonts w:cs="Arial"/>
                <w:b/>
                <w:szCs w:val="24"/>
              </w:rPr>
              <w:t>%)</w:t>
            </w:r>
          </w:p>
          <w:p w14:paraId="7E6F9C82" w14:textId="2AB66445" w:rsidR="00F52BE8" w:rsidRPr="0036077E" w:rsidRDefault="00F52BE8" w:rsidP="00E94D37">
            <w:pPr>
              <w:pStyle w:val="ListNumber"/>
              <w:numPr>
                <w:ilvl w:val="0"/>
                <w:numId w:val="0"/>
              </w:numPr>
              <w:rPr>
                <w:rFonts w:cs="Arial"/>
                <w:sz w:val="22"/>
                <w:szCs w:val="22"/>
              </w:rPr>
            </w:pPr>
            <w:r w:rsidRPr="0036077E">
              <w:rPr>
                <w:sz w:val="22"/>
                <w:szCs w:val="22"/>
              </w:rPr>
              <w:t>The proposal should set out any experience relevant to the project requirement.</w:t>
            </w:r>
            <w:r w:rsidR="00621A0B">
              <w:rPr>
                <w:sz w:val="22"/>
                <w:szCs w:val="22"/>
              </w:rPr>
              <w:t xml:space="preserve"> </w:t>
            </w:r>
            <w:r w:rsidRPr="0036077E">
              <w:rPr>
                <w:sz w:val="22"/>
                <w:szCs w:val="22"/>
              </w:rPr>
              <w:t>In particular, it must:</w:t>
            </w:r>
          </w:p>
          <w:p w14:paraId="1AD431D9" w14:textId="30A21702" w:rsidR="00F52BE8" w:rsidRPr="0036077E" w:rsidRDefault="00F52BE8" w:rsidP="00E94D37">
            <w:pPr>
              <w:pStyle w:val="ListNumber"/>
              <w:numPr>
                <w:ilvl w:val="0"/>
                <w:numId w:val="0"/>
              </w:numPr>
              <w:rPr>
                <w:rFonts w:cs="Arial"/>
                <w:sz w:val="22"/>
                <w:szCs w:val="22"/>
              </w:rPr>
            </w:pPr>
            <w:r w:rsidRPr="0036077E">
              <w:rPr>
                <w:rFonts w:cs="Arial"/>
                <w:sz w:val="22"/>
                <w:szCs w:val="22"/>
              </w:rPr>
              <w:t>a)</w:t>
            </w:r>
            <w:r w:rsidR="00621A0B">
              <w:rPr>
                <w:rFonts w:cs="Arial"/>
                <w:sz w:val="22"/>
                <w:szCs w:val="22"/>
              </w:rPr>
              <w:t xml:space="preserve"> </w:t>
            </w:r>
            <w:r w:rsidRPr="0036077E">
              <w:rPr>
                <w:rFonts w:cs="Arial"/>
                <w:sz w:val="22"/>
                <w:szCs w:val="22"/>
              </w:rPr>
              <w:t xml:space="preserve">Provide CVs of the consultants who will be delivering the project; </w:t>
            </w:r>
          </w:p>
          <w:p w14:paraId="598906CE" w14:textId="68560E42" w:rsidR="00F52BE8" w:rsidRPr="0036077E" w:rsidRDefault="00F52BE8" w:rsidP="00E94D3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00BC1C95">
              <w:rPr>
                <w:rFonts w:cs="Arial"/>
                <w:sz w:val="22"/>
                <w:szCs w:val="22"/>
              </w:rPr>
              <w:t xml:space="preserve">and the individuals’ </w:t>
            </w:r>
            <w:r w:rsidRPr="0036077E">
              <w:rPr>
                <w:rFonts w:cs="Arial"/>
                <w:sz w:val="22"/>
                <w:szCs w:val="22"/>
              </w:rPr>
              <w:t>relevant experience for this project, submitting examples of similar projects</w:t>
            </w:r>
            <w:r w:rsidR="00CA7DF2">
              <w:rPr>
                <w:rFonts w:cs="Arial"/>
                <w:sz w:val="22"/>
                <w:szCs w:val="22"/>
              </w:rPr>
              <w:t xml:space="preserve"> and making clear the extent of industry expertise</w:t>
            </w:r>
            <w:r w:rsidRPr="0036077E">
              <w:rPr>
                <w:rFonts w:cs="Arial"/>
                <w:sz w:val="22"/>
                <w:szCs w:val="22"/>
              </w:rPr>
              <w:t>.</w:t>
            </w:r>
          </w:p>
          <w:p w14:paraId="78D6F6C8" w14:textId="77777777" w:rsidR="00F52BE8" w:rsidRPr="0036077E" w:rsidRDefault="00F52BE8" w:rsidP="00E94D37">
            <w:pPr>
              <w:pStyle w:val="ListNumber"/>
              <w:numPr>
                <w:ilvl w:val="0"/>
                <w:numId w:val="0"/>
              </w:numPr>
              <w:tabs>
                <w:tab w:val="clear" w:pos="720"/>
                <w:tab w:val="left" w:pos="426"/>
              </w:tabs>
              <w:rPr>
                <w:rFonts w:cs="Arial"/>
                <w:sz w:val="22"/>
                <w:szCs w:val="22"/>
              </w:rPr>
            </w:pPr>
          </w:p>
          <w:p w14:paraId="69C650B6" w14:textId="358AC72E" w:rsidR="00F52BE8" w:rsidRPr="005E32F8" w:rsidRDefault="00F52BE8" w:rsidP="00E94D37">
            <w:pPr>
              <w:pStyle w:val="ListNumber"/>
              <w:numPr>
                <w:ilvl w:val="0"/>
                <w:numId w:val="0"/>
              </w:numPr>
              <w:rPr>
                <w:rFonts w:cs="Arial"/>
                <w:szCs w:val="24"/>
              </w:rPr>
            </w:pPr>
            <w:r w:rsidRPr="005E32F8">
              <w:rPr>
                <w:rFonts w:cs="Arial"/>
                <w:b/>
                <w:szCs w:val="24"/>
              </w:rPr>
              <w:t>Cost / Value for money (</w:t>
            </w:r>
            <w:r w:rsidR="005E32F8" w:rsidRPr="005E32F8">
              <w:rPr>
                <w:rFonts w:cs="Arial"/>
                <w:b/>
                <w:szCs w:val="24"/>
              </w:rPr>
              <w:t>4</w:t>
            </w:r>
            <w:r w:rsidR="00903A9E" w:rsidRPr="005E32F8">
              <w:rPr>
                <w:rFonts w:cs="Arial"/>
                <w:b/>
                <w:szCs w:val="24"/>
              </w:rPr>
              <w:t>0</w:t>
            </w:r>
            <w:r w:rsidRPr="005E32F8">
              <w:rPr>
                <w:rFonts w:cs="Arial"/>
                <w:b/>
                <w:szCs w:val="24"/>
              </w:rPr>
              <w:t>%)</w:t>
            </w:r>
          </w:p>
          <w:p w14:paraId="4836A5F5" w14:textId="73898FED" w:rsidR="000E4BDA" w:rsidRPr="000E4BDA" w:rsidRDefault="000E4BDA" w:rsidP="00E94D37">
            <w:pPr>
              <w:pStyle w:val="ListNumber"/>
              <w:numPr>
                <w:ilvl w:val="0"/>
                <w:numId w:val="0"/>
              </w:numPr>
              <w:rPr>
                <w:rFonts w:cs="Arial"/>
                <w:b/>
                <w:sz w:val="22"/>
                <w:szCs w:val="22"/>
              </w:rPr>
            </w:pPr>
            <w:r w:rsidRPr="000E4BDA">
              <w:rPr>
                <w:rFonts w:cs="Arial"/>
                <w:b/>
                <w:sz w:val="22"/>
                <w:szCs w:val="22"/>
              </w:rPr>
              <w:t>Design Phase (30%):</w:t>
            </w:r>
          </w:p>
          <w:p w14:paraId="78135245" w14:textId="3A3CC3F7" w:rsidR="00F52BE8" w:rsidRPr="0036077E" w:rsidRDefault="00F52BE8" w:rsidP="00E94D37">
            <w:pPr>
              <w:pStyle w:val="ListNumber"/>
              <w:numPr>
                <w:ilvl w:val="0"/>
                <w:numId w:val="0"/>
              </w:numPr>
              <w:rPr>
                <w:sz w:val="22"/>
                <w:szCs w:val="22"/>
              </w:rPr>
            </w:pPr>
            <w:r w:rsidRPr="005E32F8">
              <w:rPr>
                <w:rFonts w:cs="Arial"/>
                <w:sz w:val="22"/>
                <w:szCs w:val="22"/>
              </w:rPr>
              <w:lastRenderedPageBreak/>
              <w:t xml:space="preserve">A </w:t>
            </w:r>
            <w:r w:rsidRPr="005E32F8">
              <w:rPr>
                <w:rFonts w:cs="Arial"/>
                <w:b/>
                <w:sz w:val="22"/>
                <w:szCs w:val="22"/>
              </w:rPr>
              <w:t>fixed fee</w:t>
            </w:r>
            <w:r w:rsidRPr="005E32F8">
              <w:rPr>
                <w:rFonts w:cs="Arial"/>
                <w:sz w:val="22"/>
                <w:szCs w:val="22"/>
              </w:rPr>
              <w:t xml:space="preserve"> for delivery of the </w:t>
            </w:r>
            <w:r w:rsidR="00990C8D">
              <w:rPr>
                <w:rFonts w:cs="Arial"/>
                <w:sz w:val="22"/>
                <w:szCs w:val="22"/>
              </w:rPr>
              <w:t xml:space="preserve">‘Design’ phase </w:t>
            </w:r>
            <w:r w:rsidRPr="005E32F8">
              <w:rPr>
                <w:rFonts w:cs="Arial"/>
                <w:sz w:val="22"/>
                <w:szCs w:val="22"/>
              </w:rPr>
              <w:t xml:space="preserve">requirement (inclusive of all expenses), including a </w:t>
            </w:r>
            <w:r w:rsidRPr="005E32F8">
              <w:rPr>
                <w:rFonts w:cs="Arial"/>
                <w:sz w:val="22"/>
                <w:szCs w:val="22"/>
                <w:u w:val="single"/>
              </w:rPr>
              <w:t>full price breakdown for each stage of the project</w:t>
            </w:r>
            <w:r w:rsidRPr="005E32F8">
              <w:rPr>
                <w:rFonts w:cs="Arial"/>
                <w:sz w:val="22"/>
                <w:szCs w:val="22"/>
              </w:rPr>
              <w:t xml:space="preserve"> and details of the </w:t>
            </w:r>
            <w:r w:rsidRPr="005E32F8">
              <w:rPr>
                <w:rFonts w:cs="Arial"/>
                <w:sz w:val="22"/>
                <w:szCs w:val="22"/>
                <w:u w:val="single"/>
              </w:rPr>
              <w:t>day rates</w:t>
            </w:r>
            <w:r w:rsidRPr="005E32F8">
              <w:rPr>
                <w:rFonts w:cs="Arial"/>
                <w:sz w:val="22"/>
                <w:szCs w:val="22"/>
              </w:rPr>
              <w:t xml:space="preserve"> </w:t>
            </w:r>
            <w:r w:rsidRPr="005E32F8">
              <w:rPr>
                <w:sz w:val="22"/>
                <w:szCs w:val="22"/>
              </w:rPr>
              <w:t>that will apply for the lifetime of this project.</w:t>
            </w:r>
            <w:r w:rsidR="00621A0B">
              <w:rPr>
                <w:sz w:val="22"/>
                <w:szCs w:val="22"/>
              </w:rPr>
              <w:t xml:space="preserve"> </w:t>
            </w:r>
          </w:p>
          <w:p w14:paraId="18482072" w14:textId="77777777" w:rsidR="00F52BE8" w:rsidRPr="0036077E" w:rsidRDefault="00F52BE8" w:rsidP="00E94D3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0FF5A4C9"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2211872A"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57B1041"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2D2B57B8"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2D0F9F8"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6128DE9"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0DB165D" w14:textId="77777777" w:rsidR="00F52BE8" w:rsidRPr="005178AE" w:rsidRDefault="00F52BE8" w:rsidP="00E94D3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A3AD44A"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5DBF72EF" w14:textId="77777777" w:rsidR="00F52BE8" w:rsidRPr="005178AE" w:rsidRDefault="00F52BE8" w:rsidP="00E94D3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A91258" w14:textId="77777777" w:rsidR="00F52BE8" w:rsidRPr="005178AE" w:rsidRDefault="00F52BE8" w:rsidP="00E94D3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5317371" w14:textId="77777777" w:rsidR="00F52BE8" w:rsidRPr="005178AE" w:rsidRDefault="00F52BE8" w:rsidP="00E94D3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52675BD" w14:textId="77777777" w:rsidR="00F52BE8" w:rsidRPr="005178AE" w:rsidRDefault="00F52BE8" w:rsidP="00E94D3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6F7FBCA2" w14:textId="77777777" w:rsidR="00F52BE8" w:rsidRPr="005178AE" w:rsidRDefault="00F52BE8" w:rsidP="00E94D3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12747F0D" w14:textId="77777777" w:rsidR="00F52BE8" w:rsidRPr="005178AE" w:rsidRDefault="00F52BE8" w:rsidP="00E94D37">
                  <w:pPr>
                    <w:autoSpaceDE w:val="0"/>
                    <w:autoSpaceDN w:val="0"/>
                    <w:adjustRightInd w:val="0"/>
                    <w:rPr>
                      <w:rFonts w:cs="Arial"/>
                      <w:color w:val="000000"/>
                      <w:sz w:val="20"/>
                    </w:rPr>
                  </w:pPr>
                </w:p>
              </w:tc>
            </w:tr>
            <w:tr w:rsidR="00F52BE8" w:rsidRPr="005178AE" w14:paraId="4E696435"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5DEEE80F" w14:textId="77777777" w:rsidR="00F52BE8" w:rsidRPr="005178AE" w:rsidRDefault="00F52BE8" w:rsidP="00E94D3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14964BC" w14:textId="77777777" w:rsidR="00F52BE8" w:rsidRPr="005178AE" w:rsidRDefault="00F52BE8" w:rsidP="00E94D3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7AA5F9B" w14:textId="77777777" w:rsidR="00F52BE8" w:rsidRPr="005178AE" w:rsidRDefault="00F52BE8" w:rsidP="00E94D3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E2298F3" w14:textId="77777777" w:rsidR="00F52BE8" w:rsidRPr="005178AE" w:rsidRDefault="00F52BE8" w:rsidP="00E94D3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60525B5F" w14:textId="77777777" w:rsidR="00F52BE8" w:rsidRPr="005178AE" w:rsidRDefault="00F52BE8" w:rsidP="00E94D3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2883516" w14:textId="77777777" w:rsidR="00F52BE8" w:rsidRPr="005178AE" w:rsidRDefault="00F52BE8" w:rsidP="00E94D37">
                  <w:pPr>
                    <w:autoSpaceDE w:val="0"/>
                    <w:autoSpaceDN w:val="0"/>
                    <w:adjustRightInd w:val="0"/>
                    <w:rPr>
                      <w:rFonts w:cs="Arial"/>
                      <w:color w:val="000000"/>
                      <w:sz w:val="20"/>
                    </w:rPr>
                  </w:pPr>
                </w:p>
              </w:tc>
            </w:tr>
            <w:tr w:rsidR="00F52BE8" w:rsidRPr="005178AE" w14:paraId="15647FDC" w14:textId="77777777" w:rsidTr="00E94D37">
              <w:trPr>
                <w:cantSplit/>
              </w:trPr>
              <w:tc>
                <w:tcPr>
                  <w:tcW w:w="1599" w:type="dxa"/>
                  <w:tcBorders>
                    <w:top w:val="single" w:sz="4" w:space="0" w:color="000000"/>
                    <w:left w:val="single" w:sz="4" w:space="0" w:color="000000"/>
                    <w:bottom w:val="single" w:sz="4" w:space="0" w:color="000000"/>
                    <w:right w:val="single" w:sz="4" w:space="0" w:color="000000"/>
                  </w:tcBorders>
                </w:tcPr>
                <w:p w14:paraId="3C362F94" w14:textId="77777777" w:rsidR="00F52BE8" w:rsidRPr="005178AE" w:rsidRDefault="00F52BE8" w:rsidP="00E94D3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5CC10F1" w14:textId="77777777" w:rsidR="00F52BE8" w:rsidRPr="005178AE" w:rsidRDefault="00F52BE8" w:rsidP="00E94D3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0B2AEAB" w14:textId="77777777" w:rsidR="00F52BE8" w:rsidRPr="005178AE" w:rsidRDefault="00F52BE8" w:rsidP="00E94D3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1E383AD" w14:textId="77777777" w:rsidR="00F52BE8" w:rsidRPr="005178AE" w:rsidRDefault="00F52BE8" w:rsidP="00E94D3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03F6E78" w14:textId="77777777" w:rsidR="00F52BE8" w:rsidRPr="005178AE" w:rsidRDefault="00F52BE8" w:rsidP="00E94D3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C7DE91B" w14:textId="77777777" w:rsidR="00F52BE8" w:rsidRPr="005178AE" w:rsidRDefault="00F52BE8" w:rsidP="00E94D37">
                  <w:pPr>
                    <w:autoSpaceDE w:val="0"/>
                    <w:autoSpaceDN w:val="0"/>
                    <w:adjustRightInd w:val="0"/>
                    <w:rPr>
                      <w:rFonts w:cs="Arial"/>
                      <w:color w:val="000000"/>
                      <w:sz w:val="20"/>
                    </w:rPr>
                  </w:pPr>
                </w:p>
              </w:tc>
            </w:tr>
          </w:tbl>
          <w:p w14:paraId="4B89E699" w14:textId="77777777" w:rsidR="00F52BE8" w:rsidRPr="0036077E" w:rsidRDefault="00F52BE8" w:rsidP="00E94D37">
            <w:pPr>
              <w:rPr>
                <w:sz w:val="22"/>
                <w:szCs w:val="22"/>
              </w:rPr>
            </w:pPr>
          </w:p>
          <w:p w14:paraId="046066F5" w14:textId="77777777" w:rsidR="00F52BE8" w:rsidRPr="0036077E" w:rsidRDefault="00F52BE8" w:rsidP="00E94D3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2A909629" w14:textId="77777777" w:rsidTr="00E94D37">
              <w:trPr>
                <w:trHeight w:val="223"/>
              </w:trPr>
              <w:tc>
                <w:tcPr>
                  <w:tcW w:w="851" w:type="dxa"/>
                  <w:tcBorders>
                    <w:bottom w:val="single" w:sz="4" w:space="0" w:color="auto"/>
                  </w:tcBorders>
                  <w:shd w:val="clear" w:color="auto" w:fill="auto"/>
                  <w:vAlign w:val="center"/>
                </w:tcPr>
                <w:p w14:paraId="015A83A6" w14:textId="77777777" w:rsidR="00F52BE8" w:rsidRPr="0036077E" w:rsidRDefault="00F52BE8" w:rsidP="00E94D37">
                  <w:pPr>
                    <w:jc w:val="center"/>
                    <w:rPr>
                      <w:b/>
                      <w:sz w:val="20"/>
                    </w:rPr>
                  </w:pPr>
                  <w:r w:rsidRPr="0036077E">
                    <w:rPr>
                      <w:b/>
                      <w:sz w:val="20"/>
                    </w:rPr>
                    <w:t>Grade</w:t>
                  </w:r>
                </w:p>
              </w:tc>
              <w:tc>
                <w:tcPr>
                  <w:tcW w:w="6840" w:type="dxa"/>
                  <w:shd w:val="clear" w:color="auto" w:fill="auto"/>
                  <w:vAlign w:val="bottom"/>
                </w:tcPr>
                <w:p w14:paraId="08792517" w14:textId="77777777" w:rsidR="00F52BE8" w:rsidRPr="0036077E" w:rsidRDefault="00F52BE8" w:rsidP="00E94D37">
                  <w:pPr>
                    <w:jc w:val="center"/>
                    <w:rPr>
                      <w:b/>
                      <w:sz w:val="20"/>
                    </w:rPr>
                  </w:pPr>
                  <w:r w:rsidRPr="0036077E">
                    <w:rPr>
                      <w:b/>
                      <w:sz w:val="20"/>
                    </w:rPr>
                    <w:t>Requirement</w:t>
                  </w:r>
                </w:p>
              </w:tc>
            </w:tr>
            <w:tr w:rsidR="00F52BE8" w14:paraId="6FEF4226" w14:textId="77777777" w:rsidTr="00E94D37">
              <w:trPr>
                <w:trHeight w:hRule="exact" w:val="680"/>
              </w:trPr>
              <w:tc>
                <w:tcPr>
                  <w:tcW w:w="851" w:type="dxa"/>
                  <w:tcBorders>
                    <w:bottom w:val="single" w:sz="4" w:space="0" w:color="auto"/>
                  </w:tcBorders>
                  <w:shd w:val="clear" w:color="auto" w:fill="auto"/>
                </w:tcPr>
                <w:p w14:paraId="07DD67B8" w14:textId="77777777" w:rsidR="00F52BE8" w:rsidRPr="0036077E" w:rsidRDefault="00F52BE8" w:rsidP="00E94D37">
                  <w:pPr>
                    <w:rPr>
                      <w:sz w:val="20"/>
                    </w:rPr>
                  </w:pPr>
                  <w:r w:rsidRPr="0036077E">
                    <w:rPr>
                      <w:sz w:val="20"/>
                    </w:rPr>
                    <w:t>Junior consultant</w:t>
                  </w:r>
                </w:p>
              </w:tc>
              <w:tc>
                <w:tcPr>
                  <w:tcW w:w="0" w:type="auto"/>
                  <w:tcBorders>
                    <w:bottom w:val="single" w:sz="4" w:space="0" w:color="auto"/>
                  </w:tcBorders>
                  <w:shd w:val="clear" w:color="auto" w:fill="auto"/>
                </w:tcPr>
                <w:p w14:paraId="53E0BE3E" w14:textId="77777777" w:rsidR="00F52BE8" w:rsidRPr="0036077E" w:rsidRDefault="00F52BE8" w:rsidP="00E94D3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33E7247C" w14:textId="77777777" w:rsidTr="00E94D37">
              <w:trPr>
                <w:trHeight w:hRule="exact" w:val="907"/>
              </w:trPr>
              <w:tc>
                <w:tcPr>
                  <w:tcW w:w="851" w:type="dxa"/>
                  <w:shd w:val="clear" w:color="auto" w:fill="auto"/>
                </w:tcPr>
                <w:p w14:paraId="48C9AA6F" w14:textId="77777777" w:rsidR="00F52BE8" w:rsidRPr="0036077E" w:rsidRDefault="00F52BE8" w:rsidP="00E94D37">
                  <w:pPr>
                    <w:rPr>
                      <w:sz w:val="20"/>
                    </w:rPr>
                  </w:pPr>
                  <w:r w:rsidRPr="0036077E">
                    <w:rPr>
                      <w:sz w:val="20"/>
                    </w:rPr>
                    <w:t>Consultant</w:t>
                  </w:r>
                </w:p>
              </w:tc>
              <w:tc>
                <w:tcPr>
                  <w:tcW w:w="0" w:type="auto"/>
                  <w:shd w:val="clear" w:color="auto" w:fill="auto"/>
                </w:tcPr>
                <w:p w14:paraId="7B9C3D43" w14:textId="77777777" w:rsidR="00F52BE8" w:rsidRPr="0036077E" w:rsidRDefault="00F52BE8" w:rsidP="00E94D3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3F28B057" w14:textId="77777777" w:rsidTr="00E94D37">
              <w:trPr>
                <w:trHeight w:hRule="exact" w:val="964"/>
              </w:trPr>
              <w:tc>
                <w:tcPr>
                  <w:tcW w:w="851" w:type="dxa"/>
                  <w:shd w:val="clear" w:color="auto" w:fill="auto"/>
                </w:tcPr>
                <w:p w14:paraId="456F6750" w14:textId="77777777" w:rsidR="00F52BE8" w:rsidRPr="0036077E" w:rsidRDefault="00F52BE8" w:rsidP="00E94D37">
                  <w:pPr>
                    <w:rPr>
                      <w:sz w:val="20"/>
                    </w:rPr>
                  </w:pPr>
                  <w:r w:rsidRPr="0036077E">
                    <w:rPr>
                      <w:sz w:val="20"/>
                    </w:rPr>
                    <w:t>Senior Consultant</w:t>
                  </w:r>
                </w:p>
              </w:tc>
              <w:tc>
                <w:tcPr>
                  <w:tcW w:w="0" w:type="auto"/>
                  <w:shd w:val="clear" w:color="auto" w:fill="auto"/>
                </w:tcPr>
                <w:p w14:paraId="5DDB3FBA" w14:textId="77777777" w:rsidR="00F52BE8" w:rsidRPr="0036077E" w:rsidRDefault="00F52BE8" w:rsidP="00E94D3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1000A797" w14:textId="77777777" w:rsidTr="00E94D37">
              <w:trPr>
                <w:trHeight w:hRule="exact" w:val="1134"/>
              </w:trPr>
              <w:tc>
                <w:tcPr>
                  <w:tcW w:w="851" w:type="dxa"/>
                  <w:shd w:val="clear" w:color="auto" w:fill="auto"/>
                </w:tcPr>
                <w:p w14:paraId="1701D76B" w14:textId="77777777" w:rsidR="00F52BE8" w:rsidRPr="0036077E" w:rsidRDefault="00F52BE8" w:rsidP="00E94D37">
                  <w:pPr>
                    <w:rPr>
                      <w:sz w:val="20"/>
                    </w:rPr>
                  </w:pPr>
                  <w:r w:rsidRPr="0036077E">
                    <w:rPr>
                      <w:sz w:val="20"/>
                    </w:rPr>
                    <w:t>Principal Consultant</w:t>
                  </w:r>
                </w:p>
              </w:tc>
              <w:tc>
                <w:tcPr>
                  <w:tcW w:w="0" w:type="auto"/>
                  <w:shd w:val="clear" w:color="auto" w:fill="auto"/>
                </w:tcPr>
                <w:p w14:paraId="3CB1E73B" w14:textId="77777777" w:rsidR="00F52BE8" w:rsidRPr="0036077E" w:rsidRDefault="00F52BE8" w:rsidP="00E94D3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27FC4796" w14:textId="77777777" w:rsidTr="00E94D37">
              <w:trPr>
                <w:trHeight w:hRule="exact" w:val="1134"/>
              </w:trPr>
              <w:tc>
                <w:tcPr>
                  <w:tcW w:w="851" w:type="dxa"/>
                  <w:shd w:val="clear" w:color="auto" w:fill="auto"/>
                </w:tcPr>
                <w:p w14:paraId="042A0794" w14:textId="77777777" w:rsidR="00F52BE8" w:rsidRPr="0036077E" w:rsidRDefault="00F52BE8" w:rsidP="00E94D37">
                  <w:pPr>
                    <w:rPr>
                      <w:sz w:val="20"/>
                    </w:rPr>
                  </w:pPr>
                  <w:r w:rsidRPr="0036077E">
                    <w:rPr>
                      <w:sz w:val="20"/>
                    </w:rPr>
                    <w:t>Managing Consultant</w:t>
                  </w:r>
                </w:p>
              </w:tc>
              <w:tc>
                <w:tcPr>
                  <w:tcW w:w="0" w:type="auto"/>
                  <w:shd w:val="clear" w:color="auto" w:fill="auto"/>
                </w:tcPr>
                <w:p w14:paraId="5B716353" w14:textId="77777777" w:rsidR="00F52BE8" w:rsidRPr="0036077E" w:rsidRDefault="00F52BE8" w:rsidP="00E94D3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79759889" w14:textId="77777777" w:rsidTr="00E94D37">
              <w:trPr>
                <w:trHeight w:hRule="exact" w:val="1221"/>
              </w:trPr>
              <w:tc>
                <w:tcPr>
                  <w:tcW w:w="851" w:type="dxa"/>
                  <w:shd w:val="clear" w:color="auto" w:fill="auto"/>
                </w:tcPr>
                <w:p w14:paraId="14531691" w14:textId="77777777" w:rsidR="00F52BE8" w:rsidRPr="0036077E" w:rsidRDefault="00F52BE8" w:rsidP="00E94D37">
                  <w:pPr>
                    <w:rPr>
                      <w:sz w:val="20"/>
                    </w:rPr>
                  </w:pPr>
                  <w:r w:rsidRPr="0036077E">
                    <w:rPr>
                      <w:sz w:val="20"/>
                    </w:rPr>
                    <w:t>Director / Partner</w:t>
                  </w:r>
                </w:p>
                <w:p w14:paraId="529580AE" w14:textId="77777777" w:rsidR="00F52BE8" w:rsidRPr="0036077E" w:rsidRDefault="00F52BE8" w:rsidP="00E94D37">
                  <w:pPr>
                    <w:rPr>
                      <w:sz w:val="20"/>
                    </w:rPr>
                  </w:pPr>
                </w:p>
              </w:tc>
              <w:tc>
                <w:tcPr>
                  <w:tcW w:w="0" w:type="auto"/>
                  <w:shd w:val="clear" w:color="auto" w:fill="auto"/>
                </w:tcPr>
                <w:p w14:paraId="4C768267" w14:textId="77777777" w:rsidR="00F52BE8" w:rsidRPr="0036077E" w:rsidRDefault="00F52BE8" w:rsidP="00E94D3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F69A7EC" w14:textId="46D18669" w:rsidR="00F52BE8" w:rsidRDefault="00F52BE8" w:rsidP="00E94D37">
            <w:pPr>
              <w:rPr>
                <w:sz w:val="22"/>
                <w:szCs w:val="22"/>
              </w:rPr>
            </w:pPr>
          </w:p>
          <w:p w14:paraId="10E85B63" w14:textId="32413EAC" w:rsidR="00990C8D" w:rsidRDefault="00990C8D" w:rsidP="00990C8D">
            <w:pPr>
              <w:rPr>
                <w:sz w:val="22"/>
                <w:szCs w:val="22"/>
              </w:rPr>
            </w:pPr>
            <w:r w:rsidRPr="00990C8D">
              <w:rPr>
                <w:b/>
                <w:sz w:val="22"/>
                <w:szCs w:val="22"/>
              </w:rPr>
              <w:t>Develop Phase</w:t>
            </w:r>
            <w:r w:rsidR="000E4BDA">
              <w:rPr>
                <w:b/>
                <w:sz w:val="22"/>
                <w:szCs w:val="22"/>
              </w:rPr>
              <w:t xml:space="preserve"> (10%):</w:t>
            </w:r>
          </w:p>
          <w:p w14:paraId="60316767" w14:textId="3E7EABF3" w:rsidR="00990C8D" w:rsidRDefault="00B93903" w:rsidP="00990C8D">
            <w:pPr>
              <w:rPr>
                <w:rFonts w:cs="Arial"/>
                <w:sz w:val="22"/>
                <w:szCs w:val="22"/>
                <w:shd w:val="clear" w:color="auto" w:fill="FFFFFF"/>
              </w:rPr>
            </w:pPr>
            <w:r>
              <w:rPr>
                <w:sz w:val="22"/>
                <w:szCs w:val="22"/>
              </w:rPr>
              <w:t>For the ‘Develop’ phase, u</w:t>
            </w:r>
            <w:r w:rsidR="00990C8D" w:rsidRPr="0004552B">
              <w:rPr>
                <w:sz w:val="22"/>
                <w:szCs w:val="22"/>
              </w:rPr>
              <w:t xml:space="preserve">sing the grades above </w:t>
            </w:r>
            <w:r w:rsidR="00990C8D">
              <w:rPr>
                <w:sz w:val="22"/>
                <w:szCs w:val="22"/>
              </w:rPr>
              <w:t xml:space="preserve">please </w:t>
            </w:r>
            <w:r w:rsidR="00990C8D" w:rsidRPr="0004552B">
              <w:rPr>
                <w:sz w:val="22"/>
                <w:szCs w:val="22"/>
              </w:rPr>
              <w:t xml:space="preserve">supply </w:t>
            </w:r>
            <w:r w:rsidR="00990C8D" w:rsidRPr="00EF3A1E">
              <w:rPr>
                <w:rFonts w:cs="Arial"/>
                <w:sz w:val="22"/>
                <w:szCs w:val="22"/>
                <w:shd w:val="clear" w:color="auto" w:fill="FFFFFF"/>
              </w:rPr>
              <w:t xml:space="preserve">a fixed day rate </w:t>
            </w:r>
            <w:r w:rsidR="000E4BDA">
              <w:rPr>
                <w:rFonts w:cs="Arial"/>
                <w:sz w:val="22"/>
                <w:szCs w:val="22"/>
                <w:shd w:val="clear" w:color="auto" w:fill="FFFFFF"/>
              </w:rPr>
              <w:t xml:space="preserve">for each of the grades </w:t>
            </w:r>
            <w:r w:rsidR="00990C8D" w:rsidRPr="00EF3A1E">
              <w:rPr>
                <w:rFonts w:cs="Arial"/>
                <w:sz w:val="22"/>
                <w:szCs w:val="22"/>
                <w:shd w:val="clear" w:color="auto" w:fill="FFFFFF"/>
              </w:rPr>
              <w:t>(inclusive of all expense, exc. VAT)</w:t>
            </w:r>
          </w:p>
          <w:p w14:paraId="6258BC7F" w14:textId="77777777" w:rsidR="00990C8D" w:rsidRPr="00990C8D" w:rsidRDefault="00990C8D" w:rsidP="00990C8D">
            <w:pPr>
              <w:rPr>
                <w:rFonts w:cs="Arial"/>
                <w:b/>
                <w:sz w:val="22"/>
                <w:szCs w:val="22"/>
                <w:shd w:val="clear" w:color="auto" w:fill="FFFFFF"/>
              </w:rPr>
            </w:pPr>
            <w:r w:rsidRPr="00990C8D">
              <w:rPr>
                <w:rFonts w:cs="Arial"/>
                <w:b/>
                <w:sz w:val="22"/>
                <w:szCs w:val="22"/>
                <w:shd w:val="clear" w:color="auto" w:fill="FFFFFF"/>
              </w:rPr>
              <w:t>Combined Offer</w:t>
            </w:r>
          </w:p>
          <w:p w14:paraId="6AA1E740" w14:textId="285AEA6E" w:rsidR="00990C8D" w:rsidRPr="0036077E" w:rsidRDefault="00990C8D" w:rsidP="00E94D37">
            <w:pPr>
              <w:rPr>
                <w:sz w:val="22"/>
                <w:szCs w:val="22"/>
              </w:rPr>
            </w:pPr>
            <w:r>
              <w:rPr>
                <w:rFonts w:cs="Arial"/>
                <w:sz w:val="22"/>
                <w:szCs w:val="22"/>
                <w:shd w:val="clear" w:color="auto" w:fill="FFFFFF"/>
              </w:rPr>
              <w:lastRenderedPageBreak/>
              <w:t xml:space="preserve">Where bidders are submitting a proposal in both </w:t>
            </w:r>
            <w:r w:rsidR="00CB1751">
              <w:rPr>
                <w:rFonts w:cs="Arial"/>
                <w:sz w:val="22"/>
                <w:szCs w:val="22"/>
                <w:shd w:val="clear" w:color="auto" w:fill="FFFFFF"/>
              </w:rPr>
              <w:t>w</w:t>
            </w:r>
            <w:r>
              <w:rPr>
                <w:rFonts w:cs="Arial"/>
                <w:sz w:val="22"/>
                <w:szCs w:val="22"/>
                <w:shd w:val="clear" w:color="auto" w:fill="FFFFFF"/>
              </w:rPr>
              <w:t xml:space="preserve">orkstreams they may additionally offer a combined bid, indicating where the combined offer differs from the individual workstream offers (e.g. reduced resource, reduced price etc.).The combined offers will be scored as per the above and then compared to the top two scoring individual offers to determine the MEAT. </w:t>
            </w:r>
          </w:p>
          <w:p w14:paraId="035BCECC" w14:textId="77777777" w:rsidR="00F52BE8" w:rsidRPr="0036077E" w:rsidRDefault="00F52BE8" w:rsidP="00E94D3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6C71CB03" w14:textId="77777777" w:rsidTr="00E94D3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74191537" w14:textId="77777777" w:rsidR="00F52BE8" w:rsidRPr="0045576C" w:rsidRDefault="00F52BE8" w:rsidP="00E94D3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14FC629" w14:textId="77777777" w:rsidR="00F52BE8" w:rsidRPr="0045576C" w:rsidRDefault="00F52BE8" w:rsidP="00E94D3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19E36C1D" w14:textId="77777777" w:rsidTr="00E94D3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486342A" w14:textId="77777777" w:rsidR="00F52BE8" w:rsidRPr="0045576C" w:rsidRDefault="00F52BE8" w:rsidP="00E94D3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B8C213A" w14:textId="77777777" w:rsidR="00F52BE8" w:rsidRPr="0045576C" w:rsidRDefault="00F52BE8" w:rsidP="00E94D3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3FAFED" w14:textId="77777777" w:rsidTr="00E94D3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44B7574C" w14:textId="77777777" w:rsidR="00F52BE8" w:rsidRPr="0045576C" w:rsidRDefault="00F52BE8" w:rsidP="00E94D3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89CD261" w14:textId="77777777" w:rsidR="00F52BE8" w:rsidRPr="0045576C" w:rsidRDefault="00F52BE8" w:rsidP="00E94D3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7A7324C4" w14:textId="77777777" w:rsidTr="00E94D3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D4CE505" w14:textId="77777777" w:rsidR="00F52BE8" w:rsidRPr="0045576C" w:rsidRDefault="00F52BE8" w:rsidP="00E94D3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9FAED6D" w14:textId="77777777" w:rsidR="00F52BE8" w:rsidRPr="0045576C" w:rsidRDefault="00F52BE8" w:rsidP="00E94D3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2E567FEB" w14:textId="77777777" w:rsidR="00F52BE8" w:rsidRPr="0036077E" w:rsidRDefault="00F52BE8" w:rsidP="00E94D37">
            <w:pPr>
              <w:rPr>
                <w:rFonts w:cs="Arial"/>
                <w:sz w:val="22"/>
                <w:szCs w:val="22"/>
              </w:rPr>
            </w:pPr>
          </w:p>
          <w:p w14:paraId="6769C473" w14:textId="1AD815D6" w:rsidR="00990C8D" w:rsidRDefault="00990C8D" w:rsidP="00990C8D">
            <w:pPr>
              <w:rPr>
                <w:rFonts w:cs="Arial"/>
                <w:shd w:val="clear" w:color="auto" w:fill="FFFFFF"/>
              </w:rPr>
            </w:pPr>
            <w:r>
              <w:rPr>
                <w:rFonts w:cs="Arial"/>
                <w:shd w:val="clear" w:color="auto" w:fill="FFFFFF"/>
              </w:rPr>
              <w:t xml:space="preserve">For the </w:t>
            </w:r>
            <w:r w:rsidR="00CB1751">
              <w:rPr>
                <w:rFonts w:cs="Arial"/>
                <w:shd w:val="clear" w:color="auto" w:fill="FFFFFF"/>
              </w:rPr>
              <w:t>Cost/Value for Money</w:t>
            </w:r>
            <w:r>
              <w:rPr>
                <w:rFonts w:cs="Arial"/>
                <w:shd w:val="clear" w:color="auto" w:fill="FFFFFF"/>
              </w:rPr>
              <w:t xml:space="preserve"> evaluation the following shall apply:</w:t>
            </w:r>
          </w:p>
          <w:p w14:paraId="5FA2675C" w14:textId="77777777" w:rsidR="00990C8D" w:rsidRPr="00990C8D" w:rsidRDefault="00990C8D" w:rsidP="00990C8D">
            <w:pPr>
              <w:rPr>
                <w:rFonts w:cs="Arial"/>
                <w:b/>
                <w:shd w:val="clear" w:color="auto" w:fill="FFFFFF"/>
              </w:rPr>
            </w:pPr>
            <w:r w:rsidRPr="00990C8D">
              <w:rPr>
                <w:rFonts w:cs="Arial"/>
                <w:b/>
                <w:shd w:val="clear" w:color="auto" w:fill="FFFFFF"/>
              </w:rPr>
              <w:t>Design phase</w:t>
            </w:r>
          </w:p>
          <w:p w14:paraId="746430BA" w14:textId="6E435AEC" w:rsidR="00990C8D" w:rsidRDefault="00990C8D" w:rsidP="00990C8D">
            <w:pPr>
              <w:rPr>
                <w:rFonts w:cs="Arial"/>
                <w:shd w:val="clear" w:color="auto" w:fill="FFFFFF"/>
              </w:rPr>
            </w:pPr>
            <w:r>
              <w:rPr>
                <w:rFonts w:cs="Arial"/>
                <w:shd w:val="clear" w:color="auto" w:fill="FFFFFF"/>
              </w:rPr>
              <w:t>The lowest fixed fee will be awarded t</w:t>
            </w:r>
            <w:r w:rsidR="00B93903">
              <w:rPr>
                <w:rFonts w:cs="Arial"/>
                <w:shd w:val="clear" w:color="auto" w:fill="FFFFFF"/>
              </w:rPr>
              <w:t xml:space="preserve">he maximum price score of 100. </w:t>
            </w:r>
            <w:r>
              <w:rPr>
                <w:rFonts w:cs="Arial"/>
                <w:shd w:val="clear" w:color="auto" w:fill="FFFFFF"/>
              </w:rPr>
              <w:t>All other bidders will get a price score relative to the lowest fee tendered. The calculation we will use to calculate your score is as follows:</w:t>
            </w:r>
          </w:p>
          <w:p w14:paraId="42AE3686" w14:textId="77777777" w:rsidR="00990C8D" w:rsidRDefault="00990C8D" w:rsidP="00990C8D">
            <w:pPr>
              <w:spacing w:after="0"/>
              <w:rPr>
                <w:rFonts w:cs="Arial"/>
                <w:sz w:val="22"/>
                <w:szCs w:val="22"/>
                <w:shd w:val="clear" w:color="auto" w:fill="FFFFFF"/>
              </w:rPr>
            </w:pPr>
            <w:r w:rsidRPr="00CE6874">
              <w:rPr>
                <w:rFonts w:cs="Arial"/>
                <w:sz w:val="22"/>
                <w:szCs w:val="22"/>
                <w:shd w:val="clear" w:color="auto" w:fill="FFFFFF"/>
              </w:rPr>
              <w:t xml:space="preserve">Price Score  =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306E7C56" w14:textId="77777777" w:rsidR="00990C8D" w:rsidRDefault="00990C8D" w:rsidP="00990C8D">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19A4B7ED" w14:textId="77777777" w:rsidR="00990C8D" w:rsidRDefault="00990C8D" w:rsidP="00990C8D">
            <w:pPr>
              <w:rPr>
                <w:rFonts w:cs="Arial"/>
                <w:shd w:val="clear" w:color="auto" w:fill="FFFFFF"/>
              </w:rPr>
            </w:pPr>
            <w:r>
              <w:rPr>
                <w:rFonts w:cs="Arial"/>
                <w:shd w:val="clear" w:color="auto" w:fill="FFFFFF"/>
              </w:rPr>
              <w:t>Your score will then be multiplied by the weighting we have applied to this aspect of the price evaluation to provide a weighted score for the fee.</w:t>
            </w:r>
          </w:p>
          <w:p w14:paraId="5F30B9EA" w14:textId="77777777" w:rsidR="00990C8D" w:rsidRPr="00990C8D" w:rsidRDefault="00990C8D" w:rsidP="00990C8D">
            <w:pPr>
              <w:rPr>
                <w:rFonts w:cs="Arial"/>
                <w:b/>
                <w:shd w:val="clear" w:color="auto" w:fill="FFFFFF"/>
              </w:rPr>
            </w:pPr>
            <w:r w:rsidRPr="00990C8D">
              <w:rPr>
                <w:rFonts w:cs="Arial"/>
                <w:b/>
                <w:shd w:val="clear" w:color="auto" w:fill="FFFFFF"/>
              </w:rPr>
              <w:t>Develop phase</w:t>
            </w:r>
          </w:p>
          <w:p w14:paraId="6B593666" w14:textId="1755F84A" w:rsidR="00990C8D" w:rsidRDefault="00990C8D" w:rsidP="00990C8D">
            <w:pPr>
              <w:rPr>
                <w:rFonts w:cs="Arial"/>
                <w:shd w:val="clear" w:color="auto" w:fill="FFFFFF"/>
              </w:rPr>
            </w:pPr>
            <w:r>
              <w:rPr>
                <w:rFonts w:cs="Arial"/>
                <w:shd w:val="clear" w:color="auto" w:fill="FFFFFF"/>
              </w:rPr>
              <w:t>A dummy scenario using a set number of days per grade will be applied to the day</w:t>
            </w:r>
            <w:r w:rsidR="008716D0">
              <w:rPr>
                <w:rFonts w:cs="Arial"/>
                <w:shd w:val="clear" w:color="auto" w:fill="FFFFFF"/>
              </w:rPr>
              <w:t xml:space="preserve"> rates supplied by the bidder.</w:t>
            </w:r>
            <w:r w:rsidR="008F431F">
              <w:rPr>
                <w:rFonts w:cs="Arial"/>
                <w:shd w:val="clear" w:color="auto" w:fill="FFFFFF"/>
              </w:rPr>
              <w:t xml:space="preserve"> </w:t>
            </w:r>
            <w:r>
              <w:rPr>
                <w:rFonts w:cs="Arial"/>
                <w:shd w:val="clear" w:color="auto" w:fill="FFFFFF"/>
              </w:rPr>
              <w:t xml:space="preserve">This will produce a ‘fee’ which shall then have </w:t>
            </w:r>
            <w:r w:rsidR="008716D0">
              <w:rPr>
                <w:rFonts w:cs="Arial"/>
                <w:shd w:val="clear" w:color="auto" w:fill="FFFFFF"/>
              </w:rPr>
              <w:t>the</w:t>
            </w:r>
            <w:r>
              <w:rPr>
                <w:rFonts w:cs="Arial"/>
                <w:shd w:val="clear" w:color="auto" w:fill="FFFFFF"/>
              </w:rPr>
              <w:t xml:space="preserve"> above price calculation applied </w:t>
            </w:r>
            <w:r w:rsidR="008716D0">
              <w:rPr>
                <w:rFonts w:cs="Arial"/>
                <w:shd w:val="clear" w:color="auto" w:fill="FFFFFF"/>
              </w:rPr>
              <w:t>u</w:t>
            </w:r>
            <w:r>
              <w:rPr>
                <w:rFonts w:cs="Arial"/>
                <w:shd w:val="clear" w:color="auto" w:fill="FFFFFF"/>
              </w:rPr>
              <w:t xml:space="preserve">sing the weighting for this aspect of the price evaluation. The dummy scenario shall be:  </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417"/>
            </w:tblGrid>
            <w:tr w:rsidR="00990C8D" w:rsidRPr="0036077E" w14:paraId="5C648FBE" w14:textId="77777777" w:rsidTr="00990C8D">
              <w:trPr>
                <w:trHeight w:val="225"/>
              </w:trPr>
              <w:tc>
                <w:tcPr>
                  <w:tcW w:w="3707" w:type="dxa"/>
                  <w:tcBorders>
                    <w:bottom w:val="single" w:sz="4" w:space="0" w:color="auto"/>
                  </w:tcBorders>
                  <w:shd w:val="clear" w:color="auto" w:fill="auto"/>
                  <w:vAlign w:val="center"/>
                </w:tcPr>
                <w:p w14:paraId="5888D293" w14:textId="77777777" w:rsidR="00990C8D" w:rsidRPr="0036077E" w:rsidRDefault="00990C8D" w:rsidP="00990C8D">
                  <w:pPr>
                    <w:jc w:val="center"/>
                    <w:rPr>
                      <w:b/>
                      <w:sz w:val="20"/>
                    </w:rPr>
                  </w:pPr>
                  <w:r w:rsidRPr="0036077E">
                    <w:rPr>
                      <w:b/>
                      <w:sz w:val="20"/>
                    </w:rPr>
                    <w:t>Grade</w:t>
                  </w:r>
                </w:p>
              </w:tc>
              <w:tc>
                <w:tcPr>
                  <w:tcW w:w="1417" w:type="dxa"/>
                  <w:tcBorders>
                    <w:bottom w:val="single" w:sz="4" w:space="0" w:color="auto"/>
                  </w:tcBorders>
                </w:tcPr>
                <w:p w14:paraId="1403446C" w14:textId="77777777" w:rsidR="00990C8D" w:rsidRPr="0036077E" w:rsidRDefault="00990C8D" w:rsidP="00990C8D">
                  <w:pPr>
                    <w:jc w:val="center"/>
                    <w:rPr>
                      <w:b/>
                      <w:sz w:val="20"/>
                    </w:rPr>
                  </w:pPr>
                  <w:r>
                    <w:rPr>
                      <w:b/>
                      <w:sz w:val="20"/>
                    </w:rPr>
                    <w:t>Days</w:t>
                  </w:r>
                </w:p>
              </w:tc>
            </w:tr>
            <w:tr w:rsidR="00990C8D" w:rsidRPr="0036077E" w14:paraId="472B3A4C" w14:textId="77777777" w:rsidTr="00990C8D">
              <w:trPr>
                <w:trHeight w:hRule="exact" w:val="401"/>
              </w:trPr>
              <w:tc>
                <w:tcPr>
                  <w:tcW w:w="3707" w:type="dxa"/>
                  <w:tcBorders>
                    <w:bottom w:val="single" w:sz="4" w:space="0" w:color="auto"/>
                  </w:tcBorders>
                  <w:shd w:val="clear" w:color="auto" w:fill="auto"/>
                </w:tcPr>
                <w:p w14:paraId="18EB41D2" w14:textId="77777777" w:rsidR="00990C8D" w:rsidRPr="0036077E" w:rsidRDefault="00990C8D" w:rsidP="00990C8D">
                  <w:pPr>
                    <w:rPr>
                      <w:sz w:val="20"/>
                    </w:rPr>
                  </w:pPr>
                  <w:r w:rsidRPr="0036077E">
                    <w:rPr>
                      <w:sz w:val="20"/>
                    </w:rPr>
                    <w:t>Junior consultant</w:t>
                  </w:r>
                </w:p>
              </w:tc>
              <w:tc>
                <w:tcPr>
                  <w:tcW w:w="1417" w:type="dxa"/>
                  <w:tcBorders>
                    <w:bottom w:val="single" w:sz="4" w:space="0" w:color="auto"/>
                  </w:tcBorders>
                </w:tcPr>
                <w:p w14:paraId="1448C7F2" w14:textId="77777777" w:rsidR="00990C8D" w:rsidRPr="0036077E" w:rsidRDefault="00990C8D" w:rsidP="00990C8D">
                  <w:pPr>
                    <w:jc w:val="center"/>
                    <w:rPr>
                      <w:sz w:val="20"/>
                    </w:rPr>
                  </w:pPr>
                  <w:r>
                    <w:rPr>
                      <w:sz w:val="20"/>
                    </w:rPr>
                    <w:t>2</w:t>
                  </w:r>
                </w:p>
              </w:tc>
            </w:tr>
            <w:tr w:rsidR="00990C8D" w:rsidRPr="0036077E" w14:paraId="0A1DD1A8" w14:textId="77777777" w:rsidTr="00990C8D">
              <w:trPr>
                <w:trHeight w:hRule="exact" w:val="421"/>
              </w:trPr>
              <w:tc>
                <w:tcPr>
                  <w:tcW w:w="3707" w:type="dxa"/>
                  <w:shd w:val="clear" w:color="auto" w:fill="auto"/>
                </w:tcPr>
                <w:p w14:paraId="606855F7" w14:textId="77777777" w:rsidR="00990C8D" w:rsidRPr="0036077E" w:rsidRDefault="00990C8D" w:rsidP="00990C8D">
                  <w:pPr>
                    <w:rPr>
                      <w:sz w:val="20"/>
                    </w:rPr>
                  </w:pPr>
                  <w:r w:rsidRPr="0036077E">
                    <w:rPr>
                      <w:sz w:val="20"/>
                    </w:rPr>
                    <w:lastRenderedPageBreak/>
                    <w:t>Consultant</w:t>
                  </w:r>
                </w:p>
              </w:tc>
              <w:tc>
                <w:tcPr>
                  <w:tcW w:w="1417" w:type="dxa"/>
                </w:tcPr>
                <w:p w14:paraId="1DB6D533" w14:textId="77777777" w:rsidR="00990C8D" w:rsidRPr="0036077E" w:rsidRDefault="00990C8D" w:rsidP="00990C8D">
                  <w:pPr>
                    <w:jc w:val="center"/>
                    <w:rPr>
                      <w:sz w:val="20"/>
                    </w:rPr>
                  </w:pPr>
                  <w:r>
                    <w:rPr>
                      <w:sz w:val="20"/>
                    </w:rPr>
                    <w:t>10</w:t>
                  </w:r>
                </w:p>
              </w:tc>
            </w:tr>
            <w:tr w:rsidR="00990C8D" w:rsidRPr="0036077E" w14:paraId="0630B355" w14:textId="77777777" w:rsidTr="00990C8D">
              <w:trPr>
                <w:trHeight w:hRule="exact" w:val="364"/>
              </w:trPr>
              <w:tc>
                <w:tcPr>
                  <w:tcW w:w="3707" w:type="dxa"/>
                  <w:shd w:val="clear" w:color="auto" w:fill="auto"/>
                </w:tcPr>
                <w:p w14:paraId="3500E27D" w14:textId="77777777" w:rsidR="00990C8D" w:rsidRPr="0036077E" w:rsidRDefault="00990C8D" w:rsidP="00990C8D">
                  <w:pPr>
                    <w:rPr>
                      <w:sz w:val="20"/>
                    </w:rPr>
                  </w:pPr>
                  <w:r w:rsidRPr="0036077E">
                    <w:rPr>
                      <w:sz w:val="20"/>
                    </w:rPr>
                    <w:t>Senior Consultant</w:t>
                  </w:r>
                </w:p>
              </w:tc>
              <w:tc>
                <w:tcPr>
                  <w:tcW w:w="1417" w:type="dxa"/>
                </w:tcPr>
                <w:p w14:paraId="7DFDA1AF" w14:textId="77777777" w:rsidR="00990C8D" w:rsidRPr="0036077E" w:rsidRDefault="00990C8D" w:rsidP="00990C8D">
                  <w:pPr>
                    <w:jc w:val="center"/>
                    <w:rPr>
                      <w:sz w:val="20"/>
                    </w:rPr>
                  </w:pPr>
                  <w:r>
                    <w:rPr>
                      <w:sz w:val="20"/>
                    </w:rPr>
                    <w:t>10</w:t>
                  </w:r>
                </w:p>
              </w:tc>
            </w:tr>
            <w:tr w:rsidR="00990C8D" w:rsidRPr="0036077E" w14:paraId="5481460D" w14:textId="77777777" w:rsidTr="00990C8D">
              <w:trPr>
                <w:trHeight w:hRule="exact" w:val="422"/>
              </w:trPr>
              <w:tc>
                <w:tcPr>
                  <w:tcW w:w="3707" w:type="dxa"/>
                  <w:shd w:val="clear" w:color="auto" w:fill="auto"/>
                </w:tcPr>
                <w:p w14:paraId="155C87FE" w14:textId="77777777" w:rsidR="00990C8D" w:rsidRPr="0036077E" w:rsidRDefault="00990C8D" w:rsidP="00990C8D">
                  <w:pPr>
                    <w:rPr>
                      <w:sz w:val="20"/>
                    </w:rPr>
                  </w:pPr>
                  <w:r w:rsidRPr="0036077E">
                    <w:rPr>
                      <w:sz w:val="20"/>
                    </w:rPr>
                    <w:t>Principal Consultant</w:t>
                  </w:r>
                </w:p>
              </w:tc>
              <w:tc>
                <w:tcPr>
                  <w:tcW w:w="1417" w:type="dxa"/>
                </w:tcPr>
                <w:p w14:paraId="19D9D306" w14:textId="77777777" w:rsidR="00990C8D" w:rsidRPr="0036077E" w:rsidRDefault="00990C8D" w:rsidP="00990C8D">
                  <w:pPr>
                    <w:jc w:val="center"/>
                    <w:rPr>
                      <w:sz w:val="20"/>
                    </w:rPr>
                  </w:pPr>
                  <w:r>
                    <w:rPr>
                      <w:sz w:val="20"/>
                    </w:rPr>
                    <w:t>10</w:t>
                  </w:r>
                </w:p>
              </w:tc>
            </w:tr>
            <w:tr w:rsidR="00990C8D" w:rsidRPr="0036077E" w14:paraId="0F254D8F" w14:textId="77777777" w:rsidTr="00990C8D">
              <w:trPr>
                <w:trHeight w:hRule="exact" w:val="393"/>
              </w:trPr>
              <w:tc>
                <w:tcPr>
                  <w:tcW w:w="3707" w:type="dxa"/>
                  <w:shd w:val="clear" w:color="auto" w:fill="auto"/>
                </w:tcPr>
                <w:p w14:paraId="7E693563" w14:textId="77777777" w:rsidR="00990C8D" w:rsidRPr="0036077E" w:rsidRDefault="00990C8D" w:rsidP="00990C8D">
                  <w:pPr>
                    <w:rPr>
                      <w:sz w:val="20"/>
                    </w:rPr>
                  </w:pPr>
                  <w:r w:rsidRPr="0036077E">
                    <w:rPr>
                      <w:sz w:val="20"/>
                    </w:rPr>
                    <w:t>Managing Consultant</w:t>
                  </w:r>
                </w:p>
              </w:tc>
              <w:tc>
                <w:tcPr>
                  <w:tcW w:w="1417" w:type="dxa"/>
                </w:tcPr>
                <w:p w14:paraId="253220E9" w14:textId="77777777" w:rsidR="00990C8D" w:rsidRPr="0036077E" w:rsidRDefault="00990C8D" w:rsidP="00990C8D">
                  <w:pPr>
                    <w:jc w:val="center"/>
                    <w:rPr>
                      <w:sz w:val="20"/>
                    </w:rPr>
                  </w:pPr>
                  <w:r>
                    <w:rPr>
                      <w:sz w:val="20"/>
                    </w:rPr>
                    <w:t>5</w:t>
                  </w:r>
                </w:p>
              </w:tc>
            </w:tr>
            <w:tr w:rsidR="00990C8D" w14:paraId="096533FB" w14:textId="77777777" w:rsidTr="00990C8D">
              <w:trPr>
                <w:trHeight w:hRule="exact" w:val="427"/>
              </w:trPr>
              <w:tc>
                <w:tcPr>
                  <w:tcW w:w="3707" w:type="dxa"/>
                  <w:shd w:val="clear" w:color="auto" w:fill="auto"/>
                </w:tcPr>
                <w:p w14:paraId="251D224B" w14:textId="77777777" w:rsidR="00990C8D" w:rsidRPr="0036077E" w:rsidRDefault="00990C8D" w:rsidP="00990C8D">
                  <w:pPr>
                    <w:rPr>
                      <w:sz w:val="20"/>
                    </w:rPr>
                  </w:pPr>
                  <w:r>
                    <w:rPr>
                      <w:sz w:val="20"/>
                    </w:rPr>
                    <w:t>Director / Partner</w:t>
                  </w:r>
                </w:p>
              </w:tc>
              <w:tc>
                <w:tcPr>
                  <w:tcW w:w="1417" w:type="dxa"/>
                </w:tcPr>
                <w:p w14:paraId="69B96BB0" w14:textId="77777777" w:rsidR="00990C8D" w:rsidRDefault="00990C8D" w:rsidP="00990C8D">
                  <w:pPr>
                    <w:jc w:val="center"/>
                    <w:rPr>
                      <w:sz w:val="20"/>
                    </w:rPr>
                  </w:pPr>
                  <w:r>
                    <w:rPr>
                      <w:sz w:val="20"/>
                    </w:rPr>
                    <w:t>2</w:t>
                  </w:r>
                </w:p>
              </w:tc>
            </w:tr>
          </w:tbl>
          <w:p w14:paraId="13776BA8" w14:textId="77777777" w:rsidR="00F52BE8" w:rsidRDefault="00F52BE8" w:rsidP="00E94D37">
            <w:pPr>
              <w:rPr>
                <w:rFonts w:cs="Arial"/>
                <w:sz w:val="22"/>
                <w:szCs w:val="22"/>
              </w:rPr>
            </w:pPr>
          </w:p>
          <w:p w14:paraId="47763901" w14:textId="5F59CF6D" w:rsidR="00990C8D" w:rsidRPr="0036077E" w:rsidRDefault="00990C8D" w:rsidP="00E94D37">
            <w:pPr>
              <w:rPr>
                <w:rFonts w:cs="Arial"/>
                <w:sz w:val="22"/>
                <w:szCs w:val="22"/>
              </w:rPr>
            </w:pPr>
          </w:p>
        </w:tc>
      </w:tr>
    </w:tbl>
    <w:p w14:paraId="4A13E246" w14:textId="77777777" w:rsidR="00F52BE8" w:rsidRDefault="00F52BE8" w:rsidP="00F52BE8">
      <w:pPr>
        <w:rPr>
          <w:rFonts w:cs="Arial"/>
          <w:b/>
          <w:sz w:val="32"/>
          <w:szCs w:val="32"/>
          <w:u w:val="single"/>
        </w:rPr>
        <w:sectPr w:rsidR="00F52BE8" w:rsidSect="00E94D37">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618" w:left="1797" w:header="709" w:footer="709" w:gutter="0"/>
          <w:cols w:space="708"/>
          <w:docGrid w:linePitch="360"/>
        </w:sectPr>
      </w:pPr>
    </w:p>
    <w:p w14:paraId="77DC7DA1"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60CC8066"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1E0AEB47"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23F0C4CF"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3512"/>
      </w:tblGrid>
      <w:tr w:rsidR="00F52BE8" w:rsidRPr="0036077E" w14:paraId="0EFA7A4A" w14:textId="77777777" w:rsidTr="00E94D37">
        <w:tc>
          <w:tcPr>
            <w:tcW w:w="4928" w:type="dxa"/>
            <w:shd w:val="clear" w:color="auto" w:fill="auto"/>
          </w:tcPr>
          <w:p w14:paraId="66BAEDA6" w14:textId="77777777" w:rsidR="00F52BE8" w:rsidRPr="0036077E" w:rsidRDefault="00F52BE8" w:rsidP="00E94D3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2C3BD8D7" w14:textId="77777777" w:rsidR="00F52BE8" w:rsidRPr="0036077E" w:rsidRDefault="00F52BE8" w:rsidP="00E94D37">
            <w:pPr>
              <w:pStyle w:val="ListNumber"/>
              <w:numPr>
                <w:ilvl w:val="0"/>
                <w:numId w:val="0"/>
              </w:numPr>
              <w:spacing w:before="0" w:after="0"/>
              <w:rPr>
                <w:rFonts w:cs="Arial"/>
                <w:b/>
              </w:rPr>
            </w:pPr>
            <w:r w:rsidRPr="0036077E">
              <w:rPr>
                <w:rFonts w:cs="Arial"/>
                <w:b/>
              </w:rPr>
              <w:t>Timescale</w:t>
            </w:r>
          </w:p>
        </w:tc>
      </w:tr>
      <w:tr w:rsidR="00F52BE8" w:rsidRPr="0036077E" w14:paraId="35FF82F3" w14:textId="77777777" w:rsidTr="00E94D37">
        <w:tc>
          <w:tcPr>
            <w:tcW w:w="4928" w:type="dxa"/>
            <w:shd w:val="clear" w:color="auto" w:fill="auto"/>
          </w:tcPr>
          <w:p w14:paraId="3A32159E" w14:textId="77777777" w:rsidR="00F52BE8" w:rsidRPr="0036077E" w:rsidRDefault="00F52BE8" w:rsidP="00E94D3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2E7412BC" w14:textId="1C975F73" w:rsidR="00F52BE8" w:rsidRPr="00B93903" w:rsidRDefault="000E4BDA" w:rsidP="00E94D37">
            <w:pPr>
              <w:pStyle w:val="ListNumber"/>
              <w:numPr>
                <w:ilvl w:val="0"/>
                <w:numId w:val="0"/>
              </w:numPr>
              <w:spacing w:before="0" w:after="0"/>
              <w:rPr>
                <w:rFonts w:cs="Arial"/>
              </w:rPr>
            </w:pPr>
            <w:r>
              <w:rPr>
                <w:rFonts w:cs="Arial"/>
              </w:rPr>
              <w:t>0</w:t>
            </w:r>
            <w:r w:rsidR="00B93903" w:rsidRPr="00B93903">
              <w:rPr>
                <w:rFonts w:cs="Arial"/>
              </w:rPr>
              <w:t xml:space="preserve">9 </w:t>
            </w:r>
            <w:r w:rsidR="005E32F8" w:rsidRPr="00B93903">
              <w:rPr>
                <w:rFonts w:cs="Arial"/>
              </w:rPr>
              <w:t>November</w:t>
            </w:r>
            <w:r w:rsidR="00903A9E" w:rsidRPr="00B93903">
              <w:rPr>
                <w:rFonts w:cs="Arial"/>
              </w:rPr>
              <w:t xml:space="preserve"> 2020</w:t>
            </w:r>
          </w:p>
        </w:tc>
      </w:tr>
      <w:tr w:rsidR="00F52BE8" w:rsidRPr="0036077E" w14:paraId="39284099" w14:textId="77777777" w:rsidTr="00E94D37">
        <w:tc>
          <w:tcPr>
            <w:tcW w:w="4928" w:type="dxa"/>
            <w:shd w:val="clear" w:color="auto" w:fill="auto"/>
          </w:tcPr>
          <w:p w14:paraId="264F7726" w14:textId="77777777" w:rsidR="00F52BE8" w:rsidRPr="0036077E" w:rsidRDefault="00F52BE8" w:rsidP="00E94D3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519AC299" w14:textId="4685D32A" w:rsidR="00F52BE8" w:rsidRPr="00B93903" w:rsidRDefault="00796B4C" w:rsidP="000E4BDA">
            <w:pPr>
              <w:pStyle w:val="ListNumber"/>
              <w:numPr>
                <w:ilvl w:val="0"/>
                <w:numId w:val="0"/>
              </w:numPr>
              <w:spacing w:before="0" w:after="0"/>
              <w:rPr>
                <w:rFonts w:cs="Arial"/>
              </w:rPr>
            </w:pPr>
            <w:r>
              <w:rPr>
                <w:rFonts w:cs="Arial"/>
              </w:rPr>
              <w:t>23</w:t>
            </w:r>
            <w:r w:rsidR="006664E8" w:rsidRPr="00B93903">
              <w:rPr>
                <w:rFonts w:cs="Arial"/>
              </w:rPr>
              <w:t xml:space="preserve"> November</w:t>
            </w:r>
            <w:r w:rsidR="00903A9E" w:rsidRPr="00B93903">
              <w:rPr>
                <w:rFonts w:cs="Arial"/>
              </w:rPr>
              <w:t xml:space="preserve"> 2020, 17.00</w:t>
            </w:r>
            <w:r>
              <w:rPr>
                <w:rFonts w:cs="Arial"/>
              </w:rPr>
              <w:t>hrs</w:t>
            </w:r>
          </w:p>
        </w:tc>
      </w:tr>
      <w:tr w:rsidR="00F52BE8" w:rsidRPr="0036077E" w14:paraId="3ECF707B" w14:textId="77777777" w:rsidTr="00E94D37">
        <w:tc>
          <w:tcPr>
            <w:tcW w:w="4928" w:type="dxa"/>
            <w:shd w:val="clear" w:color="auto" w:fill="auto"/>
          </w:tcPr>
          <w:p w14:paraId="5842FF54" w14:textId="77777777" w:rsidR="00F52BE8" w:rsidRPr="0036077E" w:rsidRDefault="00F52BE8" w:rsidP="00E94D3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1D4A19E0" w14:textId="14598760" w:rsidR="00F52BE8" w:rsidRPr="00B93903" w:rsidRDefault="00796B4C" w:rsidP="00B93903">
            <w:pPr>
              <w:pStyle w:val="ListNumber"/>
              <w:numPr>
                <w:ilvl w:val="0"/>
                <w:numId w:val="0"/>
              </w:numPr>
              <w:spacing w:before="0" w:after="0"/>
              <w:rPr>
                <w:rFonts w:cs="Arial"/>
                <w:b/>
              </w:rPr>
            </w:pPr>
            <w:r>
              <w:rPr>
                <w:rFonts w:cs="Arial"/>
              </w:rPr>
              <w:t>30</w:t>
            </w:r>
            <w:r w:rsidR="00903A9E" w:rsidRPr="00B93903">
              <w:rPr>
                <w:rFonts w:cs="Arial"/>
              </w:rPr>
              <w:t xml:space="preserve"> November 2020, </w:t>
            </w:r>
            <w:r>
              <w:rPr>
                <w:rFonts w:cs="Arial"/>
              </w:rPr>
              <w:t>10</w:t>
            </w:r>
            <w:r w:rsidR="00903A9E" w:rsidRPr="00B93903">
              <w:rPr>
                <w:rFonts w:cs="Arial"/>
              </w:rPr>
              <w:t>.00</w:t>
            </w:r>
            <w:r>
              <w:rPr>
                <w:rFonts w:cs="Arial"/>
              </w:rPr>
              <w:t>hrs</w:t>
            </w:r>
          </w:p>
        </w:tc>
      </w:tr>
      <w:tr w:rsidR="00F52BE8" w:rsidRPr="0036077E" w14:paraId="3920EA18" w14:textId="77777777" w:rsidTr="00E94D37">
        <w:tc>
          <w:tcPr>
            <w:tcW w:w="4928" w:type="dxa"/>
            <w:shd w:val="clear" w:color="auto" w:fill="auto"/>
          </w:tcPr>
          <w:p w14:paraId="371AEAD0" w14:textId="77777777" w:rsidR="00F52BE8" w:rsidRPr="0036077E" w:rsidRDefault="00F52BE8" w:rsidP="00E94D3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1EAEF605" w14:textId="43B2BC4F" w:rsidR="00F52BE8" w:rsidRPr="00B93903" w:rsidRDefault="000E4BDA" w:rsidP="00796B4C">
            <w:pPr>
              <w:pStyle w:val="ListNumber"/>
              <w:numPr>
                <w:ilvl w:val="0"/>
                <w:numId w:val="0"/>
              </w:numPr>
              <w:spacing w:before="0" w:after="0"/>
              <w:rPr>
                <w:rFonts w:cs="Arial"/>
              </w:rPr>
            </w:pPr>
            <w:r>
              <w:rPr>
                <w:rFonts w:cs="Arial"/>
              </w:rPr>
              <w:t>0</w:t>
            </w:r>
            <w:r w:rsidR="00796B4C">
              <w:rPr>
                <w:rFonts w:cs="Arial"/>
              </w:rPr>
              <w:t>4</w:t>
            </w:r>
            <w:bookmarkStart w:id="0" w:name="_GoBack"/>
            <w:bookmarkEnd w:id="0"/>
            <w:r w:rsidR="007E01D5" w:rsidRPr="00B93903">
              <w:rPr>
                <w:rFonts w:cs="Arial"/>
              </w:rPr>
              <w:t xml:space="preserve"> December</w:t>
            </w:r>
            <w:r w:rsidR="00903A9E" w:rsidRPr="00B93903">
              <w:rPr>
                <w:rFonts w:cs="Arial"/>
              </w:rPr>
              <w:t xml:space="preserve"> 2020</w:t>
            </w:r>
          </w:p>
        </w:tc>
      </w:tr>
      <w:tr w:rsidR="00F52BE8" w:rsidRPr="0036077E" w14:paraId="5FD09D2E" w14:textId="77777777" w:rsidTr="00E94D37">
        <w:tc>
          <w:tcPr>
            <w:tcW w:w="4928" w:type="dxa"/>
            <w:shd w:val="clear" w:color="auto" w:fill="auto"/>
          </w:tcPr>
          <w:p w14:paraId="3EC1711D" w14:textId="77777777" w:rsidR="00F52BE8" w:rsidRPr="0036077E" w:rsidRDefault="00F52BE8" w:rsidP="00BE74B9">
            <w:pPr>
              <w:pStyle w:val="ListNumber"/>
              <w:numPr>
                <w:ilvl w:val="0"/>
                <w:numId w:val="0"/>
              </w:numPr>
              <w:spacing w:before="0" w:after="0"/>
              <w:rPr>
                <w:rFonts w:cs="Arial"/>
              </w:rPr>
            </w:pPr>
            <w:r w:rsidRPr="0036077E">
              <w:rPr>
                <w:rFonts w:cs="Arial"/>
              </w:rPr>
              <w:t>Interviews</w:t>
            </w:r>
          </w:p>
        </w:tc>
        <w:tc>
          <w:tcPr>
            <w:tcW w:w="3600" w:type="dxa"/>
            <w:shd w:val="clear" w:color="auto" w:fill="auto"/>
          </w:tcPr>
          <w:p w14:paraId="1E1D2993" w14:textId="2320D13C" w:rsidR="00F52BE8" w:rsidRPr="00B93903" w:rsidRDefault="00BE74B9" w:rsidP="000E4BDA">
            <w:pPr>
              <w:pStyle w:val="ListNumber"/>
              <w:numPr>
                <w:ilvl w:val="0"/>
                <w:numId w:val="0"/>
              </w:numPr>
              <w:spacing w:before="0" w:after="0"/>
              <w:rPr>
                <w:rFonts w:cs="Arial"/>
              </w:rPr>
            </w:pPr>
            <w:r w:rsidRPr="00B93903">
              <w:rPr>
                <w:rFonts w:cs="Arial"/>
              </w:rPr>
              <w:t>w/</w:t>
            </w:r>
            <w:r w:rsidR="000E4BDA">
              <w:rPr>
                <w:rFonts w:cs="Arial"/>
              </w:rPr>
              <w:t>c</w:t>
            </w:r>
            <w:r w:rsidRPr="00B93903">
              <w:rPr>
                <w:rFonts w:cs="Arial"/>
              </w:rPr>
              <w:t xml:space="preserve"> </w:t>
            </w:r>
            <w:r w:rsidR="007E01D5" w:rsidRPr="00B93903">
              <w:rPr>
                <w:rFonts w:cs="Arial"/>
              </w:rPr>
              <w:t>7 December</w:t>
            </w:r>
            <w:r w:rsidRPr="00B93903">
              <w:rPr>
                <w:rFonts w:cs="Arial"/>
              </w:rPr>
              <w:t xml:space="preserve"> 2020</w:t>
            </w:r>
          </w:p>
        </w:tc>
      </w:tr>
      <w:tr w:rsidR="00F52BE8" w:rsidRPr="0036077E" w14:paraId="0DDFDBB3" w14:textId="77777777" w:rsidTr="00E94D37">
        <w:tc>
          <w:tcPr>
            <w:tcW w:w="4928" w:type="dxa"/>
            <w:shd w:val="clear" w:color="auto" w:fill="auto"/>
          </w:tcPr>
          <w:p w14:paraId="612AD110" w14:textId="77777777" w:rsidR="00F52BE8" w:rsidRPr="0036077E" w:rsidRDefault="00F52BE8" w:rsidP="00E94D3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42A34D78" w14:textId="19284592" w:rsidR="00F52BE8" w:rsidRPr="00B93903" w:rsidRDefault="000E4BDA" w:rsidP="00E94D37">
            <w:pPr>
              <w:pStyle w:val="ListNumber"/>
              <w:numPr>
                <w:ilvl w:val="0"/>
                <w:numId w:val="0"/>
              </w:numPr>
              <w:spacing w:before="0" w:after="0"/>
              <w:rPr>
                <w:rFonts w:cs="Arial"/>
              </w:rPr>
            </w:pPr>
            <w:r>
              <w:rPr>
                <w:rFonts w:cs="Arial"/>
              </w:rPr>
              <w:t>w/c</w:t>
            </w:r>
            <w:r w:rsidR="00830395" w:rsidRPr="00B93903">
              <w:rPr>
                <w:rFonts w:cs="Arial"/>
              </w:rPr>
              <w:t xml:space="preserve"> </w:t>
            </w:r>
            <w:r w:rsidR="007E01D5" w:rsidRPr="00B93903">
              <w:rPr>
                <w:rFonts w:cs="Arial"/>
              </w:rPr>
              <w:t>14</w:t>
            </w:r>
            <w:r w:rsidR="00830395" w:rsidRPr="00B93903">
              <w:rPr>
                <w:rFonts w:cs="Arial"/>
              </w:rPr>
              <w:t xml:space="preserve"> December </w:t>
            </w:r>
            <w:r w:rsidR="00BE74B9" w:rsidRPr="00B93903">
              <w:rPr>
                <w:rFonts w:cs="Arial"/>
              </w:rPr>
              <w:t>2020</w:t>
            </w:r>
          </w:p>
        </w:tc>
      </w:tr>
      <w:tr w:rsidR="00F52BE8" w:rsidRPr="0036077E" w14:paraId="16136FA9" w14:textId="77777777" w:rsidTr="00E94D37">
        <w:tc>
          <w:tcPr>
            <w:tcW w:w="4928" w:type="dxa"/>
            <w:shd w:val="clear" w:color="auto" w:fill="auto"/>
          </w:tcPr>
          <w:p w14:paraId="5FFC131B" w14:textId="77777777" w:rsidR="00F52BE8" w:rsidRPr="0036077E" w:rsidRDefault="00F52BE8" w:rsidP="00E94D3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475CBAC" w14:textId="394EC6F4" w:rsidR="00F52BE8" w:rsidRPr="00B93903" w:rsidRDefault="000E4BDA" w:rsidP="00830395">
            <w:pPr>
              <w:pStyle w:val="ListNumber"/>
              <w:numPr>
                <w:ilvl w:val="0"/>
                <w:numId w:val="0"/>
              </w:numPr>
              <w:spacing w:before="0" w:after="0"/>
              <w:rPr>
                <w:rFonts w:cs="Arial"/>
              </w:rPr>
            </w:pPr>
            <w:r>
              <w:rPr>
                <w:rFonts w:cs="Arial"/>
              </w:rPr>
              <w:t>w/c</w:t>
            </w:r>
            <w:r w:rsidR="00A70554" w:rsidRPr="00B93903">
              <w:rPr>
                <w:rFonts w:cs="Arial"/>
              </w:rPr>
              <w:t xml:space="preserve"> </w:t>
            </w:r>
            <w:r w:rsidR="00830395" w:rsidRPr="00B93903">
              <w:rPr>
                <w:rFonts w:cs="Arial"/>
              </w:rPr>
              <w:t>14</w:t>
            </w:r>
            <w:r w:rsidR="00BE74B9" w:rsidRPr="00B93903">
              <w:rPr>
                <w:rFonts w:cs="Arial"/>
              </w:rPr>
              <w:t xml:space="preserve"> December 2020</w:t>
            </w:r>
          </w:p>
        </w:tc>
      </w:tr>
    </w:tbl>
    <w:p w14:paraId="02AF68A3" w14:textId="77777777" w:rsidR="00F52BE8" w:rsidRDefault="00F52BE8" w:rsidP="00F52BE8">
      <w:pPr>
        <w:jc w:val="both"/>
        <w:rPr>
          <w:rFonts w:cs="Arial"/>
          <w:sz w:val="28"/>
          <w:szCs w:val="28"/>
          <w:u w:val="single"/>
        </w:rPr>
      </w:pPr>
    </w:p>
    <w:p w14:paraId="1E4DD835"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B6C3C6E" w14:textId="77777777" w:rsidR="00F52BE8" w:rsidRDefault="00F52BE8" w:rsidP="00F52BE8">
      <w:pPr>
        <w:jc w:val="both"/>
        <w:rPr>
          <w:rFonts w:cs="Arial"/>
          <w:b/>
        </w:rPr>
      </w:pPr>
      <w:r>
        <w:rPr>
          <w:rFonts w:cs="Arial"/>
          <w:b/>
        </w:rPr>
        <w:t>Amendments to ITT document</w:t>
      </w:r>
    </w:p>
    <w:p w14:paraId="725703E7"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0F3D9AC0" w14:textId="77777777" w:rsidR="00F52BE8" w:rsidRPr="0041543F" w:rsidRDefault="00F52BE8" w:rsidP="00F52BE8">
      <w:pPr>
        <w:keepNext/>
        <w:jc w:val="both"/>
        <w:rPr>
          <w:b/>
        </w:rPr>
      </w:pPr>
      <w:r>
        <w:rPr>
          <w:b/>
        </w:rPr>
        <w:t>Clarifications &amp; Queries</w:t>
      </w:r>
    </w:p>
    <w:p w14:paraId="49666588"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7851EB91" w14:textId="77777777" w:rsidR="00F52BE8" w:rsidRPr="0041543F" w:rsidRDefault="00F52BE8" w:rsidP="00F52BE8">
      <w:pPr>
        <w:jc w:val="both"/>
        <w:rPr>
          <w:rFonts w:cs="Arial"/>
          <w:b/>
        </w:rPr>
      </w:pPr>
      <w:r>
        <w:rPr>
          <w:rFonts w:cs="Arial"/>
          <w:b/>
        </w:rPr>
        <w:t>Submission Process</w:t>
      </w:r>
    </w:p>
    <w:p w14:paraId="79C71FB8"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6718D465"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3E991EF4"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13453E93"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627E4F43" w14:textId="77777777" w:rsidR="00F52BE8" w:rsidRDefault="00F52BE8" w:rsidP="00F52BE8">
      <w:pPr>
        <w:jc w:val="both"/>
        <w:rPr>
          <w:rFonts w:cs="Arial"/>
          <w:b/>
        </w:rPr>
      </w:pPr>
    </w:p>
    <w:p w14:paraId="22B3B095" w14:textId="77777777" w:rsidR="00F52BE8" w:rsidRPr="0075067D" w:rsidRDefault="00F52BE8" w:rsidP="00F52BE8">
      <w:pPr>
        <w:jc w:val="both"/>
        <w:rPr>
          <w:rFonts w:cs="Arial"/>
        </w:rPr>
      </w:pPr>
      <w:r>
        <w:rPr>
          <w:rFonts w:cs="Arial"/>
          <w:b/>
        </w:rPr>
        <w:lastRenderedPageBreak/>
        <w:t>Cost &amp; Pricing Information</w:t>
      </w:r>
    </w:p>
    <w:p w14:paraId="628A058A"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64036EED"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72C3543C"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4A836F57" w14:textId="77777777" w:rsidR="00F52BE8" w:rsidRDefault="00F52BE8" w:rsidP="00F52BE8">
      <w:pPr>
        <w:pStyle w:val="ListNumber"/>
        <w:numPr>
          <w:ilvl w:val="0"/>
          <w:numId w:val="0"/>
        </w:numPr>
        <w:rPr>
          <w:b/>
        </w:rPr>
      </w:pPr>
    </w:p>
    <w:p w14:paraId="2F534C06" w14:textId="77777777" w:rsidR="00F52BE8" w:rsidRPr="00720321" w:rsidRDefault="00F52BE8" w:rsidP="00F52BE8">
      <w:pPr>
        <w:pStyle w:val="ListNumber"/>
        <w:numPr>
          <w:ilvl w:val="0"/>
          <w:numId w:val="0"/>
        </w:numPr>
        <w:rPr>
          <w:b/>
        </w:rPr>
      </w:pPr>
      <w:r w:rsidRPr="00720321">
        <w:rPr>
          <w:b/>
        </w:rPr>
        <w:t>References</w:t>
      </w:r>
    </w:p>
    <w:p w14:paraId="29985FD7" w14:textId="77777777" w:rsidR="00F52BE8" w:rsidRDefault="00F52BE8" w:rsidP="00F52BE8">
      <w:pPr>
        <w:pStyle w:val="ListNumber"/>
        <w:numPr>
          <w:ilvl w:val="0"/>
          <w:numId w:val="0"/>
        </w:numPr>
      </w:pPr>
      <w:r>
        <w:t>References provided as part of the tender may be approached during the tender stage</w:t>
      </w:r>
    </w:p>
    <w:p w14:paraId="55A196E4" w14:textId="77777777" w:rsidR="00F52BE8" w:rsidRDefault="00F52BE8" w:rsidP="00F52BE8">
      <w:pPr>
        <w:pStyle w:val="ListNumber"/>
        <w:numPr>
          <w:ilvl w:val="0"/>
          <w:numId w:val="0"/>
        </w:numPr>
      </w:pPr>
    </w:p>
    <w:p w14:paraId="33269639" w14:textId="77777777" w:rsidR="00F52BE8" w:rsidRPr="00720321" w:rsidRDefault="00F52BE8" w:rsidP="00F52BE8">
      <w:pPr>
        <w:pStyle w:val="ListNumber"/>
        <w:numPr>
          <w:ilvl w:val="0"/>
          <w:numId w:val="0"/>
        </w:numPr>
        <w:rPr>
          <w:b/>
        </w:rPr>
      </w:pPr>
      <w:r w:rsidRPr="00720321">
        <w:rPr>
          <w:b/>
        </w:rPr>
        <w:t>Contractual Information</w:t>
      </w:r>
    </w:p>
    <w:p w14:paraId="6A5DEA09"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FE8599A" w14:textId="77777777" w:rsidR="00F52BE8" w:rsidRPr="00720321" w:rsidRDefault="00F52BE8" w:rsidP="00F52BE8">
      <w:pPr>
        <w:pStyle w:val="Default"/>
      </w:pPr>
    </w:p>
    <w:p w14:paraId="7FC225DC"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6335C9C" w14:textId="77777777" w:rsidR="00F52BE8" w:rsidRDefault="00F52BE8" w:rsidP="00F52BE8">
      <w:pPr>
        <w:pStyle w:val="Default"/>
        <w:rPr>
          <w:sz w:val="22"/>
          <w:szCs w:val="22"/>
        </w:rPr>
      </w:pPr>
    </w:p>
    <w:p w14:paraId="0B74B7E6"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17BFA343" w14:textId="77777777" w:rsidR="00F52BE8" w:rsidRDefault="00F52BE8" w:rsidP="00F52BE8">
      <w:pPr>
        <w:pStyle w:val="Default"/>
      </w:pPr>
    </w:p>
    <w:p w14:paraId="2DE6F75D"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10AC8334" w14:textId="28626A3E" w:rsidR="00F52BE8" w:rsidRDefault="00F52BE8" w:rsidP="00F52BE8">
      <w:pPr>
        <w:pStyle w:val="ListNumber"/>
        <w:numPr>
          <w:ilvl w:val="0"/>
          <w:numId w:val="0"/>
        </w:numPr>
      </w:pPr>
      <w:r>
        <w:rPr>
          <w:u w:val="single"/>
        </w:rPr>
        <w:t>The ORR may be prepared to consider non-fundamental changes to the standard terms and conditions in exceptional circumstances.</w:t>
      </w:r>
      <w:r w:rsidR="00621A0B">
        <w:rPr>
          <w:u w:val="single"/>
        </w:rPr>
        <w:t xml:space="preserve"> </w:t>
      </w:r>
      <w:r>
        <w:rPr>
          <w:u w:val="single"/>
        </w:rPr>
        <w:t>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45322241"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3D03CFEE" w14:textId="77777777" w:rsidTr="00E94D37">
        <w:tc>
          <w:tcPr>
            <w:tcW w:w="2132" w:type="dxa"/>
            <w:shd w:val="clear" w:color="auto" w:fill="auto"/>
          </w:tcPr>
          <w:p w14:paraId="2F58F294" w14:textId="77777777" w:rsidR="00F52BE8" w:rsidRPr="0036077E" w:rsidRDefault="00F52BE8" w:rsidP="00E94D3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025EDEE0" w14:textId="77777777" w:rsidR="00F52BE8" w:rsidRPr="0036077E" w:rsidRDefault="00F52BE8" w:rsidP="00E94D3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C98F951" w14:textId="77777777" w:rsidR="00F52BE8" w:rsidRPr="0036077E" w:rsidRDefault="00F52BE8" w:rsidP="00E94D3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63A145E8" w14:textId="77777777" w:rsidR="00F52BE8" w:rsidRPr="0036077E" w:rsidRDefault="00F52BE8" w:rsidP="00E94D37">
            <w:pPr>
              <w:pStyle w:val="ListNumber"/>
              <w:numPr>
                <w:ilvl w:val="0"/>
                <w:numId w:val="0"/>
              </w:numPr>
              <w:rPr>
                <w:b/>
                <w:i/>
                <w:sz w:val="22"/>
                <w:szCs w:val="22"/>
              </w:rPr>
            </w:pPr>
            <w:r w:rsidRPr="0036077E">
              <w:rPr>
                <w:b/>
                <w:i/>
                <w:sz w:val="22"/>
                <w:szCs w:val="22"/>
              </w:rPr>
              <w:t>Rational for amendment</w:t>
            </w:r>
          </w:p>
        </w:tc>
      </w:tr>
      <w:tr w:rsidR="00F52BE8" w14:paraId="07DF389A" w14:textId="77777777" w:rsidTr="00E94D37">
        <w:tc>
          <w:tcPr>
            <w:tcW w:w="2132" w:type="dxa"/>
            <w:shd w:val="clear" w:color="auto" w:fill="auto"/>
          </w:tcPr>
          <w:p w14:paraId="564CB547" w14:textId="77777777" w:rsidR="00F52BE8" w:rsidRDefault="00F52BE8" w:rsidP="00E94D37">
            <w:pPr>
              <w:pStyle w:val="ListNumber"/>
              <w:numPr>
                <w:ilvl w:val="0"/>
                <w:numId w:val="0"/>
              </w:numPr>
            </w:pPr>
          </w:p>
        </w:tc>
        <w:tc>
          <w:tcPr>
            <w:tcW w:w="2132" w:type="dxa"/>
            <w:shd w:val="clear" w:color="auto" w:fill="auto"/>
          </w:tcPr>
          <w:p w14:paraId="57D33A23" w14:textId="77777777" w:rsidR="00F52BE8" w:rsidRDefault="00F52BE8" w:rsidP="00E94D37">
            <w:pPr>
              <w:pStyle w:val="ListNumber"/>
              <w:numPr>
                <w:ilvl w:val="0"/>
                <w:numId w:val="0"/>
              </w:numPr>
            </w:pPr>
          </w:p>
        </w:tc>
        <w:tc>
          <w:tcPr>
            <w:tcW w:w="2132" w:type="dxa"/>
            <w:shd w:val="clear" w:color="auto" w:fill="auto"/>
          </w:tcPr>
          <w:p w14:paraId="5D6A2648" w14:textId="77777777" w:rsidR="00F52BE8" w:rsidRDefault="00F52BE8" w:rsidP="00E94D37">
            <w:pPr>
              <w:pStyle w:val="ListNumber"/>
              <w:numPr>
                <w:ilvl w:val="0"/>
                <w:numId w:val="0"/>
              </w:numPr>
            </w:pPr>
          </w:p>
        </w:tc>
        <w:tc>
          <w:tcPr>
            <w:tcW w:w="2132" w:type="dxa"/>
            <w:shd w:val="clear" w:color="auto" w:fill="auto"/>
          </w:tcPr>
          <w:p w14:paraId="4C4B82A1" w14:textId="77777777" w:rsidR="00F52BE8" w:rsidRDefault="00F52BE8" w:rsidP="00E94D37">
            <w:pPr>
              <w:pStyle w:val="ListNumber"/>
              <w:numPr>
                <w:ilvl w:val="0"/>
                <w:numId w:val="0"/>
              </w:numPr>
            </w:pPr>
          </w:p>
        </w:tc>
      </w:tr>
      <w:tr w:rsidR="00F52BE8" w14:paraId="1549FC71" w14:textId="77777777" w:rsidTr="00E94D37">
        <w:tc>
          <w:tcPr>
            <w:tcW w:w="2132" w:type="dxa"/>
            <w:shd w:val="clear" w:color="auto" w:fill="auto"/>
          </w:tcPr>
          <w:p w14:paraId="198B24D2" w14:textId="77777777" w:rsidR="00F52BE8" w:rsidRDefault="00F52BE8" w:rsidP="00E94D37">
            <w:pPr>
              <w:pStyle w:val="ListNumber"/>
              <w:numPr>
                <w:ilvl w:val="0"/>
                <w:numId w:val="0"/>
              </w:numPr>
            </w:pPr>
          </w:p>
        </w:tc>
        <w:tc>
          <w:tcPr>
            <w:tcW w:w="2132" w:type="dxa"/>
            <w:shd w:val="clear" w:color="auto" w:fill="auto"/>
          </w:tcPr>
          <w:p w14:paraId="0A103A99" w14:textId="77777777" w:rsidR="00F52BE8" w:rsidRDefault="00F52BE8" w:rsidP="00E94D37">
            <w:pPr>
              <w:pStyle w:val="ListNumber"/>
              <w:numPr>
                <w:ilvl w:val="0"/>
                <w:numId w:val="0"/>
              </w:numPr>
            </w:pPr>
          </w:p>
        </w:tc>
        <w:tc>
          <w:tcPr>
            <w:tcW w:w="2132" w:type="dxa"/>
            <w:shd w:val="clear" w:color="auto" w:fill="auto"/>
          </w:tcPr>
          <w:p w14:paraId="2BA4BCCD" w14:textId="77777777" w:rsidR="00F52BE8" w:rsidRDefault="00F52BE8" w:rsidP="00E94D37">
            <w:pPr>
              <w:pStyle w:val="ListNumber"/>
              <w:numPr>
                <w:ilvl w:val="0"/>
                <w:numId w:val="0"/>
              </w:numPr>
            </w:pPr>
          </w:p>
        </w:tc>
        <w:tc>
          <w:tcPr>
            <w:tcW w:w="2132" w:type="dxa"/>
            <w:shd w:val="clear" w:color="auto" w:fill="auto"/>
          </w:tcPr>
          <w:p w14:paraId="69EBC74E" w14:textId="77777777" w:rsidR="00F52BE8" w:rsidRDefault="00F52BE8" w:rsidP="00E94D37">
            <w:pPr>
              <w:pStyle w:val="ListNumber"/>
              <w:numPr>
                <w:ilvl w:val="0"/>
                <w:numId w:val="0"/>
              </w:numPr>
            </w:pPr>
          </w:p>
        </w:tc>
      </w:tr>
    </w:tbl>
    <w:p w14:paraId="52662D40" w14:textId="77777777" w:rsidR="00F52BE8" w:rsidRPr="00720321" w:rsidRDefault="00F52BE8" w:rsidP="00F52BE8">
      <w:pPr>
        <w:pStyle w:val="Default"/>
      </w:pPr>
    </w:p>
    <w:p w14:paraId="34E2E4EA" w14:textId="77777777" w:rsidR="00F52BE8" w:rsidRDefault="00F52BE8" w:rsidP="00F52BE8">
      <w:pPr>
        <w:pStyle w:val="Default"/>
        <w:rPr>
          <w:sz w:val="22"/>
          <w:szCs w:val="22"/>
        </w:rPr>
      </w:pPr>
    </w:p>
    <w:p w14:paraId="7F74B7BA" w14:textId="77777777" w:rsidR="00F52BE8" w:rsidRPr="00497E02" w:rsidRDefault="00F52BE8" w:rsidP="00F52BE8">
      <w:pPr>
        <w:pStyle w:val="Default"/>
      </w:pPr>
      <w:r w:rsidRPr="00497E02">
        <w:t xml:space="preserve">Any services arising from this ITT will be carried out pursuant to the contract which comprises of: </w:t>
      </w:r>
    </w:p>
    <w:p w14:paraId="3BB948CA" w14:textId="77777777" w:rsidR="00F52BE8" w:rsidRPr="00497E02" w:rsidRDefault="00F52BE8" w:rsidP="00F52BE8">
      <w:pPr>
        <w:pStyle w:val="Default"/>
      </w:pPr>
    </w:p>
    <w:p w14:paraId="4E2A4EB7" w14:textId="77777777" w:rsidR="00F52BE8" w:rsidRPr="00497E02" w:rsidRDefault="00F52BE8" w:rsidP="00F52BE8">
      <w:pPr>
        <w:pStyle w:val="Default"/>
        <w:numPr>
          <w:ilvl w:val="0"/>
          <w:numId w:val="14"/>
        </w:numPr>
      </w:pPr>
      <w:r>
        <w:t>ORR Terms &amp; Conditions</w:t>
      </w:r>
      <w:r w:rsidRPr="00497E02">
        <w:t xml:space="preserve">; </w:t>
      </w:r>
    </w:p>
    <w:p w14:paraId="481A9A72" w14:textId="77777777" w:rsidR="00F52BE8" w:rsidRPr="00497E02" w:rsidRDefault="00F52BE8" w:rsidP="00F52BE8">
      <w:pPr>
        <w:pStyle w:val="Default"/>
      </w:pPr>
    </w:p>
    <w:p w14:paraId="3FA3EAB2" w14:textId="77777777" w:rsidR="00F52BE8" w:rsidRPr="00497E02" w:rsidRDefault="00F52BE8" w:rsidP="00F52BE8">
      <w:pPr>
        <w:pStyle w:val="Default"/>
        <w:numPr>
          <w:ilvl w:val="0"/>
          <w:numId w:val="14"/>
        </w:numPr>
      </w:pPr>
      <w:r w:rsidRPr="00497E02">
        <w:t>Service Schedules;</w:t>
      </w:r>
    </w:p>
    <w:p w14:paraId="0E6F7BFE" w14:textId="77777777" w:rsidR="00F52BE8" w:rsidRPr="00497E02" w:rsidRDefault="00F52BE8" w:rsidP="00F52BE8">
      <w:pPr>
        <w:pStyle w:val="Default"/>
      </w:pPr>
    </w:p>
    <w:p w14:paraId="65F48421"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707DE36A" w14:textId="77777777" w:rsidR="00F52BE8" w:rsidRPr="00497E02" w:rsidRDefault="00F52BE8" w:rsidP="00F52BE8">
      <w:pPr>
        <w:pStyle w:val="Default"/>
      </w:pPr>
    </w:p>
    <w:p w14:paraId="288A5C42"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F022877" w14:textId="77777777" w:rsidR="00F52BE8" w:rsidRDefault="00F52BE8" w:rsidP="00F52BE8">
      <w:pPr>
        <w:pStyle w:val="ListNumber"/>
        <w:numPr>
          <w:ilvl w:val="0"/>
          <w:numId w:val="0"/>
        </w:numPr>
      </w:pPr>
    </w:p>
    <w:p w14:paraId="70D74AEC" w14:textId="77777777" w:rsidR="00F52BE8" w:rsidRDefault="00F52BE8" w:rsidP="00F52BE8">
      <w:pPr>
        <w:pStyle w:val="Heading2"/>
      </w:pPr>
      <w:r>
        <w:t>ORR’s Transparency Obligations and the Freedom of Information Act 2000 (the Act)</w:t>
      </w:r>
    </w:p>
    <w:p w14:paraId="0E623CF1"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69C8B11B" w14:textId="77777777" w:rsidR="00F52BE8" w:rsidRDefault="00F52BE8" w:rsidP="00F52BE8">
      <w:pPr>
        <w:pStyle w:val="ListNumber"/>
        <w:numPr>
          <w:ilvl w:val="0"/>
          <w:numId w:val="0"/>
        </w:numPr>
      </w:pPr>
      <w:r>
        <w:t>Typically the following information will be published:</w:t>
      </w:r>
    </w:p>
    <w:p w14:paraId="533F448E" w14:textId="77777777" w:rsidR="00F52BE8" w:rsidRDefault="00F52BE8" w:rsidP="00F52BE8">
      <w:pPr>
        <w:pStyle w:val="ListNumber"/>
        <w:numPr>
          <w:ilvl w:val="0"/>
          <w:numId w:val="20"/>
        </w:numPr>
      </w:pPr>
      <w:r>
        <w:t>contract price and any incentivisation mechanisms</w:t>
      </w:r>
    </w:p>
    <w:p w14:paraId="3D35DD11" w14:textId="77777777" w:rsidR="00F52BE8" w:rsidRDefault="00F52BE8" w:rsidP="00F52BE8">
      <w:pPr>
        <w:pStyle w:val="ListNumber"/>
        <w:numPr>
          <w:ilvl w:val="0"/>
          <w:numId w:val="20"/>
        </w:numPr>
      </w:pPr>
      <w:r>
        <w:t>performance metrics and management of them</w:t>
      </w:r>
    </w:p>
    <w:p w14:paraId="566EBB14" w14:textId="77777777" w:rsidR="00F52BE8" w:rsidRDefault="00F52BE8" w:rsidP="00F52BE8">
      <w:pPr>
        <w:pStyle w:val="ListNumber"/>
        <w:numPr>
          <w:ilvl w:val="0"/>
          <w:numId w:val="20"/>
        </w:numPr>
      </w:pPr>
      <w:r>
        <w:t>plans for management of underperformance and its financial impact</w:t>
      </w:r>
    </w:p>
    <w:p w14:paraId="710BC94D"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6C368369" w14:textId="77777777" w:rsidR="00F52BE8" w:rsidRDefault="00F52BE8" w:rsidP="00F52BE8">
      <w:pPr>
        <w:pStyle w:val="ListNumber"/>
        <w:numPr>
          <w:ilvl w:val="0"/>
          <w:numId w:val="20"/>
        </w:numPr>
      </w:pPr>
      <w:r>
        <w:t>resource plans</w:t>
      </w:r>
    </w:p>
    <w:p w14:paraId="025C377A" w14:textId="77777777" w:rsidR="00F52BE8" w:rsidRDefault="00F52BE8" w:rsidP="00F52BE8">
      <w:pPr>
        <w:pStyle w:val="ListNumber"/>
        <w:numPr>
          <w:ilvl w:val="0"/>
          <w:numId w:val="20"/>
        </w:numPr>
      </w:pPr>
      <w:r>
        <w:t>service improvement plans</w:t>
      </w:r>
    </w:p>
    <w:p w14:paraId="26C8FF31"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7F2B34E" w14:textId="77777777" w:rsidR="00F52BE8" w:rsidRDefault="00F52BE8" w:rsidP="00F52BE8">
      <w:pPr>
        <w:pStyle w:val="ListNumber"/>
        <w:numPr>
          <w:ilvl w:val="0"/>
          <w:numId w:val="0"/>
        </w:numPr>
      </w:pPr>
    </w:p>
    <w:p w14:paraId="04D559CF" w14:textId="7406E642" w:rsidR="00F52BE8" w:rsidRDefault="00F52BE8" w:rsidP="00F52BE8">
      <w:pPr>
        <w:pStyle w:val="ListNumber"/>
        <w:numPr>
          <w:ilvl w:val="0"/>
          <w:numId w:val="0"/>
        </w:numPr>
      </w:pPr>
      <w:r>
        <w:t>In addition, as a public authority, ORR is subject to the provisions of the Freedom of Information Act 2000.</w:t>
      </w:r>
      <w:r w:rsidR="00621A0B">
        <w:t xml:space="preserve"> </w:t>
      </w:r>
      <w:r>
        <w:t>All information submitted to a public authority may need to be disclosed by the public authority in response to a request under the Act.</w:t>
      </w:r>
      <w:r w:rsidR="00621A0B">
        <w:t xml:space="preserve"> </w:t>
      </w:r>
      <w:r>
        <w:t xml:space="preserve">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w:t>
      </w:r>
      <w:r w:rsidR="00621A0B">
        <w:t xml:space="preserve"> </w:t>
      </w:r>
      <w:r>
        <w:t>Bidders should be aware that even where they have indicated that information is commercially sensitive ORR may be required to disclose it under the Act if a request is received.</w:t>
      </w:r>
      <w:r w:rsidR="00621A0B">
        <w:t xml:space="preserve"> </w:t>
      </w:r>
      <w:r>
        <w:t>Bidders should also note that the receipt of any material marked “confidential” or equivalent by the public authority should not be taken to mean that the public authority accepts any duty of confidence by virtue of that marking.</w:t>
      </w:r>
      <w:r w:rsidR="00621A0B">
        <w:t xml:space="preserve"> </w:t>
      </w:r>
      <w:r>
        <w:t xml:space="preserve"> If a request is received ORR may also be required to disclose details of unsuccessful bids</w:t>
      </w:r>
    </w:p>
    <w:p w14:paraId="07E2FC98"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481343CE" w14:textId="77777777" w:rsidTr="00E94D37">
        <w:tc>
          <w:tcPr>
            <w:tcW w:w="1368" w:type="dxa"/>
            <w:shd w:val="clear" w:color="auto" w:fill="auto"/>
          </w:tcPr>
          <w:p w14:paraId="2A011502" w14:textId="77777777" w:rsidR="00F52BE8" w:rsidRDefault="00F52BE8" w:rsidP="00E94D37">
            <w:pPr>
              <w:pStyle w:val="ListNumber"/>
              <w:numPr>
                <w:ilvl w:val="0"/>
                <w:numId w:val="0"/>
              </w:numPr>
            </w:pPr>
            <w:smartTag w:uri="urn:schemas-microsoft-com:office:smarttags" w:element="place">
              <w:r>
                <w:t>Para</w:t>
              </w:r>
            </w:smartTag>
            <w:r>
              <w:t>. No.</w:t>
            </w:r>
          </w:p>
        </w:tc>
        <w:tc>
          <w:tcPr>
            <w:tcW w:w="3600" w:type="dxa"/>
            <w:shd w:val="clear" w:color="auto" w:fill="auto"/>
          </w:tcPr>
          <w:p w14:paraId="068FB3A3" w14:textId="77777777" w:rsidR="00F52BE8" w:rsidRDefault="00F52BE8" w:rsidP="00E94D37">
            <w:pPr>
              <w:pStyle w:val="ListNumber"/>
              <w:numPr>
                <w:ilvl w:val="0"/>
                <w:numId w:val="0"/>
              </w:numPr>
            </w:pPr>
            <w:r>
              <w:t>Description</w:t>
            </w:r>
          </w:p>
        </w:tc>
        <w:tc>
          <w:tcPr>
            <w:tcW w:w="3560" w:type="dxa"/>
            <w:shd w:val="clear" w:color="auto" w:fill="auto"/>
          </w:tcPr>
          <w:p w14:paraId="51EB39BF" w14:textId="77777777" w:rsidR="00F52BE8" w:rsidRDefault="00F52BE8" w:rsidP="00E94D37">
            <w:pPr>
              <w:pStyle w:val="ListNumber"/>
              <w:numPr>
                <w:ilvl w:val="0"/>
                <w:numId w:val="0"/>
              </w:numPr>
            </w:pPr>
            <w:r>
              <w:t>Applicable exemption under FOIA 2000</w:t>
            </w:r>
          </w:p>
        </w:tc>
      </w:tr>
      <w:tr w:rsidR="00F52BE8" w14:paraId="78C8AC51" w14:textId="77777777" w:rsidTr="00E94D37">
        <w:tc>
          <w:tcPr>
            <w:tcW w:w="1368" w:type="dxa"/>
            <w:shd w:val="clear" w:color="auto" w:fill="auto"/>
          </w:tcPr>
          <w:p w14:paraId="261D1380" w14:textId="77777777" w:rsidR="00F52BE8" w:rsidRDefault="00F52BE8" w:rsidP="00E94D37">
            <w:pPr>
              <w:pStyle w:val="ListNumber"/>
              <w:numPr>
                <w:ilvl w:val="0"/>
                <w:numId w:val="0"/>
              </w:numPr>
            </w:pPr>
          </w:p>
        </w:tc>
        <w:tc>
          <w:tcPr>
            <w:tcW w:w="3600" w:type="dxa"/>
            <w:shd w:val="clear" w:color="auto" w:fill="auto"/>
          </w:tcPr>
          <w:p w14:paraId="4481CAED" w14:textId="77777777" w:rsidR="00F52BE8" w:rsidRDefault="00F52BE8" w:rsidP="00E94D37">
            <w:pPr>
              <w:pStyle w:val="ListNumber"/>
              <w:numPr>
                <w:ilvl w:val="0"/>
                <w:numId w:val="0"/>
              </w:numPr>
            </w:pPr>
          </w:p>
        </w:tc>
        <w:tc>
          <w:tcPr>
            <w:tcW w:w="3560" w:type="dxa"/>
            <w:shd w:val="clear" w:color="auto" w:fill="auto"/>
          </w:tcPr>
          <w:p w14:paraId="4252AD21" w14:textId="77777777" w:rsidR="00F52BE8" w:rsidRDefault="00F52BE8" w:rsidP="00E94D37">
            <w:pPr>
              <w:pStyle w:val="ListNumber"/>
              <w:numPr>
                <w:ilvl w:val="0"/>
                <w:numId w:val="0"/>
              </w:numPr>
            </w:pPr>
          </w:p>
        </w:tc>
      </w:tr>
      <w:tr w:rsidR="00F52BE8" w14:paraId="4E55209B" w14:textId="77777777" w:rsidTr="00E94D37">
        <w:tc>
          <w:tcPr>
            <w:tcW w:w="1368" w:type="dxa"/>
            <w:shd w:val="clear" w:color="auto" w:fill="auto"/>
          </w:tcPr>
          <w:p w14:paraId="45879DC1" w14:textId="77777777" w:rsidR="00F52BE8" w:rsidRDefault="00F52BE8" w:rsidP="00E94D37">
            <w:pPr>
              <w:pStyle w:val="ListNumber"/>
              <w:numPr>
                <w:ilvl w:val="0"/>
                <w:numId w:val="0"/>
              </w:numPr>
            </w:pPr>
          </w:p>
        </w:tc>
        <w:tc>
          <w:tcPr>
            <w:tcW w:w="3600" w:type="dxa"/>
            <w:shd w:val="clear" w:color="auto" w:fill="auto"/>
          </w:tcPr>
          <w:p w14:paraId="7EBBD88A" w14:textId="77777777" w:rsidR="00F52BE8" w:rsidRDefault="00F52BE8" w:rsidP="00E94D37">
            <w:pPr>
              <w:pStyle w:val="ListNumber"/>
              <w:numPr>
                <w:ilvl w:val="0"/>
                <w:numId w:val="0"/>
              </w:numPr>
            </w:pPr>
          </w:p>
        </w:tc>
        <w:tc>
          <w:tcPr>
            <w:tcW w:w="3560" w:type="dxa"/>
            <w:shd w:val="clear" w:color="auto" w:fill="auto"/>
          </w:tcPr>
          <w:p w14:paraId="076F27C3" w14:textId="77777777" w:rsidR="00F52BE8" w:rsidRDefault="00F52BE8" w:rsidP="00E94D37">
            <w:pPr>
              <w:pStyle w:val="ListNumber"/>
              <w:numPr>
                <w:ilvl w:val="0"/>
                <w:numId w:val="0"/>
              </w:numPr>
            </w:pPr>
          </w:p>
        </w:tc>
      </w:tr>
      <w:tr w:rsidR="00F52BE8" w14:paraId="30B64095" w14:textId="77777777" w:rsidTr="00E94D37">
        <w:tc>
          <w:tcPr>
            <w:tcW w:w="1368" w:type="dxa"/>
            <w:shd w:val="clear" w:color="auto" w:fill="auto"/>
          </w:tcPr>
          <w:p w14:paraId="32D0C010" w14:textId="77777777" w:rsidR="00F52BE8" w:rsidRDefault="00F52BE8" w:rsidP="00E94D37">
            <w:pPr>
              <w:pStyle w:val="ListNumber"/>
              <w:numPr>
                <w:ilvl w:val="0"/>
                <w:numId w:val="0"/>
              </w:numPr>
            </w:pPr>
          </w:p>
        </w:tc>
        <w:tc>
          <w:tcPr>
            <w:tcW w:w="3600" w:type="dxa"/>
            <w:shd w:val="clear" w:color="auto" w:fill="auto"/>
          </w:tcPr>
          <w:p w14:paraId="0D64F2EB" w14:textId="77777777" w:rsidR="00F52BE8" w:rsidRDefault="00F52BE8" w:rsidP="00E94D37">
            <w:pPr>
              <w:pStyle w:val="ListNumber"/>
              <w:numPr>
                <w:ilvl w:val="0"/>
                <w:numId w:val="0"/>
              </w:numPr>
            </w:pPr>
          </w:p>
        </w:tc>
        <w:tc>
          <w:tcPr>
            <w:tcW w:w="3560" w:type="dxa"/>
            <w:shd w:val="clear" w:color="auto" w:fill="auto"/>
          </w:tcPr>
          <w:p w14:paraId="74C7D153" w14:textId="77777777" w:rsidR="00F52BE8" w:rsidRDefault="00F52BE8" w:rsidP="00E94D37">
            <w:pPr>
              <w:pStyle w:val="ListNumber"/>
              <w:numPr>
                <w:ilvl w:val="0"/>
                <w:numId w:val="0"/>
              </w:numPr>
            </w:pPr>
          </w:p>
        </w:tc>
      </w:tr>
    </w:tbl>
    <w:p w14:paraId="5AD86F77" w14:textId="77777777" w:rsidR="00F52BE8" w:rsidRDefault="00F52BE8" w:rsidP="00F52BE8">
      <w:pPr>
        <w:pStyle w:val="ListNumber"/>
        <w:numPr>
          <w:ilvl w:val="0"/>
          <w:numId w:val="0"/>
        </w:numPr>
      </w:pPr>
    </w:p>
    <w:p w14:paraId="3C39122E" w14:textId="77777777" w:rsidR="00F52BE8" w:rsidRPr="00B251F0" w:rsidRDefault="00F52BE8" w:rsidP="00F52BE8">
      <w:pPr>
        <w:pStyle w:val="ListNumber"/>
        <w:numPr>
          <w:ilvl w:val="0"/>
          <w:numId w:val="0"/>
        </w:numPr>
      </w:pPr>
    </w:p>
    <w:p w14:paraId="747B4267" w14:textId="77777777" w:rsidR="00E94D37" w:rsidRDefault="00E94D37"/>
    <w:sectPr w:rsidR="00E94D3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87BFF" w14:textId="77777777" w:rsidR="00C5623E" w:rsidRDefault="00C5623E">
      <w:pPr>
        <w:spacing w:after="0"/>
      </w:pPr>
      <w:r>
        <w:separator/>
      </w:r>
    </w:p>
  </w:endnote>
  <w:endnote w:type="continuationSeparator" w:id="0">
    <w:p w14:paraId="1AABC596" w14:textId="77777777" w:rsidR="00C5623E" w:rsidRDefault="00C56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A2F0" w14:textId="77777777" w:rsidR="00990C8D" w:rsidRDefault="00990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E675" w14:textId="13865806" w:rsidR="00990C8D" w:rsidRPr="00673759" w:rsidRDefault="00990C8D" w:rsidP="00E94D37">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3DC0" w14:textId="77777777" w:rsidR="00990C8D" w:rsidRDefault="00990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F1696" w14:textId="77777777" w:rsidR="00C5623E" w:rsidRDefault="00C5623E">
      <w:pPr>
        <w:spacing w:after="0"/>
      </w:pPr>
      <w:r>
        <w:separator/>
      </w:r>
    </w:p>
  </w:footnote>
  <w:footnote w:type="continuationSeparator" w:id="0">
    <w:p w14:paraId="06EC44D7" w14:textId="77777777" w:rsidR="00C5623E" w:rsidRDefault="00C5623E">
      <w:pPr>
        <w:spacing w:after="0"/>
      </w:pPr>
      <w:r>
        <w:continuationSeparator/>
      </w:r>
    </w:p>
  </w:footnote>
  <w:footnote w:id="1">
    <w:p w14:paraId="15726790" w14:textId="6F8B63B0" w:rsidR="00990C8D" w:rsidRDefault="00990C8D" w:rsidP="000D49CF">
      <w:pPr>
        <w:pStyle w:val="FootnoteText"/>
      </w:pPr>
      <w:r>
        <w:rPr>
          <w:rStyle w:val="FootnoteReference"/>
        </w:rPr>
        <w:footnoteRef/>
      </w:r>
      <w:r>
        <w:t xml:space="preserve"> </w:t>
      </w:r>
      <w:r w:rsidRPr="00442FA7">
        <w:t xml:space="preserve">This </w:t>
      </w:r>
      <w:r>
        <w:t>covers</w:t>
      </w:r>
      <w:r w:rsidRPr="00442FA7">
        <w:t xml:space="preserve"> freight operators and franchised, open-access </w:t>
      </w:r>
      <w:r>
        <w:t>and charter passenger operators.</w:t>
      </w:r>
    </w:p>
  </w:footnote>
  <w:footnote w:id="2">
    <w:p w14:paraId="1CBAB0ED" w14:textId="303F6E24" w:rsidR="00990C8D" w:rsidRDefault="00990C8D">
      <w:pPr>
        <w:pStyle w:val="FootnoteText"/>
      </w:pPr>
      <w:r>
        <w:rPr>
          <w:rStyle w:val="FootnoteReference"/>
        </w:rPr>
        <w:footnoteRef/>
      </w:r>
      <w:r>
        <w:t xml:space="preserve"> The contracts put in place by the Department for Transport (DfT) are </w:t>
      </w:r>
      <w:r w:rsidRPr="009B5781">
        <w:t>known as Emergency Recovery Measu</w:t>
      </w:r>
      <w:r>
        <w:t>res Agreements (ERMAs)</w:t>
      </w:r>
      <w:r w:rsidRPr="009B5781">
        <w:t>.</w:t>
      </w:r>
      <w:r>
        <w:t xml:space="preserve"> Further details of these arrangements are available </w:t>
      </w:r>
      <w:hyperlink r:id="rId1" w:history="1">
        <w:r w:rsidRPr="009E6E09">
          <w:rPr>
            <w:rStyle w:val="Hyperlink"/>
          </w:rPr>
          <w:t>h</w:t>
        </w:r>
        <w:r>
          <w:rPr>
            <w:rStyle w:val="Hyperlink"/>
          </w:rPr>
          <w:t>ere</w:t>
        </w:r>
      </w:hyperlink>
      <w:r>
        <w:t>. Other franchising authorities have put in place similar arrangements.</w:t>
      </w:r>
    </w:p>
  </w:footnote>
  <w:footnote w:id="3">
    <w:p w14:paraId="6D959E79" w14:textId="42376743" w:rsidR="00990C8D" w:rsidRDefault="00990C8D">
      <w:pPr>
        <w:pStyle w:val="FootnoteText"/>
      </w:pPr>
      <w:r>
        <w:rPr>
          <w:rStyle w:val="FootnoteReference"/>
        </w:rPr>
        <w:footnoteRef/>
      </w:r>
      <w:r>
        <w:t xml:space="preserve"> As explained in Section 2.1, o</w:t>
      </w:r>
      <w:r w:rsidRPr="00915167">
        <w:t>ther franchising authorities have put in place similar arrangements</w:t>
      </w:r>
      <w:r>
        <w:t xml:space="preserve"> with the TOCs which operate services in their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436C" w14:textId="77777777" w:rsidR="00990C8D" w:rsidRDefault="00990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21571" w14:textId="77777777" w:rsidR="00990C8D" w:rsidRDefault="00990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2456C" w14:textId="77777777" w:rsidR="00990C8D" w:rsidRDefault="0099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42AA02"/>
    <w:lvl w:ilvl="0">
      <w:start w:val="1"/>
      <w:numFmt w:val="decimal"/>
      <w:pStyle w:val="ListNumber"/>
      <w:lvlText w:val="%1."/>
      <w:lvlJc w:val="left"/>
      <w:pPr>
        <w:tabs>
          <w:tab w:val="num" w:pos="360"/>
        </w:tabs>
        <w:ind w:left="360" w:hanging="360"/>
      </w:pPr>
    </w:lvl>
  </w:abstractNum>
  <w:abstractNum w:abstractNumId="1" w15:restartNumberingAfterBreak="0">
    <w:nsid w:val="0AF34887"/>
    <w:multiLevelType w:val="hybridMultilevel"/>
    <w:tmpl w:val="3072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03307"/>
    <w:multiLevelType w:val="hybridMultilevel"/>
    <w:tmpl w:val="99225C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1D6156"/>
    <w:multiLevelType w:val="hybridMultilevel"/>
    <w:tmpl w:val="F04E69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5C065C"/>
    <w:multiLevelType w:val="hybridMultilevel"/>
    <w:tmpl w:val="3F843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A0557"/>
    <w:multiLevelType w:val="hybridMultilevel"/>
    <w:tmpl w:val="150018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1263E5"/>
    <w:multiLevelType w:val="hybridMultilevel"/>
    <w:tmpl w:val="0392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77E12"/>
    <w:multiLevelType w:val="hybridMultilevel"/>
    <w:tmpl w:val="24B8036A"/>
    <w:lvl w:ilvl="0" w:tplc="89D40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331877"/>
    <w:multiLevelType w:val="hybridMultilevel"/>
    <w:tmpl w:val="76F64A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74395"/>
    <w:multiLevelType w:val="hybridMultilevel"/>
    <w:tmpl w:val="BA72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B04BE4"/>
    <w:multiLevelType w:val="hybridMultilevel"/>
    <w:tmpl w:val="3140CD9E"/>
    <w:lvl w:ilvl="0" w:tplc="80220312">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A971068"/>
    <w:multiLevelType w:val="hybridMultilevel"/>
    <w:tmpl w:val="D05CF362"/>
    <w:lvl w:ilvl="0" w:tplc="4BBE38EA">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FF5619"/>
    <w:multiLevelType w:val="hybridMultilevel"/>
    <w:tmpl w:val="55ECA110"/>
    <w:lvl w:ilvl="0" w:tplc="2D04362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2"/>
  </w:num>
  <w:num w:numId="4">
    <w:abstractNumId w:val="29"/>
  </w:num>
  <w:num w:numId="5">
    <w:abstractNumId w:val="20"/>
  </w:num>
  <w:num w:numId="6">
    <w:abstractNumId w:val="2"/>
  </w:num>
  <w:num w:numId="7">
    <w:abstractNumId w:val="25"/>
  </w:num>
  <w:num w:numId="8">
    <w:abstractNumId w:val="9"/>
  </w:num>
  <w:num w:numId="9">
    <w:abstractNumId w:val="15"/>
  </w:num>
  <w:num w:numId="10">
    <w:abstractNumId w:val="23"/>
  </w:num>
  <w:num w:numId="11">
    <w:abstractNumId w:val="33"/>
  </w:num>
  <w:num w:numId="12">
    <w:abstractNumId w:val="10"/>
  </w:num>
  <w:num w:numId="13">
    <w:abstractNumId w:val="5"/>
  </w:num>
  <w:num w:numId="14">
    <w:abstractNumId w:val="22"/>
  </w:num>
  <w:num w:numId="15">
    <w:abstractNumId w:val="34"/>
  </w:num>
  <w:num w:numId="16">
    <w:abstractNumId w:val="3"/>
  </w:num>
  <w:num w:numId="17">
    <w:abstractNumId w:val="32"/>
  </w:num>
  <w:num w:numId="18">
    <w:abstractNumId w:val="19"/>
  </w:num>
  <w:num w:numId="19">
    <w:abstractNumId w:val="16"/>
  </w:num>
  <w:num w:numId="20">
    <w:abstractNumId w:val="2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1"/>
  </w:num>
  <w:num w:numId="24">
    <w:abstractNumId w:val="24"/>
  </w:num>
  <w:num w:numId="25">
    <w:abstractNumId w:val="27"/>
  </w:num>
  <w:num w:numId="26">
    <w:abstractNumId w:val="17"/>
  </w:num>
  <w:num w:numId="27">
    <w:abstractNumId w:val="4"/>
  </w:num>
  <w:num w:numId="28">
    <w:abstractNumId w:val="8"/>
  </w:num>
  <w:num w:numId="29">
    <w:abstractNumId w:val="14"/>
  </w:num>
  <w:num w:numId="30">
    <w:abstractNumId w:val="24"/>
  </w:num>
  <w:num w:numId="31">
    <w:abstractNumId w:val="35"/>
  </w:num>
  <w:num w:numId="32">
    <w:abstractNumId w:val="21"/>
  </w:num>
  <w:num w:numId="33">
    <w:abstractNumId w:val="13"/>
  </w:num>
  <w:num w:numId="34">
    <w:abstractNumId w:val="1"/>
  </w:num>
  <w:num w:numId="35">
    <w:abstractNumId w:val="11"/>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3625F"/>
    <w:rsid w:val="00036B4F"/>
    <w:rsid w:val="000432E6"/>
    <w:rsid w:val="000537E9"/>
    <w:rsid w:val="00060474"/>
    <w:rsid w:val="00070F1D"/>
    <w:rsid w:val="00085998"/>
    <w:rsid w:val="000B6B69"/>
    <w:rsid w:val="000C7579"/>
    <w:rsid w:val="000D49CF"/>
    <w:rsid w:val="000E4BDA"/>
    <w:rsid w:val="000F775D"/>
    <w:rsid w:val="001066D9"/>
    <w:rsid w:val="0013676E"/>
    <w:rsid w:val="00141D99"/>
    <w:rsid w:val="00161013"/>
    <w:rsid w:val="00161442"/>
    <w:rsid w:val="001845B5"/>
    <w:rsid w:val="001A4C88"/>
    <w:rsid w:val="001A5D12"/>
    <w:rsid w:val="001B61B5"/>
    <w:rsid w:val="001F6562"/>
    <w:rsid w:val="002001D6"/>
    <w:rsid w:val="00203DD7"/>
    <w:rsid w:val="00214FF3"/>
    <w:rsid w:val="0021602D"/>
    <w:rsid w:val="00230B84"/>
    <w:rsid w:val="00243C6B"/>
    <w:rsid w:val="00296648"/>
    <w:rsid w:val="002A677D"/>
    <w:rsid w:val="002B78F7"/>
    <w:rsid w:val="002E6005"/>
    <w:rsid w:val="002E6C7F"/>
    <w:rsid w:val="002F57DB"/>
    <w:rsid w:val="00314899"/>
    <w:rsid w:val="00331D39"/>
    <w:rsid w:val="003345EE"/>
    <w:rsid w:val="00340C1E"/>
    <w:rsid w:val="003434EB"/>
    <w:rsid w:val="00357CB3"/>
    <w:rsid w:val="00395053"/>
    <w:rsid w:val="00395B54"/>
    <w:rsid w:val="003D40C7"/>
    <w:rsid w:val="00404B9F"/>
    <w:rsid w:val="00416E96"/>
    <w:rsid w:val="004467FC"/>
    <w:rsid w:val="0048093D"/>
    <w:rsid w:val="00487E1D"/>
    <w:rsid w:val="0049091D"/>
    <w:rsid w:val="00494E82"/>
    <w:rsid w:val="00495886"/>
    <w:rsid w:val="004A09D0"/>
    <w:rsid w:val="004A354B"/>
    <w:rsid w:val="004A3BEC"/>
    <w:rsid w:val="004D0622"/>
    <w:rsid w:val="004E559A"/>
    <w:rsid w:val="005404E5"/>
    <w:rsid w:val="005534B7"/>
    <w:rsid w:val="00554F10"/>
    <w:rsid w:val="005A5F5E"/>
    <w:rsid w:val="005A6B29"/>
    <w:rsid w:val="005D39C1"/>
    <w:rsid w:val="005D5155"/>
    <w:rsid w:val="005E120D"/>
    <w:rsid w:val="005E1E01"/>
    <w:rsid w:val="005E32F8"/>
    <w:rsid w:val="005F3C7A"/>
    <w:rsid w:val="00607D8D"/>
    <w:rsid w:val="00621A0B"/>
    <w:rsid w:val="00642340"/>
    <w:rsid w:val="0064241A"/>
    <w:rsid w:val="00646958"/>
    <w:rsid w:val="006664E8"/>
    <w:rsid w:val="006A16CB"/>
    <w:rsid w:val="006B17F5"/>
    <w:rsid w:val="006B59B0"/>
    <w:rsid w:val="006B6CAE"/>
    <w:rsid w:val="006D42E8"/>
    <w:rsid w:val="0071076A"/>
    <w:rsid w:val="00717A50"/>
    <w:rsid w:val="00773A22"/>
    <w:rsid w:val="00776365"/>
    <w:rsid w:val="007777B6"/>
    <w:rsid w:val="00790EC1"/>
    <w:rsid w:val="00795741"/>
    <w:rsid w:val="00796B4C"/>
    <w:rsid w:val="007A06C1"/>
    <w:rsid w:val="007B225B"/>
    <w:rsid w:val="007D5D67"/>
    <w:rsid w:val="007E01D5"/>
    <w:rsid w:val="007E162E"/>
    <w:rsid w:val="007F38E0"/>
    <w:rsid w:val="007F3B28"/>
    <w:rsid w:val="008053B8"/>
    <w:rsid w:val="0081437C"/>
    <w:rsid w:val="0081593E"/>
    <w:rsid w:val="00826A19"/>
    <w:rsid w:val="00830395"/>
    <w:rsid w:val="00853A93"/>
    <w:rsid w:val="008550EF"/>
    <w:rsid w:val="00867592"/>
    <w:rsid w:val="008716D0"/>
    <w:rsid w:val="00885E2F"/>
    <w:rsid w:val="0089579C"/>
    <w:rsid w:val="008A7043"/>
    <w:rsid w:val="008E09CD"/>
    <w:rsid w:val="008E4827"/>
    <w:rsid w:val="008F431F"/>
    <w:rsid w:val="00903A9E"/>
    <w:rsid w:val="00907369"/>
    <w:rsid w:val="00915167"/>
    <w:rsid w:val="00922754"/>
    <w:rsid w:val="00923F53"/>
    <w:rsid w:val="00941303"/>
    <w:rsid w:val="0094492D"/>
    <w:rsid w:val="009520F3"/>
    <w:rsid w:val="009521C1"/>
    <w:rsid w:val="00957860"/>
    <w:rsid w:val="009878A7"/>
    <w:rsid w:val="00990C8D"/>
    <w:rsid w:val="009B5781"/>
    <w:rsid w:val="009B7CD2"/>
    <w:rsid w:val="009D59FA"/>
    <w:rsid w:val="009D7728"/>
    <w:rsid w:val="009F70F4"/>
    <w:rsid w:val="00A347E2"/>
    <w:rsid w:val="00A57BB6"/>
    <w:rsid w:val="00A673BF"/>
    <w:rsid w:val="00A70554"/>
    <w:rsid w:val="00A97F5B"/>
    <w:rsid w:val="00AA1377"/>
    <w:rsid w:val="00AC621F"/>
    <w:rsid w:val="00B01FC4"/>
    <w:rsid w:val="00B105C1"/>
    <w:rsid w:val="00B11EE0"/>
    <w:rsid w:val="00B320A5"/>
    <w:rsid w:val="00B53AAC"/>
    <w:rsid w:val="00B61EE6"/>
    <w:rsid w:val="00B719A2"/>
    <w:rsid w:val="00B80508"/>
    <w:rsid w:val="00B8784E"/>
    <w:rsid w:val="00B93903"/>
    <w:rsid w:val="00B94B00"/>
    <w:rsid w:val="00BA1E28"/>
    <w:rsid w:val="00BB1FF4"/>
    <w:rsid w:val="00BB35DD"/>
    <w:rsid w:val="00BC1C95"/>
    <w:rsid w:val="00BC4945"/>
    <w:rsid w:val="00BD2139"/>
    <w:rsid w:val="00BE74B9"/>
    <w:rsid w:val="00C37C63"/>
    <w:rsid w:val="00C47112"/>
    <w:rsid w:val="00C5623E"/>
    <w:rsid w:val="00C73BAB"/>
    <w:rsid w:val="00C755CE"/>
    <w:rsid w:val="00C95E21"/>
    <w:rsid w:val="00C97DCE"/>
    <w:rsid w:val="00CA19C5"/>
    <w:rsid w:val="00CA7DF2"/>
    <w:rsid w:val="00CB1751"/>
    <w:rsid w:val="00CB7C55"/>
    <w:rsid w:val="00CC25C7"/>
    <w:rsid w:val="00CF3096"/>
    <w:rsid w:val="00D00F6F"/>
    <w:rsid w:val="00D05467"/>
    <w:rsid w:val="00D22CBB"/>
    <w:rsid w:val="00D26864"/>
    <w:rsid w:val="00D31DE1"/>
    <w:rsid w:val="00D61C22"/>
    <w:rsid w:val="00D6447F"/>
    <w:rsid w:val="00D723DE"/>
    <w:rsid w:val="00D74772"/>
    <w:rsid w:val="00D74997"/>
    <w:rsid w:val="00D7516E"/>
    <w:rsid w:val="00D904E5"/>
    <w:rsid w:val="00DD1185"/>
    <w:rsid w:val="00DD4CEE"/>
    <w:rsid w:val="00DD5076"/>
    <w:rsid w:val="00DF36F4"/>
    <w:rsid w:val="00DF6C77"/>
    <w:rsid w:val="00E15FA9"/>
    <w:rsid w:val="00E2141B"/>
    <w:rsid w:val="00E32C58"/>
    <w:rsid w:val="00E50599"/>
    <w:rsid w:val="00E519D1"/>
    <w:rsid w:val="00E55E43"/>
    <w:rsid w:val="00E82E74"/>
    <w:rsid w:val="00E83253"/>
    <w:rsid w:val="00E863B4"/>
    <w:rsid w:val="00E94D37"/>
    <w:rsid w:val="00E96912"/>
    <w:rsid w:val="00E96D73"/>
    <w:rsid w:val="00EC037B"/>
    <w:rsid w:val="00ED1BBF"/>
    <w:rsid w:val="00EE5B9F"/>
    <w:rsid w:val="00EF6732"/>
    <w:rsid w:val="00EF6D99"/>
    <w:rsid w:val="00F02082"/>
    <w:rsid w:val="00F267F2"/>
    <w:rsid w:val="00F26B55"/>
    <w:rsid w:val="00F307E3"/>
    <w:rsid w:val="00F374A5"/>
    <w:rsid w:val="00F420E1"/>
    <w:rsid w:val="00F4269F"/>
    <w:rsid w:val="00F50F76"/>
    <w:rsid w:val="00F52BE8"/>
    <w:rsid w:val="00F76B8E"/>
    <w:rsid w:val="00F8369B"/>
    <w:rsid w:val="00F920A7"/>
    <w:rsid w:val="00FA03C2"/>
    <w:rsid w:val="00FA7698"/>
    <w:rsid w:val="00FC655B"/>
    <w:rsid w:val="00FD0985"/>
    <w:rsid w:val="00F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A7F2D27"/>
  <w15:chartTrackingRefBased/>
  <w15:docId w15:val="{02C7C5A9-479C-475C-9D5F-C148C771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63"/>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CommentReference">
    <w:name w:val="annotation reference"/>
    <w:basedOn w:val="DefaultParagraphFont"/>
    <w:uiPriority w:val="99"/>
    <w:semiHidden/>
    <w:unhideWhenUsed/>
    <w:rsid w:val="00AC621F"/>
    <w:rPr>
      <w:sz w:val="16"/>
      <w:szCs w:val="16"/>
    </w:rPr>
  </w:style>
  <w:style w:type="paragraph" w:styleId="CommentText">
    <w:name w:val="annotation text"/>
    <w:basedOn w:val="Normal"/>
    <w:link w:val="CommentTextChar"/>
    <w:uiPriority w:val="99"/>
    <w:unhideWhenUsed/>
    <w:rsid w:val="00AC621F"/>
    <w:rPr>
      <w:sz w:val="20"/>
    </w:rPr>
  </w:style>
  <w:style w:type="character" w:customStyle="1" w:styleId="CommentTextChar">
    <w:name w:val="Comment Text Char"/>
    <w:basedOn w:val="DefaultParagraphFont"/>
    <w:link w:val="CommentText"/>
    <w:uiPriority w:val="99"/>
    <w:rsid w:val="00AC621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C621F"/>
    <w:rPr>
      <w:b/>
      <w:bCs/>
    </w:rPr>
  </w:style>
  <w:style w:type="character" w:customStyle="1" w:styleId="CommentSubjectChar">
    <w:name w:val="Comment Subject Char"/>
    <w:basedOn w:val="CommentTextChar"/>
    <w:link w:val="CommentSubject"/>
    <w:uiPriority w:val="99"/>
    <w:semiHidden/>
    <w:rsid w:val="00AC621F"/>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AC62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21F"/>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0D49CF"/>
    <w:pPr>
      <w:spacing w:after="0"/>
    </w:pPr>
    <w:rPr>
      <w:sz w:val="20"/>
    </w:rPr>
  </w:style>
  <w:style w:type="character" w:customStyle="1" w:styleId="FootnoteTextChar">
    <w:name w:val="Footnote Text Char"/>
    <w:basedOn w:val="DefaultParagraphFont"/>
    <w:link w:val="FootnoteText"/>
    <w:uiPriority w:val="99"/>
    <w:semiHidden/>
    <w:rsid w:val="000D49CF"/>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0D49CF"/>
    <w:rPr>
      <w:vertAlign w:val="superscript"/>
    </w:rPr>
  </w:style>
  <w:style w:type="paragraph" w:styleId="Revision">
    <w:name w:val="Revision"/>
    <w:hidden/>
    <w:uiPriority w:val="99"/>
    <w:semiHidden/>
    <w:rsid w:val="00E55E43"/>
    <w:pPr>
      <w:spacing w:after="0" w:line="240" w:lineRule="auto"/>
    </w:pPr>
    <w:rPr>
      <w:rFonts w:ascii="Arial" w:eastAsia="Times New Roman" w:hAnsi="Arial" w:cs="Times New Roman"/>
      <w:sz w:val="24"/>
      <w:szCs w:val="20"/>
      <w:lang w:val="en-GB"/>
    </w:rPr>
  </w:style>
  <w:style w:type="character" w:styleId="FollowedHyperlink">
    <w:name w:val="FollowedHyperlink"/>
    <w:basedOn w:val="DefaultParagraphFont"/>
    <w:uiPriority w:val="99"/>
    <w:semiHidden/>
    <w:unhideWhenUsed/>
    <w:rsid w:val="007763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171220845">
      <w:bodyDiv w:val="1"/>
      <w:marLeft w:val="0"/>
      <w:marRight w:val="0"/>
      <w:marTop w:val="0"/>
      <w:marBottom w:val="0"/>
      <w:divBdr>
        <w:top w:val="none" w:sz="0" w:space="0" w:color="auto"/>
        <w:left w:val="none" w:sz="0" w:space="0" w:color="auto"/>
        <w:bottom w:val="none" w:sz="0" w:space="0" w:color="auto"/>
        <w:right w:val="none" w:sz="0" w:space="0" w:color="auto"/>
      </w:divBdr>
    </w:div>
    <w:div w:id="12007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r.gov.uk/monitoring-regulation/rail/networks/economic-resear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r.gov.uk/sites/default/files/2020-10/ORR%20letter%20on%20train%20performance%20incentives%20-%20October%202020_Redact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rr.gov.uk/media/10660/downloa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news/rail-franchising-reaches-the-terminus-as-a-new-railway-takes-sh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16AB-1BC6-4DE2-99F0-B4A6E233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6265</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cp:lastPrinted>2020-11-09T14:15:00Z</cp:lastPrinted>
  <dcterms:created xsi:type="dcterms:W3CDTF">2020-11-18T16:08:00Z</dcterms:created>
  <dcterms:modified xsi:type="dcterms:W3CDTF">2020-11-18T16:08:00Z</dcterms:modified>
</cp:coreProperties>
</file>