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50888" cy="1752374"/>
            <wp:effectExtent b="0" l="0" r="0" t="0"/>
            <wp:docPr descr="C:\Users\richard.attwood\AppData\Local\Microsoft\Windows\INetCache\Content.MSO\8DD461F2.tmp" id="2"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4"/>
          <w:szCs w:val="24"/>
          <w:u w:val="single"/>
          <w:rtl w:val="0"/>
        </w:rPr>
        <w:t xml:space="preserve">RM6355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Attachment 5 – Financial Viability Risk Assessment Instructions v</w:t>
      </w:r>
      <w:r w:rsidDel="00000000" w:rsidR="00000000" w:rsidRPr="00000000">
        <w:rPr>
          <w:b w:val="1"/>
          <w:sz w:val="24"/>
          <w:szCs w:val="24"/>
          <w:u w:val="single"/>
          <w:rtl w:val="0"/>
        </w:rPr>
        <w:t xml:space="preserve">1.0</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attachment and Attachment 5a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6355 FVRA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has adapted the Cabinet Office’s Financial Viability Risk Assessment (FVRA) Too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(version 4.3.1)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as the basis to conduct a financial assessment on all Bids. 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RM6355 Provision of Safeguarding Support for Covid-19 Inquiry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 Tool is provided at Attachment 5a – Silver FVRA (Financial Viability Risk Assessment) Tool and is to be completed and submitted by Bidders.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363" w:hanging="3.000000000000000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bidding</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 consortium, each consortium member must complete and submit their own Attachment 5a –Silver FVRA (Financial Viability Risk Assessment) Tool.</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 w:line="240" w:lineRule="auto"/>
        <w:ind w:left="0" w:right="336"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at: </w:t>
      </w: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4"/>
          <w:szCs w:val="24"/>
          <w:rtl w:val="0"/>
        </w:rPr>
        <w:t xml:space="preserve">RM6355 Provision of Safeguarding Support for Covid-19 Inquiry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has been classified as 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Silver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ntract, via the Contract Tiering Tool. All Bidders tendering for this framework are required to complete Attachment 5a - Silver FVRA (Financial Viability Assessment Tool) and upload it to Part 1.</w:t>
      </w:r>
      <w:r w:rsidDel="00000000" w:rsidR="00000000" w:rsidRPr="00000000">
        <w:rPr>
          <w:sz w:val="24"/>
          <w:szCs w:val="24"/>
          <w:rtl w:val="0"/>
        </w:rPr>
        <w:t xml:space="preserve">25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Attachment 2a Selection Questionnaire in the eSourcing suite (Qualification Envelope).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5" w:right="3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 Silver FVRA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Instructions and guidance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0" w:right="11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completing Attachment 5a – Silver FVRA (Financial Viability Risk Assessment) Tool, Bidders are advised to review the ‘Bidder Instructions</w:t>
      </w:r>
      <w:r w:rsidDel="00000000" w:rsidR="00000000" w:rsidRPr="00000000">
        <w:rPr>
          <w:sz w:val="24"/>
          <w:szCs w:val="24"/>
          <w:rtl w:val="0"/>
        </w:rPr>
        <w:t xml:space="preserve">’ tab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1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Important</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6"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1.1b Lead financial Input - only complete if you are Not for Profit/ Voluntary Organisation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br w:type="textWrapping"/>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Silver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2" w:right="175" w:hanging="99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https://www.legislation.gov.uk/uksi/2015/102/regulation/60/made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92" w:right="0" w:hanging="992"/>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should complete all tabs in line with the instruction found within the Bidder instructions tab of th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6355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Viability Risk Assessment Tool.</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consortium member will be required to complete an Attachment 5a –Financial Viability Risk Assessment Tool individually, and provide copies of their published accounts for the last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consortium member will be assessed separately. </w:t>
        <w:br w:type="textWrapping"/>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445"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28"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78"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Bidders must pr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ovide copies of:</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published accounts for the last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company published accounts for the last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published accounts for the last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along with their completed Attachment 5a – Silver Financial Viability Risk Assessment Tool.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line with The Guidance Note any qualified accounts will receive additional scrutiny.</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Bidder must set out the following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12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653"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factors that have a bearing on the financial standing of the Bidder that require a more detailed explanation than is given in the information provided in Attachment 5a – Silver Financial Viability Risk Assessment Tool;</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311"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730" w:right="308" w:firstLine="14.0000000000000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76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Prior to award of Framework Contracts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3" w:right="20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11" w:right="43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20" w:right="73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13" w:right="566" w:hanging="3.000000000000113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resubmitted Attachment 5a – Silver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363" w:right="28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508" w:right="55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02" w:right="555" w:hanging="35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294" w:right="306"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1 – FVRA risk thresholds:</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thresholds for RM6355 Provision of Safeguarding Support for Covid-19 Inquiry (in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0"/>
                <w:szCs w:val="20"/>
                <w:u w:val="none"/>
                <w:vertAlign w:val="baseline"/>
                <w:rtl w:val="0"/>
              </w:rPr>
              <w:t xml:space="preserve">RM</w:t>
            </w:r>
            <w:r w:rsidDel="00000000" w:rsidR="00000000" w:rsidRPr="00000000">
              <w:rPr>
                <w:b w:val="1"/>
                <w:sz w:val="20"/>
                <w:szCs w:val="20"/>
                <w:rtl w:val="0"/>
              </w:rPr>
              <w:t xml:space="preserve">6355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2"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8.9550781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2.50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5.0</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w:t>
            </w:r>
            <w:r w:rsidDel="00000000" w:rsidR="00000000" w:rsidRPr="00000000">
              <w:rPr>
                <w:sz w:val="20"/>
                <w:szCs w:val="20"/>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4.4775390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376" w:right="1892"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Sourcing Playbook thresholds have been applied as above, however to better reflect the current market a </w:t>
      </w:r>
      <w:r w:rsidDel="00000000" w:rsidR="00000000" w:rsidRPr="00000000">
        <w:rPr>
          <w:sz w:val="24"/>
          <w:szCs w:val="24"/>
          <w:rtl w:val="0"/>
        </w:rPr>
        <w:t xml:space="preserve">few have been changed.</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7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1, 3a, 4 &amp; 8 will not be assessed.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31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Appendix 2 – How and where to submit the required information</w:t>
      </w:r>
      <w:r w:rsidDel="00000000" w:rsidR="00000000" w:rsidRPr="00000000">
        <w:rPr>
          <w:rtl w:val="0"/>
        </w:rPr>
      </w:r>
    </w:p>
    <w:tbl>
      <w:tblPr>
        <w:tblStyle w:val="Table3"/>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Question to  </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9" w:right="18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upload zip folder (qualification  </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 your  </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as a  </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zip folder  </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EFS_ your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3" w:right="186"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281"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48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8" w:right="54"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 Bidder  </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response to  </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your  </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consortia  </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additional  </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Risk</w:t>
            </w: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FVRA_consortium  </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Upload all  </w: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w:t>
            </w:r>
            <w:r w:rsidDel="00000000" w:rsidR="00000000" w:rsidRPr="00000000">
              <w:rPr>
                <w:sz w:val="24"/>
                <w:szCs w:val="24"/>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Accounts (</w:t>
            </w:r>
            <w:r w:rsidDel="00000000" w:rsidR="00000000" w:rsidRPr="00000000">
              <w:rPr>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for</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Consortia  </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account  </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Consortium member response to  </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12_ consortium  </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additional  </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Attachment 5a  </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w:t>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Ad1FVRA_ your  </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Ad2FVRA_ your</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AdFVRA_ your organisation  </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w:t>
            </w:r>
            <w:r w:rsidDel="00000000" w:rsidR="00000000" w:rsidRPr="00000000">
              <w:rPr>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Financial Risk</w:t>
            </w: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rPr>
        <w:sz w:val="20"/>
        <w:szCs w:val="20"/>
      </w:rPr>
    </w:pPr>
    <w:r w:rsidDel="00000000" w:rsidR="00000000" w:rsidRPr="00000000">
      <w:rPr>
        <w:sz w:val="20"/>
        <w:szCs w:val="20"/>
        <w:rtl w:val="0"/>
      </w:rPr>
      <w:t xml:space="preserve">RM6355 </w:t>
    </w:r>
    <w:r w:rsidDel="00000000" w:rsidR="00000000" w:rsidRPr="00000000">
      <w:rPr>
        <w:sz w:val="20"/>
        <w:szCs w:val="20"/>
        <w:rtl w:val="0"/>
      </w:rPr>
      <w:t xml:space="preserve">Attachment 5 Financial Viability Risk Assessment Guidance v1.0</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textAlignment w:val="auto"/>
    </w:pPr>
    <w:rPr>
      <w:rFonts w:ascii="Times New Roman" w:cs="Times New Roman" w:eastAsia="Times New Roman" w:hAnsi="Times New Roman"/>
      <w:sz w:val="24"/>
      <w:szCs w:val="24"/>
      <w:lang w:bidi="ar-SA" w:eastAsia="en-GB"/>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waxLTTF74SI8gS0bSF0GIX7kg==">CgMxLjAyCGguZ2pkZ3hzMgloLjMwajB6bGwyCWguMWZvYjl0ZTgAciExRXlpbG9DSGhzbHd3MXl4NGpHNG9NV1lZeTRGa3ExbFc=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2023-05-22T18:00:00Z</dcterms:created>
  <dc:creator>Caroline Bradshaw</dc:creator>
</cp:coreProperties>
</file>