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812DD" w14:textId="77777777" w:rsidR="00EB090C" w:rsidRDefault="00EB090C" w:rsidP="00EB090C">
      <w:pPr>
        <w:pStyle w:val="Heading1"/>
        <w:keepNext w:val="0"/>
        <w:spacing w:after="300"/>
        <w:ind w:right="0"/>
        <w:jc w:val="left"/>
        <w:rPr>
          <w:sz w:val="22"/>
          <w:szCs w:val="22"/>
        </w:rPr>
      </w:pPr>
      <w:r w:rsidRPr="00051EFE">
        <w:rPr>
          <w:noProof/>
          <w:sz w:val="24"/>
          <w:szCs w:val="24"/>
        </w:rPr>
        <w:drawing>
          <wp:inline distT="0" distB="0" distL="0" distR="0" wp14:anchorId="1307AE7D" wp14:editId="28BDAE67">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7A58595C" w14:textId="5F38A730" w:rsidR="008D4855" w:rsidRPr="008D4855" w:rsidRDefault="002B17E4" w:rsidP="00EB090C">
      <w:pPr>
        <w:pStyle w:val="Heading1"/>
        <w:keepNext w:val="0"/>
        <w:spacing w:after="300"/>
        <w:ind w:right="0"/>
        <w:rPr>
          <w:sz w:val="22"/>
          <w:szCs w:val="22"/>
        </w:rPr>
      </w:pPr>
      <w:r>
        <w:rPr>
          <w:sz w:val="22"/>
          <w:szCs w:val="22"/>
        </w:rPr>
        <w:t>TCA 3/7/1088</w:t>
      </w:r>
    </w:p>
    <w:p w14:paraId="2A691DA7" w14:textId="77777777"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14:paraId="1DA353A1" w14:textId="77777777" w:rsidR="008D4855" w:rsidRPr="001D6C07" w:rsidRDefault="008D4855" w:rsidP="001D6C07">
      <w:pPr>
        <w:keepLines/>
        <w:suppressLineNumbers/>
        <w:suppressAutoHyphens/>
        <w:spacing w:before="120" w:after="120" w:line="240" w:lineRule="auto"/>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14:paraId="1DCC17AA" w14:textId="77777777" w:rsidR="00463459" w:rsidRDefault="00463459" w:rsidP="00463459">
      <w:pPr>
        <w:pStyle w:val="DfTLevel1"/>
        <w:keepLines/>
        <w:suppressLineNumbers/>
        <w:spacing w:before="120" w:after="120"/>
        <w:jc w:val="both"/>
        <w:rPr>
          <w:rFonts w:cs="Arial"/>
          <w:sz w:val="22"/>
          <w:szCs w:val="22"/>
        </w:rPr>
      </w:pPr>
    </w:p>
    <w:p w14:paraId="39B495DF"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5FE65FEE" w14:textId="48E7A159" w:rsidR="00463459" w:rsidRDefault="00463459" w:rsidP="001D6C07">
      <w:pPr>
        <w:pStyle w:val="DfTLevel1"/>
        <w:keepLines/>
        <w:numPr>
          <w:ilvl w:val="0"/>
          <w:numId w:val="14"/>
        </w:numPr>
        <w:suppressLineNumbers/>
        <w:spacing w:before="120" w:after="120"/>
        <w:ind w:hanging="720"/>
        <w:jc w:val="both"/>
        <w:rPr>
          <w:rFonts w:cs="Arial"/>
          <w:sz w:val="22"/>
          <w:szCs w:val="22"/>
        </w:rPr>
      </w:pPr>
      <w:r w:rsidRPr="00463459">
        <w:rPr>
          <w:rFonts w:cs="Arial"/>
          <w:sz w:val="22"/>
          <w:szCs w:val="22"/>
        </w:rPr>
        <w:t xml:space="preserve">This contract has been advertised </w:t>
      </w:r>
      <w:bookmarkStart w:id="0" w:name="_GoBack"/>
      <w:bookmarkEnd w:id="0"/>
      <w:r w:rsidRPr="00463459">
        <w:rPr>
          <w:rFonts w:cs="Arial"/>
          <w:sz w:val="22"/>
          <w:szCs w:val="22"/>
        </w:rPr>
        <w:t>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23FB1816" w14:textId="7452E378"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7"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Pr="00C85D8A">
        <w:rPr>
          <w:rFonts w:cs="Arial"/>
          <w:b/>
          <w:sz w:val="22"/>
          <w:szCs w:val="22"/>
        </w:rPr>
        <w:t>5pm on</w:t>
      </w:r>
      <w:r w:rsidR="0046146E" w:rsidRPr="00C85D8A">
        <w:rPr>
          <w:rFonts w:cs="Arial"/>
          <w:b/>
          <w:sz w:val="22"/>
          <w:szCs w:val="22"/>
        </w:rPr>
        <w:t xml:space="preserve"> </w:t>
      </w:r>
      <w:r w:rsidR="00C85D8A" w:rsidRPr="00C85D8A">
        <w:rPr>
          <w:rFonts w:cs="Arial"/>
          <w:b/>
          <w:sz w:val="22"/>
          <w:szCs w:val="22"/>
        </w:rPr>
        <w:t>19</w:t>
      </w:r>
      <w:r w:rsidR="00C85D8A" w:rsidRPr="00C85D8A">
        <w:rPr>
          <w:rFonts w:cs="Arial"/>
          <w:b/>
          <w:sz w:val="22"/>
          <w:szCs w:val="22"/>
          <w:vertAlign w:val="superscript"/>
        </w:rPr>
        <w:t>th</w:t>
      </w:r>
      <w:r w:rsidR="00C85D8A" w:rsidRPr="00C85D8A">
        <w:rPr>
          <w:rFonts w:cs="Arial"/>
          <w:b/>
          <w:sz w:val="22"/>
          <w:szCs w:val="22"/>
        </w:rPr>
        <w:t xml:space="preserve"> April</w:t>
      </w:r>
      <w:r w:rsidR="001D6C07" w:rsidRPr="00C85D8A">
        <w:rPr>
          <w:rFonts w:cs="Arial"/>
          <w:b/>
          <w:sz w:val="22"/>
          <w:szCs w:val="22"/>
        </w:rPr>
        <w:t xml:space="preserve"> 2019</w:t>
      </w:r>
      <w:r w:rsidRPr="00C85D8A">
        <w:rPr>
          <w:rFonts w:cs="Arial"/>
          <w:sz w:val="22"/>
          <w:szCs w:val="22"/>
        </w:rPr>
        <w:t>.</w:t>
      </w:r>
      <w:r>
        <w:rPr>
          <w:rFonts w:cs="Arial"/>
          <w:sz w:val="22"/>
          <w:szCs w:val="22"/>
        </w:rPr>
        <w:t xml:space="preserve">  </w:t>
      </w:r>
    </w:p>
    <w:p w14:paraId="72D7C9AC"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5B60C8D7"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2B05B59A" w14:textId="77777777"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14:paraId="15149217" w14:textId="77777777" w:rsidR="008D4855" w:rsidRDefault="008D4855" w:rsidP="008D4855">
      <w:pPr>
        <w:keepLines/>
        <w:suppressLineNumbers/>
        <w:suppressAutoHyphens/>
        <w:spacing w:before="120" w:after="120"/>
        <w:jc w:val="both"/>
        <w:rPr>
          <w:rFonts w:ascii="Arial" w:hAnsi="Arial" w:cs="Arial"/>
        </w:rPr>
      </w:pPr>
    </w:p>
    <w:p w14:paraId="51353839"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01BAC192" w14:textId="69ABF8BC"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C85D8A">
        <w:rPr>
          <w:rFonts w:cs="Arial"/>
          <w:b/>
          <w:sz w:val="22"/>
          <w:szCs w:val="22"/>
        </w:rPr>
        <w:t>11am on</w:t>
      </w:r>
      <w:r w:rsidR="00FA0332" w:rsidRPr="00C85D8A">
        <w:rPr>
          <w:rFonts w:cs="Arial"/>
          <w:b/>
          <w:sz w:val="22"/>
          <w:szCs w:val="22"/>
        </w:rPr>
        <w:t xml:space="preserve"> </w:t>
      </w:r>
      <w:r w:rsidR="00C85D8A" w:rsidRPr="00C85D8A">
        <w:rPr>
          <w:rFonts w:cs="Arial"/>
          <w:b/>
          <w:sz w:val="22"/>
          <w:szCs w:val="22"/>
        </w:rPr>
        <w:t>26</w:t>
      </w:r>
      <w:r w:rsidR="00C85D8A" w:rsidRPr="00C85D8A">
        <w:rPr>
          <w:rFonts w:cs="Arial"/>
          <w:b/>
          <w:sz w:val="22"/>
          <w:szCs w:val="22"/>
          <w:vertAlign w:val="superscript"/>
        </w:rPr>
        <w:t>th</w:t>
      </w:r>
      <w:r w:rsidR="00C85D8A" w:rsidRPr="00C85D8A">
        <w:rPr>
          <w:rFonts w:cs="Arial"/>
          <w:b/>
          <w:sz w:val="22"/>
          <w:szCs w:val="22"/>
        </w:rPr>
        <w:t xml:space="preserve"> April</w:t>
      </w:r>
      <w:r w:rsidR="00EB090C" w:rsidRPr="00C85D8A">
        <w:rPr>
          <w:rFonts w:cs="Arial"/>
          <w:b/>
          <w:sz w:val="22"/>
          <w:szCs w:val="22"/>
        </w:rPr>
        <w:t xml:space="preserve"> 201</w:t>
      </w:r>
      <w:r w:rsidR="001D6C07" w:rsidRPr="00C85D8A">
        <w:rPr>
          <w:rFonts w:cs="Arial"/>
          <w:b/>
          <w:sz w:val="22"/>
          <w:szCs w:val="22"/>
        </w:rPr>
        <w:t>9</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74A0AFDD"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5387A979"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167D5F00" w14:textId="77777777"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14:paraId="62B246E2" w14:textId="77777777"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14:paraId="6C563BAB" w14:textId="77777777" w:rsidR="008D4855" w:rsidRPr="008D4855" w:rsidRDefault="008D4855" w:rsidP="008D4855">
      <w:pPr>
        <w:spacing w:after="0"/>
        <w:ind w:left="735" w:hanging="735"/>
        <w:jc w:val="both"/>
        <w:rPr>
          <w:rFonts w:ascii="Arial" w:hAnsi="Arial" w:cs="Arial"/>
        </w:rPr>
      </w:pPr>
    </w:p>
    <w:p w14:paraId="433BFAB8" w14:textId="77777777" w:rsidR="008D4855" w:rsidRPr="00FA0332" w:rsidRDefault="008D4855" w:rsidP="00FA0332">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14:paraId="6F0E3863" w14:textId="77777777" w:rsidR="001839D4" w:rsidRPr="001839D4" w:rsidRDefault="001839D4" w:rsidP="001839D4">
      <w:pPr>
        <w:pStyle w:val="ListParagraph"/>
        <w:rPr>
          <w:rFonts w:ascii="Arial" w:eastAsia="Times New Roman" w:hAnsi="Arial" w:cs="Arial"/>
          <w:lang w:val="en-US"/>
        </w:rPr>
      </w:pPr>
    </w:p>
    <w:p w14:paraId="0F961C1D" w14:textId="77777777" w:rsid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w:t>
      </w:r>
      <w:r w:rsidR="003141AE">
        <w:rPr>
          <w:rFonts w:ascii="Arial" w:eastAsia="Times New Roman" w:hAnsi="Arial" w:cs="Arial"/>
          <w:lang w:val="en-US"/>
        </w:rPr>
        <w:t>the MCA’s template Pricing Schedule must be used and</w:t>
      </w:r>
      <w:r>
        <w:rPr>
          <w:rFonts w:ascii="Arial" w:eastAsia="Times New Roman" w:hAnsi="Arial" w:cs="Arial"/>
          <w:lang w:val="en-US"/>
        </w:rPr>
        <w:t xml:space="preserve"> can be downloaded from Contracts Finder);</w:t>
      </w:r>
    </w:p>
    <w:p w14:paraId="0CC1389D" w14:textId="77777777" w:rsidR="00DA05A2" w:rsidRPr="00272416" w:rsidRDefault="00DA05A2" w:rsidP="00272416">
      <w:pPr>
        <w:rPr>
          <w:rFonts w:ascii="Arial" w:hAnsi="Arial" w:cs="Arial"/>
        </w:rPr>
      </w:pPr>
    </w:p>
    <w:p w14:paraId="6BA59BBA" w14:textId="77777777" w:rsidR="00A05800" w:rsidRPr="00A05800" w:rsidRDefault="00FB5886" w:rsidP="00A05800">
      <w:pPr>
        <w:pStyle w:val="ListParagraph"/>
        <w:numPr>
          <w:ilvl w:val="0"/>
          <w:numId w:val="1"/>
        </w:numPr>
        <w:spacing w:line="240" w:lineRule="auto"/>
        <w:rPr>
          <w:rFonts w:ascii="Arial" w:hAnsi="Arial" w:cs="Arial"/>
        </w:rPr>
      </w:pPr>
      <w:r w:rsidRPr="00FB5886">
        <w:rPr>
          <w:rFonts w:ascii="Arial" w:hAnsi="Arial" w:cs="Arial"/>
        </w:rPr>
        <w:t>Tenders may not be considered if any of the information requested is not supplied with the tender or the tender is otherwise non-compliant or incomplete.</w:t>
      </w:r>
    </w:p>
    <w:p w14:paraId="4B540D5B" w14:textId="77777777" w:rsidR="00A05800" w:rsidRPr="00A05800" w:rsidRDefault="00A05800" w:rsidP="00A05800">
      <w:pPr>
        <w:pStyle w:val="ListParagraph"/>
        <w:spacing w:line="240" w:lineRule="auto"/>
        <w:ind w:left="1095"/>
        <w:rPr>
          <w:rFonts w:ascii="Arial" w:hAnsi="Arial" w:cs="Arial"/>
        </w:rPr>
      </w:pPr>
    </w:p>
    <w:p w14:paraId="72912D5A" w14:textId="77777777"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14:paraId="4685D8F8" w14:textId="77777777" w:rsidR="00A05800" w:rsidRPr="00FC464A" w:rsidRDefault="00A05800" w:rsidP="00FC464A">
      <w:pPr>
        <w:pStyle w:val="ListParagraph"/>
        <w:spacing w:after="0"/>
        <w:jc w:val="both"/>
        <w:rPr>
          <w:rFonts w:ascii="Arial" w:hAnsi="Arial" w:cs="Arial"/>
        </w:rPr>
      </w:pPr>
    </w:p>
    <w:p w14:paraId="17E184ED"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14:paraId="41B541FA"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14:paraId="61B0F167"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14:paraId="5C29F799"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510C9A19" w14:textId="77777777"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14:paraId="6B809209" w14:textId="0E46EE1C" w:rsidR="00324364" w:rsidRPr="00571DAC" w:rsidRDefault="00324364" w:rsidP="00463459">
      <w:pPr>
        <w:pStyle w:val="DfTLevel1"/>
        <w:keepLines/>
        <w:numPr>
          <w:ilvl w:val="0"/>
          <w:numId w:val="15"/>
        </w:numPr>
        <w:suppressLineNumbers/>
        <w:spacing w:before="120" w:after="120"/>
        <w:ind w:hanging="720"/>
        <w:jc w:val="both"/>
        <w:rPr>
          <w:rFonts w:cs="Arial"/>
          <w:sz w:val="22"/>
          <w:szCs w:val="22"/>
        </w:rPr>
      </w:pPr>
      <w:r w:rsidRPr="008F35D8">
        <w:rPr>
          <w:sz w:val="22"/>
          <w:szCs w:val="22"/>
        </w:rPr>
        <w:t xml:space="preserve">You must not offer or give, or agree to give, to the </w:t>
      </w:r>
      <w:r>
        <w:rPr>
          <w:sz w:val="22"/>
          <w:szCs w:val="22"/>
        </w:rPr>
        <w:t xml:space="preserve">MCA </w:t>
      </w:r>
      <w:r w:rsidRPr="008F35D8">
        <w:rPr>
          <w:sz w:val="22"/>
          <w:szCs w:val="22"/>
        </w:rPr>
        <w:t xml:space="preserve">or any person employed by or on behalf of the </w:t>
      </w:r>
      <w:r>
        <w:rPr>
          <w:sz w:val="22"/>
          <w:szCs w:val="22"/>
        </w:rPr>
        <w:t xml:space="preserve">MCA </w:t>
      </w:r>
      <w:r w:rsidRPr="008F35D8">
        <w:rPr>
          <w:sz w:val="22"/>
          <w:szCs w:val="22"/>
        </w:rPr>
        <w:t xml:space="preserve">any gift or consideration of any kind as an inducement or reward for doing, refraining from doing, or for having done or refrained from doing, any act in relation to the obtaining or execution of the </w:t>
      </w:r>
      <w:r>
        <w:rPr>
          <w:sz w:val="22"/>
          <w:szCs w:val="22"/>
        </w:rPr>
        <w:t>c</w:t>
      </w:r>
      <w:r w:rsidRPr="008F35D8">
        <w:rPr>
          <w:sz w:val="22"/>
          <w:szCs w:val="22"/>
        </w:rPr>
        <w:t xml:space="preserve">ontract, or for showing or refraining from showing favour or disfavour to any person in relation to the </w:t>
      </w:r>
      <w:r>
        <w:rPr>
          <w:sz w:val="22"/>
          <w:szCs w:val="22"/>
        </w:rPr>
        <w:t>c</w:t>
      </w:r>
      <w:r w:rsidRPr="008F35D8">
        <w:rPr>
          <w:sz w:val="22"/>
          <w:szCs w:val="22"/>
        </w:rPr>
        <w:t>ontract.</w:t>
      </w:r>
    </w:p>
    <w:p w14:paraId="159AC5D6" w14:textId="77777777" w:rsidR="000F3750" w:rsidRDefault="000F3750" w:rsidP="00571DAC">
      <w:pPr>
        <w:pStyle w:val="DfTLevel1"/>
        <w:keepLines/>
        <w:suppressLineNumbers/>
        <w:spacing w:before="120" w:after="120"/>
        <w:jc w:val="both"/>
        <w:rPr>
          <w:rFonts w:cs="Arial"/>
          <w:b/>
          <w:sz w:val="22"/>
          <w:szCs w:val="22"/>
        </w:rPr>
      </w:pPr>
    </w:p>
    <w:p w14:paraId="5888E61B" w14:textId="77777777" w:rsidR="000F3750" w:rsidRDefault="000F3750" w:rsidP="00571DAC">
      <w:pPr>
        <w:pStyle w:val="DfTLevel1"/>
        <w:keepLines/>
        <w:suppressLineNumbers/>
        <w:spacing w:before="120" w:after="120"/>
        <w:jc w:val="both"/>
        <w:rPr>
          <w:rFonts w:cs="Arial"/>
          <w:b/>
          <w:sz w:val="22"/>
          <w:szCs w:val="22"/>
        </w:rPr>
      </w:pPr>
    </w:p>
    <w:p w14:paraId="0CFA0627" w14:textId="6DA470D1" w:rsidR="00571DAC" w:rsidRPr="00571DAC" w:rsidRDefault="00571DAC" w:rsidP="00571DAC">
      <w:pPr>
        <w:pStyle w:val="DfTLevel1"/>
        <w:keepLines/>
        <w:suppressLineNumbers/>
        <w:spacing w:before="120" w:after="120"/>
        <w:jc w:val="both"/>
        <w:rPr>
          <w:rFonts w:cs="Arial"/>
          <w:b/>
          <w:sz w:val="22"/>
          <w:szCs w:val="22"/>
        </w:rPr>
      </w:pPr>
      <w:r w:rsidRPr="00571DAC">
        <w:rPr>
          <w:rFonts w:cs="Arial"/>
          <w:b/>
          <w:sz w:val="22"/>
          <w:szCs w:val="22"/>
        </w:rPr>
        <w:t>Documentation</w:t>
      </w:r>
    </w:p>
    <w:p w14:paraId="528727DC" w14:textId="4D226B39" w:rsidR="001D6C07" w:rsidRPr="00571DAC" w:rsidRDefault="00571DAC" w:rsidP="00571DAC">
      <w:pPr>
        <w:pStyle w:val="DfTLevel1"/>
        <w:keepLines/>
        <w:numPr>
          <w:ilvl w:val="0"/>
          <w:numId w:val="15"/>
        </w:numPr>
        <w:suppressLineNumbers/>
        <w:spacing w:before="120" w:after="120"/>
        <w:ind w:hanging="720"/>
        <w:jc w:val="both"/>
        <w:rPr>
          <w:rFonts w:cs="Arial"/>
          <w:sz w:val="22"/>
          <w:szCs w:val="22"/>
        </w:rPr>
      </w:pPr>
      <w:r w:rsidRPr="00571DAC">
        <w:rPr>
          <w:rFonts w:cs="Arial"/>
          <w:sz w:val="22"/>
          <w:szCs w:val="22"/>
        </w:rPr>
        <w:lastRenderedPageBreak/>
        <w:t>Correspondence will, unless stipulated otherwise by DfT/MCA, be by email.  Documentation should be provided electronically (using Microsoft Office applications (Word, Excel or PowerPoint) or PDF formats as requested) and (where requested), in hard copy.</w:t>
      </w:r>
    </w:p>
    <w:p w14:paraId="2610F558" w14:textId="77777777"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14:paraId="73A10350" w14:textId="77777777"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030905CF"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14:paraId="0C307F7D" w14:textId="77777777" w:rsidR="00FC464A"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3B97951C" w14:textId="77777777" w:rsidR="00DA7DD0" w:rsidRPr="008D4855" w:rsidRDefault="00DA7DD0" w:rsidP="00DA7DD0">
      <w:pPr>
        <w:pStyle w:val="DfTLevel1"/>
        <w:keepLines/>
        <w:suppressLineNumbers/>
        <w:spacing w:before="120" w:after="120"/>
        <w:ind w:left="720"/>
        <w:jc w:val="both"/>
        <w:rPr>
          <w:rFonts w:cs="Arial"/>
          <w:sz w:val="22"/>
          <w:szCs w:val="22"/>
        </w:rPr>
      </w:pPr>
    </w:p>
    <w:p w14:paraId="41403492"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572D94B0" w14:textId="77777777"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14:paraId="4CE4C1E3" w14:textId="77777777" w:rsidR="00075489" w:rsidRDefault="00075489" w:rsidP="006C2B6A">
      <w:pPr>
        <w:autoSpaceDE w:val="0"/>
        <w:autoSpaceDN w:val="0"/>
        <w:adjustRightInd w:val="0"/>
        <w:spacing w:after="0" w:line="240" w:lineRule="auto"/>
        <w:jc w:val="both"/>
        <w:rPr>
          <w:rFonts w:ascii="Arial" w:eastAsia="Calibri" w:hAnsi="Arial" w:cs="Arial"/>
          <w:b/>
          <w:color w:val="000000"/>
          <w:lang w:eastAsia="en-GB"/>
        </w:rPr>
      </w:pPr>
    </w:p>
    <w:p w14:paraId="20E26232" w14:textId="665B053C" w:rsidR="006C2B6A" w:rsidRPr="006C2B6A" w:rsidRDefault="006C2B6A" w:rsidP="006C2B6A">
      <w:pPr>
        <w:autoSpaceDE w:val="0"/>
        <w:autoSpaceDN w:val="0"/>
        <w:adjustRightInd w:val="0"/>
        <w:spacing w:after="0" w:line="240" w:lineRule="auto"/>
        <w:jc w:val="both"/>
        <w:rPr>
          <w:rFonts w:ascii="Arial" w:eastAsia="Calibri" w:hAnsi="Arial" w:cs="Arial"/>
          <w:b/>
          <w:color w:val="000000"/>
          <w:lang w:eastAsia="en-GB"/>
        </w:rPr>
      </w:pPr>
      <w:r w:rsidRPr="006C2B6A">
        <w:rPr>
          <w:rFonts w:ascii="Arial" w:eastAsia="Calibri" w:hAnsi="Arial" w:cs="Arial"/>
          <w:b/>
          <w:color w:val="000000"/>
          <w:lang w:eastAsia="en-GB"/>
        </w:rPr>
        <w:t xml:space="preserve">Relevant </w:t>
      </w:r>
      <w:r>
        <w:rPr>
          <w:rFonts w:ascii="Arial" w:eastAsia="Calibri" w:hAnsi="Arial" w:cs="Arial"/>
          <w:b/>
          <w:color w:val="000000"/>
          <w:lang w:eastAsia="en-GB"/>
        </w:rPr>
        <w:t>E</w:t>
      </w:r>
      <w:r w:rsidRPr="006C2B6A">
        <w:rPr>
          <w:rFonts w:ascii="Arial" w:eastAsia="Calibri" w:hAnsi="Arial" w:cs="Arial"/>
          <w:b/>
          <w:color w:val="000000"/>
          <w:lang w:eastAsia="en-GB"/>
        </w:rPr>
        <w:t xml:space="preserve">xperience and </w:t>
      </w:r>
      <w:r>
        <w:rPr>
          <w:rFonts w:ascii="Arial" w:eastAsia="Calibri" w:hAnsi="Arial" w:cs="Arial"/>
          <w:b/>
          <w:color w:val="000000"/>
          <w:lang w:eastAsia="en-GB"/>
        </w:rPr>
        <w:t>C</w:t>
      </w:r>
      <w:r w:rsidRPr="006C2B6A">
        <w:rPr>
          <w:rFonts w:ascii="Arial" w:eastAsia="Calibri" w:hAnsi="Arial" w:cs="Arial"/>
          <w:b/>
          <w:color w:val="000000"/>
          <w:lang w:eastAsia="en-GB"/>
        </w:rPr>
        <w:t xml:space="preserve">ontract </w:t>
      </w:r>
      <w:r>
        <w:rPr>
          <w:rFonts w:ascii="Arial" w:eastAsia="Calibri" w:hAnsi="Arial" w:cs="Arial"/>
          <w:b/>
          <w:color w:val="000000"/>
          <w:lang w:eastAsia="en-GB"/>
        </w:rPr>
        <w:t>E</w:t>
      </w:r>
      <w:r w:rsidRPr="006C2B6A">
        <w:rPr>
          <w:rFonts w:ascii="Arial" w:eastAsia="Calibri" w:hAnsi="Arial" w:cs="Arial"/>
          <w:b/>
          <w:color w:val="000000"/>
          <w:lang w:eastAsia="en-GB"/>
        </w:rPr>
        <w:t>xamples</w:t>
      </w:r>
    </w:p>
    <w:p w14:paraId="27DDECC3" w14:textId="77777777" w:rsidR="006C2B6A" w:rsidRPr="006C2B6A" w:rsidRDefault="006C2B6A" w:rsidP="006C2B6A">
      <w:pPr>
        <w:autoSpaceDE w:val="0"/>
        <w:autoSpaceDN w:val="0"/>
        <w:adjustRightInd w:val="0"/>
        <w:spacing w:after="0" w:line="240" w:lineRule="auto"/>
        <w:ind w:left="1080"/>
        <w:jc w:val="both"/>
        <w:rPr>
          <w:rFonts w:ascii="Arial" w:eastAsia="Calibri" w:hAnsi="Arial" w:cs="Arial"/>
          <w:color w:val="000000"/>
          <w:lang w:eastAsia="en-GB"/>
        </w:rPr>
      </w:pPr>
    </w:p>
    <w:p w14:paraId="07D0AB17" w14:textId="7E864E86" w:rsidR="006C2B6A" w:rsidRPr="006C2B6A" w:rsidRDefault="006C2B6A" w:rsidP="006C2B6A">
      <w:pPr>
        <w:autoSpaceDE w:val="0"/>
        <w:autoSpaceDN w:val="0"/>
        <w:adjustRightInd w:val="0"/>
        <w:spacing w:after="0" w:line="240" w:lineRule="auto"/>
        <w:ind w:left="720" w:hanging="720"/>
        <w:jc w:val="both"/>
        <w:rPr>
          <w:rFonts w:ascii="Arial" w:eastAsia="Calibri" w:hAnsi="Arial" w:cs="Arial"/>
          <w:color w:val="000000"/>
          <w:lang w:eastAsia="en-GB"/>
        </w:rPr>
      </w:pPr>
      <w:r>
        <w:rPr>
          <w:rFonts w:ascii="Arial" w:eastAsia="Calibri" w:hAnsi="Arial" w:cs="Arial"/>
          <w:color w:val="000000"/>
          <w:lang w:eastAsia="en-GB"/>
        </w:rPr>
        <w:t>22.</w:t>
      </w:r>
      <w:r w:rsidRPr="006C2B6A">
        <w:rPr>
          <w:rFonts w:ascii="Arial" w:eastAsia="Calibri" w:hAnsi="Arial" w:cs="Arial"/>
          <w:color w:val="000000"/>
          <w:lang w:eastAsia="en-GB"/>
        </w:rPr>
        <w:tab/>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6B40584F" w14:textId="77777777" w:rsidR="006C2B6A" w:rsidRPr="006C2B6A" w:rsidRDefault="006C2B6A" w:rsidP="006C2B6A">
      <w:pPr>
        <w:autoSpaceDE w:val="0"/>
        <w:autoSpaceDN w:val="0"/>
        <w:adjustRightInd w:val="0"/>
        <w:spacing w:after="0" w:line="240" w:lineRule="auto"/>
        <w:ind w:left="1080"/>
        <w:jc w:val="both"/>
        <w:rPr>
          <w:rFonts w:ascii="Arial" w:eastAsia="Calibri" w:hAnsi="Arial" w:cs="Arial"/>
          <w:color w:val="000000"/>
          <w:lang w:eastAsia="en-GB"/>
        </w:rPr>
      </w:pPr>
    </w:p>
    <w:p w14:paraId="1E88CF6E" w14:textId="1CC1A871" w:rsidR="006C2B6A" w:rsidRPr="006C2B6A" w:rsidRDefault="006C2B6A" w:rsidP="006C2B6A">
      <w:pPr>
        <w:autoSpaceDE w:val="0"/>
        <w:autoSpaceDN w:val="0"/>
        <w:adjustRightInd w:val="0"/>
        <w:spacing w:after="0" w:line="240" w:lineRule="auto"/>
        <w:ind w:left="720" w:hanging="720"/>
        <w:jc w:val="both"/>
        <w:rPr>
          <w:rFonts w:ascii="Arial" w:eastAsia="Calibri" w:hAnsi="Arial" w:cs="Arial"/>
          <w:color w:val="000000"/>
          <w:lang w:eastAsia="en-GB"/>
        </w:rPr>
      </w:pPr>
      <w:r>
        <w:rPr>
          <w:rFonts w:ascii="Arial" w:eastAsia="Calibri" w:hAnsi="Arial" w:cs="Arial"/>
          <w:color w:val="000000"/>
          <w:lang w:eastAsia="en-GB"/>
        </w:rPr>
        <w:t>23.</w:t>
      </w:r>
      <w:r w:rsidRPr="006C2B6A">
        <w:rPr>
          <w:rFonts w:ascii="Arial" w:eastAsia="Calibri" w:hAnsi="Arial" w:cs="Arial"/>
          <w:color w:val="000000"/>
          <w:lang w:eastAsia="en-GB"/>
        </w:rPr>
        <w:tab/>
        <w:t>If requested, the named contact provided should be able to provide written evidence to confirm the accuracy of the information provided in the table below.</w:t>
      </w:r>
    </w:p>
    <w:p w14:paraId="018A64D7" w14:textId="77777777" w:rsidR="006C2B6A" w:rsidRPr="006C2B6A" w:rsidRDefault="006C2B6A" w:rsidP="006C2B6A">
      <w:pPr>
        <w:autoSpaceDE w:val="0"/>
        <w:autoSpaceDN w:val="0"/>
        <w:adjustRightInd w:val="0"/>
        <w:spacing w:after="0" w:line="240" w:lineRule="auto"/>
        <w:ind w:left="1080"/>
        <w:jc w:val="both"/>
        <w:rPr>
          <w:rFonts w:ascii="Arial" w:eastAsia="Calibri" w:hAnsi="Arial" w:cs="Arial"/>
          <w:color w:val="000000"/>
          <w:lang w:eastAsia="en-GB"/>
        </w:rPr>
      </w:pPr>
    </w:p>
    <w:tbl>
      <w:tblPr>
        <w:tblpPr w:leftFromText="180" w:rightFromText="180" w:vertAnchor="text" w:horzAnchor="margin" w:tblpY="112"/>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6C2B6A" w:rsidRPr="006C2B6A" w14:paraId="49C7EE88" w14:textId="77777777" w:rsidTr="006C2B6A">
        <w:trPr>
          <w:trHeight w:val="420"/>
        </w:trPr>
        <w:tc>
          <w:tcPr>
            <w:tcW w:w="2334" w:type="dxa"/>
          </w:tcPr>
          <w:p w14:paraId="34DAFFCC"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5094091A"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Contract 1</w:t>
            </w:r>
          </w:p>
        </w:tc>
        <w:tc>
          <w:tcPr>
            <w:tcW w:w="2334" w:type="dxa"/>
          </w:tcPr>
          <w:p w14:paraId="5A2E1C09"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Contract 2</w:t>
            </w:r>
          </w:p>
        </w:tc>
        <w:tc>
          <w:tcPr>
            <w:tcW w:w="2335" w:type="dxa"/>
          </w:tcPr>
          <w:p w14:paraId="35F66D32"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Contract 3</w:t>
            </w:r>
          </w:p>
        </w:tc>
      </w:tr>
      <w:tr w:rsidR="006C2B6A" w:rsidRPr="006C2B6A" w14:paraId="3AF50EE4" w14:textId="77777777" w:rsidTr="006C2B6A">
        <w:trPr>
          <w:trHeight w:val="840"/>
        </w:trPr>
        <w:tc>
          <w:tcPr>
            <w:tcW w:w="2334" w:type="dxa"/>
          </w:tcPr>
          <w:p w14:paraId="1616A94E"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Name of customer organisation</w:t>
            </w:r>
          </w:p>
        </w:tc>
        <w:tc>
          <w:tcPr>
            <w:tcW w:w="2334" w:type="dxa"/>
          </w:tcPr>
          <w:p w14:paraId="7E69DD43"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3E5A61EE"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2C6BB46A"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r w:rsidR="006C2B6A" w:rsidRPr="006C2B6A" w14:paraId="26775E33" w14:textId="77777777" w:rsidTr="006C2B6A">
        <w:trPr>
          <w:trHeight w:val="420"/>
        </w:trPr>
        <w:tc>
          <w:tcPr>
            <w:tcW w:w="2334" w:type="dxa"/>
          </w:tcPr>
          <w:p w14:paraId="66490623"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Point of contact in the organisation</w:t>
            </w:r>
          </w:p>
        </w:tc>
        <w:tc>
          <w:tcPr>
            <w:tcW w:w="2334" w:type="dxa"/>
          </w:tcPr>
          <w:p w14:paraId="1A7D473B"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53226618"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69B38161"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r w:rsidR="006C2B6A" w:rsidRPr="006C2B6A" w14:paraId="5F03C7A6" w14:textId="77777777" w:rsidTr="006C2B6A">
        <w:trPr>
          <w:trHeight w:val="420"/>
        </w:trPr>
        <w:tc>
          <w:tcPr>
            <w:tcW w:w="2334" w:type="dxa"/>
          </w:tcPr>
          <w:p w14:paraId="4C659CF3" w14:textId="0331ECC4"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Position in the organisation</w:t>
            </w:r>
          </w:p>
        </w:tc>
        <w:tc>
          <w:tcPr>
            <w:tcW w:w="2334" w:type="dxa"/>
          </w:tcPr>
          <w:p w14:paraId="7142E89F"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2EE30D81"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5789DD83"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r w:rsidR="006C2B6A" w:rsidRPr="006C2B6A" w14:paraId="320DB3B0" w14:textId="77777777" w:rsidTr="006C2B6A">
        <w:trPr>
          <w:trHeight w:val="420"/>
        </w:trPr>
        <w:tc>
          <w:tcPr>
            <w:tcW w:w="2334" w:type="dxa"/>
          </w:tcPr>
          <w:p w14:paraId="2F0F1C13"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E-mail address</w:t>
            </w:r>
          </w:p>
        </w:tc>
        <w:tc>
          <w:tcPr>
            <w:tcW w:w="2334" w:type="dxa"/>
          </w:tcPr>
          <w:p w14:paraId="71B4C689"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3F317A78"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68341B71"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r w:rsidR="006C2B6A" w:rsidRPr="006C2B6A" w14:paraId="3CA7F95F" w14:textId="77777777" w:rsidTr="006C2B6A">
        <w:trPr>
          <w:trHeight w:val="420"/>
        </w:trPr>
        <w:tc>
          <w:tcPr>
            <w:tcW w:w="2334" w:type="dxa"/>
          </w:tcPr>
          <w:p w14:paraId="52B34785"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lastRenderedPageBreak/>
              <w:t xml:space="preserve">Description of contract </w:t>
            </w:r>
          </w:p>
        </w:tc>
        <w:tc>
          <w:tcPr>
            <w:tcW w:w="2334" w:type="dxa"/>
          </w:tcPr>
          <w:p w14:paraId="42CB9853"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179F8E48"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5F2229BC"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r w:rsidR="006C2B6A" w:rsidRPr="006C2B6A" w14:paraId="462E00A1" w14:textId="77777777" w:rsidTr="006C2B6A">
        <w:trPr>
          <w:trHeight w:val="420"/>
        </w:trPr>
        <w:tc>
          <w:tcPr>
            <w:tcW w:w="2334" w:type="dxa"/>
          </w:tcPr>
          <w:p w14:paraId="131696D1"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Contract Start date</w:t>
            </w:r>
          </w:p>
        </w:tc>
        <w:tc>
          <w:tcPr>
            <w:tcW w:w="2334" w:type="dxa"/>
          </w:tcPr>
          <w:p w14:paraId="64A49994"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19A4B1D0"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5E463361"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r w:rsidR="006C2B6A" w:rsidRPr="006C2B6A" w14:paraId="3825D824" w14:textId="77777777" w:rsidTr="006C2B6A">
        <w:trPr>
          <w:trHeight w:val="420"/>
        </w:trPr>
        <w:tc>
          <w:tcPr>
            <w:tcW w:w="2334" w:type="dxa"/>
          </w:tcPr>
          <w:p w14:paraId="6DDB0C02"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Contract completion date</w:t>
            </w:r>
          </w:p>
        </w:tc>
        <w:tc>
          <w:tcPr>
            <w:tcW w:w="2334" w:type="dxa"/>
          </w:tcPr>
          <w:p w14:paraId="07689BAC"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5328BB2C"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5CA16ED5"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r w:rsidR="006C2B6A" w:rsidRPr="006C2B6A" w14:paraId="300849BC" w14:textId="77777777" w:rsidTr="006C2B6A">
        <w:trPr>
          <w:trHeight w:val="420"/>
        </w:trPr>
        <w:tc>
          <w:tcPr>
            <w:tcW w:w="2334" w:type="dxa"/>
          </w:tcPr>
          <w:p w14:paraId="1EE1B319"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r w:rsidRPr="006C2B6A">
              <w:rPr>
                <w:rFonts w:ascii="Arial" w:eastAsia="Arial" w:hAnsi="Arial" w:cs="Arial"/>
                <w:b/>
                <w:color w:val="000000"/>
              </w:rPr>
              <w:t>Estimated contract value</w:t>
            </w:r>
          </w:p>
        </w:tc>
        <w:tc>
          <w:tcPr>
            <w:tcW w:w="2334" w:type="dxa"/>
          </w:tcPr>
          <w:p w14:paraId="53A08DA3"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4" w:type="dxa"/>
          </w:tcPr>
          <w:p w14:paraId="516691F6"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c>
          <w:tcPr>
            <w:tcW w:w="2335" w:type="dxa"/>
          </w:tcPr>
          <w:p w14:paraId="66FA6BD9" w14:textId="77777777" w:rsidR="006C2B6A" w:rsidRPr="006C2B6A" w:rsidRDefault="006C2B6A" w:rsidP="006C2B6A">
            <w:pPr>
              <w:widowControl w:val="0"/>
              <w:numPr>
                <w:ilvl w:val="0"/>
                <w:numId w:val="33"/>
              </w:numPr>
              <w:spacing w:before="240" w:after="0" w:line="240" w:lineRule="auto"/>
              <w:ind w:left="0"/>
              <w:jc w:val="both"/>
              <w:rPr>
                <w:rFonts w:ascii="Times New Roman" w:eastAsia="Times New Roman" w:hAnsi="Times New Roman" w:cs="Times New Roman"/>
                <w:color w:val="000000"/>
                <w:sz w:val="24"/>
                <w:szCs w:val="24"/>
              </w:rPr>
            </w:pPr>
          </w:p>
        </w:tc>
      </w:tr>
    </w:tbl>
    <w:p w14:paraId="41D779C4" w14:textId="02671E29" w:rsidR="006C2B6A" w:rsidRDefault="006C2B6A" w:rsidP="006C2B6A">
      <w:pPr>
        <w:autoSpaceDE w:val="0"/>
        <w:autoSpaceDN w:val="0"/>
        <w:adjustRightInd w:val="0"/>
        <w:spacing w:after="0" w:line="240" w:lineRule="auto"/>
        <w:ind w:left="720" w:hanging="720"/>
        <w:jc w:val="both"/>
        <w:rPr>
          <w:rFonts w:ascii="Arial" w:eastAsia="Calibri" w:hAnsi="Arial" w:cs="Arial"/>
          <w:color w:val="000000"/>
          <w:lang w:eastAsia="en-GB"/>
        </w:rPr>
      </w:pPr>
      <w:r w:rsidRPr="006C2B6A">
        <w:rPr>
          <w:rFonts w:ascii="Arial" w:eastAsia="Calibri" w:hAnsi="Arial" w:cs="Arial"/>
          <w:color w:val="000000"/>
          <w:lang w:eastAsia="en-GB"/>
        </w:rPr>
        <w:tab/>
      </w:r>
    </w:p>
    <w:p w14:paraId="354B3039" w14:textId="6F3770BF" w:rsidR="006C2B6A" w:rsidRPr="006C2B6A" w:rsidRDefault="006C2B6A" w:rsidP="006C2B6A">
      <w:pPr>
        <w:autoSpaceDE w:val="0"/>
        <w:autoSpaceDN w:val="0"/>
        <w:adjustRightInd w:val="0"/>
        <w:spacing w:after="0" w:line="240" w:lineRule="auto"/>
        <w:ind w:left="720" w:hanging="720"/>
        <w:jc w:val="both"/>
        <w:rPr>
          <w:rFonts w:ascii="Arial" w:eastAsia="Calibri" w:hAnsi="Arial" w:cs="Arial"/>
          <w:color w:val="000000"/>
          <w:lang w:eastAsia="en-GB"/>
        </w:rPr>
      </w:pPr>
      <w:r>
        <w:rPr>
          <w:rFonts w:ascii="Arial" w:eastAsia="Calibri" w:hAnsi="Arial" w:cs="Arial"/>
          <w:color w:val="000000"/>
          <w:lang w:eastAsia="en-GB"/>
        </w:rPr>
        <w:t>24.</w:t>
      </w:r>
      <w:r>
        <w:rPr>
          <w:rFonts w:ascii="Arial" w:eastAsia="Calibri" w:hAnsi="Arial" w:cs="Arial"/>
          <w:color w:val="000000"/>
          <w:lang w:eastAsia="en-GB"/>
        </w:rPr>
        <w:tab/>
      </w:r>
      <w:r w:rsidRPr="006C2B6A">
        <w:rPr>
          <w:rFonts w:ascii="Arial" w:eastAsia="Calibri" w:hAnsi="Arial" w:cs="Arial"/>
          <w:color w:val="000000"/>
          <w:lang w:eastAsia="en-GB"/>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2085C351" w14:textId="77777777" w:rsidR="006C2B6A" w:rsidRPr="006C2B6A" w:rsidRDefault="006C2B6A" w:rsidP="006C2B6A">
      <w:pPr>
        <w:autoSpaceDE w:val="0"/>
        <w:autoSpaceDN w:val="0"/>
        <w:adjustRightInd w:val="0"/>
        <w:spacing w:after="0" w:line="240" w:lineRule="auto"/>
        <w:ind w:left="1080"/>
        <w:rPr>
          <w:rFonts w:ascii="Arial" w:eastAsia="Calibri" w:hAnsi="Arial" w:cs="Arial"/>
          <w:color w:val="000000"/>
          <w:lang w:eastAsia="en-GB"/>
        </w:rPr>
      </w:pPr>
    </w:p>
    <w:p w14:paraId="66695C7D" w14:textId="331C7902" w:rsidR="006C2B6A" w:rsidRPr="00075489" w:rsidRDefault="006C2B6A" w:rsidP="00075489">
      <w:pPr>
        <w:autoSpaceDE w:val="0"/>
        <w:autoSpaceDN w:val="0"/>
        <w:adjustRightInd w:val="0"/>
        <w:spacing w:after="0" w:line="240" w:lineRule="auto"/>
        <w:ind w:left="720" w:hanging="720"/>
        <w:jc w:val="both"/>
        <w:rPr>
          <w:rFonts w:ascii="Arial" w:eastAsia="Calibri" w:hAnsi="Arial" w:cs="Arial"/>
          <w:color w:val="000000"/>
          <w:lang w:eastAsia="en-GB"/>
        </w:rPr>
      </w:pPr>
      <w:r>
        <w:rPr>
          <w:rFonts w:ascii="Arial" w:eastAsia="Calibri" w:hAnsi="Arial" w:cs="Arial"/>
          <w:color w:val="000000"/>
          <w:lang w:eastAsia="en-GB"/>
        </w:rPr>
        <w:t>25.</w:t>
      </w:r>
      <w:r w:rsidRPr="006C2B6A">
        <w:rPr>
          <w:rFonts w:ascii="Arial" w:eastAsia="Calibri" w:hAnsi="Arial" w:cs="Arial"/>
          <w:color w:val="000000"/>
          <w:lang w:eastAsia="en-GB"/>
        </w:rPr>
        <w:tab/>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B9985C7" w14:textId="2A930D05" w:rsidR="006D26B3" w:rsidRPr="006D26B3" w:rsidRDefault="006D26B3" w:rsidP="006D26B3">
      <w:pPr>
        <w:keepLines/>
        <w:suppressLineNumbers/>
        <w:suppressAutoHyphens/>
        <w:spacing w:before="120" w:after="120"/>
        <w:jc w:val="both"/>
        <w:rPr>
          <w:rFonts w:ascii="Arial" w:hAnsi="Arial" w:cs="Arial"/>
          <w:b/>
        </w:rPr>
      </w:pPr>
      <w:r w:rsidRPr="006D26B3">
        <w:rPr>
          <w:rFonts w:ascii="Arial" w:hAnsi="Arial" w:cs="Arial"/>
          <w:b/>
        </w:rPr>
        <w:t>Evaluation Criteria &amp; Weighting</w:t>
      </w:r>
    </w:p>
    <w:p w14:paraId="585559D9" w14:textId="572393A5" w:rsidR="006D26B3" w:rsidRDefault="006D26B3" w:rsidP="00BC2955">
      <w:pPr>
        <w:keepLines/>
        <w:suppressLineNumbers/>
        <w:suppressAutoHyphens/>
        <w:spacing w:before="120" w:after="120"/>
        <w:ind w:left="720" w:hanging="720"/>
        <w:jc w:val="both"/>
        <w:rPr>
          <w:rFonts w:ascii="Arial" w:hAnsi="Arial" w:cs="Arial"/>
        </w:rPr>
      </w:pPr>
      <w:r>
        <w:rPr>
          <w:rFonts w:ascii="Arial" w:hAnsi="Arial" w:cs="Arial"/>
        </w:rPr>
        <w:t>26.</w:t>
      </w:r>
      <w:r>
        <w:rPr>
          <w:rFonts w:ascii="Arial" w:hAnsi="Arial" w:cs="Arial"/>
        </w:rPr>
        <w:tab/>
      </w:r>
      <w:r w:rsidR="006A2F37" w:rsidRPr="00BC2955">
        <w:rPr>
          <w:rFonts w:ascii="Arial" w:hAnsi="Arial" w:cs="Arial"/>
        </w:rPr>
        <w:t>The</w:t>
      </w:r>
      <w:r w:rsidR="006A2F37">
        <w:t xml:space="preserve"> </w:t>
      </w:r>
      <w:r w:rsidR="006A2F37" w:rsidRPr="006A2F37">
        <w:rPr>
          <w:rFonts w:ascii="Arial" w:hAnsi="Arial" w:cs="Arial"/>
        </w:rPr>
        <w:t>evidence provided</w:t>
      </w:r>
      <w:r w:rsidR="00091102">
        <w:rPr>
          <w:rFonts w:ascii="Arial" w:hAnsi="Arial" w:cs="Arial"/>
        </w:rPr>
        <w:t>,</w:t>
      </w:r>
      <w:r w:rsidR="006A2F37" w:rsidRPr="006A2F37">
        <w:rPr>
          <w:rFonts w:ascii="Arial" w:hAnsi="Arial" w:cs="Arial"/>
        </w:rPr>
        <w:t xml:space="preserve"> to support the claims made in section 2 of the specification</w:t>
      </w:r>
      <w:r w:rsidR="00091102">
        <w:rPr>
          <w:rFonts w:ascii="Arial" w:hAnsi="Arial" w:cs="Arial"/>
        </w:rPr>
        <w:t>,</w:t>
      </w:r>
      <w:r w:rsidR="006A2F37" w:rsidRPr="006A2F37">
        <w:rPr>
          <w:rFonts w:ascii="Arial" w:hAnsi="Arial" w:cs="Arial"/>
        </w:rPr>
        <w:t xml:space="preserve"> shall be robust in nature e.g. screenshots, system layouts, processes etc) and fully support the claims made against each requirement</w:t>
      </w:r>
      <w:r w:rsidRPr="006D26B3">
        <w:rPr>
          <w:rFonts w:ascii="Arial" w:hAnsi="Arial" w:cs="Arial"/>
        </w:rPr>
        <w:t>;</w:t>
      </w:r>
    </w:p>
    <w:tbl>
      <w:tblPr>
        <w:tblStyle w:val="TableGrid1"/>
        <w:tblW w:w="10502" w:type="dxa"/>
        <w:tblInd w:w="-532" w:type="dxa"/>
        <w:tblLayout w:type="fixed"/>
        <w:tblLook w:val="04A0" w:firstRow="1" w:lastRow="0" w:firstColumn="1" w:lastColumn="0" w:noHBand="0" w:noVBand="1"/>
      </w:tblPr>
      <w:tblGrid>
        <w:gridCol w:w="1687"/>
        <w:gridCol w:w="5906"/>
        <w:gridCol w:w="1359"/>
        <w:gridCol w:w="1550"/>
      </w:tblGrid>
      <w:tr w:rsidR="006D26B3" w:rsidRPr="006D26B3" w14:paraId="7A24D060" w14:textId="77777777" w:rsidTr="003257D9">
        <w:trPr>
          <w:trHeight w:val="451"/>
        </w:trPr>
        <w:tc>
          <w:tcPr>
            <w:tcW w:w="1687" w:type="dxa"/>
            <w:tcBorders>
              <w:bottom w:val="single" w:sz="4" w:space="0" w:color="auto"/>
            </w:tcBorders>
            <w:shd w:val="clear" w:color="auto" w:fill="FFFFFF" w:themeFill="background1"/>
            <w:vAlign w:val="center"/>
          </w:tcPr>
          <w:p w14:paraId="6F7085ED" w14:textId="77777777" w:rsidR="006D26B3" w:rsidRPr="006D26B3" w:rsidRDefault="006D26B3" w:rsidP="006D26B3">
            <w:pPr>
              <w:spacing w:before="240" w:after="0" w:line="360" w:lineRule="auto"/>
              <w:jc w:val="center"/>
              <w:rPr>
                <w:rFonts w:ascii="Arial" w:hAnsi="Arial" w:cs="Arial"/>
                <w:b/>
                <w:sz w:val="22"/>
                <w:szCs w:val="22"/>
              </w:rPr>
            </w:pPr>
            <w:r w:rsidRPr="006D26B3">
              <w:rPr>
                <w:rFonts w:ascii="Arial" w:hAnsi="Arial" w:cs="Arial"/>
                <w:b/>
                <w:sz w:val="22"/>
                <w:szCs w:val="22"/>
              </w:rPr>
              <w:t>GUIDANCE</w:t>
            </w:r>
          </w:p>
        </w:tc>
        <w:tc>
          <w:tcPr>
            <w:tcW w:w="8815" w:type="dxa"/>
            <w:gridSpan w:val="3"/>
            <w:tcBorders>
              <w:bottom w:val="single" w:sz="4" w:space="0" w:color="auto"/>
            </w:tcBorders>
            <w:shd w:val="clear" w:color="auto" w:fill="FFFFFF" w:themeFill="background1"/>
            <w:vAlign w:val="center"/>
          </w:tcPr>
          <w:p w14:paraId="4ACEC9E9" w14:textId="160FD268" w:rsidR="006D26B3" w:rsidRPr="006D26B3" w:rsidRDefault="006D26B3" w:rsidP="006D26B3">
            <w:pPr>
              <w:spacing w:before="240" w:after="200" w:line="276" w:lineRule="auto"/>
              <w:rPr>
                <w:rFonts w:ascii="Arial" w:hAnsi="Arial" w:cs="Arial"/>
                <w:sz w:val="22"/>
                <w:szCs w:val="22"/>
              </w:rPr>
            </w:pPr>
            <w:r w:rsidRPr="006D26B3">
              <w:rPr>
                <w:rFonts w:ascii="Arial" w:hAnsi="Arial" w:cs="Arial"/>
                <w:sz w:val="22"/>
                <w:szCs w:val="22"/>
              </w:rPr>
              <w:t>The following questions are ‘Pass/Fail’ questions. If Potential Providers score a fail, their submission will be deemed non-compliant and shall be rejected.</w:t>
            </w:r>
          </w:p>
        </w:tc>
      </w:tr>
      <w:tr w:rsidR="006D26B3" w:rsidRPr="006D26B3" w14:paraId="5D48A27D" w14:textId="77777777" w:rsidTr="003257D9">
        <w:trPr>
          <w:trHeight w:val="451"/>
        </w:trPr>
        <w:tc>
          <w:tcPr>
            <w:tcW w:w="1687" w:type="dxa"/>
            <w:tcBorders>
              <w:bottom w:val="single" w:sz="4" w:space="0" w:color="auto"/>
            </w:tcBorders>
            <w:shd w:val="clear" w:color="auto" w:fill="D9D9D9" w:themeFill="background1" w:themeFillShade="D9"/>
            <w:vAlign w:val="center"/>
          </w:tcPr>
          <w:p w14:paraId="715ADFD1" w14:textId="77777777" w:rsidR="006D26B3" w:rsidRPr="006D26B3" w:rsidRDefault="006D26B3" w:rsidP="006D26B3">
            <w:pPr>
              <w:spacing w:before="240" w:after="0" w:line="360" w:lineRule="auto"/>
              <w:jc w:val="center"/>
              <w:rPr>
                <w:rFonts w:ascii="Arial" w:hAnsi="Arial" w:cs="Arial"/>
                <w:b/>
                <w:sz w:val="22"/>
                <w:szCs w:val="22"/>
              </w:rPr>
            </w:pPr>
            <w:r w:rsidRPr="006D26B3">
              <w:rPr>
                <w:rFonts w:ascii="Arial" w:hAnsi="Arial" w:cs="Arial"/>
                <w:b/>
                <w:sz w:val="22"/>
                <w:szCs w:val="22"/>
              </w:rPr>
              <w:t>Question Number</w:t>
            </w:r>
          </w:p>
        </w:tc>
        <w:tc>
          <w:tcPr>
            <w:tcW w:w="5906" w:type="dxa"/>
            <w:tcBorders>
              <w:bottom w:val="single" w:sz="4" w:space="0" w:color="auto"/>
            </w:tcBorders>
            <w:shd w:val="clear" w:color="auto" w:fill="D9D9D9" w:themeFill="background1" w:themeFillShade="D9"/>
            <w:vAlign w:val="center"/>
          </w:tcPr>
          <w:p w14:paraId="46495953" w14:textId="77777777" w:rsidR="006D26B3" w:rsidRPr="006D26B3" w:rsidRDefault="006D26B3" w:rsidP="006D26B3">
            <w:pPr>
              <w:spacing w:before="240" w:after="0" w:line="360" w:lineRule="auto"/>
              <w:jc w:val="center"/>
              <w:rPr>
                <w:rFonts w:ascii="Arial" w:hAnsi="Arial" w:cs="Arial"/>
                <w:b/>
                <w:sz w:val="22"/>
                <w:szCs w:val="22"/>
              </w:rPr>
            </w:pPr>
            <w:r w:rsidRPr="006D26B3">
              <w:rPr>
                <w:rFonts w:ascii="Arial" w:hAnsi="Arial" w:cs="Arial"/>
                <w:b/>
                <w:sz w:val="22"/>
                <w:szCs w:val="22"/>
              </w:rPr>
              <w:t>Question</w:t>
            </w:r>
          </w:p>
        </w:tc>
        <w:tc>
          <w:tcPr>
            <w:tcW w:w="1359" w:type="dxa"/>
            <w:tcBorders>
              <w:bottom w:val="single" w:sz="4" w:space="0" w:color="auto"/>
            </w:tcBorders>
            <w:shd w:val="clear" w:color="auto" w:fill="D9D9D9" w:themeFill="background1" w:themeFillShade="D9"/>
            <w:vAlign w:val="center"/>
          </w:tcPr>
          <w:p w14:paraId="06F49D7F" w14:textId="77777777" w:rsidR="006D26B3" w:rsidRPr="006D26B3" w:rsidRDefault="006D26B3" w:rsidP="006D26B3">
            <w:pPr>
              <w:spacing w:before="240" w:after="0" w:line="360" w:lineRule="auto"/>
              <w:jc w:val="center"/>
              <w:rPr>
                <w:rFonts w:ascii="Arial" w:hAnsi="Arial" w:cs="Arial"/>
                <w:b/>
                <w:sz w:val="22"/>
                <w:szCs w:val="22"/>
              </w:rPr>
            </w:pPr>
            <w:r w:rsidRPr="006D26B3">
              <w:rPr>
                <w:rFonts w:ascii="Arial" w:hAnsi="Arial" w:cs="Arial"/>
                <w:b/>
                <w:sz w:val="22"/>
                <w:szCs w:val="22"/>
              </w:rPr>
              <w:t>Max Score</w:t>
            </w:r>
          </w:p>
        </w:tc>
        <w:tc>
          <w:tcPr>
            <w:tcW w:w="1549" w:type="dxa"/>
            <w:tcBorders>
              <w:bottom w:val="single" w:sz="4" w:space="0" w:color="auto"/>
            </w:tcBorders>
            <w:shd w:val="clear" w:color="auto" w:fill="D9D9D9" w:themeFill="background1" w:themeFillShade="D9"/>
            <w:vAlign w:val="center"/>
          </w:tcPr>
          <w:p w14:paraId="714ACA87" w14:textId="77777777" w:rsidR="006D26B3" w:rsidRPr="006D26B3" w:rsidRDefault="006D26B3" w:rsidP="006D26B3">
            <w:pPr>
              <w:spacing w:before="240" w:after="0" w:line="360" w:lineRule="auto"/>
              <w:rPr>
                <w:rFonts w:ascii="Arial" w:hAnsi="Arial" w:cs="Arial"/>
                <w:b/>
                <w:sz w:val="22"/>
                <w:szCs w:val="22"/>
              </w:rPr>
            </w:pPr>
            <w:r w:rsidRPr="006D26B3">
              <w:rPr>
                <w:rFonts w:ascii="Arial" w:hAnsi="Arial" w:cs="Arial"/>
                <w:b/>
                <w:sz w:val="22"/>
                <w:szCs w:val="22"/>
              </w:rPr>
              <w:t>Weighting (%)</w:t>
            </w:r>
          </w:p>
        </w:tc>
      </w:tr>
      <w:tr w:rsidR="006D26B3" w:rsidRPr="006D26B3" w14:paraId="3F78EF26" w14:textId="77777777" w:rsidTr="003257D9">
        <w:trPr>
          <w:trHeight w:val="451"/>
        </w:trPr>
        <w:tc>
          <w:tcPr>
            <w:tcW w:w="1687" w:type="dxa"/>
            <w:tcBorders>
              <w:bottom w:val="single" w:sz="4" w:space="0" w:color="auto"/>
            </w:tcBorders>
            <w:shd w:val="clear" w:color="auto" w:fill="auto"/>
            <w:vAlign w:val="center"/>
          </w:tcPr>
          <w:p w14:paraId="468E8295"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1</w:t>
            </w:r>
          </w:p>
        </w:tc>
        <w:tc>
          <w:tcPr>
            <w:tcW w:w="5906" w:type="dxa"/>
            <w:tcBorders>
              <w:bottom w:val="single" w:sz="4" w:space="0" w:color="auto"/>
            </w:tcBorders>
            <w:shd w:val="clear" w:color="auto" w:fill="auto"/>
            <w:vAlign w:val="center"/>
          </w:tcPr>
          <w:p w14:paraId="64345A8E" w14:textId="77777777" w:rsidR="006D26B3" w:rsidRPr="006D26B3" w:rsidRDefault="006D26B3" w:rsidP="006D26B3">
            <w:pPr>
              <w:spacing w:before="240" w:after="200" w:line="276" w:lineRule="auto"/>
              <w:rPr>
                <w:rFonts w:ascii="Arial" w:hAnsi="Arial" w:cs="Arial"/>
                <w:sz w:val="22"/>
                <w:szCs w:val="22"/>
              </w:rPr>
            </w:pPr>
            <w:r w:rsidRPr="006D26B3">
              <w:rPr>
                <w:rFonts w:ascii="Arial" w:hAnsi="Arial" w:cs="Arial"/>
                <w:sz w:val="22"/>
                <w:szCs w:val="22"/>
              </w:rPr>
              <w:t>Evidence that the solution can import and export data in a range of formats, including Word, Excel, PDF, etc in an editable format.</w:t>
            </w:r>
          </w:p>
        </w:tc>
        <w:tc>
          <w:tcPr>
            <w:tcW w:w="1359" w:type="dxa"/>
            <w:tcBorders>
              <w:bottom w:val="single" w:sz="4" w:space="0" w:color="auto"/>
            </w:tcBorders>
            <w:vAlign w:val="center"/>
          </w:tcPr>
          <w:p w14:paraId="4782DDEA"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Pass/Fail</w:t>
            </w:r>
          </w:p>
        </w:tc>
        <w:tc>
          <w:tcPr>
            <w:tcW w:w="1549" w:type="dxa"/>
            <w:tcBorders>
              <w:bottom w:val="single" w:sz="4" w:space="0" w:color="auto"/>
            </w:tcBorders>
            <w:vAlign w:val="center"/>
          </w:tcPr>
          <w:p w14:paraId="02883C2B"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N/A</w:t>
            </w:r>
          </w:p>
        </w:tc>
      </w:tr>
      <w:tr w:rsidR="006D26B3" w:rsidRPr="006D26B3" w14:paraId="4380E7D5" w14:textId="77777777" w:rsidTr="003257D9">
        <w:trPr>
          <w:trHeight w:val="451"/>
        </w:trPr>
        <w:tc>
          <w:tcPr>
            <w:tcW w:w="1687" w:type="dxa"/>
            <w:tcBorders>
              <w:bottom w:val="single" w:sz="4" w:space="0" w:color="auto"/>
            </w:tcBorders>
            <w:shd w:val="clear" w:color="auto" w:fill="auto"/>
            <w:vAlign w:val="center"/>
          </w:tcPr>
          <w:p w14:paraId="1D7B611F"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2</w:t>
            </w:r>
          </w:p>
        </w:tc>
        <w:tc>
          <w:tcPr>
            <w:tcW w:w="5906" w:type="dxa"/>
            <w:tcBorders>
              <w:bottom w:val="single" w:sz="4" w:space="0" w:color="auto"/>
            </w:tcBorders>
            <w:shd w:val="clear" w:color="auto" w:fill="auto"/>
            <w:vAlign w:val="center"/>
          </w:tcPr>
          <w:p w14:paraId="2149A45A" w14:textId="16F06E1B" w:rsidR="006D26B3" w:rsidRPr="006D26B3" w:rsidRDefault="006D26B3" w:rsidP="006D26B3">
            <w:pPr>
              <w:spacing w:before="240" w:after="200" w:line="276" w:lineRule="auto"/>
              <w:rPr>
                <w:rFonts w:ascii="Arial" w:hAnsi="Arial" w:cs="Arial"/>
                <w:sz w:val="22"/>
                <w:szCs w:val="22"/>
              </w:rPr>
            </w:pPr>
            <w:r w:rsidRPr="006D26B3">
              <w:rPr>
                <w:rFonts w:ascii="Arial" w:hAnsi="Arial" w:cs="Arial"/>
                <w:sz w:val="22"/>
                <w:szCs w:val="22"/>
              </w:rPr>
              <w:t>Evidence that the solution has a proven track record of managing requirements for large and complex projects over a prolonged period.</w:t>
            </w:r>
          </w:p>
        </w:tc>
        <w:tc>
          <w:tcPr>
            <w:tcW w:w="1359" w:type="dxa"/>
            <w:tcBorders>
              <w:bottom w:val="single" w:sz="4" w:space="0" w:color="auto"/>
            </w:tcBorders>
            <w:vAlign w:val="center"/>
          </w:tcPr>
          <w:p w14:paraId="2132CC1E"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Pass/Fail</w:t>
            </w:r>
          </w:p>
        </w:tc>
        <w:tc>
          <w:tcPr>
            <w:tcW w:w="1549" w:type="dxa"/>
            <w:tcBorders>
              <w:bottom w:val="single" w:sz="4" w:space="0" w:color="auto"/>
            </w:tcBorders>
            <w:vAlign w:val="center"/>
          </w:tcPr>
          <w:p w14:paraId="34CD4FF3"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N/A</w:t>
            </w:r>
          </w:p>
        </w:tc>
      </w:tr>
      <w:tr w:rsidR="006D26B3" w:rsidRPr="006D26B3" w14:paraId="742172DC" w14:textId="77777777" w:rsidTr="003257D9">
        <w:trPr>
          <w:trHeight w:val="451"/>
        </w:trPr>
        <w:tc>
          <w:tcPr>
            <w:tcW w:w="1687" w:type="dxa"/>
            <w:shd w:val="clear" w:color="auto" w:fill="auto"/>
            <w:vAlign w:val="center"/>
          </w:tcPr>
          <w:p w14:paraId="434AA5F4" w14:textId="77777777" w:rsidR="006D26B3" w:rsidRPr="006D26B3" w:rsidRDefault="006D26B3" w:rsidP="006D26B3">
            <w:pPr>
              <w:spacing w:before="60" w:after="60" w:line="360" w:lineRule="auto"/>
              <w:jc w:val="center"/>
              <w:rPr>
                <w:rFonts w:ascii="Arial" w:hAnsi="Arial" w:cs="Arial"/>
                <w:color w:val="000000"/>
                <w:sz w:val="22"/>
                <w:szCs w:val="22"/>
              </w:rPr>
            </w:pPr>
            <w:r w:rsidRPr="006D26B3">
              <w:rPr>
                <w:rFonts w:ascii="Arial" w:hAnsi="Arial" w:cs="Arial"/>
                <w:color w:val="000000"/>
                <w:sz w:val="22"/>
                <w:szCs w:val="22"/>
              </w:rPr>
              <w:t>3</w:t>
            </w:r>
          </w:p>
        </w:tc>
        <w:tc>
          <w:tcPr>
            <w:tcW w:w="5906" w:type="dxa"/>
            <w:shd w:val="clear" w:color="auto" w:fill="auto"/>
            <w:vAlign w:val="center"/>
          </w:tcPr>
          <w:p w14:paraId="21CD57BC" w14:textId="77777777" w:rsidR="006D26B3" w:rsidRPr="006D26B3" w:rsidRDefault="006D26B3" w:rsidP="006D26B3">
            <w:pPr>
              <w:spacing w:before="240" w:after="200" w:line="276" w:lineRule="auto"/>
              <w:rPr>
                <w:rFonts w:ascii="Arial" w:hAnsi="Arial" w:cs="Arial"/>
                <w:sz w:val="22"/>
                <w:szCs w:val="22"/>
              </w:rPr>
            </w:pPr>
            <w:r w:rsidRPr="006D26B3">
              <w:rPr>
                <w:rFonts w:ascii="Arial" w:hAnsi="Arial" w:cs="Arial"/>
                <w:sz w:val="22"/>
                <w:szCs w:val="22"/>
              </w:rPr>
              <w:t>Provision of evidence demonstrating the capability of supplying training and support over the life of the contract.</w:t>
            </w:r>
          </w:p>
        </w:tc>
        <w:tc>
          <w:tcPr>
            <w:tcW w:w="1359" w:type="dxa"/>
            <w:vAlign w:val="center"/>
          </w:tcPr>
          <w:p w14:paraId="5DAB95D2"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Pass/Fail</w:t>
            </w:r>
          </w:p>
        </w:tc>
        <w:tc>
          <w:tcPr>
            <w:tcW w:w="1549" w:type="dxa"/>
            <w:vAlign w:val="center"/>
          </w:tcPr>
          <w:p w14:paraId="1A9F80EB"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N/A</w:t>
            </w:r>
          </w:p>
        </w:tc>
      </w:tr>
      <w:tr w:rsidR="006D26B3" w:rsidRPr="006D26B3" w14:paraId="694B8317" w14:textId="77777777" w:rsidTr="003257D9">
        <w:trPr>
          <w:trHeight w:val="451"/>
        </w:trPr>
        <w:tc>
          <w:tcPr>
            <w:tcW w:w="1687" w:type="dxa"/>
            <w:tcBorders>
              <w:bottom w:val="single" w:sz="4" w:space="0" w:color="auto"/>
            </w:tcBorders>
            <w:shd w:val="clear" w:color="auto" w:fill="auto"/>
            <w:vAlign w:val="center"/>
          </w:tcPr>
          <w:p w14:paraId="42406AAB" w14:textId="77777777" w:rsidR="006D26B3" w:rsidRPr="006D26B3" w:rsidRDefault="006D26B3" w:rsidP="006D26B3">
            <w:pPr>
              <w:spacing w:before="60" w:after="60" w:line="360" w:lineRule="auto"/>
              <w:jc w:val="center"/>
              <w:rPr>
                <w:rFonts w:ascii="Arial" w:hAnsi="Arial" w:cs="Arial"/>
                <w:color w:val="000000"/>
                <w:sz w:val="22"/>
                <w:szCs w:val="22"/>
              </w:rPr>
            </w:pPr>
            <w:r w:rsidRPr="006D26B3">
              <w:rPr>
                <w:rFonts w:ascii="Arial" w:hAnsi="Arial" w:cs="Arial"/>
                <w:color w:val="000000"/>
                <w:sz w:val="22"/>
                <w:szCs w:val="22"/>
              </w:rPr>
              <w:lastRenderedPageBreak/>
              <w:t>4</w:t>
            </w:r>
          </w:p>
        </w:tc>
        <w:tc>
          <w:tcPr>
            <w:tcW w:w="5906" w:type="dxa"/>
            <w:tcBorders>
              <w:bottom w:val="single" w:sz="4" w:space="0" w:color="auto"/>
            </w:tcBorders>
            <w:shd w:val="clear" w:color="auto" w:fill="auto"/>
            <w:vAlign w:val="center"/>
          </w:tcPr>
          <w:p w14:paraId="3C48E8A1" w14:textId="77777777" w:rsidR="006D26B3" w:rsidRPr="006D26B3" w:rsidRDefault="006D26B3" w:rsidP="006D26B3">
            <w:pPr>
              <w:spacing w:before="240" w:after="200" w:line="276" w:lineRule="auto"/>
              <w:rPr>
                <w:rFonts w:ascii="Arial" w:hAnsi="Arial" w:cs="Arial"/>
                <w:sz w:val="22"/>
                <w:szCs w:val="22"/>
              </w:rPr>
            </w:pPr>
            <w:r w:rsidRPr="006D26B3">
              <w:rPr>
                <w:rFonts w:ascii="Arial" w:hAnsi="Arial" w:cs="Arial"/>
                <w:sz w:val="22"/>
                <w:szCs w:val="22"/>
              </w:rPr>
              <w:t xml:space="preserve">The service provider must be able to demonstrate compliance with the principles as set out in the in the Cabinet Office HMG Government Security Policy Framework </w:t>
            </w:r>
            <w:hyperlink r:id="rId8" w:history="1">
              <w:r w:rsidRPr="006D26B3">
                <w:rPr>
                  <w:rFonts w:ascii="Arial" w:hAnsi="Arial" w:cs="Arial"/>
                  <w:color w:val="0000FF"/>
                  <w:sz w:val="22"/>
                  <w:szCs w:val="22"/>
                  <w:u w:val="single"/>
                </w:rPr>
                <w:t>https://www.gov.uk/government/publications/security-policy-framework</w:t>
              </w:r>
            </w:hyperlink>
          </w:p>
        </w:tc>
        <w:tc>
          <w:tcPr>
            <w:tcW w:w="1359" w:type="dxa"/>
            <w:tcBorders>
              <w:bottom w:val="single" w:sz="4" w:space="0" w:color="auto"/>
            </w:tcBorders>
            <w:vAlign w:val="center"/>
          </w:tcPr>
          <w:p w14:paraId="54113F67"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Pass/Fail</w:t>
            </w:r>
          </w:p>
        </w:tc>
        <w:tc>
          <w:tcPr>
            <w:tcW w:w="1549" w:type="dxa"/>
            <w:tcBorders>
              <w:bottom w:val="single" w:sz="4" w:space="0" w:color="auto"/>
            </w:tcBorders>
            <w:vAlign w:val="center"/>
          </w:tcPr>
          <w:p w14:paraId="34BA473B" w14:textId="77777777" w:rsidR="006D26B3" w:rsidRPr="006D26B3" w:rsidRDefault="006D26B3" w:rsidP="006D26B3">
            <w:pPr>
              <w:spacing w:before="60" w:after="60" w:line="360" w:lineRule="auto"/>
              <w:jc w:val="center"/>
              <w:rPr>
                <w:rFonts w:ascii="Arial" w:hAnsi="Arial" w:cs="Arial"/>
                <w:sz w:val="22"/>
                <w:szCs w:val="22"/>
              </w:rPr>
            </w:pPr>
            <w:r w:rsidRPr="006D26B3">
              <w:rPr>
                <w:rFonts w:ascii="Arial" w:hAnsi="Arial" w:cs="Arial"/>
                <w:sz w:val="22"/>
                <w:szCs w:val="22"/>
              </w:rPr>
              <w:t>N/A</w:t>
            </w:r>
          </w:p>
        </w:tc>
      </w:tr>
    </w:tbl>
    <w:p w14:paraId="1404A9A7" w14:textId="309503FA" w:rsidR="006D26B3" w:rsidRDefault="006D26B3" w:rsidP="006D26B3">
      <w:pPr>
        <w:keepLines/>
        <w:suppressLineNumbers/>
        <w:suppressAutoHyphens/>
        <w:spacing w:before="120" w:after="120"/>
        <w:ind w:left="720" w:hanging="720"/>
        <w:jc w:val="both"/>
        <w:rPr>
          <w:rFonts w:ascii="Arial" w:hAnsi="Arial" w:cs="Arial"/>
        </w:rPr>
      </w:pPr>
    </w:p>
    <w:tbl>
      <w:tblPr>
        <w:tblW w:w="571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1894"/>
        <w:gridCol w:w="1318"/>
        <w:gridCol w:w="4124"/>
        <w:gridCol w:w="1611"/>
      </w:tblGrid>
      <w:tr w:rsidR="006D26B3" w:rsidRPr="006D26B3" w14:paraId="19A08AA0" w14:textId="77777777" w:rsidTr="0095514A">
        <w:trPr>
          <w:trHeight w:val="916"/>
        </w:trPr>
        <w:tc>
          <w:tcPr>
            <w:tcW w:w="812" w:type="pct"/>
            <w:shd w:val="clear" w:color="auto" w:fill="auto"/>
            <w:noWrap/>
            <w:vAlign w:val="center"/>
          </w:tcPr>
          <w:p w14:paraId="54CC4662" w14:textId="77777777" w:rsidR="006D26B3" w:rsidRPr="006D26B3" w:rsidRDefault="006D26B3" w:rsidP="006D26B3">
            <w:pPr>
              <w:spacing w:after="0" w:line="240" w:lineRule="auto"/>
              <w:jc w:val="center"/>
              <w:rPr>
                <w:rFonts w:ascii="Arial" w:eastAsia="Calibri" w:hAnsi="Arial" w:cs="Arial"/>
                <w:b/>
                <w:bCs/>
                <w:lang w:eastAsia="en-GB"/>
              </w:rPr>
            </w:pPr>
            <w:r w:rsidRPr="006D26B3">
              <w:rPr>
                <w:rFonts w:ascii="Arial" w:eastAsia="Calibri" w:hAnsi="Arial" w:cs="Arial"/>
                <w:b/>
                <w:bCs/>
                <w:lang w:eastAsia="en-GB"/>
              </w:rPr>
              <w:t>Primary Criteria</w:t>
            </w:r>
          </w:p>
        </w:tc>
        <w:tc>
          <w:tcPr>
            <w:tcW w:w="886" w:type="pct"/>
            <w:shd w:val="clear" w:color="auto" w:fill="auto"/>
            <w:vAlign w:val="bottom"/>
          </w:tcPr>
          <w:p w14:paraId="3BB4FB7D" w14:textId="77777777" w:rsidR="006D26B3" w:rsidRPr="006D26B3" w:rsidRDefault="006D26B3" w:rsidP="006D26B3">
            <w:pPr>
              <w:spacing w:after="0" w:line="240" w:lineRule="auto"/>
              <w:jc w:val="both"/>
              <w:rPr>
                <w:rFonts w:ascii="Arial" w:eastAsia="Calibri" w:hAnsi="Arial" w:cs="Arial"/>
                <w:b/>
                <w:bCs/>
                <w:lang w:eastAsia="en-GB"/>
              </w:rPr>
            </w:pPr>
            <w:r w:rsidRPr="006D26B3">
              <w:rPr>
                <w:rFonts w:ascii="Arial" w:eastAsia="Calibri" w:hAnsi="Arial" w:cs="Arial"/>
                <w:b/>
                <w:bCs/>
                <w:lang w:eastAsia="en-GB"/>
              </w:rPr>
              <w:t>Primary Criteria Weighting (%)</w:t>
            </w:r>
          </w:p>
        </w:tc>
        <w:tc>
          <w:tcPr>
            <w:tcW w:w="617" w:type="pct"/>
          </w:tcPr>
          <w:p w14:paraId="2920B4BE" w14:textId="77777777" w:rsidR="006D26B3" w:rsidRPr="006D26B3" w:rsidRDefault="006D26B3" w:rsidP="006D26B3">
            <w:pPr>
              <w:spacing w:after="0" w:line="240" w:lineRule="auto"/>
              <w:jc w:val="center"/>
              <w:rPr>
                <w:rFonts w:ascii="Arial" w:eastAsia="Calibri" w:hAnsi="Arial" w:cs="Arial"/>
                <w:b/>
                <w:bCs/>
                <w:lang w:eastAsia="en-GB"/>
              </w:rPr>
            </w:pPr>
          </w:p>
          <w:p w14:paraId="66C297B1" w14:textId="77777777" w:rsidR="006D26B3" w:rsidRPr="006D26B3" w:rsidRDefault="006D26B3" w:rsidP="006D26B3">
            <w:pPr>
              <w:spacing w:after="0" w:line="240" w:lineRule="auto"/>
              <w:jc w:val="center"/>
              <w:rPr>
                <w:rFonts w:ascii="Arial" w:eastAsia="Calibri" w:hAnsi="Arial" w:cs="Arial"/>
                <w:b/>
                <w:bCs/>
                <w:lang w:eastAsia="en-GB"/>
              </w:rPr>
            </w:pPr>
          </w:p>
          <w:p w14:paraId="524243C1" w14:textId="77777777" w:rsidR="006D26B3" w:rsidRPr="006D26B3" w:rsidRDefault="006D26B3" w:rsidP="006D26B3">
            <w:pPr>
              <w:spacing w:after="0" w:line="240" w:lineRule="auto"/>
              <w:jc w:val="center"/>
              <w:rPr>
                <w:rFonts w:ascii="Arial" w:eastAsia="Calibri" w:hAnsi="Arial" w:cs="Arial"/>
                <w:b/>
                <w:bCs/>
                <w:lang w:eastAsia="en-GB"/>
              </w:rPr>
            </w:pPr>
            <w:r w:rsidRPr="006D26B3">
              <w:rPr>
                <w:rFonts w:ascii="Arial" w:eastAsia="Calibri" w:hAnsi="Arial" w:cs="Arial"/>
                <w:b/>
                <w:bCs/>
                <w:lang w:eastAsia="en-GB"/>
              </w:rPr>
              <w:t>Question Number</w:t>
            </w:r>
          </w:p>
        </w:tc>
        <w:tc>
          <w:tcPr>
            <w:tcW w:w="1930" w:type="pct"/>
            <w:shd w:val="clear" w:color="auto" w:fill="auto"/>
            <w:noWrap/>
            <w:vAlign w:val="center"/>
          </w:tcPr>
          <w:p w14:paraId="532E36E0" w14:textId="77777777" w:rsidR="006D26B3" w:rsidRPr="006D26B3" w:rsidRDefault="006D26B3" w:rsidP="006D26B3">
            <w:pPr>
              <w:spacing w:after="0" w:line="240" w:lineRule="auto"/>
              <w:jc w:val="center"/>
              <w:rPr>
                <w:rFonts w:ascii="Arial" w:eastAsia="Calibri" w:hAnsi="Arial" w:cs="Arial"/>
                <w:b/>
                <w:bCs/>
                <w:lang w:eastAsia="en-GB"/>
              </w:rPr>
            </w:pPr>
            <w:r w:rsidRPr="006D26B3">
              <w:rPr>
                <w:rFonts w:ascii="Arial" w:eastAsia="Calibri" w:hAnsi="Arial" w:cs="Arial"/>
                <w:b/>
                <w:bCs/>
                <w:lang w:eastAsia="en-GB"/>
              </w:rPr>
              <w:t>Sub-Criteria Description</w:t>
            </w:r>
          </w:p>
        </w:tc>
        <w:tc>
          <w:tcPr>
            <w:tcW w:w="754" w:type="pct"/>
            <w:shd w:val="clear" w:color="auto" w:fill="auto"/>
            <w:vAlign w:val="bottom"/>
          </w:tcPr>
          <w:p w14:paraId="2EFC2191" w14:textId="77777777" w:rsidR="006D26B3" w:rsidRPr="006D26B3" w:rsidRDefault="006D26B3" w:rsidP="006D26B3">
            <w:pPr>
              <w:spacing w:after="0" w:line="240" w:lineRule="auto"/>
              <w:jc w:val="center"/>
              <w:rPr>
                <w:rFonts w:ascii="Arial" w:eastAsia="Calibri" w:hAnsi="Arial" w:cs="Arial"/>
                <w:b/>
                <w:bCs/>
                <w:lang w:eastAsia="en-GB"/>
              </w:rPr>
            </w:pPr>
            <w:r w:rsidRPr="006D26B3">
              <w:rPr>
                <w:rFonts w:ascii="Arial" w:eastAsia="Calibri" w:hAnsi="Arial" w:cs="Arial"/>
                <w:b/>
                <w:bCs/>
                <w:lang w:eastAsia="en-GB"/>
              </w:rPr>
              <w:t>Sub-Criteria Weighting (%)</w:t>
            </w:r>
          </w:p>
        </w:tc>
      </w:tr>
      <w:tr w:rsidR="006D26B3" w:rsidRPr="006D26B3" w14:paraId="30DB6FED" w14:textId="77777777" w:rsidTr="0095514A">
        <w:trPr>
          <w:trHeight w:val="1063"/>
        </w:trPr>
        <w:tc>
          <w:tcPr>
            <w:tcW w:w="812" w:type="pct"/>
            <w:vMerge w:val="restart"/>
            <w:shd w:val="clear" w:color="auto" w:fill="auto"/>
            <w:vAlign w:val="center"/>
          </w:tcPr>
          <w:p w14:paraId="3EF2D286" w14:textId="77777777" w:rsidR="006D26B3" w:rsidRPr="006D26B3" w:rsidRDefault="006D26B3" w:rsidP="006D26B3">
            <w:pPr>
              <w:spacing w:after="0" w:line="240" w:lineRule="auto"/>
              <w:jc w:val="both"/>
              <w:rPr>
                <w:rFonts w:ascii="Arial" w:eastAsia="Calibri" w:hAnsi="Arial" w:cs="Arial"/>
                <w:b/>
                <w:bCs/>
                <w:lang w:eastAsia="en-GB"/>
              </w:rPr>
            </w:pPr>
            <w:r w:rsidRPr="006D26B3">
              <w:rPr>
                <w:rFonts w:ascii="Arial" w:eastAsia="Calibri" w:hAnsi="Arial" w:cs="Arial"/>
                <w:b/>
                <w:bCs/>
                <w:lang w:eastAsia="en-GB"/>
              </w:rPr>
              <w:t>Capability/Delivery</w:t>
            </w:r>
          </w:p>
        </w:tc>
        <w:tc>
          <w:tcPr>
            <w:tcW w:w="886" w:type="pct"/>
            <w:vMerge w:val="restart"/>
            <w:shd w:val="clear" w:color="auto" w:fill="auto"/>
            <w:vAlign w:val="center"/>
          </w:tcPr>
          <w:p w14:paraId="04833394" w14:textId="24118EB6" w:rsidR="006D26B3" w:rsidRPr="006D26B3" w:rsidRDefault="00D802FF" w:rsidP="006D26B3">
            <w:pPr>
              <w:spacing w:after="0" w:line="240" w:lineRule="auto"/>
              <w:jc w:val="both"/>
              <w:rPr>
                <w:rFonts w:ascii="Arial" w:eastAsia="Calibri" w:hAnsi="Arial" w:cs="Arial"/>
                <w:b/>
                <w:bCs/>
                <w:lang w:eastAsia="en-GB"/>
              </w:rPr>
            </w:pPr>
            <w:r>
              <w:rPr>
                <w:rFonts w:ascii="Arial" w:eastAsia="Calibri" w:hAnsi="Arial" w:cs="Arial"/>
                <w:b/>
                <w:bCs/>
                <w:lang w:eastAsia="en-GB"/>
              </w:rPr>
              <w:t>75</w:t>
            </w:r>
          </w:p>
        </w:tc>
        <w:tc>
          <w:tcPr>
            <w:tcW w:w="617" w:type="pct"/>
          </w:tcPr>
          <w:p w14:paraId="385E6086" w14:textId="77777777" w:rsidR="006D26B3" w:rsidRPr="006D26B3" w:rsidRDefault="006D26B3" w:rsidP="006D26B3">
            <w:pPr>
              <w:spacing w:after="0" w:line="240" w:lineRule="auto"/>
              <w:jc w:val="center"/>
              <w:rPr>
                <w:rFonts w:ascii="Arial" w:eastAsia="Calibri" w:hAnsi="Arial" w:cs="Arial"/>
                <w:bCs/>
                <w:lang w:eastAsia="en-GB"/>
              </w:rPr>
            </w:pPr>
            <w:r w:rsidRPr="006D26B3">
              <w:rPr>
                <w:rFonts w:ascii="Arial" w:eastAsia="Calibri" w:hAnsi="Arial" w:cs="Arial"/>
                <w:bCs/>
                <w:lang w:eastAsia="en-GB"/>
              </w:rPr>
              <w:t>4</w:t>
            </w:r>
          </w:p>
        </w:tc>
        <w:tc>
          <w:tcPr>
            <w:tcW w:w="1930" w:type="pct"/>
            <w:shd w:val="clear" w:color="auto" w:fill="auto"/>
            <w:vAlign w:val="center"/>
          </w:tcPr>
          <w:p w14:paraId="17A9D185"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The supplier shall provide a Cloud based solution to allow the gathering of requirements across multiple projects.</w:t>
            </w:r>
            <w:r w:rsidRPr="006D26B3">
              <w:rPr>
                <w:rFonts w:ascii="Arial" w:eastAsia="Calibri" w:hAnsi="Arial" w:cs="Arial"/>
                <w:bCs/>
                <w:lang w:eastAsia="en-GB"/>
              </w:rPr>
              <w:tab/>
            </w:r>
          </w:p>
        </w:tc>
        <w:tc>
          <w:tcPr>
            <w:tcW w:w="754" w:type="pct"/>
            <w:shd w:val="clear" w:color="auto" w:fill="auto"/>
            <w:vAlign w:val="center"/>
          </w:tcPr>
          <w:p w14:paraId="68D790D0" w14:textId="0D57483A"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1</w:t>
            </w:r>
            <w:r w:rsidR="001F31B3">
              <w:rPr>
                <w:rFonts w:ascii="Arial" w:eastAsia="Calibri" w:hAnsi="Arial" w:cs="Arial"/>
                <w:bCs/>
                <w:lang w:eastAsia="en-GB"/>
              </w:rPr>
              <w:t>0</w:t>
            </w:r>
          </w:p>
        </w:tc>
      </w:tr>
      <w:tr w:rsidR="006D26B3" w:rsidRPr="006D26B3" w14:paraId="4F28D600" w14:textId="77777777" w:rsidTr="0095514A">
        <w:trPr>
          <w:trHeight w:val="893"/>
        </w:trPr>
        <w:tc>
          <w:tcPr>
            <w:tcW w:w="812" w:type="pct"/>
            <w:vMerge/>
            <w:shd w:val="clear" w:color="auto" w:fill="auto"/>
            <w:vAlign w:val="center"/>
          </w:tcPr>
          <w:p w14:paraId="6D61B44E" w14:textId="77777777" w:rsidR="006D26B3" w:rsidRPr="006D26B3" w:rsidRDefault="006D26B3" w:rsidP="006D26B3">
            <w:pPr>
              <w:spacing w:after="0" w:line="240" w:lineRule="auto"/>
              <w:jc w:val="both"/>
              <w:rPr>
                <w:rFonts w:ascii="Arial" w:eastAsia="Calibri" w:hAnsi="Arial" w:cs="Arial"/>
                <w:b/>
                <w:bCs/>
                <w:lang w:eastAsia="en-GB"/>
              </w:rPr>
            </w:pPr>
          </w:p>
        </w:tc>
        <w:tc>
          <w:tcPr>
            <w:tcW w:w="886" w:type="pct"/>
            <w:vMerge/>
            <w:shd w:val="clear" w:color="auto" w:fill="auto"/>
            <w:vAlign w:val="center"/>
          </w:tcPr>
          <w:p w14:paraId="584F130A" w14:textId="77777777" w:rsidR="006D26B3" w:rsidRPr="006D26B3" w:rsidRDefault="006D26B3" w:rsidP="006D26B3">
            <w:pPr>
              <w:spacing w:after="0" w:line="240" w:lineRule="auto"/>
              <w:jc w:val="both"/>
              <w:rPr>
                <w:rFonts w:ascii="Arial" w:eastAsia="Calibri" w:hAnsi="Arial" w:cs="Arial"/>
                <w:b/>
                <w:bCs/>
                <w:lang w:eastAsia="en-GB"/>
              </w:rPr>
            </w:pPr>
          </w:p>
        </w:tc>
        <w:tc>
          <w:tcPr>
            <w:tcW w:w="617" w:type="pct"/>
          </w:tcPr>
          <w:p w14:paraId="6C9A4677" w14:textId="77777777" w:rsidR="006D26B3" w:rsidRPr="006D26B3" w:rsidRDefault="006D26B3" w:rsidP="006D26B3">
            <w:pPr>
              <w:spacing w:after="0" w:line="240" w:lineRule="auto"/>
              <w:jc w:val="center"/>
              <w:rPr>
                <w:rFonts w:ascii="Arial" w:eastAsia="Calibri" w:hAnsi="Arial" w:cs="Arial"/>
                <w:bCs/>
                <w:lang w:eastAsia="en-GB"/>
              </w:rPr>
            </w:pPr>
            <w:r w:rsidRPr="006D26B3">
              <w:rPr>
                <w:rFonts w:ascii="Arial" w:eastAsia="Calibri" w:hAnsi="Arial" w:cs="Arial"/>
                <w:bCs/>
                <w:lang w:eastAsia="en-GB"/>
              </w:rPr>
              <w:t>5</w:t>
            </w:r>
          </w:p>
        </w:tc>
        <w:tc>
          <w:tcPr>
            <w:tcW w:w="1930" w:type="pct"/>
            <w:shd w:val="clear" w:color="auto" w:fill="auto"/>
            <w:vAlign w:val="center"/>
          </w:tcPr>
          <w:p w14:paraId="758E2948"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Evidence that the solution allows for real time collaboration and the sharing of data between project team members at disparate locations.</w:t>
            </w:r>
          </w:p>
        </w:tc>
        <w:tc>
          <w:tcPr>
            <w:tcW w:w="754" w:type="pct"/>
            <w:shd w:val="clear" w:color="auto" w:fill="auto"/>
            <w:vAlign w:val="center"/>
          </w:tcPr>
          <w:p w14:paraId="69D29847" w14:textId="435FC6A6"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1</w:t>
            </w:r>
            <w:r w:rsidR="001F31B3">
              <w:rPr>
                <w:rFonts w:ascii="Arial" w:eastAsia="Calibri" w:hAnsi="Arial" w:cs="Arial"/>
                <w:bCs/>
                <w:lang w:eastAsia="en-GB"/>
              </w:rPr>
              <w:t>0</w:t>
            </w:r>
          </w:p>
        </w:tc>
      </w:tr>
      <w:tr w:rsidR="006D26B3" w:rsidRPr="006D26B3" w14:paraId="25DAF7FF" w14:textId="77777777" w:rsidTr="0095514A">
        <w:trPr>
          <w:trHeight w:val="820"/>
        </w:trPr>
        <w:tc>
          <w:tcPr>
            <w:tcW w:w="812" w:type="pct"/>
            <w:vMerge/>
            <w:shd w:val="clear" w:color="auto" w:fill="auto"/>
            <w:vAlign w:val="center"/>
          </w:tcPr>
          <w:p w14:paraId="6CA6A1A7" w14:textId="77777777" w:rsidR="006D26B3" w:rsidRPr="006D26B3" w:rsidRDefault="006D26B3" w:rsidP="006D26B3">
            <w:pPr>
              <w:spacing w:after="0" w:line="240" w:lineRule="auto"/>
              <w:jc w:val="both"/>
              <w:rPr>
                <w:rFonts w:ascii="Arial" w:eastAsia="Calibri" w:hAnsi="Arial" w:cs="Arial"/>
                <w:b/>
                <w:bCs/>
                <w:lang w:eastAsia="en-GB"/>
              </w:rPr>
            </w:pPr>
          </w:p>
        </w:tc>
        <w:tc>
          <w:tcPr>
            <w:tcW w:w="886" w:type="pct"/>
            <w:vMerge/>
            <w:shd w:val="clear" w:color="auto" w:fill="auto"/>
            <w:vAlign w:val="center"/>
          </w:tcPr>
          <w:p w14:paraId="4F9473D6" w14:textId="77777777" w:rsidR="006D26B3" w:rsidRPr="006D26B3" w:rsidRDefault="006D26B3" w:rsidP="006D26B3">
            <w:pPr>
              <w:spacing w:after="0" w:line="240" w:lineRule="auto"/>
              <w:jc w:val="both"/>
              <w:rPr>
                <w:rFonts w:ascii="Arial" w:eastAsia="Calibri" w:hAnsi="Arial" w:cs="Arial"/>
                <w:b/>
                <w:bCs/>
                <w:lang w:eastAsia="en-GB"/>
              </w:rPr>
            </w:pPr>
          </w:p>
        </w:tc>
        <w:tc>
          <w:tcPr>
            <w:tcW w:w="617" w:type="pct"/>
          </w:tcPr>
          <w:p w14:paraId="0D2CAF70" w14:textId="77777777" w:rsidR="006D26B3" w:rsidRPr="006D26B3" w:rsidRDefault="006D26B3" w:rsidP="006D26B3">
            <w:pPr>
              <w:spacing w:after="0" w:line="240" w:lineRule="auto"/>
              <w:jc w:val="center"/>
              <w:rPr>
                <w:rFonts w:ascii="Arial" w:eastAsia="Calibri" w:hAnsi="Arial" w:cs="Arial"/>
                <w:bCs/>
                <w:lang w:eastAsia="en-GB"/>
              </w:rPr>
            </w:pPr>
            <w:r w:rsidRPr="006D26B3">
              <w:rPr>
                <w:rFonts w:ascii="Arial" w:eastAsia="Calibri" w:hAnsi="Arial" w:cs="Arial"/>
                <w:bCs/>
                <w:lang w:eastAsia="en-GB"/>
              </w:rPr>
              <w:t>6</w:t>
            </w:r>
          </w:p>
        </w:tc>
        <w:tc>
          <w:tcPr>
            <w:tcW w:w="1930" w:type="pct"/>
            <w:shd w:val="clear" w:color="auto" w:fill="auto"/>
            <w:vAlign w:val="center"/>
          </w:tcPr>
          <w:p w14:paraId="0653153C"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Evidence that the solution ensures the traceability of requirements from high level user requirements through to detailed system requirements</w:t>
            </w:r>
          </w:p>
        </w:tc>
        <w:tc>
          <w:tcPr>
            <w:tcW w:w="754" w:type="pct"/>
            <w:shd w:val="clear" w:color="auto" w:fill="auto"/>
            <w:vAlign w:val="center"/>
          </w:tcPr>
          <w:p w14:paraId="3C626574" w14:textId="65DD6F75"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1</w:t>
            </w:r>
            <w:r w:rsidR="001F31B3">
              <w:rPr>
                <w:rFonts w:ascii="Arial" w:eastAsia="Calibri" w:hAnsi="Arial" w:cs="Arial"/>
                <w:bCs/>
                <w:lang w:eastAsia="en-GB"/>
              </w:rPr>
              <w:t>0</w:t>
            </w:r>
          </w:p>
        </w:tc>
      </w:tr>
      <w:tr w:rsidR="006D26B3" w:rsidRPr="006D26B3" w14:paraId="0E117377" w14:textId="77777777" w:rsidTr="0095514A">
        <w:trPr>
          <w:trHeight w:val="626"/>
        </w:trPr>
        <w:tc>
          <w:tcPr>
            <w:tcW w:w="812" w:type="pct"/>
            <w:vMerge/>
            <w:shd w:val="clear" w:color="auto" w:fill="auto"/>
            <w:vAlign w:val="center"/>
          </w:tcPr>
          <w:p w14:paraId="5C68B7D8" w14:textId="77777777" w:rsidR="006D26B3" w:rsidRPr="006D26B3" w:rsidRDefault="006D26B3" w:rsidP="006D26B3">
            <w:pPr>
              <w:spacing w:after="0" w:line="240" w:lineRule="auto"/>
              <w:jc w:val="both"/>
              <w:rPr>
                <w:rFonts w:ascii="Arial" w:eastAsia="Calibri" w:hAnsi="Arial" w:cs="Arial"/>
                <w:b/>
                <w:bCs/>
                <w:lang w:eastAsia="en-GB"/>
              </w:rPr>
            </w:pPr>
          </w:p>
        </w:tc>
        <w:tc>
          <w:tcPr>
            <w:tcW w:w="886" w:type="pct"/>
            <w:vMerge/>
            <w:shd w:val="clear" w:color="auto" w:fill="auto"/>
            <w:vAlign w:val="center"/>
          </w:tcPr>
          <w:p w14:paraId="3861BAE0" w14:textId="77777777" w:rsidR="006D26B3" w:rsidRPr="006D26B3" w:rsidRDefault="006D26B3" w:rsidP="006D26B3">
            <w:pPr>
              <w:spacing w:after="0" w:line="240" w:lineRule="auto"/>
              <w:jc w:val="both"/>
              <w:rPr>
                <w:rFonts w:ascii="Arial" w:eastAsia="Calibri" w:hAnsi="Arial" w:cs="Arial"/>
                <w:b/>
                <w:bCs/>
                <w:lang w:eastAsia="en-GB"/>
              </w:rPr>
            </w:pPr>
          </w:p>
        </w:tc>
        <w:tc>
          <w:tcPr>
            <w:tcW w:w="617" w:type="pct"/>
          </w:tcPr>
          <w:p w14:paraId="184B0250" w14:textId="77777777" w:rsidR="006D26B3" w:rsidRPr="006D26B3" w:rsidRDefault="006D26B3" w:rsidP="006D26B3">
            <w:pPr>
              <w:spacing w:after="0" w:line="240" w:lineRule="auto"/>
              <w:jc w:val="center"/>
              <w:rPr>
                <w:rFonts w:ascii="Arial" w:eastAsia="Calibri" w:hAnsi="Arial" w:cs="Arial"/>
                <w:bCs/>
                <w:lang w:eastAsia="en-GB"/>
              </w:rPr>
            </w:pPr>
            <w:r w:rsidRPr="006D26B3">
              <w:rPr>
                <w:rFonts w:ascii="Arial" w:eastAsia="Calibri" w:hAnsi="Arial" w:cs="Arial"/>
                <w:bCs/>
                <w:lang w:eastAsia="en-GB"/>
              </w:rPr>
              <w:t>7</w:t>
            </w:r>
          </w:p>
        </w:tc>
        <w:tc>
          <w:tcPr>
            <w:tcW w:w="1930" w:type="pct"/>
            <w:shd w:val="clear" w:color="auto" w:fill="auto"/>
            <w:vAlign w:val="center"/>
          </w:tcPr>
          <w:p w14:paraId="10A46FDD"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The Solution shall allow the linking of requirements</w:t>
            </w:r>
          </w:p>
        </w:tc>
        <w:tc>
          <w:tcPr>
            <w:tcW w:w="754" w:type="pct"/>
            <w:shd w:val="clear" w:color="auto" w:fill="auto"/>
            <w:vAlign w:val="center"/>
          </w:tcPr>
          <w:p w14:paraId="0F6418A0" w14:textId="41D75C1A"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1</w:t>
            </w:r>
            <w:r w:rsidR="001F31B3">
              <w:rPr>
                <w:rFonts w:ascii="Arial" w:eastAsia="Calibri" w:hAnsi="Arial" w:cs="Arial"/>
                <w:bCs/>
                <w:lang w:eastAsia="en-GB"/>
              </w:rPr>
              <w:t>0</w:t>
            </w:r>
          </w:p>
        </w:tc>
      </w:tr>
      <w:tr w:rsidR="006D26B3" w:rsidRPr="006D26B3" w14:paraId="2113F0DD" w14:textId="77777777" w:rsidTr="0095514A">
        <w:trPr>
          <w:trHeight w:val="626"/>
        </w:trPr>
        <w:tc>
          <w:tcPr>
            <w:tcW w:w="812" w:type="pct"/>
            <w:vMerge/>
            <w:shd w:val="clear" w:color="auto" w:fill="auto"/>
            <w:vAlign w:val="center"/>
          </w:tcPr>
          <w:p w14:paraId="4E875EB1" w14:textId="77777777" w:rsidR="006D26B3" w:rsidRPr="006D26B3" w:rsidRDefault="006D26B3" w:rsidP="006D26B3">
            <w:pPr>
              <w:spacing w:after="0" w:line="240" w:lineRule="auto"/>
              <w:jc w:val="both"/>
              <w:rPr>
                <w:rFonts w:ascii="Arial" w:eastAsia="Calibri" w:hAnsi="Arial" w:cs="Arial"/>
                <w:b/>
                <w:bCs/>
                <w:lang w:eastAsia="en-GB"/>
              </w:rPr>
            </w:pPr>
          </w:p>
        </w:tc>
        <w:tc>
          <w:tcPr>
            <w:tcW w:w="886" w:type="pct"/>
            <w:vMerge/>
            <w:shd w:val="clear" w:color="auto" w:fill="auto"/>
            <w:vAlign w:val="center"/>
          </w:tcPr>
          <w:p w14:paraId="3A488A90" w14:textId="77777777" w:rsidR="006D26B3" w:rsidRPr="006D26B3" w:rsidRDefault="006D26B3" w:rsidP="006D26B3">
            <w:pPr>
              <w:spacing w:after="0" w:line="240" w:lineRule="auto"/>
              <w:jc w:val="both"/>
              <w:rPr>
                <w:rFonts w:ascii="Arial" w:eastAsia="Calibri" w:hAnsi="Arial" w:cs="Arial"/>
                <w:b/>
                <w:bCs/>
                <w:lang w:eastAsia="en-GB"/>
              </w:rPr>
            </w:pPr>
          </w:p>
        </w:tc>
        <w:tc>
          <w:tcPr>
            <w:tcW w:w="617" w:type="pct"/>
          </w:tcPr>
          <w:p w14:paraId="0BF87D20" w14:textId="77777777" w:rsidR="006D26B3" w:rsidRPr="006D26B3" w:rsidRDefault="006D26B3" w:rsidP="006D26B3">
            <w:pPr>
              <w:spacing w:after="0" w:line="240" w:lineRule="auto"/>
              <w:jc w:val="center"/>
              <w:rPr>
                <w:rFonts w:ascii="Arial" w:eastAsia="Calibri" w:hAnsi="Arial" w:cs="Arial"/>
                <w:bCs/>
                <w:lang w:eastAsia="en-GB"/>
              </w:rPr>
            </w:pPr>
            <w:r w:rsidRPr="006D26B3">
              <w:rPr>
                <w:rFonts w:ascii="Arial" w:eastAsia="Calibri" w:hAnsi="Arial" w:cs="Arial"/>
                <w:bCs/>
                <w:lang w:eastAsia="en-GB"/>
              </w:rPr>
              <w:t>8</w:t>
            </w:r>
          </w:p>
        </w:tc>
        <w:tc>
          <w:tcPr>
            <w:tcW w:w="1930" w:type="pct"/>
            <w:shd w:val="clear" w:color="auto" w:fill="auto"/>
            <w:vAlign w:val="center"/>
          </w:tcPr>
          <w:p w14:paraId="56E4DAB0"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Evidence that the solution provides an audit trail of updates and changes made. A historical record of all updates and changes shall be recorded against each contributor at an individual level, together with the time and date of change.</w:t>
            </w:r>
          </w:p>
        </w:tc>
        <w:tc>
          <w:tcPr>
            <w:tcW w:w="754" w:type="pct"/>
            <w:shd w:val="clear" w:color="auto" w:fill="auto"/>
            <w:vAlign w:val="center"/>
          </w:tcPr>
          <w:p w14:paraId="24A67645" w14:textId="4167E2BE"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1</w:t>
            </w:r>
            <w:r w:rsidR="001F31B3">
              <w:rPr>
                <w:rFonts w:ascii="Arial" w:eastAsia="Calibri" w:hAnsi="Arial" w:cs="Arial"/>
                <w:bCs/>
                <w:lang w:eastAsia="en-GB"/>
              </w:rPr>
              <w:t>0</w:t>
            </w:r>
          </w:p>
        </w:tc>
      </w:tr>
      <w:tr w:rsidR="006D26B3" w:rsidRPr="006D26B3" w14:paraId="05EBFEF8" w14:textId="77777777" w:rsidTr="0095514A">
        <w:trPr>
          <w:trHeight w:val="733"/>
        </w:trPr>
        <w:tc>
          <w:tcPr>
            <w:tcW w:w="812" w:type="pct"/>
            <w:vMerge/>
            <w:shd w:val="clear" w:color="auto" w:fill="auto"/>
            <w:vAlign w:val="center"/>
          </w:tcPr>
          <w:p w14:paraId="150BFFD1" w14:textId="77777777" w:rsidR="006D26B3" w:rsidRPr="006D26B3" w:rsidRDefault="006D26B3" w:rsidP="006D26B3">
            <w:pPr>
              <w:spacing w:after="0" w:line="240" w:lineRule="auto"/>
              <w:jc w:val="both"/>
              <w:rPr>
                <w:rFonts w:ascii="Arial" w:eastAsia="Calibri" w:hAnsi="Arial" w:cs="Arial"/>
                <w:b/>
                <w:bCs/>
                <w:lang w:eastAsia="en-GB"/>
              </w:rPr>
            </w:pPr>
          </w:p>
        </w:tc>
        <w:tc>
          <w:tcPr>
            <w:tcW w:w="886" w:type="pct"/>
            <w:vMerge/>
            <w:shd w:val="clear" w:color="auto" w:fill="auto"/>
            <w:vAlign w:val="center"/>
          </w:tcPr>
          <w:p w14:paraId="0861AAE1" w14:textId="77777777" w:rsidR="006D26B3" w:rsidRPr="006D26B3" w:rsidRDefault="006D26B3" w:rsidP="006D26B3">
            <w:pPr>
              <w:spacing w:after="0" w:line="240" w:lineRule="auto"/>
              <w:jc w:val="both"/>
              <w:rPr>
                <w:rFonts w:ascii="Arial" w:eastAsia="Calibri" w:hAnsi="Arial" w:cs="Arial"/>
                <w:b/>
                <w:bCs/>
                <w:lang w:eastAsia="en-GB"/>
              </w:rPr>
            </w:pPr>
          </w:p>
        </w:tc>
        <w:tc>
          <w:tcPr>
            <w:tcW w:w="617" w:type="pct"/>
          </w:tcPr>
          <w:p w14:paraId="25E524D3" w14:textId="77777777" w:rsidR="006D26B3" w:rsidRPr="006D26B3" w:rsidRDefault="006D26B3" w:rsidP="006D26B3">
            <w:pPr>
              <w:spacing w:after="0" w:line="240" w:lineRule="auto"/>
              <w:jc w:val="center"/>
              <w:rPr>
                <w:rFonts w:ascii="Arial" w:eastAsia="Calibri" w:hAnsi="Arial" w:cs="Arial"/>
                <w:bCs/>
                <w:lang w:eastAsia="en-GB"/>
              </w:rPr>
            </w:pPr>
            <w:r w:rsidRPr="006D26B3">
              <w:rPr>
                <w:rFonts w:ascii="Arial" w:eastAsia="Calibri" w:hAnsi="Arial" w:cs="Arial"/>
                <w:bCs/>
                <w:lang w:eastAsia="en-GB"/>
              </w:rPr>
              <w:t>9</w:t>
            </w:r>
          </w:p>
        </w:tc>
        <w:tc>
          <w:tcPr>
            <w:tcW w:w="1930" w:type="pct"/>
            <w:shd w:val="clear" w:color="auto" w:fill="auto"/>
            <w:vAlign w:val="center"/>
          </w:tcPr>
          <w:p w14:paraId="62C27723"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Evidence that the system can provide access for 3 users at edit / update level and for 12 additional users at read only access level.</w:t>
            </w:r>
          </w:p>
        </w:tc>
        <w:tc>
          <w:tcPr>
            <w:tcW w:w="754" w:type="pct"/>
            <w:shd w:val="clear" w:color="auto" w:fill="auto"/>
            <w:vAlign w:val="center"/>
          </w:tcPr>
          <w:p w14:paraId="5961544D"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6</w:t>
            </w:r>
          </w:p>
        </w:tc>
      </w:tr>
      <w:tr w:rsidR="006D26B3" w:rsidRPr="006D26B3" w14:paraId="2B519B49" w14:textId="77777777" w:rsidTr="0095514A">
        <w:trPr>
          <w:trHeight w:val="1056"/>
        </w:trPr>
        <w:tc>
          <w:tcPr>
            <w:tcW w:w="812" w:type="pct"/>
            <w:vMerge/>
            <w:shd w:val="clear" w:color="auto" w:fill="auto"/>
            <w:vAlign w:val="center"/>
          </w:tcPr>
          <w:p w14:paraId="49A12046" w14:textId="77777777" w:rsidR="006D26B3" w:rsidRPr="006D26B3" w:rsidRDefault="006D26B3" w:rsidP="006D26B3">
            <w:pPr>
              <w:spacing w:after="0" w:line="240" w:lineRule="auto"/>
              <w:jc w:val="both"/>
              <w:rPr>
                <w:rFonts w:ascii="Arial" w:eastAsia="Calibri" w:hAnsi="Arial" w:cs="Arial"/>
                <w:b/>
                <w:bCs/>
                <w:lang w:eastAsia="en-GB"/>
              </w:rPr>
            </w:pPr>
          </w:p>
        </w:tc>
        <w:tc>
          <w:tcPr>
            <w:tcW w:w="886" w:type="pct"/>
            <w:vMerge/>
            <w:shd w:val="clear" w:color="auto" w:fill="auto"/>
            <w:vAlign w:val="center"/>
          </w:tcPr>
          <w:p w14:paraId="455FEF67" w14:textId="77777777" w:rsidR="006D26B3" w:rsidRPr="006D26B3" w:rsidRDefault="006D26B3" w:rsidP="006D26B3">
            <w:pPr>
              <w:spacing w:after="0" w:line="240" w:lineRule="auto"/>
              <w:jc w:val="both"/>
              <w:rPr>
                <w:rFonts w:ascii="Arial" w:eastAsia="Calibri" w:hAnsi="Arial" w:cs="Arial"/>
                <w:b/>
                <w:bCs/>
                <w:lang w:eastAsia="en-GB"/>
              </w:rPr>
            </w:pPr>
          </w:p>
        </w:tc>
        <w:tc>
          <w:tcPr>
            <w:tcW w:w="617" w:type="pct"/>
          </w:tcPr>
          <w:p w14:paraId="0C701152" w14:textId="77777777" w:rsidR="006D26B3" w:rsidRPr="006D26B3" w:rsidRDefault="006D26B3" w:rsidP="006D26B3">
            <w:pPr>
              <w:spacing w:after="0" w:line="240" w:lineRule="auto"/>
              <w:jc w:val="center"/>
              <w:rPr>
                <w:rFonts w:ascii="Arial" w:eastAsia="Calibri" w:hAnsi="Arial" w:cs="Arial"/>
                <w:bCs/>
                <w:lang w:eastAsia="en-GB"/>
              </w:rPr>
            </w:pPr>
            <w:r w:rsidRPr="006D26B3">
              <w:rPr>
                <w:rFonts w:ascii="Arial" w:eastAsia="Calibri" w:hAnsi="Arial" w:cs="Arial"/>
                <w:bCs/>
                <w:lang w:eastAsia="en-GB"/>
              </w:rPr>
              <w:t>10</w:t>
            </w:r>
          </w:p>
        </w:tc>
        <w:tc>
          <w:tcPr>
            <w:tcW w:w="1930" w:type="pct"/>
            <w:shd w:val="clear" w:color="auto" w:fill="auto"/>
            <w:vAlign w:val="center"/>
          </w:tcPr>
          <w:p w14:paraId="42553488"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Capability of the supplier to provide a consultancy service for the initial set up of the system and data migration and then an additional one-day of consultancy per annum on an hourly call off basis.</w:t>
            </w:r>
          </w:p>
        </w:tc>
        <w:tc>
          <w:tcPr>
            <w:tcW w:w="754" w:type="pct"/>
            <w:shd w:val="clear" w:color="auto" w:fill="auto"/>
            <w:vAlign w:val="center"/>
          </w:tcPr>
          <w:p w14:paraId="59CD12A8"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8</w:t>
            </w:r>
          </w:p>
        </w:tc>
      </w:tr>
      <w:tr w:rsidR="006D26B3" w:rsidRPr="006D26B3" w14:paraId="789EB37D" w14:textId="77777777" w:rsidTr="0095514A">
        <w:trPr>
          <w:trHeight w:val="833"/>
        </w:trPr>
        <w:tc>
          <w:tcPr>
            <w:tcW w:w="812" w:type="pct"/>
            <w:vMerge/>
            <w:shd w:val="clear" w:color="auto" w:fill="auto"/>
            <w:vAlign w:val="center"/>
          </w:tcPr>
          <w:p w14:paraId="74BF1AB4" w14:textId="77777777" w:rsidR="006D26B3" w:rsidRPr="006D26B3" w:rsidRDefault="006D26B3" w:rsidP="006D26B3">
            <w:pPr>
              <w:spacing w:after="0" w:line="240" w:lineRule="auto"/>
              <w:jc w:val="both"/>
              <w:rPr>
                <w:rFonts w:ascii="Arial" w:eastAsia="Calibri" w:hAnsi="Arial" w:cs="Arial"/>
                <w:b/>
                <w:bCs/>
                <w:lang w:eastAsia="en-GB"/>
              </w:rPr>
            </w:pPr>
          </w:p>
        </w:tc>
        <w:tc>
          <w:tcPr>
            <w:tcW w:w="886" w:type="pct"/>
            <w:vMerge/>
            <w:shd w:val="clear" w:color="auto" w:fill="auto"/>
            <w:vAlign w:val="center"/>
          </w:tcPr>
          <w:p w14:paraId="62706DC4" w14:textId="77777777" w:rsidR="006D26B3" w:rsidRPr="006D26B3" w:rsidRDefault="006D26B3" w:rsidP="006D26B3">
            <w:pPr>
              <w:spacing w:after="0" w:line="240" w:lineRule="auto"/>
              <w:jc w:val="both"/>
              <w:rPr>
                <w:rFonts w:ascii="Arial" w:eastAsia="Calibri" w:hAnsi="Arial" w:cs="Arial"/>
                <w:b/>
                <w:bCs/>
                <w:lang w:eastAsia="en-GB"/>
              </w:rPr>
            </w:pPr>
          </w:p>
        </w:tc>
        <w:tc>
          <w:tcPr>
            <w:tcW w:w="617" w:type="pct"/>
          </w:tcPr>
          <w:p w14:paraId="0E2FD425" w14:textId="77777777" w:rsidR="006D26B3" w:rsidRPr="006D26B3" w:rsidRDefault="006D26B3" w:rsidP="006D26B3">
            <w:pPr>
              <w:spacing w:after="0" w:line="240" w:lineRule="auto"/>
              <w:jc w:val="center"/>
              <w:rPr>
                <w:rFonts w:ascii="Arial" w:eastAsia="Calibri" w:hAnsi="Arial" w:cs="Arial"/>
                <w:bCs/>
                <w:lang w:eastAsia="en-GB"/>
              </w:rPr>
            </w:pPr>
            <w:r w:rsidRPr="006D26B3">
              <w:rPr>
                <w:rFonts w:ascii="Arial" w:eastAsia="Calibri" w:hAnsi="Arial" w:cs="Arial"/>
                <w:bCs/>
                <w:lang w:eastAsia="en-GB"/>
              </w:rPr>
              <w:t>11</w:t>
            </w:r>
          </w:p>
        </w:tc>
        <w:tc>
          <w:tcPr>
            <w:tcW w:w="1930" w:type="pct"/>
            <w:shd w:val="clear" w:color="auto" w:fill="auto"/>
            <w:vAlign w:val="center"/>
          </w:tcPr>
          <w:p w14:paraId="5BEA3E0C"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 xml:space="preserve">Evidence that Training can be provided for 3 users at either the MCA Head Office, Southampton or the National </w:t>
            </w:r>
            <w:r w:rsidRPr="006D26B3">
              <w:rPr>
                <w:rFonts w:ascii="Arial" w:eastAsia="Calibri" w:hAnsi="Arial" w:cs="Arial"/>
                <w:bCs/>
                <w:lang w:eastAsia="en-GB"/>
              </w:rPr>
              <w:lastRenderedPageBreak/>
              <w:t>Maritime Operations Centre, Fareham, Hampshire</w:t>
            </w:r>
          </w:p>
        </w:tc>
        <w:tc>
          <w:tcPr>
            <w:tcW w:w="754" w:type="pct"/>
            <w:shd w:val="clear" w:color="auto" w:fill="auto"/>
            <w:vAlign w:val="center"/>
          </w:tcPr>
          <w:p w14:paraId="445B2B73"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lastRenderedPageBreak/>
              <w:t>8</w:t>
            </w:r>
          </w:p>
        </w:tc>
      </w:tr>
      <w:tr w:rsidR="006D26B3" w:rsidRPr="006D26B3" w14:paraId="77DEF0ED" w14:textId="77777777" w:rsidTr="0095514A">
        <w:trPr>
          <w:trHeight w:val="1077"/>
        </w:trPr>
        <w:tc>
          <w:tcPr>
            <w:tcW w:w="812" w:type="pct"/>
            <w:vMerge/>
            <w:shd w:val="clear" w:color="auto" w:fill="auto"/>
            <w:vAlign w:val="center"/>
          </w:tcPr>
          <w:p w14:paraId="7B58C502" w14:textId="77777777" w:rsidR="006D26B3" w:rsidRPr="006D26B3" w:rsidRDefault="006D26B3" w:rsidP="006D26B3">
            <w:pPr>
              <w:spacing w:after="0" w:line="240" w:lineRule="auto"/>
              <w:jc w:val="both"/>
              <w:rPr>
                <w:rFonts w:ascii="Arial" w:eastAsia="Calibri" w:hAnsi="Arial" w:cs="Arial"/>
                <w:b/>
                <w:bCs/>
                <w:lang w:eastAsia="en-GB"/>
              </w:rPr>
            </w:pPr>
          </w:p>
        </w:tc>
        <w:tc>
          <w:tcPr>
            <w:tcW w:w="886" w:type="pct"/>
            <w:vMerge/>
            <w:shd w:val="clear" w:color="auto" w:fill="auto"/>
            <w:vAlign w:val="center"/>
          </w:tcPr>
          <w:p w14:paraId="178ACEA5" w14:textId="77777777" w:rsidR="006D26B3" w:rsidRPr="006D26B3" w:rsidRDefault="006D26B3" w:rsidP="006D26B3">
            <w:pPr>
              <w:spacing w:after="0" w:line="240" w:lineRule="auto"/>
              <w:jc w:val="both"/>
              <w:rPr>
                <w:rFonts w:ascii="Arial" w:eastAsia="Calibri" w:hAnsi="Arial" w:cs="Arial"/>
                <w:b/>
                <w:bCs/>
                <w:lang w:eastAsia="en-GB"/>
              </w:rPr>
            </w:pPr>
          </w:p>
        </w:tc>
        <w:tc>
          <w:tcPr>
            <w:tcW w:w="617" w:type="pct"/>
          </w:tcPr>
          <w:p w14:paraId="43265F97" w14:textId="77777777" w:rsidR="006D26B3" w:rsidRPr="006D26B3" w:rsidRDefault="006D26B3" w:rsidP="006D26B3">
            <w:pPr>
              <w:spacing w:after="0" w:line="240" w:lineRule="auto"/>
              <w:jc w:val="center"/>
              <w:rPr>
                <w:rFonts w:ascii="Arial" w:eastAsia="Calibri" w:hAnsi="Arial" w:cs="Arial"/>
                <w:bCs/>
                <w:lang w:eastAsia="en-GB"/>
              </w:rPr>
            </w:pPr>
            <w:r w:rsidRPr="006D26B3">
              <w:rPr>
                <w:rFonts w:ascii="Arial" w:eastAsia="Calibri" w:hAnsi="Arial" w:cs="Arial"/>
                <w:bCs/>
                <w:lang w:eastAsia="en-GB"/>
              </w:rPr>
              <w:t>12</w:t>
            </w:r>
          </w:p>
        </w:tc>
        <w:tc>
          <w:tcPr>
            <w:tcW w:w="1930" w:type="pct"/>
            <w:shd w:val="clear" w:color="auto" w:fill="auto"/>
            <w:vAlign w:val="center"/>
          </w:tcPr>
          <w:p w14:paraId="322E00EB" w14:textId="6054EF1B" w:rsidR="006D26B3" w:rsidRPr="006D26B3" w:rsidRDefault="006D26B3" w:rsidP="006D26B3">
            <w:pPr>
              <w:spacing w:after="0" w:line="240" w:lineRule="auto"/>
              <w:jc w:val="both"/>
              <w:rPr>
                <w:rFonts w:ascii="Arial" w:eastAsia="Calibri" w:hAnsi="Arial" w:cs="Arial"/>
                <w:bCs/>
                <w:color w:val="FF0000"/>
                <w:lang w:eastAsia="en-GB"/>
              </w:rPr>
            </w:pPr>
            <w:r w:rsidRPr="006D26B3">
              <w:rPr>
                <w:rFonts w:ascii="Arial" w:eastAsia="Calibri" w:hAnsi="Arial" w:cs="Arial"/>
                <w:bCs/>
                <w:lang w:eastAsia="en-GB"/>
              </w:rPr>
              <w:t>Detailed evidence of existing user communities working on large and complex projects, to allow knowledge sharing, education and support.</w:t>
            </w:r>
            <w:r w:rsidR="00F1265D">
              <w:rPr>
                <w:rFonts w:ascii="Arial" w:eastAsia="Calibri" w:hAnsi="Arial" w:cs="Arial"/>
                <w:bCs/>
                <w:lang w:eastAsia="en-GB"/>
              </w:rPr>
              <w:t xml:space="preserve"> </w:t>
            </w:r>
          </w:p>
        </w:tc>
        <w:tc>
          <w:tcPr>
            <w:tcW w:w="754" w:type="pct"/>
            <w:shd w:val="clear" w:color="auto" w:fill="auto"/>
            <w:vAlign w:val="center"/>
          </w:tcPr>
          <w:p w14:paraId="29E601C7" w14:textId="47651955"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1</w:t>
            </w:r>
            <w:r w:rsidR="001F31B3">
              <w:rPr>
                <w:rFonts w:ascii="Arial" w:eastAsia="Calibri" w:hAnsi="Arial" w:cs="Arial"/>
                <w:bCs/>
                <w:lang w:eastAsia="en-GB"/>
              </w:rPr>
              <w:t>0</w:t>
            </w:r>
          </w:p>
        </w:tc>
      </w:tr>
      <w:tr w:rsidR="006D26B3" w:rsidRPr="006D26B3" w14:paraId="06AFC5D5" w14:textId="77777777" w:rsidTr="0095514A">
        <w:trPr>
          <w:trHeight w:val="681"/>
        </w:trPr>
        <w:tc>
          <w:tcPr>
            <w:tcW w:w="812" w:type="pct"/>
            <w:vMerge/>
            <w:shd w:val="clear" w:color="auto" w:fill="auto"/>
            <w:vAlign w:val="center"/>
          </w:tcPr>
          <w:p w14:paraId="3ECDB8CC" w14:textId="77777777" w:rsidR="006D26B3" w:rsidRPr="006D26B3" w:rsidRDefault="006D26B3" w:rsidP="006D26B3">
            <w:pPr>
              <w:spacing w:after="0" w:line="240" w:lineRule="auto"/>
              <w:jc w:val="both"/>
              <w:rPr>
                <w:rFonts w:ascii="Arial" w:eastAsia="Calibri" w:hAnsi="Arial" w:cs="Arial"/>
                <w:b/>
                <w:bCs/>
                <w:lang w:eastAsia="en-GB"/>
              </w:rPr>
            </w:pPr>
          </w:p>
        </w:tc>
        <w:tc>
          <w:tcPr>
            <w:tcW w:w="886" w:type="pct"/>
            <w:vMerge/>
            <w:shd w:val="clear" w:color="auto" w:fill="auto"/>
            <w:vAlign w:val="center"/>
          </w:tcPr>
          <w:p w14:paraId="753737F5" w14:textId="77777777" w:rsidR="006D26B3" w:rsidRPr="006D26B3" w:rsidRDefault="006D26B3" w:rsidP="006D26B3">
            <w:pPr>
              <w:spacing w:after="0" w:line="240" w:lineRule="auto"/>
              <w:jc w:val="both"/>
              <w:rPr>
                <w:rFonts w:ascii="Arial" w:eastAsia="Calibri" w:hAnsi="Arial" w:cs="Arial"/>
                <w:b/>
                <w:bCs/>
                <w:lang w:eastAsia="en-GB"/>
              </w:rPr>
            </w:pPr>
          </w:p>
        </w:tc>
        <w:tc>
          <w:tcPr>
            <w:tcW w:w="617" w:type="pct"/>
          </w:tcPr>
          <w:p w14:paraId="626AA7A4" w14:textId="77777777" w:rsidR="006D26B3" w:rsidRPr="006D26B3" w:rsidRDefault="006D26B3" w:rsidP="006D26B3">
            <w:pPr>
              <w:spacing w:after="0" w:line="240" w:lineRule="auto"/>
              <w:jc w:val="center"/>
              <w:rPr>
                <w:rFonts w:ascii="Arial" w:eastAsia="Calibri" w:hAnsi="Arial" w:cs="Arial"/>
                <w:bCs/>
                <w:lang w:eastAsia="en-GB"/>
              </w:rPr>
            </w:pPr>
            <w:r w:rsidRPr="006D26B3">
              <w:rPr>
                <w:rFonts w:ascii="Arial" w:eastAsia="Calibri" w:hAnsi="Arial" w:cs="Arial"/>
                <w:bCs/>
                <w:lang w:eastAsia="en-GB"/>
              </w:rPr>
              <w:t>13</w:t>
            </w:r>
          </w:p>
        </w:tc>
        <w:tc>
          <w:tcPr>
            <w:tcW w:w="1930" w:type="pct"/>
            <w:shd w:val="clear" w:color="auto" w:fill="auto"/>
            <w:vAlign w:val="center"/>
          </w:tcPr>
          <w:p w14:paraId="30AE1F50"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Evidence that the solution provides scalability to allow use by other projects and additional users</w:t>
            </w:r>
          </w:p>
        </w:tc>
        <w:tc>
          <w:tcPr>
            <w:tcW w:w="754" w:type="pct"/>
            <w:shd w:val="clear" w:color="auto" w:fill="auto"/>
            <w:vAlign w:val="center"/>
          </w:tcPr>
          <w:p w14:paraId="22F406A6" w14:textId="1B8A211E"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1</w:t>
            </w:r>
            <w:r w:rsidR="001F31B3">
              <w:rPr>
                <w:rFonts w:ascii="Arial" w:eastAsia="Calibri" w:hAnsi="Arial" w:cs="Arial"/>
                <w:bCs/>
                <w:lang w:eastAsia="en-GB"/>
              </w:rPr>
              <w:t>0</w:t>
            </w:r>
          </w:p>
        </w:tc>
      </w:tr>
      <w:tr w:rsidR="006D26B3" w:rsidRPr="006D26B3" w14:paraId="23B7FD1F" w14:textId="77777777" w:rsidTr="0095514A">
        <w:trPr>
          <w:trHeight w:val="528"/>
        </w:trPr>
        <w:tc>
          <w:tcPr>
            <w:tcW w:w="812" w:type="pct"/>
            <w:vMerge/>
            <w:shd w:val="clear" w:color="auto" w:fill="auto"/>
            <w:vAlign w:val="center"/>
          </w:tcPr>
          <w:p w14:paraId="20452059" w14:textId="77777777" w:rsidR="006D26B3" w:rsidRPr="006D26B3" w:rsidRDefault="006D26B3" w:rsidP="006D26B3">
            <w:pPr>
              <w:spacing w:after="0" w:line="240" w:lineRule="auto"/>
              <w:jc w:val="both"/>
              <w:rPr>
                <w:rFonts w:ascii="Arial" w:eastAsia="Calibri" w:hAnsi="Arial" w:cs="Arial"/>
                <w:b/>
                <w:bCs/>
                <w:lang w:eastAsia="en-GB"/>
              </w:rPr>
            </w:pPr>
          </w:p>
        </w:tc>
        <w:tc>
          <w:tcPr>
            <w:tcW w:w="886" w:type="pct"/>
            <w:vMerge/>
            <w:shd w:val="clear" w:color="auto" w:fill="auto"/>
            <w:vAlign w:val="center"/>
          </w:tcPr>
          <w:p w14:paraId="16F6B101" w14:textId="77777777" w:rsidR="006D26B3" w:rsidRPr="006D26B3" w:rsidRDefault="006D26B3" w:rsidP="006D26B3">
            <w:pPr>
              <w:spacing w:after="0" w:line="240" w:lineRule="auto"/>
              <w:jc w:val="both"/>
              <w:rPr>
                <w:rFonts w:ascii="Arial" w:eastAsia="Calibri" w:hAnsi="Arial" w:cs="Arial"/>
                <w:b/>
                <w:bCs/>
                <w:lang w:eastAsia="en-GB"/>
              </w:rPr>
            </w:pPr>
          </w:p>
        </w:tc>
        <w:tc>
          <w:tcPr>
            <w:tcW w:w="617" w:type="pct"/>
          </w:tcPr>
          <w:p w14:paraId="10F12F75" w14:textId="77777777" w:rsidR="006D26B3" w:rsidRPr="006D26B3" w:rsidRDefault="006D26B3" w:rsidP="006D26B3">
            <w:pPr>
              <w:spacing w:after="0" w:line="240" w:lineRule="auto"/>
              <w:jc w:val="center"/>
              <w:rPr>
                <w:rFonts w:ascii="Arial" w:eastAsia="Calibri" w:hAnsi="Arial" w:cs="Arial"/>
                <w:bCs/>
                <w:lang w:eastAsia="en-GB"/>
              </w:rPr>
            </w:pPr>
            <w:r w:rsidRPr="006D26B3">
              <w:rPr>
                <w:rFonts w:ascii="Arial" w:eastAsia="Calibri" w:hAnsi="Arial" w:cs="Arial"/>
                <w:bCs/>
                <w:lang w:eastAsia="en-GB"/>
              </w:rPr>
              <w:t>14</w:t>
            </w:r>
          </w:p>
        </w:tc>
        <w:tc>
          <w:tcPr>
            <w:tcW w:w="1930" w:type="pct"/>
            <w:shd w:val="clear" w:color="auto" w:fill="auto"/>
            <w:vAlign w:val="center"/>
          </w:tcPr>
          <w:p w14:paraId="0FB668E8"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Evidence that the solution allows for the requirements to be copied and edited for use on other projects</w:t>
            </w:r>
          </w:p>
        </w:tc>
        <w:tc>
          <w:tcPr>
            <w:tcW w:w="754" w:type="pct"/>
            <w:shd w:val="clear" w:color="auto" w:fill="auto"/>
            <w:vAlign w:val="center"/>
          </w:tcPr>
          <w:p w14:paraId="63E3581B"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8</w:t>
            </w:r>
          </w:p>
        </w:tc>
      </w:tr>
      <w:tr w:rsidR="006D26B3" w:rsidRPr="006D26B3" w14:paraId="6A27CE54" w14:textId="77777777" w:rsidTr="0095514A">
        <w:trPr>
          <w:trHeight w:val="1337"/>
        </w:trPr>
        <w:tc>
          <w:tcPr>
            <w:tcW w:w="812" w:type="pct"/>
            <w:shd w:val="clear" w:color="auto" w:fill="auto"/>
            <w:vAlign w:val="center"/>
          </w:tcPr>
          <w:p w14:paraId="647644A8" w14:textId="77777777" w:rsidR="006D26B3" w:rsidRPr="006D26B3" w:rsidRDefault="006D26B3" w:rsidP="006D26B3">
            <w:pPr>
              <w:spacing w:after="0" w:line="240" w:lineRule="auto"/>
              <w:jc w:val="both"/>
              <w:rPr>
                <w:rFonts w:ascii="Arial" w:eastAsia="Calibri" w:hAnsi="Arial" w:cs="Arial"/>
                <w:b/>
                <w:bCs/>
                <w:lang w:eastAsia="en-GB"/>
              </w:rPr>
            </w:pPr>
            <w:r w:rsidRPr="006D26B3">
              <w:rPr>
                <w:rFonts w:ascii="Arial" w:eastAsia="Calibri" w:hAnsi="Arial" w:cs="Arial"/>
                <w:b/>
                <w:bCs/>
                <w:lang w:eastAsia="en-GB"/>
              </w:rPr>
              <w:t>Management</w:t>
            </w:r>
          </w:p>
        </w:tc>
        <w:tc>
          <w:tcPr>
            <w:tcW w:w="886" w:type="pct"/>
            <w:shd w:val="clear" w:color="auto" w:fill="auto"/>
            <w:vAlign w:val="center"/>
          </w:tcPr>
          <w:p w14:paraId="2834DC4A" w14:textId="2F82B90C" w:rsidR="006D26B3" w:rsidRPr="006D26B3" w:rsidRDefault="00EF3C3C" w:rsidP="006D26B3">
            <w:pPr>
              <w:spacing w:after="0" w:line="240" w:lineRule="auto"/>
              <w:jc w:val="both"/>
              <w:rPr>
                <w:rFonts w:ascii="Arial" w:eastAsia="Calibri" w:hAnsi="Arial" w:cs="Arial"/>
                <w:b/>
                <w:bCs/>
                <w:lang w:eastAsia="en-GB"/>
              </w:rPr>
            </w:pPr>
            <w:r>
              <w:rPr>
                <w:rFonts w:ascii="Arial" w:eastAsia="Calibri" w:hAnsi="Arial" w:cs="Arial"/>
                <w:b/>
                <w:bCs/>
                <w:lang w:eastAsia="en-GB"/>
              </w:rPr>
              <w:t>5</w:t>
            </w:r>
          </w:p>
        </w:tc>
        <w:tc>
          <w:tcPr>
            <w:tcW w:w="617" w:type="pct"/>
          </w:tcPr>
          <w:p w14:paraId="0EF3D502" w14:textId="77777777" w:rsidR="006D26B3" w:rsidRPr="006D26B3" w:rsidRDefault="006D26B3" w:rsidP="006D26B3">
            <w:pPr>
              <w:spacing w:after="0" w:line="240" w:lineRule="auto"/>
              <w:jc w:val="center"/>
              <w:rPr>
                <w:rFonts w:ascii="Arial" w:eastAsia="Calibri" w:hAnsi="Arial" w:cs="Arial"/>
                <w:bCs/>
                <w:lang w:eastAsia="en-GB"/>
              </w:rPr>
            </w:pPr>
          </w:p>
        </w:tc>
        <w:tc>
          <w:tcPr>
            <w:tcW w:w="1930" w:type="pct"/>
            <w:shd w:val="clear" w:color="auto" w:fill="auto"/>
            <w:vAlign w:val="center"/>
          </w:tcPr>
          <w:p w14:paraId="3B3F6433"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The approach to management of advice, the provision of timetables, cost estimates and billing. Higher scores will be achieved where the process proposed provides clear, timely information meeting all stated needs.</w:t>
            </w:r>
          </w:p>
        </w:tc>
        <w:tc>
          <w:tcPr>
            <w:tcW w:w="754" w:type="pct"/>
            <w:shd w:val="clear" w:color="auto" w:fill="auto"/>
            <w:vAlign w:val="center"/>
          </w:tcPr>
          <w:p w14:paraId="09F3D465" w14:textId="709CA3B8" w:rsidR="006D26B3" w:rsidRPr="006D26B3" w:rsidRDefault="00EF3C3C" w:rsidP="006D26B3">
            <w:pPr>
              <w:spacing w:after="0" w:line="240" w:lineRule="auto"/>
              <w:jc w:val="both"/>
              <w:rPr>
                <w:rFonts w:ascii="Arial" w:eastAsia="Calibri" w:hAnsi="Arial" w:cs="Arial"/>
                <w:bCs/>
                <w:lang w:eastAsia="en-GB"/>
              </w:rPr>
            </w:pPr>
            <w:r>
              <w:rPr>
                <w:rFonts w:ascii="Arial" w:eastAsia="Calibri" w:hAnsi="Arial" w:cs="Arial"/>
                <w:bCs/>
                <w:lang w:eastAsia="en-GB"/>
              </w:rPr>
              <w:t>5</w:t>
            </w:r>
          </w:p>
        </w:tc>
      </w:tr>
      <w:tr w:rsidR="006D26B3" w:rsidRPr="006D26B3" w14:paraId="1082AE0B" w14:textId="77777777" w:rsidTr="0095514A">
        <w:trPr>
          <w:trHeight w:val="288"/>
        </w:trPr>
        <w:tc>
          <w:tcPr>
            <w:tcW w:w="812" w:type="pct"/>
            <w:shd w:val="clear" w:color="auto" w:fill="auto"/>
            <w:vAlign w:val="center"/>
          </w:tcPr>
          <w:p w14:paraId="142349BB"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
                <w:bCs/>
                <w:lang w:eastAsia="en-GB"/>
              </w:rPr>
              <w:t>Price</w:t>
            </w:r>
          </w:p>
        </w:tc>
        <w:tc>
          <w:tcPr>
            <w:tcW w:w="886" w:type="pct"/>
            <w:shd w:val="clear" w:color="auto" w:fill="auto"/>
            <w:vAlign w:val="center"/>
          </w:tcPr>
          <w:p w14:paraId="28D03CEA" w14:textId="604F1345" w:rsidR="006D26B3" w:rsidRPr="006D26B3" w:rsidRDefault="007E4C8E" w:rsidP="006D26B3">
            <w:pPr>
              <w:spacing w:after="0" w:line="240" w:lineRule="auto"/>
              <w:jc w:val="both"/>
              <w:rPr>
                <w:rFonts w:ascii="Arial" w:eastAsia="Calibri" w:hAnsi="Arial" w:cs="Arial"/>
                <w:bCs/>
                <w:lang w:eastAsia="en-GB"/>
              </w:rPr>
            </w:pPr>
            <w:r>
              <w:rPr>
                <w:rFonts w:ascii="Arial" w:eastAsia="Calibri" w:hAnsi="Arial" w:cs="Arial"/>
                <w:b/>
                <w:bCs/>
                <w:lang w:eastAsia="en-GB"/>
              </w:rPr>
              <w:t>2</w:t>
            </w:r>
            <w:r w:rsidR="006D26B3" w:rsidRPr="006D26B3">
              <w:rPr>
                <w:rFonts w:ascii="Arial" w:eastAsia="Calibri" w:hAnsi="Arial" w:cs="Arial"/>
                <w:b/>
                <w:bCs/>
                <w:lang w:eastAsia="en-GB"/>
              </w:rPr>
              <w:t>0</w:t>
            </w:r>
          </w:p>
        </w:tc>
        <w:tc>
          <w:tcPr>
            <w:tcW w:w="617" w:type="pct"/>
          </w:tcPr>
          <w:p w14:paraId="57BD9667" w14:textId="77777777" w:rsidR="006D26B3" w:rsidRPr="006D26B3" w:rsidRDefault="006D26B3" w:rsidP="006D26B3">
            <w:pPr>
              <w:spacing w:after="0" w:line="240" w:lineRule="auto"/>
              <w:jc w:val="center"/>
              <w:rPr>
                <w:rFonts w:ascii="Arial" w:eastAsia="Calibri" w:hAnsi="Arial" w:cs="Arial"/>
                <w:bCs/>
                <w:lang w:eastAsia="en-GB"/>
              </w:rPr>
            </w:pPr>
          </w:p>
        </w:tc>
        <w:tc>
          <w:tcPr>
            <w:tcW w:w="1930" w:type="pct"/>
            <w:shd w:val="clear" w:color="auto" w:fill="auto"/>
            <w:noWrap/>
            <w:vAlign w:val="center"/>
          </w:tcPr>
          <w:p w14:paraId="1F3FCC81" w14:textId="77777777" w:rsidR="006D26B3" w:rsidRPr="006D26B3" w:rsidRDefault="006D26B3" w:rsidP="006D26B3">
            <w:pPr>
              <w:spacing w:after="0" w:line="240" w:lineRule="auto"/>
              <w:jc w:val="both"/>
              <w:rPr>
                <w:rFonts w:ascii="Arial" w:eastAsia="Calibri" w:hAnsi="Arial" w:cs="Arial"/>
                <w:bCs/>
                <w:lang w:eastAsia="en-GB"/>
              </w:rPr>
            </w:pPr>
            <w:r w:rsidRPr="006D26B3">
              <w:rPr>
                <w:rFonts w:ascii="Arial" w:eastAsia="Calibri" w:hAnsi="Arial" w:cs="Arial"/>
                <w:bCs/>
                <w:lang w:eastAsia="en-GB"/>
              </w:rPr>
              <w:t>(Methodology for evaluating price outlined in Annex 2)</w:t>
            </w:r>
          </w:p>
        </w:tc>
        <w:tc>
          <w:tcPr>
            <w:tcW w:w="754" w:type="pct"/>
            <w:shd w:val="clear" w:color="auto" w:fill="auto"/>
            <w:vAlign w:val="center"/>
          </w:tcPr>
          <w:p w14:paraId="6D953798" w14:textId="3021F520" w:rsidR="006D26B3" w:rsidRPr="006D26B3" w:rsidRDefault="0005187A" w:rsidP="006D26B3">
            <w:pPr>
              <w:spacing w:after="0" w:line="240" w:lineRule="auto"/>
              <w:jc w:val="both"/>
              <w:rPr>
                <w:rFonts w:ascii="Arial" w:eastAsia="Calibri" w:hAnsi="Arial" w:cs="Arial"/>
                <w:bCs/>
                <w:lang w:eastAsia="en-GB"/>
              </w:rPr>
            </w:pPr>
            <w:r>
              <w:rPr>
                <w:rFonts w:ascii="Arial" w:eastAsia="Calibri" w:hAnsi="Arial" w:cs="Arial"/>
                <w:bCs/>
                <w:lang w:eastAsia="en-GB"/>
              </w:rPr>
              <w:t>2</w:t>
            </w:r>
            <w:r w:rsidR="006D26B3" w:rsidRPr="006D26B3">
              <w:rPr>
                <w:rFonts w:ascii="Arial" w:eastAsia="Calibri" w:hAnsi="Arial" w:cs="Arial"/>
                <w:bCs/>
                <w:lang w:eastAsia="en-GB"/>
              </w:rPr>
              <w:t>0</w:t>
            </w:r>
          </w:p>
        </w:tc>
      </w:tr>
    </w:tbl>
    <w:p w14:paraId="34D48E6B" w14:textId="77777777" w:rsidR="003257D9" w:rsidRDefault="003257D9" w:rsidP="003257D9">
      <w:pPr>
        <w:spacing w:after="0" w:line="240" w:lineRule="auto"/>
        <w:jc w:val="both"/>
        <w:rPr>
          <w:rFonts w:ascii="Arial" w:eastAsia="Calibri" w:hAnsi="Arial" w:cs="Arial"/>
          <w:bCs/>
          <w:lang w:eastAsia="en-GB"/>
        </w:rPr>
      </w:pPr>
    </w:p>
    <w:p w14:paraId="270D2232" w14:textId="53606A22" w:rsidR="003257D9" w:rsidRPr="003257D9" w:rsidRDefault="003257D9" w:rsidP="003257D9">
      <w:pPr>
        <w:spacing w:after="0" w:line="240" w:lineRule="auto"/>
        <w:jc w:val="both"/>
        <w:rPr>
          <w:rFonts w:ascii="Arial" w:eastAsia="Calibri" w:hAnsi="Arial" w:cs="Arial"/>
          <w:bCs/>
          <w:lang w:eastAsia="en-GB"/>
        </w:rPr>
      </w:pPr>
      <w:r w:rsidRPr="003257D9">
        <w:rPr>
          <w:rFonts w:ascii="Arial" w:eastAsia="Calibri" w:hAnsi="Arial" w:cs="Arial"/>
          <w:bCs/>
          <w:lang w:eastAsia="en-GB"/>
        </w:rPr>
        <w:t>Each response to the above criteria (except for Price) will be awarded a mark out of 5 in accordance with the following marking scheme:</w:t>
      </w:r>
    </w:p>
    <w:p w14:paraId="300A409D" w14:textId="77777777" w:rsidR="003257D9" w:rsidRPr="003257D9" w:rsidRDefault="003257D9" w:rsidP="003257D9">
      <w:pPr>
        <w:spacing w:after="0" w:line="240" w:lineRule="auto"/>
        <w:jc w:val="both"/>
        <w:rPr>
          <w:rFonts w:ascii="Arial" w:eastAsia="Calibri" w:hAnsi="Arial" w:cs="Arial"/>
          <w:bCs/>
          <w:lang w:eastAsia="en-GB"/>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8412"/>
      </w:tblGrid>
      <w:tr w:rsidR="003257D9" w:rsidRPr="003257D9" w14:paraId="35024993" w14:textId="77777777" w:rsidTr="0095514A">
        <w:tc>
          <w:tcPr>
            <w:tcW w:w="948" w:type="dxa"/>
            <w:shd w:val="clear" w:color="auto" w:fill="auto"/>
          </w:tcPr>
          <w:p w14:paraId="145D9976" w14:textId="77777777" w:rsidR="003257D9" w:rsidRPr="003257D9" w:rsidRDefault="003257D9" w:rsidP="003257D9">
            <w:pPr>
              <w:spacing w:after="0" w:line="240" w:lineRule="auto"/>
              <w:jc w:val="both"/>
              <w:rPr>
                <w:rFonts w:ascii="Arial" w:eastAsia="Calibri" w:hAnsi="Arial" w:cs="Arial"/>
                <w:b/>
                <w:bCs/>
                <w:lang w:eastAsia="en-GB"/>
              </w:rPr>
            </w:pPr>
            <w:r w:rsidRPr="003257D9">
              <w:rPr>
                <w:rFonts w:ascii="Arial" w:eastAsia="Calibri" w:hAnsi="Arial" w:cs="Arial"/>
                <w:b/>
                <w:bCs/>
                <w:lang w:eastAsia="en-GB"/>
              </w:rPr>
              <w:t>Mark</w:t>
            </w:r>
          </w:p>
        </w:tc>
        <w:tc>
          <w:tcPr>
            <w:tcW w:w="8412" w:type="dxa"/>
            <w:shd w:val="clear" w:color="auto" w:fill="auto"/>
          </w:tcPr>
          <w:p w14:paraId="65D4EFD9" w14:textId="77777777" w:rsidR="003257D9" w:rsidRPr="003257D9" w:rsidRDefault="003257D9" w:rsidP="003257D9">
            <w:pPr>
              <w:spacing w:after="0" w:line="240" w:lineRule="auto"/>
              <w:jc w:val="both"/>
              <w:rPr>
                <w:rFonts w:ascii="Arial" w:eastAsia="Calibri" w:hAnsi="Arial" w:cs="Arial"/>
                <w:b/>
                <w:bCs/>
                <w:lang w:eastAsia="en-GB"/>
              </w:rPr>
            </w:pPr>
            <w:r w:rsidRPr="003257D9">
              <w:rPr>
                <w:rFonts w:ascii="Arial" w:eastAsia="Calibri" w:hAnsi="Arial" w:cs="Arial"/>
                <w:b/>
                <w:bCs/>
                <w:lang w:eastAsia="en-GB"/>
              </w:rPr>
              <w:t>Standard</w:t>
            </w:r>
          </w:p>
        </w:tc>
      </w:tr>
      <w:tr w:rsidR="003257D9" w:rsidRPr="003257D9" w14:paraId="32E284A5" w14:textId="77777777" w:rsidTr="0095514A">
        <w:tc>
          <w:tcPr>
            <w:tcW w:w="948" w:type="dxa"/>
            <w:shd w:val="clear" w:color="auto" w:fill="auto"/>
          </w:tcPr>
          <w:p w14:paraId="33CD5BE7" w14:textId="77777777" w:rsidR="003257D9" w:rsidRPr="003257D9" w:rsidRDefault="003257D9" w:rsidP="003257D9">
            <w:pPr>
              <w:spacing w:after="0" w:line="240" w:lineRule="auto"/>
              <w:jc w:val="both"/>
              <w:rPr>
                <w:rFonts w:ascii="Arial" w:eastAsia="Calibri" w:hAnsi="Arial" w:cs="Arial"/>
                <w:bCs/>
                <w:lang w:eastAsia="en-GB"/>
              </w:rPr>
            </w:pPr>
            <w:r w:rsidRPr="003257D9">
              <w:rPr>
                <w:rFonts w:ascii="Arial" w:eastAsia="Calibri" w:hAnsi="Arial" w:cs="Arial"/>
                <w:bCs/>
                <w:lang w:eastAsia="en-GB"/>
              </w:rPr>
              <w:t>0</w:t>
            </w:r>
          </w:p>
        </w:tc>
        <w:tc>
          <w:tcPr>
            <w:tcW w:w="8412" w:type="dxa"/>
            <w:shd w:val="clear" w:color="auto" w:fill="auto"/>
          </w:tcPr>
          <w:p w14:paraId="684B7C0A" w14:textId="49DF7C43" w:rsidR="003257D9" w:rsidRPr="003257D9" w:rsidRDefault="00A76ECE" w:rsidP="003257D9">
            <w:pPr>
              <w:spacing w:after="0" w:line="240" w:lineRule="auto"/>
              <w:jc w:val="both"/>
              <w:rPr>
                <w:rFonts w:ascii="Arial" w:eastAsia="Calibri" w:hAnsi="Arial" w:cs="Arial"/>
                <w:bCs/>
                <w:lang w:eastAsia="en-GB"/>
              </w:rPr>
            </w:pPr>
            <w:r w:rsidRPr="00A76ECE">
              <w:rPr>
                <w:rFonts w:ascii="Arial" w:eastAsia="Calibri" w:hAnsi="Arial" w:cs="Arial"/>
                <w:bCs/>
                <w:lang w:eastAsia="en-GB"/>
              </w:rPr>
              <w:t>Inadequate response</w:t>
            </w:r>
            <w:r>
              <w:rPr>
                <w:rFonts w:ascii="Arial" w:eastAsia="Calibri" w:hAnsi="Arial" w:cs="Arial"/>
                <w:bCs/>
                <w:lang w:eastAsia="en-GB"/>
              </w:rPr>
              <w:t>/not addressed</w:t>
            </w:r>
          </w:p>
        </w:tc>
      </w:tr>
      <w:tr w:rsidR="003257D9" w:rsidRPr="003257D9" w14:paraId="5E9D1350" w14:textId="77777777" w:rsidTr="0095514A">
        <w:tc>
          <w:tcPr>
            <w:tcW w:w="948" w:type="dxa"/>
            <w:shd w:val="clear" w:color="auto" w:fill="auto"/>
          </w:tcPr>
          <w:p w14:paraId="37076ED5" w14:textId="77777777" w:rsidR="003257D9" w:rsidRPr="003257D9" w:rsidRDefault="003257D9" w:rsidP="003257D9">
            <w:pPr>
              <w:spacing w:after="0" w:line="240" w:lineRule="auto"/>
              <w:jc w:val="both"/>
              <w:rPr>
                <w:rFonts w:ascii="Arial" w:eastAsia="Calibri" w:hAnsi="Arial" w:cs="Arial"/>
                <w:bCs/>
                <w:lang w:eastAsia="en-GB"/>
              </w:rPr>
            </w:pPr>
            <w:r w:rsidRPr="003257D9">
              <w:rPr>
                <w:rFonts w:ascii="Arial" w:eastAsia="Calibri" w:hAnsi="Arial" w:cs="Arial"/>
                <w:bCs/>
                <w:lang w:eastAsia="en-GB"/>
              </w:rPr>
              <w:t>1</w:t>
            </w:r>
          </w:p>
        </w:tc>
        <w:tc>
          <w:tcPr>
            <w:tcW w:w="8412" w:type="dxa"/>
            <w:shd w:val="clear" w:color="auto" w:fill="auto"/>
          </w:tcPr>
          <w:p w14:paraId="3333A065" w14:textId="7C300AE3" w:rsidR="003257D9" w:rsidRPr="003257D9" w:rsidRDefault="00473952" w:rsidP="003257D9">
            <w:pPr>
              <w:spacing w:after="0" w:line="240" w:lineRule="auto"/>
              <w:jc w:val="both"/>
              <w:rPr>
                <w:rFonts w:ascii="Arial" w:eastAsia="Calibri" w:hAnsi="Arial" w:cs="Arial"/>
                <w:bCs/>
                <w:lang w:eastAsia="en-GB"/>
              </w:rPr>
            </w:pPr>
            <w:r w:rsidRPr="00473952">
              <w:rPr>
                <w:rFonts w:ascii="Arial" w:eastAsia="Calibri" w:hAnsi="Arial" w:cs="Arial"/>
                <w:bCs/>
                <w:lang w:eastAsia="en-GB"/>
              </w:rPr>
              <w:t>Major weaknesses in the response</w:t>
            </w:r>
            <w:r>
              <w:rPr>
                <w:rFonts w:ascii="Arial" w:eastAsia="Calibri" w:hAnsi="Arial" w:cs="Arial"/>
                <w:bCs/>
                <w:lang w:eastAsia="en-GB"/>
              </w:rPr>
              <w:t xml:space="preserve"> and lacks </w:t>
            </w:r>
            <w:r w:rsidR="00BC1E64" w:rsidRPr="00BC1E64">
              <w:rPr>
                <w:rFonts w:ascii="Arial" w:eastAsia="Calibri" w:hAnsi="Arial" w:cs="Arial"/>
                <w:bCs/>
                <w:lang w:eastAsia="en-GB"/>
              </w:rPr>
              <w:t>relevant supporting evidence</w:t>
            </w:r>
          </w:p>
        </w:tc>
      </w:tr>
      <w:tr w:rsidR="003257D9" w:rsidRPr="003257D9" w14:paraId="3BF68151" w14:textId="77777777" w:rsidTr="0095514A">
        <w:tc>
          <w:tcPr>
            <w:tcW w:w="948" w:type="dxa"/>
            <w:shd w:val="clear" w:color="auto" w:fill="auto"/>
          </w:tcPr>
          <w:p w14:paraId="4AFACEFC" w14:textId="77777777" w:rsidR="003257D9" w:rsidRPr="003257D9" w:rsidRDefault="003257D9" w:rsidP="003257D9">
            <w:pPr>
              <w:spacing w:after="0" w:line="240" w:lineRule="auto"/>
              <w:jc w:val="both"/>
              <w:rPr>
                <w:rFonts w:ascii="Arial" w:eastAsia="Calibri" w:hAnsi="Arial" w:cs="Arial"/>
                <w:bCs/>
                <w:lang w:eastAsia="en-GB"/>
              </w:rPr>
            </w:pPr>
            <w:r w:rsidRPr="003257D9">
              <w:rPr>
                <w:rFonts w:ascii="Arial" w:eastAsia="Calibri" w:hAnsi="Arial" w:cs="Arial"/>
                <w:bCs/>
                <w:lang w:eastAsia="en-GB"/>
              </w:rPr>
              <w:t>3</w:t>
            </w:r>
          </w:p>
        </w:tc>
        <w:tc>
          <w:tcPr>
            <w:tcW w:w="8412" w:type="dxa"/>
            <w:shd w:val="clear" w:color="auto" w:fill="auto"/>
          </w:tcPr>
          <w:p w14:paraId="12E37B1B" w14:textId="5644AF47" w:rsidR="003257D9" w:rsidRPr="003257D9" w:rsidRDefault="00473952" w:rsidP="003257D9">
            <w:pPr>
              <w:spacing w:after="0" w:line="240" w:lineRule="auto"/>
              <w:jc w:val="both"/>
              <w:rPr>
                <w:rFonts w:ascii="Arial" w:eastAsia="Calibri" w:hAnsi="Arial" w:cs="Arial"/>
                <w:bCs/>
                <w:lang w:eastAsia="en-GB"/>
              </w:rPr>
            </w:pPr>
            <w:r w:rsidRPr="00473952">
              <w:rPr>
                <w:rFonts w:ascii="Arial" w:eastAsia="Calibri" w:hAnsi="Arial" w:cs="Arial"/>
                <w:bCs/>
                <w:lang w:eastAsia="en-GB"/>
              </w:rPr>
              <w:t xml:space="preserve">meets the </w:t>
            </w:r>
            <w:r>
              <w:rPr>
                <w:rFonts w:ascii="Arial" w:eastAsia="Calibri" w:hAnsi="Arial" w:cs="Arial"/>
                <w:bCs/>
                <w:lang w:eastAsia="en-GB"/>
              </w:rPr>
              <w:t>minimum r</w:t>
            </w:r>
            <w:r w:rsidRPr="00473952">
              <w:rPr>
                <w:rFonts w:ascii="Arial" w:eastAsia="Calibri" w:hAnsi="Arial" w:cs="Arial"/>
                <w:bCs/>
                <w:lang w:eastAsia="en-GB"/>
              </w:rPr>
              <w:t xml:space="preserve">equirement </w:t>
            </w:r>
            <w:r w:rsidR="00BC1E64">
              <w:rPr>
                <w:rFonts w:ascii="Arial" w:eastAsia="Calibri" w:hAnsi="Arial" w:cs="Arial"/>
                <w:bCs/>
                <w:lang w:eastAsia="en-GB"/>
              </w:rPr>
              <w:t>but</w:t>
            </w:r>
            <w:r>
              <w:rPr>
                <w:rFonts w:ascii="Arial" w:eastAsia="Calibri" w:hAnsi="Arial" w:cs="Arial"/>
                <w:bCs/>
                <w:lang w:eastAsia="en-GB"/>
              </w:rPr>
              <w:t xml:space="preserve"> missing some of the</w:t>
            </w:r>
            <w:r w:rsidR="00BC1E64">
              <w:rPr>
                <w:rFonts w:ascii="Arial" w:eastAsia="Calibri" w:hAnsi="Arial" w:cs="Arial"/>
                <w:bCs/>
                <w:lang w:eastAsia="en-GB"/>
              </w:rPr>
              <w:t xml:space="preserve"> </w:t>
            </w:r>
            <w:r w:rsidRPr="00473952">
              <w:rPr>
                <w:rFonts w:ascii="Arial" w:eastAsia="Calibri" w:hAnsi="Arial" w:cs="Arial"/>
                <w:bCs/>
                <w:lang w:eastAsia="en-GB"/>
              </w:rPr>
              <w:t>relevant supporting evidence</w:t>
            </w:r>
          </w:p>
        </w:tc>
      </w:tr>
      <w:tr w:rsidR="003257D9" w:rsidRPr="003257D9" w14:paraId="2008FE9B" w14:textId="77777777" w:rsidTr="0095514A">
        <w:tc>
          <w:tcPr>
            <w:tcW w:w="948" w:type="dxa"/>
            <w:shd w:val="clear" w:color="auto" w:fill="auto"/>
          </w:tcPr>
          <w:p w14:paraId="7ACBD757" w14:textId="77777777" w:rsidR="003257D9" w:rsidRPr="003257D9" w:rsidRDefault="003257D9" w:rsidP="003257D9">
            <w:pPr>
              <w:spacing w:after="0" w:line="240" w:lineRule="auto"/>
              <w:jc w:val="both"/>
              <w:rPr>
                <w:rFonts w:ascii="Arial" w:eastAsia="Calibri" w:hAnsi="Arial" w:cs="Arial"/>
                <w:bCs/>
                <w:lang w:eastAsia="en-GB"/>
              </w:rPr>
            </w:pPr>
            <w:r w:rsidRPr="003257D9">
              <w:rPr>
                <w:rFonts w:ascii="Arial" w:eastAsia="Calibri" w:hAnsi="Arial" w:cs="Arial"/>
                <w:bCs/>
                <w:lang w:eastAsia="en-GB"/>
              </w:rPr>
              <w:t>5</w:t>
            </w:r>
          </w:p>
        </w:tc>
        <w:tc>
          <w:tcPr>
            <w:tcW w:w="8412" w:type="dxa"/>
            <w:shd w:val="clear" w:color="auto" w:fill="auto"/>
          </w:tcPr>
          <w:p w14:paraId="7911196A" w14:textId="103E3791" w:rsidR="003257D9" w:rsidRPr="003257D9" w:rsidRDefault="00473952" w:rsidP="003257D9">
            <w:pPr>
              <w:spacing w:after="0" w:line="240" w:lineRule="auto"/>
              <w:jc w:val="both"/>
              <w:rPr>
                <w:rFonts w:ascii="Arial" w:eastAsia="Calibri" w:hAnsi="Arial" w:cs="Arial"/>
                <w:bCs/>
                <w:lang w:eastAsia="en-GB"/>
              </w:rPr>
            </w:pPr>
            <w:r w:rsidRPr="00473952">
              <w:rPr>
                <w:rFonts w:ascii="Arial" w:eastAsia="Calibri" w:hAnsi="Arial" w:cs="Arial"/>
                <w:bCs/>
                <w:lang w:eastAsia="en-GB"/>
              </w:rPr>
              <w:t>fully meets the requirement and includes all relevant supporting evidence</w:t>
            </w:r>
          </w:p>
        </w:tc>
      </w:tr>
    </w:tbl>
    <w:p w14:paraId="141C46F8" w14:textId="004503C1" w:rsidR="003257D9" w:rsidRDefault="003257D9" w:rsidP="003257D9">
      <w:pPr>
        <w:spacing w:after="0" w:line="240" w:lineRule="auto"/>
        <w:jc w:val="both"/>
        <w:rPr>
          <w:rFonts w:ascii="Arial" w:eastAsia="Calibri" w:hAnsi="Arial" w:cs="Arial"/>
          <w:bCs/>
          <w:lang w:eastAsia="en-GB"/>
        </w:rPr>
      </w:pPr>
    </w:p>
    <w:p w14:paraId="1BDB5696" w14:textId="77777777" w:rsidR="003257D9" w:rsidRPr="003257D9" w:rsidRDefault="003257D9" w:rsidP="003257D9">
      <w:pPr>
        <w:spacing w:after="0" w:line="240" w:lineRule="auto"/>
        <w:jc w:val="both"/>
        <w:rPr>
          <w:rFonts w:ascii="Arial" w:eastAsia="Calibri" w:hAnsi="Arial" w:cs="Arial"/>
          <w:bCs/>
          <w:lang w:eastAsia="en-GB"/>
        </w:rPr>
      </w:pPr>
      <w:r w:rsidRPr="003257D9">
        <w:rPr>
          <w:rFonts w:ascii="Arial" w:eastAsia="Calibri" w:hAnsi="Arial" w:cs="Arial"/>
          <w:bCs/>
          <w:lang w:eastAsia="en-GB"/>
        </w:rPr>
        <w:t>The marks awarded in accordance with the above table will then be adjusted in accordance with the weightings.</w:t>
      </w:r>
    </w:p>
    <w:p w14:paraId="48957EB3" w14:textId="77777777" w:rsidR="003257D9" w:rsidRPr="003257D9" w:rsidRDefault="003257D9" w:rsidP="003257D9">
      <w:pPr>
        <w:spacing w:after="0" w:line="240" w:lineRule="auto"/>
        <w:jc w:val="both"/>
        <w:rPr>
          <w:rFonts w:ascii="Arial" w:eastAsia="Calibri" w:hAnsi="Arial" w:cs="Arial"/>
          <w:bCs/>
          <w:lang w:eastAsia="en-GB"/>
        </w:rPr>
      </w:pPr>
    </w:p>
    <w:p w14:paraId="768064DA" w14:textId="61A61D1F" w:rsidR="003257D9" w:rsidRPr="003257D9" w:rsidRDefault="003257D9" w:rsidP="003257D9">
      <w:pPr>
        <w:spacing w:after="0" w:line="240" w:lineRule="auto"/>
        <w:jc w:val="both"/>
        <w:rPr>
          <w:rFonts w:ascii="Arial" w:eastAsia="Calibri" w:hAnsi="Arial" w:cs="Arial"/>
          <w:b/>
          <w:bCs/>
          <w:lang w:eastAsia="en-GB"/>
        </w:rPr>
      </w:pPr>
      <w:r w:rsidRPr="003257D9">
        <w:rPr>
          <w:rFonts w:ascii="Arial" w:eastAsia="Calibri" w:hAnsi="Arial" w:cs="Arial"/>
          <w:b/>
          <w:bCs/>
          <w:lang w:eastAsia="en-GB"/>
        </w:rPr>
        <w:t xml:space="preserve">The Department/MCA will not consider tenders scoring less than a total of 45 out of the total of </w:t>
      </w:r>
      <w:r w:rsidR="00EF3C3C">
        <w:rPr>
          <w:rFonts w:ascii="Arial" w:eastAsia="Calibri" w:hAnsi="Arial" w:cs="Arial"/>
          <w:b/>
          <w:bCs/>
          <w:lang w:eastAsia="en-GB"/>
        </w:rPr>
        <w:t>80</w:t>
      </w:r>
      <w:r w:rsidRPr="003257D9">
        <w:rPr>
          <w:rFonts w:ascii="Arial" w:eastAsia="Calibri" w:hAnsi="Arial" w:cs="Arial"/>
          <w:b/>
          <w:bCs/>
          <w:lang w:eastAsia="en-GB"/>
        </w:rPr>
        <w:t xml:space="preserve"> available for Capability/Delivery and Management.</w:t>
      </w:r>
    </w:p>
    <w:p w14:paraId="43B7E828" w14:textId="77777777" w:rsidR="003257D9" w:rsidRPr="003257D9" w:rsidRDefault="003257D9" w:rsidP="003257D9">
      <w:pPr>
        <w:spacing w:after="0" w:line="240" w:lineRule="auto"/>
        <w:jc w:val="both"/>
        <w:rPr>
          <w:rFonts w:ascii="Arial" w:eastAsia="Calibri" w:hAnsi="Arial" w:cs="Arial"/>
          <w:b/>
          <w:bCs/>
          <w:lang w:eastAsia="en-GB"/>
        </w:rPr>
      </w:pPr>
    </w:p>
    <w:p w14:paraId="50692767" w14:textId="5D64CE1F"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6D19826A" w14:textId="44A4DD0F" w:rsidR="00F55A6C" w:rsidRDefault="00F55A6C" w:rsidP="006D26B3">
      <w:pPr>
        <w:pStyle w:val="DfTLevel1"/>
        <w:keepLines/>
        <w:numPr>
          <w:ilvl w:val="0"/>
          <w:numId w:val="37"/>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14:paraId="06AD2136" w14:textId="77777777" w:rsidR="00F55A6C" w:rsidRDefault="00F55A6C" w:rsidP="006D26B3">
      <w:pPr>
        <w:pStyle w:val="DfTLevel1"/>
        <w:keepLines/>
        <w:numPr>
          <w:ilvl w:val="0"/>
          <w:numId w:val="37"/>
        </w:numPr>
        <w:suppressLineNumbers/>
        <w:spacing w:before="120" w:after="120"/>
        <w:ind w:hanging="720"/>
        <w:jc w:val="both"/>
        <w:rPr>
          <w:rFonts w:cs="Arial"/>
          <w:sz w:val="22"/>
          <w:szCs w:val="22"/>
        </w:rPr>
      </w:pPr>
      <w:r>
        <w:rPr>
          <w:rFonts w:cs="Arial"/>
          <w:sz w:val="22"/>
          <w:szCs w:val="22"/>
        </w:rPr>
        <w:t xml:space="preserve">The scoring criteria for the contract will be as </w:t>
      </w:r>
      <w:r w:rsidR="001D6C07">
        <w:rPr>
          <w:rFonts w:cs="Arial"/>
          <w:sz w:val="22"/>
          <w:szCs w:val="22"/>
        </w:rPr>
        <w:t>detailed in the specification.</w:t>
      </w:r>
    </w:p>
    <w:p w14:paraId="3ADFBC1B" w14:textId="77777777" w:rsidR="00463459" w:rsidRPr="00463459" w:rsidRDefault="00F55A6C" w:rsidP="006D26B3">
      <w:pPr>
        <w:pStyle w:val="ListParagraph"/>
        <w:numPr>
          <w:ilvl w:val="12"/>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p w14:paraId="2C31B936" w14:textId="77777777" w:rsidR="00D76D88" w:rsidRPr="002B17E4" w:rsidRDefault="00976DA1" w:rsidP="006D26B3">
      <w:pPr>
        <w:numPr>
          <w:ilvl w:val="12"/>
          <w:numId w:val="37"/>
        </w:numPr>
        <w:tabs>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rPr>
      </w:pPr>
      <w:r w:rsidRPr="002B17E4">
        <w:rPr>
          <w:rFonts w:ascii="Arial" w:hAnsi="Arial" w:cs="Arial"/>
        </w:rPr>
        <w:t>T</w:t>
      </w:r>
      <w:r w:rsidR="00D76D88" w:rsidRPr="002B17E4">
        <w:rPr>
          <w:rFonts w:ascii="Arial" w:hAnsi="Arial" w:cs="Arial"/>
        </w:rPr>
        <w:t xml:space="preserve">he </w:t>
      </w:r>
      <w:r w:rsidRPr="002B17E4">
        <w:rPr>
          <w:rFonts w:ascii="Arial" w:hAnsi="Arial" w:cs="Arial"/>
        </w:rPr>
        <w:t xml:space="preserve">final </w:t>
      </w:r>
      <w:r w:rsidR="00D76D88" w:rsidRPr="002B17E4">
        <w:rPr>
          <w:rFonts w:ascii="Arial" w:hAnsi="Arial" w:cs="Arial"/>
        </w:rPr>
        <w:t xml:space="preserve">weighted score for each </w:t>
      </w:r>
      <w:r w:rsidR="0038304D" w:rsidRPr="002B17E4">
        <w:rPr>
          <w:rFonts w:ascii="Arial" w:hAnsi="Arial" w:cs="Arial"/>
        </w:rPr>
        <w:t xml:space="preserve">Quality </w:t>
      </w:r>
      <w:r w:rsidR="004F5847" w:rsidRPr="002B17E4">
        <w:rPr>
          <w:rFonts w:ascii="Arial" w:hAnsi="Arial" w:cs="Arial"/>
        </w:rPr>
        <w:t>criterion will be calculated by:</w:t>
      </w:r>
    </w:p>
    <w:p w14:paraId="0A9B0C4F" w14:textId="77777777" w:rsidR="004F5847" w:rsidRPr="00976DA1"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14:paraId="7933F54F" w14:textId="77777777" w:rsidR="004F5847" w:rsidRPr="00976DA1" w:rsidRDefault="004F5847" w:rsidP="00976DA1">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976DA1">
        <w:rPr>
          <w:rFonts w:ascii="Arial" w:hAnsi="Arial" w:cs="Arial"/>
          <w:b/>
        </w:rPr>
        <w:t>Weighted Score for the</w:t>
      </w:r>
      <w:r w:rsidR="00976DA1" w:rsidRPr="00976DA1">
        <w:rPr>
          <w:rFonts w:ascii="Arial" w:hAnsi="Arial" w:cs="Arial"/>
          <w:b/>
        </w:rPr>
        <w:t xml:space="preserve"> </w:t>
      </w:r>
      <w:r w:rsidR="00976DA1" w:rsidRPr="00976DA1">
        <w:rPr>
          <w:rFonts w:ascii="Arial" w:hAnsi="Arial" w:cs="Arial"/>
          <w:b/>
        </w:rPr>
        <w:tab/>
      </w:r>
      <w:r w:rsidRPr="00976DA1">
        <w:rPr>
          <w:rFonts w:ascii="Arial" w:hAnsi="Arial" w:cs="Arial"/>
          <w:b/>
        </w:rPr>
        <w:t xml:space="preserve">= </w:t>
      </w:r>
      <w:r w:rsidR="00976DA1" w:rsidRPr="00976DA1">
        <w:rPr>
          <w:rFonts w:ascii="Arial" w:hAnsi="Arial" w:cs="Arial"/>
          <w:b/>
        </w:rPr>
        <w:t xml:space="preserve">(Actual Score / Highest Possible </w:t>
      </w:r>
      <w:r w:rsidR="009B1543">
        <w:rPr>
          <w:rFonts w:ascii="Arial" w:hAnsi="Arial" w:cs="Arial"/>
          <w:b/>
        </w:rPr>
        <w:t>S</w:t>
      </w:r>
      <w:r w:rsidR="00976DA1" w:rsidRPr="00976DA1">
        <w:rPr>
          <w:rFonts w:ascii="Arial" w:hAnsi="Arial" w:cs="Arial"/>
          <w:b/>
        </w:rPr>
        <w:t xml:space="preserve">core for the Criterion </w:t>
      </w:r>
      <w:r w:rsidR="00976DA1" w:rsidRPr="00976DA1">
        <w:rPr>
          <w:rFonts w:ascii="Arial" w:hAnsi="Arial" w:cs="Arial"/>
          <w:b/>
        </w:rPr>
        <w:tab/>
      </w:r>
      <w:r w:rsidR="00976DA1" w:rsidRPr="00976DA1">
        <w:rPr>
          <w:rFonts w:ascii="Arial" w:hAnsi="Arial" w:cs="Arial"/>
          <w:b/>
        </w:rPr>
        <w:tab/>
      </w:r>
      <w:r w:rsidR="00976DA1" w:rsidRPr="00976DA1">
        <w:rPr>
          <w:rFonts w:ascii="Arial" w:hAnsi="Arial" w:cs="Arial"/>
          <w:b/>
        </w:rPr>
        <w:tab/>
      </w:r>
      <w:r w:rsidR="00976DA1" w:rsidRPr="00976DA1">
        <w:rPr>
          <w:rFonts w:ascii="Arial" w:hAnsi="Arial" w:cs="Arial"/>
          <w:b/>
        </w:rPr>
        <w:tab/>
        <w:t>Criterion) x Criterion Weighting.</w:t>
      </w:r>
    </w:p>
    <w:p w14:paraId="5956C3E5" w14:textId="77777777"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14:paraId="70A60D1E" w14:textId="058EAFE4" w:rsidR="00B362C1" w:rsidRPr="00600DA5" w:rsidRDefault="0038304D" w:rsidP="002B17E4">
      <w:pPr>
        <w:pStyle w:val="ListParagraph"/>
        <w:tabs>
          <w:tab w:val="left" w:pos="2160"/>
          <w:tab w:val="left" w:pos="2880"/>
          <w:tab w:val="left" w:pos="3600"/>
          <w:tab w:val="left" w:pos="4320"/>
          <w:tab w:val="left" w:pos="5040"/>
          <w:tab w:val="left" w:pos="5760"/>
          <w:tab w:val="left" w:pos="6480"/>
          <w:tab w:val="left" w:pos="7200"/>
          <w:tab w:val="left" w:pos="7920"/>
        </w:tabs>
        <w:spacing w:after="0"/>
        <w:ind w:left="774"/>
        <w:jc w:val="both"/>
        <w:rPr>
          <w:rFonts w:ascii="Arial" w:hAnsi="Arial" w:cs="Arial"/>
        </w:rPr>
      </w:pPr>
      <w:r w:rsidRPr="00600DA5">
        <w:rPr>
          <w:rFonts w:ascii="Arial" w:hAnsi="Arial" w:cs="Arial"/>
        </w:rPr>
        <w:t xml:space="preserve">A </w:t>
      </w:r>
      <w:r w:rsidR="00976DA1" w:rsidRPr="00600DA5">
        <w:rPr>
          <w:rFonts w:ascii="Arial" w:hAnsi="Arial" w:cs="Arial"/>
        </w:rPr>
        <w:t xml:space="preserve">total </w:t>
      </w:r>
      <w:r w:rsidRPr="00600DA5">
        <w:rPr>
          <w:rFonts w:ascii="Arial" w:hAnsi="Arial" w:cs="Arial"/>
        </w:rPr>
        <w:t>Q</w:t>
      </w:r>
      <w:r w:rsidR="004F5847" w:rsidRPr="00600DA5">
        <w:rPr>
          <w:rFonts w:ascii="Arial" w:hAnsi="Arial" w:cs="Arial"/>
        </w:rPr>
        <w:t xml:space="preserve">uality score </w:t>
      </w:r>
      <w:r w:rsidRPr="00600DA5">
        <w:rPr>
          <w:rFonts w:ascii="Arial" w:hAnsi="Arial" w:cs="Arial"/>
        </w:rPr>
        <w:t>will be</w:t>
      </w:r>
      <w:r w:rsidR="004F5847" w:rsidRPr="00600DA5">
        <w:rPr>
          <w:rFonts w:ascii="Arial" w:hAnsi="Arial" w:cs="Arial"/>
        </w:rPr>
        <w:t xml:space="preserve"> arrived at by adding up all weighted scores for </w:t>
      </w:r>
      <w:r w:rsidR="00976DA1" w:rsidRPr="00600DA5">
        <w:rPr>
          <w:rFonts w:ascii="Arial" w:hAnsi="Arial" w:cs="Arial"/>
        </w:rPr>
        <w:t xml:space="preserve">Quality </w:t>
      </w:r>
      <w:r w:rsidR="004F5847" w:rsidRPr="00600DA5">
        <w:rPr>
          <w:rFonts w:ascii="Arial" w:hAnsi="Arial" w:cs="Arial"/>
        </w:rPr>
        <w:t>criteria and multiplying by</w:t>
      </w:r>
      <w:r w:rsidR="00FA0332" w:rsidRPr="00600DA5">
        <w:rPr>
          <w:rFonts w:ascii="Arial" w:hAnsi="Arial" w:cs="Arial"/>
        </w:rPr>
        <w:t xml:space="preserve"> </w:t>
      </w:r>
      <w:r w:rsidR="003939C2">
        <w:rPr>
          <w:rFonts w:ascii="Arial" w:hAnsi="Arial" w:cs="Arial"/>
        </w:rPr>
        <w:t>8</w:t>
      </w:r>
      <w:r w:rsidR="001D6C07">
        <w:rPr>
          <w:rFonts w:ascii="Arial" w:hAnsi="Arial" w:cs="Arial"/>
        </w:rPr>
        <w:t>0</w:t>
      </w:r>
      <w:r w:rsidR="00976DA1" w:rsidRPr="00600DA5">
        <w:rPr>
          <w:rFonts w:ascii="Arial" w:hAnsi="Arial" w:cs="Arial"/>
        </w:rPr>
        <w:t>% (</w:t>
      </w:r>
      <w:r w:rsidR="00FA0332" w:rsidRPr="00600DA5">
        <w:rPr>
          <w:rFonts w:ascii="Arial" w:hAnsi="Arial" w:cs="Arial"/>
        </w:rPr>
        <w:t xml:space="preserve">the overall weighting for </w:t>
      </w:r>
      <w:r w:rsidR="00976DA1" w:rsidRPr="00600DA5">
        <w:rPr>
          <w:rFonts w:ascii="Arial" w:hAnsi="Arial" w:cs="Arial"/>
        </w:rPr>
        <w:t>Q</w:t>
      </w:r>
      <w:r w:rsidR="00FA0332" w:rsidRPr="00600DA5">
        <w:rPr>
          <w:rFonts w:ascii="Arial" w:hAnsi="Arial" w:cs="Arial"/>
        </w:rPr>
        <w:t>uality</w:t>
      </w:r>
      <w:r w:rsidR="00976DA1" w:rsidRPr="00600DA5">
        <w:rPr>
          <w:rFonts w:ascii="Arial" w:hAnsi="Arial" w:cs="Arial"/>
        </w:rPr>
        <w:t>)</w:t>
      </w:r>
      <w:r w:rsidR="004F5847" w:rsidRPr="00600DA5">
        <w:rPr>
          <w:rFonts w:ascii="Arial" w:hAnsi="Arial" w:cs="Arial"/>
        </w:rPr>
        <w:t>.</w:t>
      </w:r>
      <w:r w:rsidR="00B362C1" w:rsidRPr="00600DA5">
        <w:rPr>
          <w:rFonts w:ascii="Arial" w:hAnsi="Arial" w:cs="Arial"/>
        </w:rPr>
        <w:t xml:space="preserve">  </w:t>
      </w:r>
    </w:p>
    <w:p w14:paraId="2D522B70" w14:textId="77777777" w:rsidR="00600DA5" w:rsidRDefault="00600DA5" w:rsidP="00B362C1">
      <w:p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14:paraId="44594520" w14:textId="77777777" w:rsidR="009224D6" w:rsidRPr="00F50E5A" w:rsidRDefault="00AE4571" w:rsidP="002B17E4">
      <w:pPr>
        <w:pStyle w:val="ListParagraph"/>
        <w:tabs>
          <w:tab w:val="left" w:pos="567"/>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rPr>
      </w:pPr>
      <w:r w:rsidRPr="00F50E5A">
        <w:rPr>
          <w:rFonts w:ascii="Arial" w:hAnsi="Arial" w:cs="Arial"/>
        </w:rPr>
        <w:t>Where a supplier passes the Selection Questionnaire, and the Quality</w:t>
      </w:r>
      <w:r w:rsidR="00F50E5A" w:rsidRPr="00F50E5A">
        <w:rPr>
          <w:rFonts w:ascii="Arial" w:hAnsi="Arial" w:cs="Arial"/>
        </w:rPr>
        <w:t xml:space="preserve"> </w:t>
      </w:r>
      <w:r w:rsidRPr="00F50E5A">
        <w:rPr>
          <w:rFonts w:ascii="Arial" w:hAnsi="Arial" w:cs="Arial"/>
        </w:rPr>
        <w:t xml:space="preserve">Threshold their price will be assessed.  </w:t>
      </w:r>
      <w:r w:rsidR="009224D6" w:rsidRPr="00F50E5A">
        <w:rPr>
          <w:rFonts w:ascii="Arial" w:hAnsi="Arial" w:cs="Arial"/>
        </w:rPr>
        <w:t xml:space="preserve">Each </w:t>
      </w:r>
      <w:r w:rsidR="00B03B80" w:rsidRPr="00F50E5A">
        <w:rPr>
          <w:rFonts w:ascii="Arial" w:hAnsi="Arial" w:cs="Arial"/>
        </w:rPr>
        <w:t xml:space="preserve">element of a </w:t>
      </w:r>
      <w:r w:rsidR="009224D6" w:rsidRPr="00F50E5A">
        <w:rPr>
          <w:rFonts w:ascii="Arial" w:hAnsi="Arial" w:cs="Arial"/>
        </w:rPr>
        <w:t>supplier’s price will be scored according to the formula below:</w:t>
      </w:r>
    </w:p>
    <w:p w14:paraId="2FBDA382" w14:textId="77777777" w:rsidR="009224D6" w:rsidRPr="006D057C" w:rsidRDefault="009224D6" w:rsidP="009224D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93685A0" w14:textId="77777777" w:rsidR="009224D6" w:rsidRDefault="009224D6"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 xml:space="preserve">Price Score = </w:t>
      </w:r>
      <w:r w:rsidR="00976DA1">
        <w:rPr>
          <w:rFonts w:ascii="Arial" w:hAnsi="Arial" w:cs="Arial"/>
          <w:b/>
        </w:rPr>
        <w:t>(Lowest Price / Each Tenderer’s Price) x Criterion Weighting</w:t>
      </w:r>
    </w:p>
    <w:p w14:paraId="5BB104F8" w14:textId="77777777" w:rsidR="00976DA1" w:rsidRDefault="00976DA1"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311880A0" w14:textId="77777777" w:rsidR="00976DA1" w:rsidRPr="00600DA5" w:rsidRDefault="00976DA1" w:rsidP="00600DA5">
      <w:pPr>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140B4E7F" w14:textId="6A54D342" w:rsidR="0038304D" w:rsidRDefault="0038304D" w:rsidP="00976DA1">
      <w:pPr>
        <w:pStyle w:val="ListParagraph"/>
        <w:numPr>
          <w:ilvl w:val="12"/>
          <w:numId w:val="2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Each supplier’s total score will be:</w:t>
      </w:r>
    </w:p>
    <w:p w14:paraId="10CF25D9" w14:textId="77777777" w:rsidR="0038304D" w:rsidRPr="0038304D" w:rsidRDefault="0038304D" w:rsidP="0038304D">
      <w:pPr>
        <w:pStyle w:val="ListParagraph"/>
        <w:rPr>
          <w:rFonts w:ascii="Arial" w:hAnsi="Arial" w:cs="Arial"/>
        </w:rPr>
      </w:pPr>
    </w:p>
    <w:p w14:paraId="75EBA2C9" w14:textId="77777777" w:rsidR="00F55A6C" w:rsidRPr="00F55A6C" w:rsidRDefault="00F55A6C"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14:paraId="6BD0F89F" w14:textId="77777777" w:rsidR="00F55A6C" w:rsidRPr="00F55A6C" w:rsidRDefault="00F55A6C"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ADED27D" w14:textId="77777777" w:rsidR="0038304D" w:rsidRPr="001D6C07" w:rsidRDefault="00463459" w:rsidP="001D6C07">
      <w:pPr>
        <w:keepLines/>
        <w:numPr>
          <w:ilvl w:val="12"/>
          <w:numId w:val="25"/>
        </w:numPr>
        <w:suppressLineNumbers/>
        <w:tabs>
          <w:tab w:val="left" w:pos="720"/>
          <w:tab w:val="left" w:pos="2160"/>
          <w:tab w:val="left" w:pos="2880"/>
          <w:tab w:val="left" w:pos="3600"/>
          <w:tab w:val="left" w:pos="4320"/>
          <w:tab w:val="left" w:pos="5040"/>
          <w:tab w:val="left" w:pos="5760"/>
          <w:tab w:val="left" w:pos="6480"/>
          <w:tab w:val="left" w:pos="7200"/>
          <w:tab w:val="left" w:pos="7920"/>
        </w:tabs>
        <w:suppressAutoHyphens/>
        <w:spacing w:before="120" w:after="120"/>
        <w:ind w:left="720"/>
        <w:jc w:val="both"/>
        <w:rPr>
          <w:rFonts w:ascii="Arial" w:hAnsi="Arial" w:cs="Arial"/>
          <w:b/>
        </w:rPr>
      </w:pPr>
      <w:r w:rsidRPr="001D6C07">
        <w:rPr>
          <w:rFonts w:ascii="Arial" w:hAnsi="Arial" w:cs="Arial"/>
        </w:rPr>
        <w:t xml:space="preserve">The MCA intends to award the contract to the </w:t>
      </w:r>
      <w:r w:rsidR="00AE4571" w:rsidRPr="001D6C07">
        <w:rPr>
          <w:rFonts w:ascii="Arial" w:hAnsi="Arial" w:cs="Arial"/>
        </w:rPr>
        <w:t xml:space="preserve">supplier </w:t>
      </w:r>
      <w:r w:rsidRPr="001D6C07">
        <w:rPr>
          <w:rFonts w:ascii="Arial" w:hAnsi="Arial" w:cs="Arial"/>
        </w:rPr>
        <w:t>that receives the highest Total Score.</w:t>
      </w:r>
      <w:r w:rsidR="008C32EF" w:rsidRPr="001D6C07">
        <w:rPr>
          <w:rFonts w:ascii="Arial" w:hAnsi="Arial" w:cs="Arial"/>
        </w:rPr>
        <w:t xml:space="preserve">  Where two or more suppliers are tied on the highest Total Score, the contract will be awarded to the supplier with the highest </w:t>
      </w:r>
      <w:r w:rsidR="005D2D9E" w:rsidRPr="001D6C07">
        <w:rPr>
          <w:rFonts w:ascii="Arial" w:hAnsi="Arial" w:cs="Arial"/>
        </w:rPr>
        <w:t xml:space="preserve">Total </w:t>
      </w:r>
      <w:r w:rsidR="008C32EF" w:rsidRPr="001D6C07">
        <w:rPr>
          <w:rFonts w:ascii="Arial" w:hAnsi="Arial" w:cs="Arial"/>
        </w:rPr>
        <w:t>Price</w:t>
      </w:r>
      <w:r w:rsidR="005D2D9E" w:rsidRPr="001D6C07">
        <w:rPr>
          <w:rFonts w:ascii="Arial" w:hAnsi="Arial" w:cs="Arial"/>
        </w:rPr>
        <w:t xml:space="preserve"> Score</w:t>
      </w:r>
      <w:r w:rsidR="008C32EF" w:rsidRPr="001D6C07">
        <w:rPr>
          <w:rFonts w:ascii="Arial" w:hAnsi="Arial" w:cs="Arial"/>
        </w:rPr>
        <w:t>.</w:t>
      </w:r>
      <w:r w:rsidR="0038304D" w:rsidRPr="001D6C07">
        <w:rPr>
          <w:rFonts w:ascii="Arial" w:hAnsi="Arial" w:cs="Arial"/>
        </w:rPr>
        <w:t xml:space="preserve">  </w:t>
      </w:r>
    </w:p>
    <w:p w14:paraId="613DE072" w14:textId="77777777" w:rsidR="00613720" w:rsidRPr="006C2B6A" w:rsidRDefault="00613720" w:rsidP="006C2B6A">
      <w:pPr>
        <w:keepLines/>
        <w:numPr>
          <w:ilvl w:val="12"/>
          <w:numId w:val="2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720"/>
        <w:jc w:val="both"/>
        <w:rPr>
          <w:rFonts w:ascii="Arial" w:hAnsi="Arial" w:cs="Arial"/>
          <w:b/>
        </w:rPr>
      </w:pPr>
    </w:p>
    <w:p w14:paraId="1DD869DB" w14:textId="4B7A42CD" w:rsidR="00F55A6C" w:rsidRPr="008D4855" w:rsidRDefault="00F55A6C" w:rsidP="006C2B6A">
      <w:pPr>
        <w:pStyle w:val="DfTLevel1"/>
        <w:keepLines/>
        <w:suppressLineNumbers/>
        <w:spacing w:before="120" w:after="120"/>
        <w:ind w:left="720"/>
        <w:jc w:val="both"/>
        <w:rPr>
          <w:rFonts w:cs="Arial"/>
          <w:sz w:val="22"/>
          <w:szCs w:val="22"/>
        </w:rPr>
      </w:pPr>
      <w:r w:rsidRPr="008D4855">
        <w:rPr>
          <w:rFonts w:cs="Arial"/>
          <w:sz w:val="22"/>
          <w:szCs w:val="22"/>
        </w:rPr>
        <w:t xml:space="preserve">You should note </w:t>
      </w:r>
      <w:r w:rsidR="001D6C07" w:rsidRPr="008D4855">
        <w:rPr>
          <w:rFonts w:cs="Arial"/>
          <w:sz w:val="22"/>
          <w:szCs w:val="22"/>
        </w:rPr>
        <w:t>that: -</w:t>
      </w:r>
    </w:p>
    <w:p w14:paraId="1261B461" w14:textId="77777777"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14:paraId="49519B18"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5AB7C7DA" w14:textId="77777777"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14:paraId="577AD1C2"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1DCDD7F8" w14:textId="77777777"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14:paraId="7CE30C6C" w14:textId="77777777"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14:paraId="2D608871" w14:textId="77777777"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14:paraId="6B5F1E9B" w14:textId="77777777" w:rsidR="00463459" w:rsidRPr="00463459" w:rsidRDefault="00463459" w:rsidP="00463459">
      <w:pPr>
        <w:pStyle w:val="ListParagraph"/>
        <w:tabs>
          <w:tab w:val="left" w:pos="1134"/>
        </w:tabs>
        <w:ind w:left="1134"/>
        <w:rPr>
          <w:rFonts w:ascii="Arial" w:hAnsi="Arial" w:cs="Arial"/>
        </w:rPr>
      </w:pPr>
    </w:p>
    <w:p w14:paraId="3B260C0E" w14:textId="77777777"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9"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10" w:history="1">
        <w:r w:rsidR="008A2449" w:rsidRPr="00EF722F">
          <w:rPr>
            <w:rStyle w:val="Hyperlink"/>
            <w:rFonts w:ascii="Arial" w:hAnsi="Arial" w:cs="Arial"/>
          </w:rPr>
          <w:t>supplier@crowncommercial.gov.uk</w:t>
        </w:r>
      </w:hyperlink>
      <w:r w:rsidR="008A2449">
        <w:rPr>
          <w:rFonts w:ascii="Arial" w:hAnsi="Arial" w:cs="Arial"/>
        </w:rPr>
        <w:t xml:space="preserve">.  </w:t>
      </w:r>
    </w:p>
    <w:p w14:paraId="3DA956B8" w14:textId="6327CDF5" w:rsidR="00F55A6C" w:rsidRDefault="00F55A6C" w:rsidP="00F55A6C">
      <w:pPr>
        <w:pStyle w:val="DfTLevel1"/>
        <w:keepLines/>
        <w:suppressLineNumbers/>
        <w:spacing w:before="120" w:after="120"/>
        <w:jc w:val="both"/>
        <w:rPr>
          <w:rFonts w:cs="Arial"/>
          <w:sz w:val="22"/>
          <w:szCs w:val="22"/>
        </w:rPr>
      </w:pPr>
    </w:p>
    <w:p w14:paraId="09151B74" w14:textId="09CAF6C1" w:rsidR="003257D9" w:rsidRDefault="003257D9" w:rsidP="00F55A6C">
      <w:pPr>
        <w:pStyle w:val="DfTLevel1"/>
        <w:keepLines/>
        <w:suppressLineNumbers/>
        <w:spacing w:before="120" w:after="120"/>
        <w:jc w:val="both"/>
        <w:rPr>
          <w:rFonts w:cs="Arial"/>
          <w:sz w:val="22"/>
          <w:szCs w:val="22"/>
        </w:rPr>
      </w:pPr>
    </w:p>
    <w:p w14:paraId="4A68F3C6" w14:textId="375CCC78" w:rsidR="003257D9" w:rsidRDefault="003257D9" w:rsidP="00F55A6C">
      <w:pPr>
        <w:pStyle w:val="DfTLevel1"/>
        <w:keepLines/>
        <w:suppressLineNumbers/>
        <w:spacing w:before="120" w:after="120"/>
        <w:jc w:val="both"/>
        <w:rPr>
          <w:rFonts w:cs="Arial"/>
          <w:sz w:val="22"/>
          <w:szCs w:val="22"/>
        </w:rPr>
      </w:pPr>
    </w:p>
    <w:p w14:paraId="7E1CF3C1" w14:textId="37C01CFD" w:rsidR="003257D9" w:rsidRDefault="003257D9" w:rsidP="00F55A6C">
      <w:pPr>
        <w:pStyle w:val="DfTLevel1"/>
        <w:keepLines/>
        <w:suppressLineNumbers/>
        <w:spacing w:before="120" w:after="120"/>
        <w:jc w:val="both"/>
        <w:rPr>
          <w:rFonts w:cs="Arial"/>
          <w:sz w:val="22"/>
          <w:szCs w:val="22"/>
        </w:rPr>
      </w:pPr>
    </w:p>
    <w:p w14:paraId="6024E2B6" w14:textId="021A40EE" w:rsidR="003257D9" w:rsidRDefault="003257D9" w:rsidP="00F55A6C">
      <w:pPr>
        <w:pStyle w:val="DfTLevel1"/>
        <w:keepLines/>
        <w:suppressLineNumbers/>
        <w:spacing w:before="120" w:after="120"/>
        <w:jc w:val="both"/>
        <w:rPr>
          <w:rFonts w:cs="Arial"/>
          <w:sz w:val="22"/>
          <w:szCs w:val="22"/>
        </w:rPr>
      </w:pPr>
    </w:p>
    <w:p w14:paraId="443991A6" w14:textId="77777777" w:rsidR="003257D9" w:rsidRPr="008D4855" w:rsidRDefault="003257D9" w:rsidP="00F55A6C">
      <w:pPr>
        <w:pStyle w:val="DfTLevel1"/>
        <w:keepLines/>
        <w:suppressLineNumbers/>
        <w:spacing w:before="120" w:after="120"/>
        <w:jc w:val="both"/>
        <w:rPr>
          <w:rFonts w:cs="Arial"/>
          <w:sz w:val="22"/>
          <w:szCs w:val="22"/>
        </w:rPr>
      </w:pPr>
    </w:p>
    <w:p w14:paraId="24709E52"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507C8351" w14:textId="632F92B8" w:rsidR="003864EF" w:rsidRPr="00075489" w:rsidRDefault="00463459" w:rsidP="00B85D2A">
      <w:pPr>
        <w:pStyle w:val="DfTLevel1"/>
        <w:keepLines/>
        <w:numPr>
          <w:ilvl w:val="0"/>
          <w:numId w:val="37"/>
        </w:numPr>
        <w:suppressLineNumbers/>
        <w:spacing w:before="120" w:after="120"/>
        <w:ind w:left="709" w:hanging="709"/>
        <w:jc w:val="both"/>
        <w:rPr>
          <w:rFonts w:cs="Arial"/>
          <w:sz w:val="22"/>
          <w:szCs w:val="22"/>
        </w:rPr>
      </w:pPr>
      <w:r w:rsidRPr="008D4855">
        <w:rPr>
          <w:rFonts w:cs="Arial"/>
          <w:color w:val="000000"/>
          <w:sz w:val="22"/>
          <w:szCs w:val="22"/>
        </w:rPr>
        <w:lastRenderedPageBreak/>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53C69790"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14:paraId="04B140B0" w14:textId="75BFFEE7" w:rsidR="00672510" w:rsidRPr="00075489" w:rsidRDefault="00463459" w:rsidP="00B85D2A">
      <w:pPr>
        <w:pStyle w:val="DfTLevel1"/>
        <w:keepLines/>
        <w:numPr>
          <w:ilvl w:val="0"/>
          <w:numId w:val="37"/>
        </w:numPr>
        <w:suppressLineNumbers/>
        <w:spacing w:before="120" w:after="120"/>
        <w:ind w:left="709" w:hanging="709"/>
        <w:jc w:val="both"/>
        <w:rPr>
          <w:rFonts w:cs="Arial"/>
          <w:b/>
          <w:spacing w:val="-3"/>
        </w:rPr>
      </w:pPr>
      <w:r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61A2E445" w14:textId="143733A5" w:rsidR="00075489" w:rsidRPr="00075489" w:rsidRDefault="00075489" w:rsidP="00075489">
      <w:pPr>
        <w:pStyle w:val="DfTLevel1"/>
        <w:keepLines/>
        <w:suppressLineNumbers/>
        <w:spacing w:before="120" w:after="120"/>
        <w:jc w:val="both"/>
        <w:rPr>
          <w:rFonts w:cs="Arial"/>
          <w:b/>
          <w:spacing w:val="-3"/>
          <w:sz w:val="22"/>
          <w:szCs w:val="22"/>
        </w:rPr>
      </w:pPr>
      <w:r w:rsidRPr="00075489">
        <w:rPr>
          <w:rFonts w:cs="Arial"/>
          <w:b/>
          <w:spacing w:val="-3"/>
          <w:sz w:val="22"/>
          <w:szCs w:val="22"/>
        </w:rPr>
        <w:t>Invoicing and Payments</w:t>
      </w:r>
    </w:p>
    <w:p w14:paraId="661820C1" w14:textId="77777777" w:rsidR="00075489" w:rsidRPr="00075489" w:rsidRDefault="00075489" w:rsidP="00B85D2A">
      <w:pPr>
        <w:pStyle w:val="DfTLevel1"/>
        <w:keepLines/>
        <w:numPr>
          <w:ilvl w:val="0"/>
          <w:numId w:val="37"/>
        </w:numPr>
        <w:suppressLineNumbers/>
        <w:spacing w:before="120" w:after="120"/>
        <w:ind w:left="709" w:hanging="709"/>
        <w:jc w:val="both"/>
        <w:rPr>
          <w:rFonts w:cs="Arial"/>
          <w:spacing w:val="-3"/>
          <w:sz w:val="22"/>
          <w:szCs w:val="22"/>
        </w:rPr>
      </w:pPr>
      <w:r w:rsidRPr="00075489">
        <w:rPr>
          <w:rFonts w:cs="Arial"/>
          <w:spacing w:val="-3"/>
          <w:sz w:val="22"/>
          <w:szCs w:val="22"/>
        </w:rPr>
        <w:t>Payment shall be made upon service delivery in accordance with the ‘General</w:t>
      </w:r>
      <w:r w:rsidRPr="00075489">
        <w:rPr>
          <w:rFonts w:cs="Arial"/>
          <w:b/>
          <w:spacing w:val="-3"/>
        </w:rPr>
        <w:t xml:space="preserve"> </w:t>
      </w:r>
      <w:r w:rsidRPr="00075489">
        <w:rPr>
          <w:rFonts w:cs="Arial"/>
          <w:spacing w:val="-3"/>
          <w:sz w:val="22"/>
          <w:szCs w:val="22"/>
        </w:rPr>
        <w:t>Conditions of Contract for the Supply of Goods and Associated Services, and subject to the receipt of a valid and correctly submitted invoice.  The MCA pays undisputed invoices 30 days in arrears.</w:t>
      </w:r>
    </w:p>
    <w:p w14:paraId="46AD6880" w14:textId="77777777" w:rsidR="00075489" w:rsidRPr="00075489" w:rsidRDefault="00075489" w:rsidP="00B85D2A">
      <w:pPr>
        <w:pStyle w:val="DfTLevel1"/>
        <w:keepLines/>
        <w:numPr>
          <w:ilvl w:val="0"/>
          <w:numId w:val="37"/>
        </w:numPr>
        <w:suppressLineNumbers/>
        <w:spacing w:before="120" w:after="120"/>
        <w:ind w:left="709" w:hanging="709"/>
        <w:jc w:val="both"/>
        <w:rPr>
          <w:rFonts w:cs="Arial"/>
          <w:spacing w:val="-3"/>
          <w:sz w:val="22"/>
          <w:szCs w:val="22"/>
        </w:rPr>
      </w:pPr>
      <w:r w:rsidRPr="00075489">
        <w:rPr>
          <w:rFonts w:cs="Arial"/>
          <w:spacing w:val="-3"/>
          <w:sz w:val="22"/>
          <w:szCs w:val="22"/>
        </w:rPr>
        <w:t xml:space="preserve">Contractors should note that the MCA has migrated its invoicing activity to the DfT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 </w:t>
      </w:r>
    </w:p>
    <w:p w14:paraId="463F4AF9" w14:textId="77777777" w:rsidR="0045332B" w:rsidRDefault="00075489" w:rsidP="0045332B">
      <w:pPr>
        <w:pStyle w:val="DfTLevel1"/>
        <w:keepLines/>
        <w:suppressLineNumbers/>
        <w:spacing w:before="120" w:after="120"/>
        <w:ind w:left="644"/>
        <w:jc w:val="center"/>
        <w:rPr>
          <w:rFonts w:cs="Arial"/>
          <w:spacing w:val="-3"/>
          <w:sz w:val="22"/>
          <w:szCs w:val="22"/>
        </w:rPr>
      </w:pPr>
      <w:r w:rsidRPr="00075489">
        <w:rPr>
          <w:rFonts w:cs="Arial"/>
          <w:spacing w:val="-3"/>
          <w:sz w:val="22"/>
          <w:szCs w:val="22"/>
        </w:rPr>
        <w:t>DfT Shared Service Centre</w:t>
      </w:r>
    </w:p>
    <w:p w14:paraId="52A4CDBC" w14:textId="1B708231" w:rsidR="00075489" w:rsidRPr="00075489" w:rsidRDefault="00075489" w:rsidP="0045332B">
      <w:pPr>
        <w:pStyle w:val="DfTLevel1"/>
        <w:keepLines/>
        <w:suppressLineNumbers/>
        <w:spacing w:before="120" w:after="120"/>
        <w:ind w:left="644"/>
        <w:jc w:val="center"/>
        <w:rPr>
          <w:rFonts w:cs="Arial"/>
          <w:spacing w:val="-3"/>
          <w:sz w:val="22"/>
          <w:szCs w:val="22"/>
        </w:rPr>
      </w:pPr>
      <w:r w:rsidRPr="00075489">
        <w:rPr>
          <w:rFonts w:cs="Arial"/>
          <w:spacing w:val="-3"/>
          <w:sz w:val="22"/>
          <w:szCs w:val="22"/>
        </w:rPr>
        <w:t>Arvato Bertelsmann</w:t>
      </w:r>
    </w:p>
    <w:p w14:paraId="17758043" w14:textId="77777777" w:rsidR="00075489" w:rsidRPr="00075489" w:rsidRDefault="00075489" w:rsidP="0045332B">
      <w:pPr>
        <w:pStyle w:val="DfTLevel1"/>
        <w:keepLines/>
        <w:suppressLineNumbers/>
        <w:spacing w:before="120" w:after="120"/>
        <w:ind w:left="644"/>
        <w:jc w:val="center"/>
        <w:rPr>
          <w:rFonts w:cs="Arial"/>
          <w:spacing w:val="-3"/>
          <w:sz w:val="22"/>
          <w:szCs w:val="22"/>
        </w:rPr>
      </w:pPr>
      <w:r w:rsidRPr="00075489">
        <w:rPr>
          <w:rFonts w:cs="Arial"/>
          <w:spacing w:val="-3"/>
          <w:sz w:val="22"/>
          <w:szCs w:val="22"/>
        </w:rPr>
        <w:t>Sandringham Park,</w:t>
      </w:r>
    </w:p>
    <w:p w14:paraId="11C65173" w14:textId="77777777" w:rsidR="00075489" w:rsidRPr="00075489" w:rsidRDefault="00075489" w:rsidP="0045332B">
      <w:pPr>
        <w:pStyle w:val="DfTLevel1"/>
        <w:keepLines/>
        <w:suppressLineNumbers/>
        <w:spacing w:before="120" w:after="120"/>
        <w:ind w:left="644"/>
        <w:jc w:val="center"/>
        <w:rPr>
          <w:rFonts w:cs="Arial"/>
          <w:spacing w:val="-3"/>
          <w:sz w:val="22"/>
          <w:szCs w:val="22"/>
        </w:rPr>
      </w:pPr>
      <w:r w:rsidRPr="00075489">
        <w:rPr>
          <w:rFonts w:cs="Arial"/>
          <w:spacing w:val="-3"/>
          <w:sz w:val="22"/>
          <w:szCs w:val="22"/>
        </w:rPr>
        <w:t>Swansea Vale,</w:t>
      </w:r>
    </w:p>
    <w:p w14:paraId="002F6AB8" w14:textId="77777777" w:rsidR="00075489" w:rsidRPr="00075489" w:rsidRDefault="00075489" w:rsidP="0045332B">
      <w:pPr>
        <w:pStyle w:val="DfTLevel1"/>
        <w:keepLines/>
        <w:suppressLineNumbers/>
        <w:spacing w:before="120" w:after="120"/>
        <w:ind w:left="644"/>
        <w:jc w:val="center"/>
        <w:rPr>
          <w:rFonts w:cs="Arial"/>
          <w:spacing w:val="-3"/>
          <w:sz w:val="22"/>
          <w:szCs w:val="22"/>
        </w:rPr>
      </w:pPr>
      <w:r w:rsidRPr="00075489">
        <w:rPr>
          <w:rFonts w:cs="Arial"/>
          <w:spacing w:val="-3"/>
          <w:sz w:val="22"/>
          <w:szCs w:val="22"/>
        </w:rPr>
        <w:t>Swansea, Wales,</w:t>
      </w:r>
    </w:p>
    <w:p w14:paraId="361DC253" w14:textId="77777777" w:rsidR="00075489" w:rsidRPr="00075489" w:rsidRDefault="00075489" w:rsidP="0045332B">
      <w:pPr>
        <w:pStyle w:val="DfTLevel1"/>
        <w:keepLines/>
        <w:suppressLineNumbers/>
        <w:spacing w:before="120" w:after="120"/>
        <w:ind w:left="644"/>
        <w:jc w:val="center"/>
        <w:rPr>
          <w:rFonts w:cs="Arial"/>
          <w:spacing w:val="-3"/>
          <w:sz w:val="22"/>
          <w:szCs w:val="22"/>
        </w:rPr>
      </w:pPr>
      <w:r w:rsidRPr="00075489">
        <w:rPr>
          <w:rFonts w:cs="Arial"/>
          <w:spacing w:val="-3"/>
          <w:sz w:val="22"/>
          <w:szCs w:val="22"/>
        </w:rPr>
        <w:t>SA7 0EA</w:t>
      </w:r>
    </w:p>
    <w:p w14:paraId="2EB4CDCF" w14:textId="77777777" w:rsidR="00075489" w:rsidRPr="00075489" w:rsidRDefault="00075489" w:rsidP="0045332B">
      <w:pPr>
        <w:pStyle w:val="DfTLevel1"/>
        <w:keepLines/>
        <w:suppressLineNumbers/>
        <w:spacing w:before="120" w:after="120"/>
        <w:ind w:left="644"/>
        <w:jc w:val="both"/>
        <w:rPr>
          <w:rFonts w:cs="Arial"/>
          <w:spacing w:val="-3"/>
          <w:sz w:val="22"/>
          <w:szCs w:val="22"/>
        </w:rPr>
      </w:pPr>
    </w:p>
    <w:p w14:paraId="69485663" w14:textId="77777777" w:rsidR="00075489" w:rsidRPr="00075489" w:rsidRDefault="00075489" w:rsidP="00B85D2A">
      <w:pPr>
        <w:pStyle w:val="DfTLevel1"/>
        <w:keepLines/>
        <w:numPr>
          <w:ilvl w:val="0"/>
          <w:numId w:val="37"/>
        </w:numPr>
        <w:suppressLineNumbers/>
        <w:spacing w:before="120" w:after="120"/>
        <w:ind w:hanging="720"/>
        <w:jc w:val="both"/>
        <w:rPr>
          <w:rFonts w:cs="Arial"/>
          <w:spacing w:val="-3"/>
          <w:sz w:val="22"/>
          <w:szCs w:val="22"/>
        </w:rPr>
      </w:pPr>
      <w:r w:rsidRPr="00075489">
        <w:rPr>
          <w:rFonts w:cs="Arial"/>
          <w:spacing w:val="-3"/>
          <w:sz w:val="22"/>
          <w:szCs w:val="22"/>
        </w:rPr>
        <w:t>To avoid delays in payment of invoices, it is advisable that a draft invoice is submitted to the MCA (inclusive of a breakdown of charges) for initial approval prior to final invoice submission.</w:t>
      </w:r>
    </w:p>
    <w:p w14:paraId="17270C27" w14:textId="77777777" w:rsidR="00075489" w:rsidRPr="00075489" w:rsidRDefault="00075489" w:rsidP="00B85D2A">
      <w:pPr>
        <w:pStyle w:val="DfTLevel1"/>
        <w:keepLines/>
        <w:numPr>
          <w:ilvl w:val="0"/>
          <w:numId w:val="37"/>
        </w:numPr>
        <w:suppressLineNumbers/>
        <w:spacing w:before="120" w:after="120"/>
        <w:ind w:hanging="720"/>
        <w:jc w:val="both"/>
        <w:rPr>
          <w:rFonts w:cs="Arial"/>
          <w:spacing w:val="-3"/>
          <w:sz w:val="22"/>
          <w:szCs w:val="22"/>
        </w:rPr>
      </w:pPr>
      <w:r w:rsidRPr="00075489">
        <w:rPr>
          <w:rFonts w:cs="Arial"/>
          <w:spacing w:val="-3"/>
          <w:sz w:val="22"/>
          <w:szCs w:val="22"/>
        </w:rPr>
        <w:t>To further support swift payment of invoices, it is important that the invoices are compliant and that they include a valid PO Number, PO Number item number (if applicable) and the details (name and telephone number) of your Customer contact (i.e. Contract Manager).</w:t>
      </w:r>
    </w:p>
    <w:p w14:paraId="1F0B5D75" w14:textId="6EA91B75" w:rsidR="00AE4571" w:rsidRDefault="00075489" w:rsidP="00B85D2A">
      <w:pPr>
        <w:pStyle w:val="DfTLevel1"/>
        <w:keepLines/>
        <w:numPr>
          <w:ilvl w:val="0"/>
          <w:numId w:val="37"/>
        </w:numPr>
        <w:suppressLineNumbers/>
        <w:spacing w:before="120" w:after="120"/>
        <w:ind w:hanging="720"/>
        <w:jc w:val="both"/>
        <w:rPr>
          <w:rFonts w:cs="Arial"/>
          <w:spacing w:val="-3"/>
          <w:sz w:val="22"/>
          <w:szCs w:val="22"/>
        </w:rPr>
      </w:pPr>
      <w:r w:rsidRPr="00075489">
        <w:rPr>
          <w:rFonts w:cs="Arial"/>
          <w:spacing w:val="-3"/>
          <w:sz w:val="22"/>
          <w:szCs w:val="22"/>
        </w:rPr>
        <w:t>Non-compliant invoices will be sent back to you, which may lead to delays in payment. If you have a query regarding an outstanding payment, please contact our Accounts Payable section either by email to Acccounts.payable@mcga.gov.uk or by telephone on 020381 72261 between 9am and 5pm Monday to Friday.</w:t>
      </w:r>
    </w:p>
    <w:p w14:paraId="688F5695" w14:textId="4DFE6D55" w:rsidR="0045332B" w:rsidRDefault="0045332B" w:rsidP="0045332B">
      <w:pPr>
        <w:pStyle w:val="DfTLevel1"/>
        <w:keepLines/>
        <w:suppressLineNumbers/>
        <w:spacing w:before="120" w:after="120"/>
        <w:ind w:left="644"/>
        <w:jc w:val="both"/>
        <w:rPr>
          <w:rFonts w:cs="Arial"/>
          <w:spacing w:val="-3"/>
          <w:sz w:val="22"/>
          <w:szCs w:val="22"/>
        </w:rPr>
      </w:pPr>
    </w:p>
    <w:p w14:paraId="34B535DD" w14:textId="26E02CEA" w:rsidR="003939C2" w:rsidRDefault="003939C2" w:rsidP="0045332B">
      <w:pPr>
        <w:pStyle w:val="DfTLevel1"/>
        <w:keepLines/>
        <w:suppressLineNumbers/>
        <w:spacing w:before="120" w:after="120"/>
        <w:ind w:left="644"/>
        <w:jc w:val="both"/>
        <w:rPr>
          <w:rFonts w:cs="Arial"/>
          <w:spacing w:val="-3"/>
          <w:sz w:val="22"/>
          <w:szCs w:val="22"/>
        </w:rPr>
      </w:pPr>
    </w:p>
    <w:p w14:paraId="0127C762" w14:textId="77777777" w:rsidR="003939C2" w:rsidRDefault="003939C2" w:rsidP="0045332B">
      <w:pPr>
        <w:pStyle w:val="DfTLevel1"/>
        <w:keepLines/>
        <w:suppressLineNumbers/>
        <w:spacing w:before="120" w:after="120"/>
        <w:ind w:left="644"/>
        <w:jc w:val="both"/>
        <w:rPr>
          <w:rFonts w:cs="Arial"/>
          <w:spacing w:val="-3"/>
          <w:sz w:val="22"/>
          <w:szCs w:val="22"/>
        </w:rPr>
      </w:pPr>
    </w:p>
    <w:p w14:paraId="6207D877" w14:textId="5B7ACB61" w:rsidR="003257D9" w:rsidRPr="008555CE" w:rsidRDefault="008555CE" w:rsidP="008555CE">
      <w:pPr>
        <w:pStyle w:val="DfTLevel1"/>
        <w:keepLines/>
        <w:suppressLineNumbers/>
        <w:spacing w:before="120" w:after="120"/>
        <w:jc w:val="both"/>
        <w:rPr>
          <w:rFonts w:cs="Arial"/>
          <w:b/>
          <w:spacing w:val="-3"/>
          <w:sz w:val="22"/>
          <w:szCs w:val="22"/>
        </w:rPr>
      </w:pPr>
      <w:r w:rsidRPr="008555CE">
        <w:rPr>
          <w:rFonts w:cs="Arial"/>
          <w:b/>
          <w:spacing w:val="-3"/>
          <w:sz w:val="22"/>
          <w:szCs w:val="22"/>
        </w:rPr>
        <w:t>Economic and Financial Standing</w:t>
      </w:r>
    </w:p>
    <w:p w14:paraId="3D72F69B" w14:textId="4B4F9388" w:rsidR="00BC5B25" w:rsidRDefault="00BC5B25" w:rsidP="0045332B">
      <w:pPr>
        <w:pStyle w:val="DfTLevel1"/>
        <w:keepLines/>
        <w:suppressLineNumbers/>
        <w:spacing w:before="120" w:after="120"/>
        <w:ind w:left="644"/>
        <w:jc w:val="both"/>
        <w:rPr>
          <w:rFonts w:cs="Arial"/>
          <w:spacing w:val="-3"/>
          <w:sz w:val="22"/>
          <w:szCs w:val="22"/>
        </w:rPr>
      </w:pPr>
    </w:p>
    <w:p w14:paraId="46DB9A14" w14:textId="3421D066" w:rsidR="008555CE" w:rsidRDefault="008555CE" w:rsidP="00B85D2A">
      <w:pPr>
        <w:pStyle w:val="DfTLevel1"/>
        <w:keepLines/>
        <w:suppressLineNumbers/>
        <w:spacing w:before="120" w:after="120"/>
        <w:jc w:val="both"/>
        <w:rPr>
          <w:rFonts w:cs="Arial"/>
          <w:spacing w:val="-3"/>
          <w:sz w:val="22"/>
          <w:szCs w:val="22"/>
        </w:rPr>
      </w:pPr>
      <w:r>
        <w:rPr>
          <w:rFonts w:cs="Arial"/>
          <w:spacing w:val="-3"/>
          <w:sz w:val="22"/>
          <w:szCs w:val="22"/>
        </w:rPr>
        <w:t>36.</w:t>
      </w:r>
    </w:p>
    <w:tbl>
      <w:tblPr>
        <w:tblW w:w="8080" w:type="dxa"/>
        <w:tblInd w:w="62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529"/>
        <w:gridCol w:w="34"/>
        <w:gridCol w:w="2517"/>
      </w:tblGrid>
      <w:tr w:rsidR="008555CE" w:rsidRPr="00BC5B25" w14:paraId="4EF18EB4" w14:textId="77777777" w:rsidTr="008555CE">
        <w:trPr>
          <w:trHeight w:val="400"/>
        </w:trPr>
        <w:tc>
          <w:tcPr>
            <w:tcW w:w="8080" w:type="dxa"/>
            <w:gridSpan w:val="3"/>
            <w:tcBorders>
              <w:top w:val="single" w:sz="8" w:space="0" w:color="000000"/>
              <w:bottom w:val="single" w:sz="6" w:space="0" w:color="000000"/>
            </w:tcBorders>
            <w:shd w:val="clear" w:color="auto" w:fill="CCFFFF"/>
          </w:tcPr>
          <w:p w14:paraId="152BDE08" w14:textId="087F24A0" w:rsidR="008555CE" w:rsidRPr="00BC5B25" w:rsidRDefault="008555CE" w:rsidP="00BC5B25">
            <w:pPr>
              <w:spacing w:before="100" w:after="0" w:line="240" w:lineRule="auto"/>
              <w:jc w:val="both"/>
              <w:rPr>
                <w:rFonts w:ascii="Times New Roman" w:eastAsia="Times New Roman" w:hAnsi="Times New Roman" w:cs="Times New Roman"/>
                <w:color w:val="000000"/>
                <w:sz w:val="24"/>
                <w:szCs w:val="24"/>
              </w:rPr>
            </w:pPr>
          </w:p>
        </w:tc>
      </w:tr>
      <w:tr w:rsidR="008555CE" w:rsidRPr="00BC5B25" w14:paraId="7DBD6D24" w14:textId="77777777" w:rsidTr="008555CE">
        <w:trPr>
          <w:trHeight w:val="400"/>
        </w:trPr>
        <w:tc>
          <w:tcPr>
            <w:tcW w:w="5529" w:type="dxa"/>
            <w:tcBorders>
              <w:top w:val="single" w:sz="6" w:space="0" w:color="000000"/>
              <w:bottom w:val="single" w:sz="6" w:space="0" w:color="000000"/>
            </w:tcBorders>
            <w:shd w:val="clear" w:color="auto" w:fill="CCFFFF"/>
          </w:tcPr>
          <w:p w14:paraId="27C4F26E" w14:textId="77777777" w:rsidR="008555CE" w:rsidRPr="00BC5B25" w:rsidRDefault="008555CE" w:rsidP="00BC5B25">
            <w:pPr>
              <w:spacing w:before="100" w:after="0" w:line="240" w:lineRule="auto"/>
              <w:ind w:right="306"/>
              <w:jc w:val="both"/>
              <w:rPr>
                <w:rFonts w:ascii="Times New Roman" w:eastAsia="Times New Roman" w:hAnsi="Times New Roman" w:cs="Times New Roman"/>
                <w:color w:val="000000"/>
                <w:sz w:val="24"/>
                <w:szCs w:val="24"/>
              </w:rPr>
            </w:pPr>
            <w:r w:rsidRPr="00BC5B25">
              <w:rPr>
                <w:rFonts w:ascii="Arial" w:eastAsia="Arial" w:hAnsi="Arial" w:cs="Arial"/>
                <w:color w:val="000000"/>
              </w:rPr>
              <w:t>Question</w:t>
            </w:r>
          </w:p>
        </w:tc>
        <w:tc>
          <w:tcPr>
            <w:tcW w:w="2551" w:type="dxa"/>
            <w:gridSpan w:val="2"/>
            <w:tcBorders>
              <w:top w:val="single" w:sz="6" w:space="0" w:color="000000"/>
              <w:bottom w:val="single" w:sz="6" w:space="0" w:color="000000"/>
            </w:tcBorders>
            <w:shd w:val="clear" w:color="auto" w:fill="CCFFFF"/>
          </w:tcPr>
          <w:p w14:paraId="49953FCD" w14:textId="77777777" w:rsidR="008555CE" w:rsidRPr="00BC5B25" w:rsidRDefault="008555CE" w:rsidP="00BC5B25">
            <w:pPr>
              <w:spacing w:before="100"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Response</w:t>
            </w:r>
          </w:p>
        </w:tc>
      </w:tr>
      <w:tr w:rsidR="008555CE" w:rsidRPr="00BC5B25" w14:paraId="6C6DDEFF" w14:textId="77777777" w:rsidTr="008555CE">
        <w:tblPrEx>
          <w:tblLook w:val="0600" w:firstRow="0" w:lastRow="0" w:firstColumn="0" w:lastColumn="0" w:noHBand="1" w:noVBand="1"/>
        </w:tblPrEx>
        <w:trPr>
          <w:trHeight w:val="1020"/>
        </w:trPr>
        <w:tc>
          <w:tcPr>
            <w:tcW w:w="5563" w:type="dxa"/>
            <w:gridSpan w:val="2"/>
          </w:tcPr>
          <w:p w14:paraId="11E6A2AF" w14:textId="77777777" w:rsidR="008555CE" w:rsidRPr="00BC5B25" w:rsidRDefault="008555CE" w:rsidP="00BC5B25">
            <w:pPr>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Are you able to provide a copy of your audited accounts for the last two years, if requested?</w:t>
            </w:r>
          </w:p>
          <w:p w14:paraId="57FBBFEE" w14:textId="77777777" w:rsidR="008555CE" w:rsidRPr="00BC5B25" w:rsidRDefault="008555CE" w:rsidP="00BC5B25">
            <w:pPr>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If no, can you provide </w:t>
            </w:r>
            <w:r w:rsidRPr="00BC5B25">
              <w:rPr>
                <w:rFonts w:ascii="Arial" w:eastAsia="Arial" w:hAnsi="Arial" w:cs="Arial"/>
                <w:b/>
                <w:color w:val="000000"/>
              </w:rPr>
              <w:t xml:space="preserve">one </w:t>
            </w:r>
            <w:r w:rsidRPr="00BC5B25">
              <w:rPr>
                <w:rFonts w:ascii="Arial" w:eastAsia="Arial" w:hAnsi="Arial" w:cs="Arial"/>
                <w:color w:val="000000"/>
              </w:rPr>
              <w:t>of the following: answer with Y/N in the relevant box.</w:t>
            </w:r>
          </w:p>
          <w:p w14:paraId="6FFEFBAE" w14:textId="77777777" w:rsidR="008555CE" w:rsidRPr="00BC5B25" w:rsidRDefault="008555CE" w:rsidP="00BC5B25">
            <w:pPr>
              <w:spacing w:after="0" w:line="276" w:lineRule="auto"/>
              <w:jc w:val="both"/>
              <w:rPr>
                <w:rFonts w:ascii="Times New Roman" w:eastAsia="Times New Roman" w:hAnsi="Times New Roman" w:cs="Times New Roman"/>
                <w:color w:val="000000"/>
                <w:sz w:val="24"/>
                <w:szCs w:val="24"/>
              </w:rPr>
            </w:pPr>
          </w:p>
        </w:tc>
        <w:tc>
          <w:tcPr>
            <w:tcW w:w="2517" w:type="dxa"/>
          </w:tcPr>
          <w:p w14:paraId="240A2378" w14:textId="77777777" w:rsidR="008555CE" w:rsidRPr="00BC5B25" w:rsidRDefault="008555CE" w:rsidP="00BC5B25">
            <w:pPr>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Yes </w:t>
            </w:r>
            <w:r w:rsidRPr="00BC5B25">
              <w:rPr>
                <w:rFonts w:ascii="Segoe UI Symbol" w:eastAsia="Menlo Regular" w:hAnsi="Segoe UI Symbol" w:cs="Segoe UI Symbol"/>
                <w:color w:val="000000"/>
              </w:rPr>
              <w:t>☐</w:t>
            </w:r>
          </w:p>
          <w:p w14:paraId="33FF83BE" w14:textId="77777777" w:rsidR="008555CE" w:rsidRPr="00BC5B25" w:rsidRDefault="008555CE" w:rsidP="00BC5B25">
            <w:pPr>
              <w:spacing w:after="0" w:line="276"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No   </w:t>
            </w:r>
            <w:r w:rsidRPr="00BC5B25">
              <w:rPr>
                <w:rFonts w:ascii="Segoe UI Symbol" w:eastAsia="Menlo Regular" w:hAnsi="Segoe UI Symbol" w:cs="Segoe UI Symbol"/>
                <w:color w:val="000000"/>
              </w:rPr>
              <w:t>☐</w:t>
            </w:r>
          </w:p>
        </w:tc>
      </w:tr>
      <w:tr w:rsidR="008555CE" w:rsidRPr="00BC5B25" w14:paraId="7C436FF2" w14:textId="77777777" w:rsidTr="008555CE">
        <w:tblPrEx>
          <w:tblLook w:val="0600" w:firstRow="0" w:lastRow="0" w:firstColumn="0" w:lastColumn="0" w:noHBand="1" w:noVBand="1"/>
        </w:tblPrEx>
        <w:trPr>
          <w:trHeight w:val="1020"/>
        </w:trPr>
        <w:tc>
          <w:tcPr>
            <w:tcW w:w="5563" w:type="dxa"/>
            <w:gridSpan w:val="2"/>
          </w:tcPr>
          <w:p w14:paraId="74CA5A52" w14:textId="77777777" w:rsidR="008555CE" w:rsidRPr="00BC5B25" w:rsidRDefault="008555CE" w:rsidP="00BC5B25">
            <w:pPr>
              <w:widowControl w:val="0"/>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(a) </w:t>
            </w:r>
            <w:r w:rsidRPr="00BC5B25">
              <w:rPr>
                <w:rFonts w:ascii="Arial" w:eastAsia="Arial" w:hAnsi="Arial" w:cs="Arial"/>
                <w:color w:val="0000FF"/>
                <w:sz w:val="19"/>
                <w:szCs w:val="19"/>
                <w:highlight w:val="white"/>
              </w:rPr>
              <w:t xml:space="preserve"> </w:t>
            </w:r>
            <w:r w:rsidRPr="00BC5B25">
              <w:rPr>
                <w:rFonts w:ascii="Arial" w:eastAsia="Arial" w:hAnsi="Arial" w:cs="Arial"/>
                <w:color w:val="000000"/>
                <w:highlight w:val="white"/>
              </w:rPr>
              <w:t>A statement of the turnover, Profit and Loss Account/Income Statement, Balance Sheet/Statement of Financial Position and Statement of Cash Flow for the most recent year of trading for this organisation.</w:t>
            </w:r>
          </w:p>
          <w:p w14:paraId="11F7E764" w14:textId="77777777" w:rsidR="008555CE" w:rsidRPr="00BC5B25" w:rsidRDefault="008555CE" w:rsidP="00BC5B25">
            <w:pPr>
              <w:widowControl w:val="0"/>
              <w:spacing w:after="0" w:line="240" w:lineRule="auto"/>
              <w:jc w:val="both"/>
              <w:rPr>
                <w:rFonts w:ascii="Times New Roman" w:eastAsia="Times New Roman" w:hAnsi="Times New Roman" w:cs="Times New Roman"/>
                <w:color w:val="000000"/>
                <w:sz w:val="24"/>
                <w:szCs w:val="24"/>
              </w:rPr>
            </w:pPr>
          </w:p>
        </w:tc>
        <w:tc>
          <w:tcPr>
            <w:tcW w:w="2517" w:type="dxa"/>
          </w:tcPr>
          <w:p w14:paraId="6E749482" w14:textId="77777777" w:rsidR="008555CE" w:rsidRPr="00BC5B25" w:rsidRDefault="008555CE" w:rsidP="00BC5B25">
            <w:pPr>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Yes </w:t>
            </w:r>
            <w:r w:rsidRPr="00BC5B25">
              <w:rPr>
                <w:rFonts w:ascii="Segoe UI Symbol" w:eastAsia="Menlo Regular" w:hAnsi="Segoe UI Symbol" w:cs="Segoe UI Symbol"/>
                <w:color w:val="000000"/>
              </w:rPr>
              <w:t>☐</w:t>
            </w:r>
          </w:p>
          <w:p w14:paraId="09722D60" w14:textId="77777777" w:rsidR="008555CE" w:rsidRPr="00BC5B25" w:rsidRDefault="008555CE" w:rsidP="00BC5B25">
            <w:pPr>
              <w:widowControl w:val="0"/>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No   </w:t>
            </w:r>
            <w:r w:rsidRPr="00BC5B25">
              <w:rPr>
                <w:rFonts w:ascii="Segoe UI Symbol" w:eastAsia="Menlo Regular" w:hAnsi="Segoe UI Symbol" w:cs="Segoe UI Symbol"/>
                <w:color w:val="000000"/>
              </w:rPr>
              <w:t>☐</w:t>
            </w:r>
          </w:p>
        </w:tc>
      </w:tr>
      <w:tr w:rsidR="008555CE" w:rsidRPr="00BC5B25" w14:paraId="408C9AB9" w14:textId="77777777" w:rsidTr="008555CE">
        <w:tblPrEx>
          <w:tblLook w:val="0600" w:firstRow="0" w:lastRow="0" w:firstColumn="0" w:lastColumn="0" w:noHBand="1" w:noVBand="1"/>
        </w:tblPrEx>
        <w:trPr>
          <w:trHeight w:val="700"/>
        </w:trPr>
        <w:tc>
          <w:tcPr>
            <w:tcW w:w="5563" w:type="dxa"/>
            <w:gridSpan w:val="2"/>
          </w:tcPr>
          <w:p w14:paraId="7855BBCF" w14:textId="77777777" w:rsidR="008555CE" w:rsidRPr="00BC5B25" w:rsidRDefault="008555CE" w:rsidP="00BC5B25">
            <w:pPr>
              <w:widowControl w:val="0"/>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(b) A statement of the cash flow forecast for the current year and a bank letter outlining the current cash and credit position.</w:t>
            </w:r>
          </w:p>
        </w:tc>
        <w:tc>
          <w:tcPr>
            <w:tcW w:w="2517" w:type="dxa"/>
          </w:tcPr>
          <w:p w14:paraId="0C12F9BA" w14:textId="77777777" w:rsidR="008555CE" w:rsidRPr="00BC5B25" w:rsidRDefault="008555CE" w:rsidP="00BC5B25">
            <w:pPr>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Yes </w:t>
            </w:r>
            <w:r w:rsidRPr="00BC5B25">
              <w:rPr>
                <w:rFonts w:ascii="Segoe UI Symbol" w:eastAsia="Menlo Regular" w:hAnsi="Segoe UI Symbol" w:cs="Segoe UI Symbol"/>
                <w:color w:val="000000"/>
              </w:rPr>
              <w:t>☐</w:t>
            </w:r>
          </w:p>
          <w:p w14:paraId="4F02FC0F" w14:textId="77777777" w:rsidR="008555CE" w:rsidRPr="00BC5B25" w:rsidRDefault="008555CE" w:rsidP="00BC5B25">
            <w:pPr>
              <w:widowControl w:val="0"/>
              <w:spacing w:after="0" w:line="240" w:lineRule="auto"/>
              <w:ind w:right="-231"/>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No   </w:t>
            </w:r>
            <w:r w:rsidRPr="00BC5B25">
              <w:rPr>
                <w:rFonts w:ascii="Segoe UI Symbol" w:eastAsia="Menlo Regular" w:hAnsi="Segoe UI Symbol" w:cs="Segoe UI Symbol"/>
                <w:color w:val="000000"/>
              </w:rPr>
              <w:t>☐</w:t>
            </w:r>
          </w:p>
        </w:tc>
      </w:tr>
      <w:tr w:rsidR="008555CE" w:rsidRPr="00BC5B25" w14:paraId="2AEC78B5" w14:textId="77777777" w:rsidTr="008555CE">
        <w:tblPrEx>
          <w:tblLook w:val="0600" w:firstRow="0" w:lastRow="0" w:firstColumn="0" w:lastColumn="0" w:noHBand="1" w:noVBand="1"/>
        </w:tblPrEx>
        <w:trPr>
          <w:trHeight w:val="1500"/>
        </w:trPr>
        <w:tc>
          <w:tcPr>
            <w:tcW w:w="5563" w:type="dxa"/>
            <w:gridSpan w:val="2"/>
          </w:tcPr>
          <w:p w14:paraId="61B7A364" w14:textId="77777777" w:rsidR="008555CE" w:rsidRPr="00BC5B25" w:rsidRDefault="008555CE" w:rsidP="00BC5B25">
            <w:pPr>
              <w:widowControl w:val="0"/>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5D041974" w14:textId="77777777" w:rsidR="008555CE" w:rsidRPr="00BC5B25" w:rsidRDefault="008555CE" w:rsidP="00BC5B25">
            <w:pPr>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Yes </w:t>
            </w:r>
            <w:r w:rsidRPr="00BC5B25">
              <w:rPr>
                <w:rFonts w:ascii="Segoe UI Symbol" w:eastAsia="Menlo Regular" w:hAnsi="Segoe UI Symbol" w:cs="Segoe UI Symbol"/>
                <w:color w:val="000000"/>
              </w:rPr>
              <w:t>☐</w:t>
            </w:r>
          </w:p>
          <w:p w14:paraId="01516716" w14:textId="77777777" w:rsidR="008555CE" w:rsidRPr="00BC5B25" w:rsidRDefault="008555CE" w:rsidP="00BC5B25">
            <w:pPr>
              <w:widowControl w:val="0"/>
              <w:spacing w:after="0" w:line="240" w:lineRule="auto"/>
              <w:jc w:val="both"/>
              <w:rPr>
                <w:rFonts w:ascii="Times New Roman" w:eastAsia="Times New Roman" w:hAnsi="Times New Roman" w:cs="Times New Roman"/>
                <w:color w:val="000000"/>
                <w:sz w:val="24"/>
                <w:szCs w:val="24"/>
              </w:rPr>
            </w:pPr>
            <w:r w:rsidRPr="00BC5B25">
              <w:rPr>
                <w:rFonts w:ascii="Arial" w:eastAsia="Arial" w:hAnsi="Arial" w:cs="Arial"/>
                <w:color w:val="000000"/>
              </w:rPr>
              <w:t xml:space="preserve">No   </w:t>
            </w:r>
            <w:r w:rsidRPr="00BC5B25">
              <w:rPr>
                <w:rFonts w:ascii="Segoe UI Symbol" w:eastAsia="Menlo Regular" w:hAnsi="Segoe UI Symbol" w:cs="Segoe UI Symbol"/>
                <w:color w:val="000000"/>
              </w:rPr>
              <w:t>☐</w:t>
            </w:r>
          </w:p>
        </w:tc>
      </w:tr>
    </w:tbl>
    <w:p w14:paraId="4F4347D6" w14:textId="77777777" w:rsidR="003257D9" w:rsidRPr="0045332B" w:rsidRDefault="003257D9" w:rsidP="008555CE">
      <w:pPr>
        <w:pStyle w:val="DfTLevel1"/>
        <w:keepLines/>
        <w:suppressLineNumbers/>
        <w:spacing w:before="120" w:after="120"/>
        <w:jc w:val="both"/>
        <w:rPr>
          <w:rFonts w:cs="Arial"/>
          <w:spacing w:val="-3"/>
          <w:sz w:val="22"/>
          <w:szCs w:val="22"/>
        </w:rPr>
      </w:pPr>
    </w:p>
    <w:p w14:paraId="120D09DA"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193FBA74" w14:textId="77777777" w:rsidR="008D4855" w:rsidRPr="008D4855" w:rsidRDefault="008D4855" w:rsidP="00B85D2A">
      <w:pPr>
        <w:pStyle w:val="DfTLevel1"/>
        <w:keepLines/>
        <w:numPr>
          <w:ilvl w:val="0"/>
          <w:numId w:val="39"/>
        </w:numPr>
        <w:suppressLineNumbers/>
        <w:spacing w:before="120" w:after="120"/>
        <w:ind w:hanging="7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3CE0A7D7" w14:textId="77777777" w:rsidR="00114363"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1193C9AF" w14:textId="77777777" w:rsidR="00C367CF" w:rsidRDefault="00C367CF" w:rsidP="008A2449">
      <w:pPr>
        <w:keepLines/>
        <w:numPr>
          <w:ilvl w:val="12"/>
          <w:numId w:val="0"/>
        </w:numPr>
        <w:suppressLineNumbers/>
        <w:suppressAutoHyphens/>
        <w:spacing w:before="120" w:after="0" w:line="240" w:lineRule="auto"/>
        <w:ind w:left="720"/>
        <w:jc w:val="both"/>
        <w:rPr>
          <w:rFonts w:ascii="Arial" w:hAnsi="Arial" w:cs="Arial"/>
        </w:rPr>
      </w:pPr>
    </w:p>
    <w:p w14:paraId="6DAD0B99" w14:textId="77777777" w:rsidR="00C367CF" w:rsidRPr="00C367CF" w:rsidRDefault="00C367CF" w:rsidP="00C367CF">
      <w:pPr>
        <w:autoSpaceDE w:val="0"/>
        <w:autoSpaceDN w:val="0"/>
        <w:adjustRightInd w:val="0"/>
        <w:spacing w:after="0" w:line="240" w:lineRule="auto"/>
        <w:jc w:val="both"/>
        <w:rPr>
          <w:rFonts w:ascii="Arial" w:hAnsi="Arial" w:cs="Arial"/>
          <w:b/>
        </w:rPr>
      </w:pPr>
      <w:r w:rsidRPr="00C367CF">
        <w:rPr>
          <w:rFonts w:ascii="Arial" w:hAnsi="Arial" w:cs="Arial"/>
          <w:b/>
        </w:rPr>
        <w:t>General Data Protection Regulation (GDPR)</w:t>
      </w:r>
    </w:p>
    <w:p w14:paraId="22A2E24C" w14:textId="77777777" w:rsidR="00C367CF" w:rsidRPr="00D15D1E" w:rsidRDefault="00C367CF" w:rsidP="00C367CF">
      <w:pPr>
        <w:pStyle w:val="ListParagraph"/>
        <w:autoSpaceDE w:val="0"/>
        <w:autoSpaceDN w:val="0"/>
        <w:adjustRightInd w:val="0"/>
        <w:spacing w:after="0" w:line="240" w:lineRule="auto"/>
        <w:ind w:left="360"/>
        <w:jc w:val="both"/>
        <w:rPr>
          <w:rFonts w:ascii="Arial" w:hAnsi="Arial" w:cs="Arial"/>
          <w:b/>
        </w:rPr>
      </w:pPr>
    </w:p>
    <w:p w14:paraId="5DD03EDF" w14:textId="77777777"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677D50">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14:paraId="1908D2DF" w14:textId="77777777"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14:paraId="028E7109" w14:textId="77777777"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677D50">
        <w:rPr>
          <w:rFonts w:ascii="Arial" w:hAnsi="Arial" w:cs="Arial"/>
        </w:rPr>
        <w:lastRenderedPageBreak/>
        <w:t>The MCA, as ‘Data ‘Controller’, will provide the supplier with the relevant data handling information and instructions in order to carry out the survey.  As a ‘Data Processor’ the supplier will be expected to demonstrate how personal information is accessed, stored, used, corrected and retained/destroyed for the purpose of the survey.</w:t>
      </w:r>
    </w:p>
    <w:p w14:paraId="2D930657" w14:textId="77777777" w:rsidR="00C367CF" w:rsidRPr="00D15D1E" w:rsidRDefault="00C367CF" w:rsidP="00C367CF">
      <w:pPr>
        <w:autoSpaceDE w:val="0"/>
        <w:autoSpaceDN w:val="0"/>
        <w:adjustRightInd w:val="0"/>
        <w:spacing w:after="0" w:line="240" w:lineRule="auto"/>
        <w:jc w:val="both"/>
        <w:rPr>
          <w:rFonts w:ascii="Arial" w:hAnsi="Arial" w:cs="Arial"/>
          <w:b/>
        </w:rPr>
      </w:pPr>
    </w:p>
    <w:p w14:paraId="7C67078E" w14:textId="77777777"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677D50">
        <w:rPr>
          <w:rFonts w:ascii="Arial" w:hAnsi="Arial" w:cs="Arial"/>
        </w:rPr>
        <w:t xml:space="preserve">The type of data provided to the Data Processor will be classified as OFFICIAL under the Government Security Classification Scheme, see </w:t>
      </w:r>
      <w:r>
        <w:rPr>
          <w:rFonts w:ascii="Arial" w:hAnsi="Arial" w:cs="Arial"/>
        </w:rPr>
        <w:t>g.</w:t>
      </w:r>
      <w:r w:rsidRPr="00677D50">
        <w:rPr>
          <w:rFonts w:ascii="Arial" w:hAnsi="Arial" w:cs="Arial"/>
        </w:rPr>
        <w:t xml:space="preserve"> below.  Transfer of personally identifiable information must follow the protocols of secure transfer (as described by the Information Commissioners Office) if being sent via the public internet.  </w:t>
      </w:r>
    </w:p>
    <w:p w14:paraId="1799BC2A" w14:textId="7240DF9C" w:rsidR="00C367CF" w:rsidRDefault="00C367CF" w:rsidP="00C367CF">
      <w:pPr>
        <w:pStyle w:val="ListParagraph"/>
        <w:autoSpaceDE w:val="0"/>
        <w:autoSpaceDN w:val="0"/>
        <w:adjustRightInd w:val="0"/>
        <w:spacing w:after="0" w:line="240" w:lineRule="auto"/>
        <w:ind w:left="792"/>
        <w:jc w:val="both"/>
        <w:rPr>
          <w:rFonts w:ascii="Arial" w:hAnsi="Arial" w:cs="Arial"/>
          <w:b/>
        </w:rPr>
      </w:pPr>
    </w:p>
    <w:p w14:paraId="2DE20C31" w14:textId="14715582" w:rsidR="0072570A" w:rsidRDefault="00BD1C0F" w:rsidP="00BD1C0F">
      <w:pPr>
        <w:autoSpaceDE w:val="0"/>
        <w:autoSpaceDN w:val="0"/>
        <w:adjustRightInd w:val="0"/>
        <w:spacing w:after="0" w:line="240" w:lineRule="auto"/>
        <w:jc w:val="both"/>
        <w:rPr>
          <w:rFonts w:ascii="Arial" w:hAnsi="Arial" w:cs="Arial"/>
          <w:b/>
        </w:rPr>
      </w:pPr>
      <w:r w:rsidRPr="00BD1C0F">
        <w:rPr>
          <w:rFonts w:ascii="Arial" w:hAnsi="Arial" w:cs="Arial"/>
          <w:b/>
        </w:rPr>
        <w:t>Conflicts of interest</w:t>
      </w:r>
    </w:p>
    <w:p w14:paraId="5AEA12C6" w14:textId="6BFD5A0F" w:rsidR="00BD1C0F" w:rsidRDefault="00BD1C0F" w:rsidP="00BD1C0F">
      <w:pPr>
        <w:autoSpaceDE w:val="0"/>
        <w:autoSpaceDN w:val="0"/>
        <w:adjustRightInd w:val="0"/>
        <w:spacing w:after="0" w:line="240" w:lineRule="auto"/>
        <w:jc w:val="both"/>
        <w:rPr>
          <w:rFonts w:ascii="Arial" w:hAnsi="Arial" w:cs="Arial"/>
          <w:b/>
        </w:rPr>
      </w:pPr>
    </w:p>
    <w:p w14:paraId="3EB72C7B" w14:textId="49CDBD94" w:rsidR="00B421AF" w:rsidRPr="00B421AF" w:rsidRDefault="00B421AF" w:rsidP="00B421AF">
      <w:pPr>
        <w:autoSpaceDE w:val="0"/>
        <w:autoSpaceDN w:val="0"/>
        <w:adjustRightInd w:val="0"/>
        <w:spacing w:after="0" w:line="240" w:lineRule="auto"/>
        <w:jc w:val="both"/>
        <w:rPr>
          <w:rFonts w:ascii="Arial" w:hAnsi="Arial" w:cs="Arial"/>
        </w:rPr>
      </w:pPr>
      <w:r w:rsidRPr="00B421AF">
        <w:rPr>
          <w:rFonts w:ascii="Arial" w:hAnsi="Arial" w:cs="Arial"/>
        </w:rPr>
        <w:t>38.</w:t>
      </w:r>
      <w:r w:rsidRPr="00B421AF">
        <w:rPr>
          <w:rFonts w:ascii="Arial" w:hAnsi="Arial" w:cs="Arial"/>
        </w:rPr>
        <w:tab/>
        <w:t>Bidders’ written proposals must disclose any potential conflicts of interest.</w:t>
      </w:r>
    </w:p>
    <w:p w14:paraId="14324533" w14:textId="77777777" w:rsidR="00B421AF" w:rsidRPr="00B421AF" w:rsidRDefault="00B421AF" w:rsidP="00B421AF">
      <w:pPr>
        <w:autoSpaceDE w:val="0"/>
        <w:autoSpaceDN w:val="0"/>
        <w:adjustRightInd w:val="0"/>
        <w:spacing w:after="0" w:line="240" w:lineRule="auto"/>
        <w:jc w:val="both"/>
        <w:rPr>
          <w:rFonts w:ascii="Arial" w:hAnsi="Arial" w:cs="Arial"/>
        </w:rPr>
      </w:pPr>
    </w:p>
    <w:p w14:paraId="6795792F" w14:textId="3FD31D24" w:rsidR="00B421AF" w:rsidRDefault="00B421AF" w:rsidP="00B421AF">
      <w:pPr>
        <w:autoSpaceDE w:val="0"/>
        <w:autoSpaceDN w:val="0"/>
        <w:adjustRightInd w:val="0"/>
        <w:spacing w:after="0" w:line="240" w:lineRule="auto"/>
        <w:ind w:left="720"/>
        <w:jc w:val="both"/>
        <w:rPr>
          <w:rFonts w:ascii="Arial" w:hAnsi="Arial" w:cs="Arial"/>
        </w:rPr>
      </w:pPr>
      <w:r w:rsidRPr="00B421AF">
        <w:rPr>
          <w:rFonts w:ascii="Arial" w:hAnsi="Arial" w:cs="Arial"/>
        </w:rPr>
        <w:t xml:space="preserve">Bidders should assess any potential conflicts of interest. They should include a clear statement which: </w:t>
      </w:r>
    </w:p>
    <w:p w14:paraId="2111B27D" w14:textId="77777777" w:rsidR="00462784" w:rsidRPr="00B421AF" w:rsidRDefault="00462784" w:rsidP="00B421AF">
      <w:pPr>
        <w:autoSpaceDE w:val="0"/>
        <w:autoSpaceDN w:val="0"/>
        <w:adjustRightInd w:val="0"/>
        <w:spacing w:after="0" w:line="240" w:lineRule="auto"/>
        <w:ind w:left="720"/>
        <w:jc w:val="both"/>
        <w:rPr>
          <w:rFonts w:ascii="Arial" w:hAnsi="Arial" w:cs="Arial"/>
        </w:rPr>
      </w:pPr>
    </w:p>
    <w:p w14:paraId="6C570119" w14:textId="77777777" w:rsidR="00B421AF" w:rsidRPr="00B421AF" w:rsidRDefault="00B421AF" w:rsidP="00462784">
      <w:pPr>
        <w:autoSpaceDE w:val="0"/>
        <w:autoSpaceDN w:val="0"/>
        <w:adjustRightInd w:val="0"/>
        <w:spacing w:after="0" w:line="240" w:lineRule="auto"/>
        <w:ind w:left="1440" w:hanging="720"/>
        <w:jc w:val="both"/>
        <w:rPr>
          <w:rFonts w:ascii="Arial" w:hAnsi="Arial" w:cs="Arial"/>
        </w:rPr>
      </w:pPr>
      <w:r w:rsidRPr="00B421AF">
        <w:rPr>
          <w:rFonts w:ascii="Arial" w:hAnsi="Arial" w:cs="Arial"/>
        </w:rPr>
        <w:t>•</w:t>
      </w:r>
      <w:r w:rsidRPr="00B421AF">
        <w:rPr>
          <w:rFonts w:ascii="Arial" w:hAnsi="Arial" w:cs="Arial"/>
        </w:rPr>
        <w:tab/>
        <w:t>Explicitly sets out that there is no conflict of interest, or sets out any existing conflicts of interest, either real or perceived, for their firm in relation to this Statement of Requirement;</w:t>
      </w:r>
    </w:p>
    <w:p w14:paraId="60D2140A" w14:textId="77777777" w:rsidR="00B421AF" w:rsidRPr="00B421AF" w:rsidRDefault="00B421AF" w:rsidP="00462784">
      <w:pPr>
        <w:autoSpaceDE w:val="0"/>
        <w:autoSpaceDN w:val="0"/>
        <w:adjustRightInd w:val="0"/>
        <w:spacing w:after="0" w:line="240" w:lineRule="auto"/>
        <w:ind w:left="1440" w:hanging="720"/>
        <w:jc w:val="both"/>
        <w:rPr>
          <w:rFonts w:ascii="Arial" w:hAnsi="Arial" w:cs="Arial"/>
        </w:rPr>
      </w:pPr>
      <w:r w:rsidRPr="00B421AF">
        <w:rPr>
          <w:rFonts w:ascii="Arial" w:hAnsi="Arial" w:cs="Arial"/>
        </w:rPr>
        <w:t>•</w:t>
      </w:r>
      <w:r w:rsidRPr="00B421AF">
        <w:rPr>
          <w:rFonts w:ascii="Arial" w:hAnsi="Arial" w:cs="Arial"/>
        </w:rPr>
        <w:tab/>
        <w:t>Provides full details of proposed risk management arrangements (e.g. segregation of staff and security of information); and</w:t>
      </w:r>
    </w:p>
    <w:p w14:paraId="7657BC7D" w14:textId="77777777" w:rsidR="00B421AF" w:rsidRPr="00B421AF" w:rsidRDefault="00B421AF" w:rsidP="00462784">
      <w:pPr>
        <w:autoSpaceDE w:val="0"/>
        <w:autoSpaceDN w:val="0"/>
        <w:adjustRightInd w:val="0"/>
        <w:spacing w:after="0" w:line="240" w:lineRule="auto"/>
        <w:ind w:left="1440" w:hanging="720"/>
        <w:jc w:val="both"/>
        <w:rPr>
          <w:rFonts w:ascii="Arial" w:hAnsi="Arial" w:cs="Arial"/>
        </w:rPr>
      </w:pPr>
      <w:r w:rsidRPr="00B421AF">
        <w:rPr>
          <w:rFonts w:ascii="Arial" w:hAnsi="Arial" w:cs="Arial"/>
        </w:rPr>
        <w:t>•</w:t>
      </w:r>
      <w:r w:rsidRPr="00B421AF">
        <w:rPr>
          <w:rFonts w:ascii="Arial" w:hAnsi="Arial" w:cs="Arial"/>
        </w:rPr>
        <w:tab/>
        <w:t>Provides a clear description of how any subsequently arising conflicts would be dealt with.</w:t>
      </w:r>
    </w:p>
    <w:p w14:paraId="1EE70717" w14:textId="77777777" w:rsidR="00B421AF" w:rsidRPr="00B421AF" w:rsidRDefault="00B421AF" w:rsidP="00B421AF">
      <w:pPr>
        <w:autoSpaceDE w:val="0"/>
        <w:autoSpaceDN w:val="0"/>
        <w:adjustRightInd w:val="0"/>
        <w:spacing w:after="0" w:line="240" w:lineRule="auto"/>
        <w:jc w:val="both"/>
        <w:rPr>
          <w:rFonts w:ascii="Arial" w:hAnsi="Arial" w:cs="Arial"/>
        </w:rPr>
      </w:pPr>
    </w:p>
    <w:p w14:paraId="2007C49D" w14:textId="71763A93" w:rsidR="00B421AF" w:rsidRDefault="00B421AF" w:rsidP="00F2095F">
      <w:pPr>
        <w:autoSpaceDE w:val="0"/>
        <w:autoSpaceDN w:val="0"/>
        <w:adjustRightInd w:val="0"/>
        <w:spacing w:after="0" w:line="240" w:lineRule="auto"/>
        <w:ind w:firstLine="720"/>
        <w:jc w:val="both"/>
        <w:rPr>
          <w:rFonts w:ascii="Arial" w:hAnsi="Arial" w:cs="Arial"/>
        </w:rPr>
      </w:pPr>
      <w:r w:rsidRPr="00B421AF">
        <w:rPr>
          <w:rFonts w:ascii="Arial" w:hAnsi="Arial" w:cs="Arial"/>
        </w:rPr>
        <w:t>Conflicts of interest are assessed on a pass/fail basis.</w:t>
      </w:r>
    </w:p>
    <w:p w14:paraId="5FB212DC" w14:textId="77777777" w:rsidR="00F2095F" w:rsidRPr="00B421AF" w:rsidRDefault="00F2095F" w:rsidP="00F2095F">
      <w:pPr>
        <w:autoSpaceDE w:val="0"/>
        <w:autoSpaceDN w:val="0"/>
        <w:adjustRightInd w:val="0"/>
        <w:spacing w:after="0" w:line="240" w:lineRule="auto"/>
        <w:ind w:firstLine="720"/>
        <w:jc w:val="both"/>
        <w:rPr>
          <w:rFonts w:ascii="Arial" w:hAnsi="Arial" w:cs="Arial"/>
        </w:rPr>
      </w:pPr>
    </w:p>
    <w:p w14:paraId="650E8AE8" w14:textId="1512CF71" w:rsidR="00B421AF" w:rsidRDefault="00B421AF" w:rsidP="00F2095F">
      <w:pPr>
        <w:autoSpaceDE w:val="0"/>
        <w:autoSpaceDN w:val="0"/>
        <w:adjustRightInd w:val="0"/>
        <w:spacing w:after="0" w:line="240" w:lineRule="auto"/>
        <w:ind w:left="720"/>
        <w:jc w:val="both"/>
        <w:rPr>
          <w:rFonts w:ascii="Arial" w:hAnsi="Arial" w:cs="Arial"/>
        </w:rPr>
      </w:pPr>
      <w:r w:rsidRPr="00B421AF">
        <w:rPr>
          <w:rFonts w:ascii="Arial" w:hAnsi="Arial" w:cs="Arial"/>
        </w:rPr>
        <w:t>The Department will discuss any conflict of interest issues that have been disclosed by each Bidder.</w:t>
      </w:r>
    </w:p>
    <w:p w14:paraId="0DACED22" w14:textId="77777777" w:rsidR="00F2095F" w:rsidRPr="00B421AF" w:rsidRDefault="00F2095F" w:rsidP="00F2095F">
      <w:pPr>
        <w:autoSpaceDE w:val="0"/>
        <w:autoSpaceDN w:val="0"/>
        <w:adjustRightInd w:val="0"/>
        <w:spacing w:after="0" w:line="240" w:lineRule="auto"/>
        <w:ind w:left="720"/>
        <w:jc w:val="both"/>
        <w:rPr>
          <w:rFonts w:ascii="Arial" w:hAnsi="Arial" w:cs="Arial"/>
        </w:rPr>
      </w:pPr>
    </w:p>
    <w:p w14:paraId="79F3D83E" w14:textId="71C31A83" w:rsidR="00B421AF" w:rsidRDefault="00B421AF" w:rsidP="00F2095F">
      <w:pPr>
        <w:autoSpaceDE w:val="0"/>
        <w:autoSpaceDN w:val="0"/>
        <w:adjustRightInd w:val="0"/>
        <w:spacing w:after="0" w:line="240" w:lineRule="auto"/>
        <w:ind w:left="720"/>
        <w:jc w:val="both"/>
        <w:rPr>
          <w:rFonts w:ascii="Arial" w:hAnsi="Arial" w:cs="Arial"/>
        </w:rPr>
      </w:pPr>
      <w:r w:rsidRPr="00B421AF">
        <w:rPr>
          <w:rFonts w:ascii="Arial" w:hAnsi="Arial" w:cs="Arial"/>
        </w:rPr>
        <w:t xml:space="preserve">The Department will decide whether any internal management processes and controls that Bidders have in place are satisfactory. </w:t>
      </w:r>
    </w:p>
    <w:p w14:paraId="64DD1A16" w14:textId="77777777" w:rsidR="008A18A0" w:rsidRPr="00B421AF" w:rsidRDefault="008A18A0" w:rsidP="00F2095F">
      <w:pPr>
        <w:autoSpaceDE w:val="0"/>
        <w:autoSpaceDN w:val="0"/>
        <w:adjustRightInd w:val="0"/>
        <w:spacing w:after="0" w:line="240" w:lineRule="auto"/>
        <w:ind w:left="720"/>
        <w:jc w:val="both"/>
        <w:rPr>
          <w:rFonts w:ascii="Arial" w:hAnsi="Arial" w:cs="Arial"/>
        </w:rPr>
      </w:pPr>
    </w:p>
    <w:p w14:paraId="7174E36A" w14:textId="299894F3" w:rsidR="00B421AF" w:rsidRPr="00B421AF" w:rsidRDefault="00B421AF" w:rsidP="008A18A0">
      <w:pPr>
        <w:autoSpaceDE w:val="0"/>
        <w:autoSpaceDN w:val="0"/>
        <w:adjustRightInd w:val="0"/>
        <w:spacing w:after="0" w:line="240" w:lineRule="auto"/>
        <w:ind w:left="720"/>
        <w:jc w:val="both"/>
        <w:rPr>
          <w:rFonts w:ascii="Arial" w:hAnsi="Arial" w:cs="Arial"/>
        </w:rPr>
      </w:pPr>
      <w:r w:rsidRPr="00B421AF">
        <w:rPr>
          <w:rFonts w:ascii="Arial" w:hAnsi="Arial" w:cs="Arial"/>
        </w:rPr>
        <w:t>Bidders will be ruled out of the competition if, in the Department’s view, there is a conflict of interest which could compromise the delivery and integrity of the contract, or if the arrangements to deal with a future conflict of interest arising offer insufficient protection for the Department.</w:t>
      </w:r>
    </w:p>
    <w:p w14:paraId="69C5BAB8" w14:textId="77777777" w:rsidR="00BD1C0F" w:rsidRPr="00BD1C0F" w:rsidRDefault="00BD1C0F" w:rsidP="00BD1C0F">
      <w:pPr>
        <w:autoSpaceDE w:val="0"/>
        <w:autoSpaceDN w:val="0"/>
        <w:adjustRightInd w:val="0"/>
        <w:spacing w:after="0" w:line="240" w:lineRule="auto"/>
        <w:jc w:val="both"/>
        <w:rPr>
          <w:rFonts w:ascii="Arial" w:hAnsi="Arial" w:cs="Arial"/>
          <w:b/>
        </w:rPr>
      </w:pPr>
    </w:p>
    <w:p w14:paraId="3799F634" w14:textId="5EDEBE71" w:rsidR="00C367CF" w:rsidRDefault="00C367CF" w:rsidP="0005297D">
      <w:pPr>
        <w:autoSpaceDE w:val="0"/>
        <w:autoSpaceDN w:val="0"/>
        <w:adjustRightInd w:val="0"/>
        <w:spacing w:after="0" w:line="240" w:lineRule="auto"/>
        <w:jc w:val="both"/>
        <w:rPr>
          <w:rFonts w:ascii="Arial" w:hAnsi="Arial" w:cs="Arial"/>
          <w:b/>
        </w:rPr>
      </w:pPr>
      <w:r w:rsidRPr="0005297D">
        <w:rPr>
          <w:rFonts w:ascii="Arial" w:hAnsi="Arial" w:cs="Arial"/>
          <w:b/>
        </w:rPr>
        <w:t>Security</w:t>
      </w:r>
      <w:r w:rsidRPr="0005297D">
        <w:rPr>
          <w:rStyle w:val="Hyperlink"/>
          <w:rFonts w:ascii="Helvetica Neue" w:hAnsi="Helvetica Neue"/>
        </w:rPr>
        <w:br/>
      </w:r>
    </w:p>
    <w:p w14:paraId="5A182A3F" w14:textId="27131A76" w:rsidR="000F28F6" w:rsidRDefault="00365031" w:rsidP="00B85D2A">
      <w:pPr>
        <w:pStyle w:val="ListParagraph"/>
        <w:numPr>
          <w:ilvl w:val="0"/>
          <w:numId w:val="40"/>
        </w:numPr>
        <w:ind w:hanging="720"/>
        <w:jc w:val="both"/>
        <w:rPr>
          <w:rFonts w:ascii="Arial" w:hAnsi="Arial" w:cs="Arial"/>
        </w:rPr>
      </w:pPr>
      <w:r w:rsidRPr="00365031">
        <w:rPr>
          <w:rFonts w:ascii="Arial" w:hAnsi="Arial" w:cs="Arial"/>
        </w:rPr>
        <w:t>The successful bidder will be expected to take all appropriate measures to ensure that confidential or sensitive material is not disclosed, in accordance with the Contract Terms and Conditions</w:t>
      </w:r>
      <w:r w:rsidR="002B4107">
        <w:rPr>
          <w:rFonts w:ascii="Arial" w:hAnsi="Arial" w:cs="Arial"/>
        </w:rPr>
        <w:t>,</w:t>
      </w:r>
      <w:r w:rsidRPr="00365031">
        <w:rPr>
          <w:rFonts w:ascii="Arial" w:hAnsi="Arial" w:cs="Arial"/>
        </w:rPr>
        <w:t xml:space="preserve"> and will</w:t>
      </w:r>
      <w:r w:rsidR="002B4107">
        <w:rPr>
          <w:rFonts w:ascii="Arial" w:hAnsi="Arial" w:cs="Arial"/>
        </w:rPr>
        <w:t xml:space="preserve"> be</w:t>
      </w:r>
      <w:r w:rsidRPr="00365031">
        <w:rPr>
          <w:rFonts w:ascii="Arial" w:hAnsi="Arial" w:cs="Arial"/>
        </w:rPr>
        <w:t xml:space="preserve"> expected to sign a Non-Disclosure Agreement on award of contract.</w:t>
      </w:r>
    </w:p>
    <w:p w14:paraId="5DEAEFA5" w14:textId="77777777" w:rsidR="00365031" w:rsidRPr="00365031" w:rsidRDefault="00365031" w:rsidP="00365031">
      <w:pPr>
        <w:pStyle w:val="ListParagraph"/>
        <w:rPr>
          <w:rFonts w:ascii="Arial" w:hAnsi="Arial" w:cs="Arial"/>
        </w:rPr>
      </w:pPr>
    </w:p>
    <w:p w14:paraId="5ADA5BA3" w14:textId="5AD55DC2" w:rsidR="00C367CF" w:rsidRPr="00AB75B4" w:rsidRDefault="00C367CF" w:rsidP="00C33096">
      <w:pPr>
        <w:pStyle w:val="ListParagraph"/>
        <w:numPr>
          <w:ilvl w:val="0"/>
          <w:numId w:val="35"/>
        </w:numPr>
        <w:autoSpaceDE w:val="0"/>
        <w:autoSpaceDN w:val="0"/>
        <w:adjustRightInd w:val="0"/>
        <w:spacing w:after="0" w:line="240" w:lineRule="auto"/>
        <w:ind w:left="1276" w:hanging="567"/>
        <w:jc w:val="both"/>
        <w:rPr>
          <w:rFonts w:ascii="Arial" w:hAnsi="Arial" w:cs="Arial"/>
        </w:rPr>
      </w:pPr>
      <w:r w:rsidRPr="00677D50">
        <w:rPr>
          <w:rFonts w:ascii="Arial" w:hAnsi="Arial" w:cs="Arial"/>
        </w:rPr>
        <w:t xml:space="preserve">The supplier shall complete the Cabinet Office Statement of Assurance questionnaire and provide </w:t>
      </w:r>
      <w:proofErr w:type="gramStart"/>
      <w:r w:rsidRPr="00677D50">
        <w:rPr>
          <w:rFonts w:ascii="Arial" w:hAnsi="Arial" w:cs="Arial"/>
        </w:rPr>
        <w:t>sufficient</w:t>
      </w:r>
      <w:proofErr w:type="gramEnd"/>
      <w:r w:rsidRPr="00677D50">
        <w:rPr>
          <w:rFonts w:ascii="Arial" w:hAnsi="Arial" w:cs="Arial"/>
        </w:rPr>
        <w:t xml:space="preserve"> detail so that the MCA can determine the suppliers approach to security and the application of proportionate controls.   </w:t>
      </w:r>
    </w:p>
    <w:p w14:paraId="6B78FE46" w14:textId="111DC8A2" w:rsidR="00AB75B4" w:rsidRDefault="001F3EED" w:rsidP="00C33096">
      <w:pPr>
        <w:pStyle w:val="ListParagraph"/>
        <w:autoSpaceDE w:val="0"/>
        <w:autoSpaceDN w:val="0"/>
        <w:adjustRightInd w:val="0"/>
        <w:spacing w:after="0" w:line="240" w:lineRule="auto"/>
        <w:ind w:left="1276"/>
        <w:jc w:val="both"/>
        <w:rPr>
          <w:rStyle w:val="Hyperlink"/>
          <w:rFonts w:ascii="Arial" w:hAnsi="Arial" w:cs="Arial"/>
          <w:color w:val="auto"/>
        </w:rPr>
      </w:pPr>
      <w:hyperlink r:id="rId11" w:history="1">
        <w:r w:rsidR="00C33096" w:rsidRPr="00A436B5">
          <w:rPr>
            <w:rStyle w:val="Hyperlink"/>
            <w:rFonts w:ascii="Arial" w:hAnsi="Arial" w:cs="Arial"/>
          </w:rPr>
          <w:t>https://www.gov.uk/government/publications/government-supplier-assurance-framework</w:t>
        </w:r>
      </w:hyperlink>
    </w:p>
    <w:p w14:paraId="6F318F5A" w14:textId="39D7925C" w:rsidR="00C367CF" w:rsidRPr="00AB75B4" w:rsidRDefault="00C367CF" w:rsidP="00C33096">
      <w:pPr>
        <w:autoSpaceDE w:val="0"/>
        <w:autoSpaceDN w:val="0"/>
        <w:adjustRightInd w:val="0"/>
        <w:spacing w:after="0" w:line="240" w:lineRule="auto"/>
        <w:ind w:hanging="11"/>
        <w:jc w:val="both"/>
        <w:rPr>
          <w:rFonts w:ascii="Arial" w:hAnsi="Arial" w:cs="Arial"/>
        </w:rPr>
      </w:pPr>
    </w:p>
    <w:p w14:paraId="5B555B71" w14:textId="31E5F270" w:rsidR="00C367CF" w:rsidRPr="00AB75B4" w:rsidRDefault="00C367CF" w:rsidP="00E121B7">
      <w:pPr>
        <w:pStyle w:val="ListParagraph"/>
        <w:numPr>
          <w:ilvl w:val="0"/>
          <w:numId w:val="35"/>
        </w:numPr>
        <w:autoSpaceDE w:val="0"/>
        <w:autoSpaceDN w:val="0"/>
        <w:adjustRightInd w:val="0"/>
        <w:spacing w:after="0" w:line="240" w:lineRule="auto"/>
        <w:ind w:left="1276" w:hanging="567"/>
        <w:jc w:val="both"/>
        <w:rPr>
          <w:rFonts w:ascii="Helvetica Neue" w:eastAsia="Times New Roman" w:hAnsi="Helvetica Neue"/>
          <w:u w:val="single"/>
        </w:rPr>
      </w:pPr>
      <w:r w:rsidRPr="00AB75B4">
        <w:rPr>
          <w:rFonts w:ascii="Arial" w:hAnsi="Arial" w:cs="Arial"/>
        </w:rPr>
        <w:t xml:space="preserve">The service provider must also recognise and understand the Government </w:t>
      </w:r>
      <w:r w:rsidR="00C33096">
        <w:rPr>
          <w:rFonts w:ascii="Arial" w:hAnsi="Arial" w:cs="Arial"/>
        </w:rPr>
        <w:t xml:space="preserve">  </w:t>
      </w:r>
      <w:r w:rsidRPr="00AB75B4">
        <w:rPr>
          <w:rFonts w:ascii="Arial" w:hAnsi="Arial" w:cs="Arial"/>
        </w:rPr>
        <w:t xml:space="preserve">Security Classification policy and the classification of information. </w:t>
      </w:r>
    </w:p>
    <w:p w14:paraId="79EE8261" w14:textId="630E9CF9" w:rsidR="00AB75B4" w:rsidRPr="00AB75B4" w:rsidRDefault="001F3EED" w:rsidP="00E121B7">
      <w:pPr>
        <w:pStyle w:val="ListParagraph"/>
        <w:autoSpaceDE w:val="0"/>
        <w:autoSpaceDN w:val="0"/>
        <w:adjustRightInd w:val="0"/>
        <w:spacing w:after="0" w:line="240" w:lineRule="auto"/>
        <w:ind w:left="1276"/>
        <w:jc w:val="both"/>
        <w:rPr>
          <w:rFonts w:ascii="Helvetica Neue" w:hAnsi="Helvetica Neue"/>
          <w:u w:val="single"/>
        </w:rPr>
      </w:pPr>
      <w:hyperlink r:id="rId12" w:history="1">
        <w:r w:rsidR="00E121B7" w:rsidRPr="00A436B5">
          <w:rPr>
            <w:rStyle w:val="Hyperlink"/>
            <w:rFonts w:ascii="Helvetica Neue" w:hAnsi="Helvetica Neue"/>
          </w:rPr>
          <w:t>https://www.gov.uk/government/publications/government-security-classifications</w:t>
        </w:r>
      </w:hyperlink>
    </w:p>
    <w:p w14:paraId="010F0A0E" w14:textId="77777777" w:rsidR="00C367CF" w:rsidRPr="00AB75B4" w:rsidRDefault="00C367CF" w:rsidP="00C33096">
      <w:pPr>
        <w:pStyle w:val="ListParagraph"/>
        <w:autoSpaceDE w:val="0"/>
        <w:autoSpaceDN w:val="0"/>
        <w:adjustRightInd w:val="0"/>
        <w:spacing w:after="0" w:line="240" w:lineRule="auto"/>
        <w:ind w:left="792" w:hanging="11"/>
        <w:jc w:val="both"/>
        <w:rPr>
          <w:rFonts w:ascii="Helvetica Neue" w:eastAsia="Times New Roman" w:hAnsi="Helvetica Neue"/>
          <w:u w:val="single"/>
        </w:rPr>
      </w:pPr>
    </w:p>
    <w:p w14:paraId="390167AB" w14:textId="523A9E91" w:rsidR="00C367CF" w:rsidRPr="00AB75B4" w:rsidRDefault="00C367CF" w:rsidP="00E121B7">
      <w:pPr>
        <w:pStyle w:val="ListParagraph"/>
        <w:numPr>
          <w:ilvl w:val="0"/>
          <w:numId w:val="35"/>
        </w:numPr>
        <w:autoSpaceDE w:val="0"/>
        <w:autoSpaceDN w:val="0"/>
        <w:adjustRightInd w:val="0"/>
        <w:spacing w:after="0" w:line="240" w:lineRule="auto"/>
        <w:ind w:left="1276" w:hanging="567"/>
        <w:jc w:val="both"/>
        <w:rPr>
          <w:rFonts w:ascii="Helvetica Neue" w:eastAsia="Times New Roman" w:hAnsi="Helvetica Neue"/>
          <w:u w:val="single"/>
        </w:rPr>
      </w:pPr>
      <w:r w:rsidRPr="00AB75B4">
        <w:rPr>
          <w:rFonts w:ascii="Arial" w:hAnsi="Arial" w:cs="Arial"/>
        </w:rPr>
        <w:t xml:space="preserve">The service provider shall explain how they will dispose of/destroy any </w:t>
      </w:r>
      <w:r w:rsidR="00E121B7" w:rsidRPr="00AB75B4">
        <w:rPr>
          <w:rFonts w:ascii="Arial" w:hAnsi="Arial" w:cs="Arial"/>
        </w:rPr>
        <w:t xml:space="preserve">personal </w:t>
      </w:r>
      <w:r w:rsidR="00E121B7">
        <w:rPr>
          <w:rFonts w:ascii="Arial" w:hAnsi="Arial" w:cs="Arial"/>
        </w:rPr>
        <w:t>information</w:t>
      </w:r>
      <w:r w:rsidRPr="00AB75B4">
        <w:rPr>
          <w:rFonts w:ascii="Arial" w:hAnsi="Arial" w:cs="Arial"/>
        </w:rPr>
        <w:t xml:space="preserve"> collected during the life of the contract.</w:t>
      </w:r>
    </w:p>
    <w:p w14:paraId="05F2E7E3" w14:textId="77777777" w:rsidR="00C367CF" w:rsidRDefault="00C367CF" w:rsidP="00C33096">
      <w:pPr>
        <w:autoSpaceDE w:val="0"/>
        <w:autoSpaceDN w:val="0"/>
        <w:adjustRightInd w:val="0"/>
        <w:spacing w:after="0" w:line="240" w:lineRule="auto"/>
        <w:ind w:hanging="11"/>
        <w:jc w:val="both"/>
        <w:rPr>
          <w:rFonts w:ascii="Helvetica Neue" w:eastAsia="Times New Roman" w:hAnsi="Helvetica Neue"/>
          <w:color w:val="1155CC"/>
          <w:u w:val="single"/>
        </w:rPr>
      </w:pPr>
    </w:p>
    <w:p w14:paraId="52B6A975" w14:textId="7ADE3179" w:rsidR="00C367CF" w:rsidRPr="0005297D" w:rsidRDefault="0005297D" w:rsidP="00E121B7">
      <w:pPr>
        <w:pStyle w:val="ListParagraph"/>
        <w:numPr>
          <w:ilvl w:val="0"/>
          <w:numId w:val="35"/>
        </w:numPr>
        <w:ind w:left="1276" w:hanging="567"/>
        <w:jc w:val="both"/>
        <w:rPr>
          <w:rFonts w:ascii="Arial" w:hAnsi="Arial" w:cs="Arial"/>
        </w:rPr>
      </w:pPr>
      <w:r w:rsidRPr="0005297D">
        <w:rPr>
          <w:rFonts w:ascii="Arial" w:hAnsi="Arial" w:cs="Arial"/>
        </w:rPr>
        <w:t>Additionally,</w:t>
      </w:r>
      <w:r w:rsidR="00C367CF" w:rsidRPr="0005297D">
        <w:rPr>
          <w:rFonts w:ascii="Arial" w:hAnsi="Arial" w:cs="Arial"/>
        </w:rPr>
        <w:t xml:space="preserve"> please can you clarify how Government and industry best practice will be met in the design and implementation of system components, including network principles, security design principles for digital services. Included are </w:t>
      </w:r>
      <w:proofErr w:type="gramStart"/>
      <w:r w:rsidR="00C367CF" w:rsidRPr="0005297D">
        <w:rPr>
          <w:rFonts w:ascii="Arial" w:hAnsi="Arial" w:cs="Arial"/>
        </w:rPr>
        <w:t>a number of</w:t>
      </w:r>
      <w:proofErr w:type="gramEnd"/>
      <w:r w:rsidR="00C367CF" w:rsidRPr="0005297D">
        <w:rPr>
          <w:rFonts w:ascii="Arial" w:hAnsi="Arial" w:cs="Arial"/>
        </w:rPr>
        <w:t xml:space="preserve"> applicable links for reference. Further guidance can be found on the National Cyber Security Centre’s website.</w:t>
      </w:r>
    </w:p>
    <w:p w14:paraId="238F3012" w14:textId="23DCBAC5" w:rsidR="0005297D" w:rsidRPr="00AB75B4" w:rsidRDefault="0005297D" w:rsidP="00E121B7">
      <w:pPr>
        <w:pStyle w:val="NormalWeb"/>
        <w:numPr>
          <w:ilvl w:val="0"/>
          <w:numId w:val="35"/>
        </w:numPr>
        <w:spacing w:after="120"/>
        <w:ind w:left="1276" w:hanging="567"/>
        <w:jc w:val="both"/>
        <w:rPr>
          <w:rStyle w:val="Hyperlink"/>
          <w:rFonts w:ascii="Arial" w:hAnsi="Arial" w:cs="Arial"/>
          <w:color w:val="auto"/>
          <w:sz w:val="22"/>
          <w:szCs w:val="22"/>
          <w:u w:val="none"/>
        </w:rPr>
      </w:pPr>
      <w:r>
        <w:rPr>
          <w:rFonts w:ascii="Arial" w:hAnsi="Arial" w:cs="Arial"/>
          <w:sz w:val="22"/>
          <w:szCs w:val="22"/>
        </w:rPr>
        <w:t>F</w:t>
      </w:r>
      <w:r w:rsidR="00C367CF" w:rsidRPr="00B6527E">
        <w:rPr>
          <w:rFonts w:ascii="Arial" w:hAnsi="Arial" w:cs="Arial"/>
          <w:sz w:val="22"/>
          <w:szCs w:val="22"/>
        </w:rPr>
        <w:t xml:space="preserve">ollowing the </w:t>
      </w:r>
      <w:r w:rsidR="00C367CF" w:rsidRPr="00B6527E">
        <w:rPr>
          <w:rFonts w:ascii="Arial" w:eastAsia="Helvetica Neue" w:hAnsi="Arial" w:cs="Arial"/>
          <w:sz w:val="22"/>
          <w:szCs w:val="22"/>
        </w:rPr>
        <w:t>National Cyber Security Centre’s (</w:t>
      </w:r>
      <w:r w:rsidR="00C367CF" w:rsidRPr="00B6527E">
        <w:rPr>
          <w:rFonts w:ascii="Arial" w:hAnsi="Arial" w:cs="Arial"/>
          <w:sz w:val="22"/>
          <w:szCs w:val="22"/>
        </w:rPr>
        <w:t>NCSC) Secure design principles for digital services:</w:t>
      </w:r>
      <w:r w:rsidR="00C367CF" w:rsidRPr="00AB75B4">
        <w:rPr>
          <w:rFonts w:ascii="Arial" w:hAnsi="Arial" w:cs="Arial"/>
          <w:sz w:val="22"/>
          <w:szCs w:val="22"/>
        </w:rPr>
        <w:t xml:space="preserve"> </w:t>
      </w:r>
      <w:hyperlink r:id="rId13" w:history="1">
        <w:r w:rsidR="00C367CF" w:rsidRPr="00AB75B4">
          <w:rPr>
            <w:rStyle w:val="Hyperlink"/>
            <w:rFonts w:ascii="Arial" w:hAnsi="Arial" w:cs="Arial"/>
            <w:sz w:val="22"/>
            <w:szCs w:val="22"/>
          </w:rPr>
          <w:t>https://www.ncsc.gov.uk/guidance/security-design-principles-digital-services-main</w:t>
        </w:r>
      </w:hyperlink>
    </w:p>
    <w:p w14:paraId="720B4C06" w14:textId="52842785" w:rsidR="006A2AA0" w:rsidRDefault="0005297D" w:rsidP="006A2AA0">
      <w:pPr>
        <w:pStyle w:val="NormalWeb"/>
        <w:numPr>
          <w:ilvl w:val="0"/>
          <w:numId w:val="36"/>
        </w:numPr>
        <w:spacing w:after="120"/>
        <w:ind w:left="1276" w:hanging="567"/>
        <w:jc w:val="both"/>
        <w:rPr>
          <w:rStyle w:val="Hyperlink"/>
          <w:rFonts w:ascii="Arial" w:hAnsi="Arial" w:cs="Arial"/>
          <w:color w:val="auto"/>
          <w:sz w:val="22"/>
          <w:szCs w:val="22"/>
          <w:u w:val="none"/>
        </w:rPr>
      </w:pPr>
      <w:r>
        <w:rPr>
          <w:rFonts w:ascii="Arial" w:hAnsi="Arial" w:cs="Arial"/>
          <w:sz w:val="22"/>
          <w:szCs w:val="22"/>
        </w:rPr>
        <w:t>F</w:t>
      </w:r>
      <w:r w:rsidR="00C367CF" w:rsidRPr="00B6527E">
        <w:rPr>
          <w:rFonts w:ascii="Arial" w:hAnsi="Arial" w:cs="Arial"/>
          <w:sz w:val="22"/>
          <w:szCs w:val="22"/>
        </w:rPr>
        <w:t xml:space="preserve">ollowing NCSC Architectural Pattern for Serving Web Content.  </w:t>
      </w:r>
      <w:r w:rsidR="00C367CF">
        <w:rPr>
          <w:rFonts w:ascii="Arial" w:hAnsi="Arial" w:cs="Arial"/>
          <w:sz w:val="22"/>
          <w:szCs w:val="22"/>
        </w:rPr>
        <w:t xml:space="preserve">    </w:t>
      </w:r>
      <w:hyperlink r:id="rId14" w:history="1">
        <w:r w:rsidR="00C367CF" w:rsidRPr="00174446">
          <w:rPr>
            <w:rStyle w:val="Hyperlink"/>
            <w:rFonts w:ascii="Arial" w:hAnsi="Arial" w:cs="Arial"/>
            <w:sz w:val="22"/>
            <w:szCs w:val="22"/>
          </w:rPr>
          <w:t>https://www.ncsc.gov.uk/guidance/serving-web-content-architectural-pattern-10</w:t>
        </w:r>
      </w:hyperlink>
    </w:p>
    <w:p w14:paraId="32ECFFBF" w14:textId="77777777" w:rsidR="00ED4F8B" w:rsidRPr="006A2AA0" w:rsidRDefault="00ED4F8B" w:rsidP="00ED4F8B">
      <w:pPr>
        <w:pStyle w:val="NormalWeb"/>
        <w:spacing w:after="120"/>
        <w:ind w:left="360"/>
        <w:jc w:val="both"/>
        <w:rPr>
          <w:rFonts w:ascii="Arial" w:hAnsi="Arial" w:cs="Arial"/>
          <w:sz w:val="22"/>
          <w:szCs w:val="22"/>
        </w:rPr>
      </w:pPr>
    </w:p>
    <w:p w14:paraId="5A9CF3F2" w14:textId="23E162C8" w:rsidR="00C367CF" w:rsidRPr="00B6527E" w:rsidRDefault="00ED4F8B" w:rsidP="00ED4F8B">
      <w:pPr>
        <w:pStyle w:val="NormalWeb"/>
        <w:numPr>
          <w:ilvl w:val="0"/>
          <w:numId w:val="36"/>
        </w:numPr>
        <w:spacing w:before="0" w:beforeAutospacing="0" w:after="120" w:afterAutospacing="0"/>
        <w:ind w:left="1276" w:hanging="567"/>
        <w:jc w:val="both"/>
        <w:rPr>
          <w:rFonts w:ascii="Arial" w:hAnsi="Arial" w:cs="Arial"/>
          <w:sz w:val="22"/>
          <w:szCs w:val="22"/>
        </w:rPr>
      </w:pPr>
      <w:r>
        <w:rPr>
          <w:rFonts w:ascii="Arial" w:hAnsi="Arial" w:cs="Arial"/>
          <w:sz w:val="22"/>
          <w:szCs w:val="22"/>
        </w:rPr>
        <w:t>E</w:t>
      </w:r>
      <w:r w:rsidR="00C367CF" w:rsidRPr="00B6527E">
        <w:rPr>
          <w:rFonts w:ascii="Arial" w:hAnsi="Arial" w:cs="Arial"/>
          <w:sz w:val="22"/>
          <w:szCs w:val="22"/>
        </w:rPr>
        <w:t>nsuring applications meets Level 2 of the OWASP Application Security Verification Standard:</w:t>
      </w:r>
      <w:r w:rsidR="00AB75B4">
        <w:rPr>
          <w:rFonts w:ascii="Arial" w:hAnsi="Arial" w:cs="Arial"/>
          <w:sz w:val="22"/>
          <w:szCs w:val="22"/>
        </w:rPr>
        <w:t xml:space="preserve"> </w:t>
      </w:r>
      <w:hyperlink r:id="rId15" w:anchor="tab=Downloads" w:history="1">
        <w:r w:rsidR="00AB75B4" w:rsidRPr="00D442F3">
          <w:rPr>
            <w:rStyle w:val="Hyperlink"/>
            <w:rFonts w:ascii="Arial" w:hAnsi="Arial" w:cs="Arial"/>
            <w:sz w:val="22"/>
            <w:szCs w:val="22"/>
          </w:rPr>
          <w:t>https://www.owasp.org/index.php/Category:OWASP_Application_Security_Verification_Standard_Project#tab=Downloads</w:t>
        </w:r>
      </w:hyperlink>
    </w:p>
    <w:p w14:paraId="52477D8E" w14:textId="023B5B87" w:rsidR="00C367CF" w:rsidRPr="002C571D" w:rsidRDefault="00AB75B4" w:rsidP="00ED4F8B">
      <w:pPr>
        <w:pStyle w:val="NormalWeb"/>
        <w:spacing w:before="0" w:beforeAutospacing="0" w:after="120" w:afterAutospacing="0"/>
        <w:ind w:left="1276" w:hanging="567"/>
        <w:jc w:val="both"/>
        <w:rPr>
          <w:rStyle w:val="Hyperlink"/>
          <w:rFonts w:ascii="Arial" w:hAnsi="Arial" w:cs="Arial"/>
          <w:color w:val="auto"/>
          <w:sz w:val="22"/>
          <w:szCs w:val="22"/>
          <w:u w:val="none"/>
        </w:rPr>
      </w:pPr>
      <w:r>
        <w:rPr>
          <w:rFonts w:ascii="Arial" w:hAnsi="Arial" w:cs="Arial"/>
          <w:sz w:val="22"/>
          <w:szCs w:val="22"/>
        </w:rPr>
        <w:t>h.</w:t>
      </w:r>
      <w:r>
        <w:rPr>
          <w:rFonts w:ascii="Arial" w:hAnsi="Arial" w:cs="Arial"/>
          <w:sz w:val="22"/>
          <w:szCs w:val="22"/>
        </w:rPr>
        <w:tab/>
        <w:t>E</w:t>
      </w:r>
      <w:r w:rsidR="00C367CF" w:rsidRPr="00B6527E">
        <w:rPr>
          <w:rFonts w:ascii="Arial" w:hAnsi="Arial" w:cs="Arial"/>
          <w:sz w:val="22"/>
          <w:szCs w:val="22"/>
        </w:rPr>
        <w:t>nsur</w:t>
      </w:r>
      <w:r w:rsidR="00C367CF">
        <w:rPr>
          <w:rFonts w:ascii="Arial" w:hAnsi="Arial" w:cs="Arial"/>
          <w:sz w:val="22"/>
          <w:szCs w:val="22"/>
        </w:rPr>
        <w:t>ing</w:t>
      </w:r>
      <w:r w:rsidR="00C367CF" w:rsidRPr="00B6527E">
        <w:rPr>
          <w:rFonts w:ascii="Arial" w:hAnsi="Arial" w:cs="Arial"/>
          <w:sz w:val="22"/>
          <w:szCs w:val="22"/>
        </w:rPr>
        <w:t xml:space="preserve"> service administration architectures follow NCSC principles:  </w:t>
      </w:r>
      <w:r w:rsidR="00C367CF">
        <w:rPr>
          <w:rFonts w:ascii="Arial" w:hAnsi="Arial" w:cs="Arial"/>
          <w:sz w:val="22"/>
          <w:szCs w:val="22"/>
        </w:rPr>
        <w:t xml:space="preserve">     </w:t>
      </w:r>
      <w:hyperlink r:id="rId16" w:history="1">
        <w:r w:rsidRPr="00D442F3">
          <w:rPr>
            <w:rStyle w:val="Hyperlink"/>
            <w:rFonts w:ascii="Arial" w:hAnsi="Arial" w:cs="Arial"/>
            <w:sz w:val="22"/>
            <w:szCs w:val="22"/>
          </w:rPr>
          <w:t>https://www.ncsc.gov.uk/guidance/systems-administration-architectures</w:t>
        </w:r>
      </w:hyperlink>
    </w:p>
    <w:p w14:paraId="31161430" w14:textId="77777777" w:rsidR="00ED4F8B" w:rsidRDefault="00AB75B4" w:rsidP="00ED4F8B">
      <w:pPr>
        <w:autoSpaceDE w:val="0"/>
        <w:autoSpaceDN w:val="0"/>
        <w:adjustRightInd w:val="0"/>
        <w:spacing w:after="0" w:line="240" w:lineRule="auto"/>
        <w:ind w:left="1276" w:hanging="567"/>
        <w:jc w:val="both"/>
        <w:rPr>
          <w:rFonts w:ascii="Arial" w:eastAsia="Helvetica Neue" w:hAnsi="Arial" w:cs="Arial"/>
        </w:rPr>
      </w:pPr>
      <w:proofErr w:type="spellStart"/>
      <w:r>
        <w:rPr>
          <w:rFonts w:ascii="Arial" w:eastAsia="Helvetica Neue" w:hAnsi="Arial" w:cs="Arial"/>
        </w:rPr>
        <w:t>i</w:t>
      </w:r>
      <w:proofErr w:type="spellEnd"/>
      <w:r>
        <w:rPr>
          <w:rFonts w:ascii="Arial" w:eastAsia="Helvetica Neue" w:hAnsi="Arial" w:cs="Arial"/>
        </w:rPr>
        <w:t>.</w:t>
      </w:r>
      <w:r>
        <w:rPr>
          <w:rFonts w:ascii="Arial" w:eastAsia="Helvetica Neue" w:hAnsi="Arial" w:cs="Arial"/>
        </w:rPr>
        <w:tab/>
        <w:t>T</w:t>
      </w:r>
      <w:r w:rsidR="00C367CF" w:rsidRPr="00F02393">
        <w:rPr>
          <w:rFonts w:ascii="Arial" w:eastAsia="Helvetica Neue" w:hAnsi="Arial" w:cs="Arial"/>
        </w:rPr>
        <w:t>he security requirements of cloud services using the NCSC Cloud Security Principles</w:t>
      </w:r>
      <w:r w:rsidR="00ED4F8B">
        <w:rPr>
          <w:rFonts w:ascii="Arial" w:eastAsia="Helvetica Neue" w:hAnsi="Arial" w:cs="Arial"/>
        </w:rPr>
        <w:t xml:space="preserve"> </w:t>
      </w:r>
      <w:r w:rsidR="00C367CF" w:rsidRPr="00F02393">
        <w:rPr>
          <w:rFonts w:ascii="Arial" w:eastAsia="Helvetica Neue" w:hAnsi="Arial" w:cs="Arial"/>
        </w:rPr>
        <w:t xml:space="preserve">and accompanying guidance at </w:t>
      </w:r>
    </w:p>
    <w:p w14:paraId="7105581F" w14:textId="43A0FB42" w:rsidR="008555CE" w:rsidRDefault="001F3EED" w:rsidP="00171125">
      <w:pPr>
        <w:autoSpaceDE w:val="0"/>
        <w:autoSpaceDN w:val="0"/>
        <w:adjustRightInd w:val="0"/>
        <w:spacing w:after="0" w:line="240" w:lineRule="auto"/>
        <w:ind w:left="1134" w:firstLine="142"/>
        <w:jc w:val="both"/>
        <w:rPr>
          <w:rStyle w:val="Hyperlink"/>
          <w:rFonts w:ascii="Arial" w:eastAsia="Helvetica Neue" w:hAnsi="Arial" w:cs="Arial"/>
          <w:color w:val="1155CC"/>
        </w:rPr>
      </w:pPr>
      <w:hyperlink r:id="rId17" w:history="1">
        <w:r w:rsidR="00171125" w:rsidRPr="00A436B5">
          <w:rPr>
            <w:rStyle w:val="Hyperlink"/>
            <w:rFonts w:ascii="Arial" w:eastAsia="Helvetica Neue" w:hAnsi="Arial" w:cs="Arial"/>
          </w:rPr>
          <w:t>https://www.ncsc.gov.uk/guidance/implementing-cloud-security-principles</w:t>
        </w:r>
      </w:hyperlink>
    </w:p>
    <w:p w14:paraId="7B7050B3" w14:textId="28B471E4" w:rsidR="00ED4F8B" w:rsidRDefault="00ED4F8B" w:rsidP="00ED4F8B">
      <w:pPr>
        <w:autoSpaceDE w:val="0"/>
        <w:autoSpaceDN w:val="0"/>
        <w:adjustRightInd w:val="0"/>
        <w:spacing w:after="0" w:line="240" w:lineRule="auto"/>
        <w:ind w:left="1276" w:hanging="567"/>
        <w:jc w:val="both"/>
        <w:rPr>
          <w:rFonts w:ascii="Helvetica Neue" w:eastAsia="Times New Roman" w:hAnsi="Helvetica Neue"/>
          <w:color w:val="1155CC"/>
          <w:u w:val="single"/>
        </w:rPr>
      </w:pPr>
    </w:p>
    <w:p w14:paraId="57EDDC5D" w14:textId="77777777" w:rsidR="00365031" w:rsidRPr="00365031" w:rsidRDefault="00365031" w:rsidP="00ED4F8B">
      <w:pPr>
        <w:autoSpaceDE w:val="0"/>
        <w:autoSpaceDN w:val="0"/>
        <w:adjustRightInd w:val="0"/>
        <w:spacing w:after="0" w:line="240" w:lineRule="auto"/>
        <w:ind w:left="1276" w:hanging="567"/>
        <w:jc w:val="both"/>
        <w:rPr>
          <w:rFonts w:ascii="Helvetica Neue" w:eastAsia="Times New Roman" w:hAnsi="Helvetica Neue"/>
          <w:color w:val="1155CC"/>
          <w:u w:val="single"/>
        </w:rPr>
      </w:pPr>
    </w:p>
    <w:p w14:paraId="092E5037" w14:textId="77777777" w:rsidR="003257D9" w:rsidRPr="003257D9" w:rsidRDefault="003257D9" w:rsidP="003257D9">
      <w:pPr>
        <w:spacing w:before="120" w:after="120" w:line="240" w:lineRule="auto"/>
        <w:ind w:left="432" w:hanging="432"/>
        <w:jc w:val="both"/>
        <w:outlineLvl w:val="1"/>
        <w:rPr>
          <w:rFonts w:ascii="Arial" w:eastAsia="Calibri" w:hAnsi="Arial" w:cs="Arial"/>
          <w:b/>
          <w:lang w:eastAsia="en-GB"/>
        </w:rPr>
      </w:pPr>
      <w:bookmarkStart w:id="1" w:name="_Toc534793330"/>
      <w:r w:rsidRPr="003257D9">
        <w:rPr>
          <w:rFonts w:ascii="Arial" w:eastAsia="Calibri" w:hAnsi="Arial" w:cs="Arial"/>
          <w:b/>
          <w:lang w:eastAsia="en-GB"/>
        </w:rPr>
        <w:t>Point(s) of Contact</w:t>
      </w:r>
      <w:bookmarkEnd w:id="1"/>
    </w:p>
    <w:p w14:paraId="50C7FA7D" w14:textId="6CF6EC05" w:rsidR="003257D9" w:rsidRPr="003257D9" w:rsidRDefault="003257D9" w:rsidP="00B85D2A">
      <w:pPr>
        <w:pStyle w:val="ListParagraph"/>
        <w:numPr>
          <w:ilvl w:val="0"/>
          <w:numId w:val="40"/>
        </w:numPr>
        <w:spacing w:before="120" w:after="120" w:line="240" w:lineRule="auto"/>
        <w:ind w:hanging="720"/>
        <w:jc w:val="both"/>
        <w:rPr>
          <w:rFonts w:ascii="Arial" w:eastAsia="Calibri" w:hAnsi="Arial" w:cs="Arial"/>
          <w:lang w:eastAsia="en-GB"/>
        </w:rPr>
      </w:pPr>
      <w:r w:rsidRPr="003257D9">
        <w:rPr>
          <w:rFonts w:ascii="Arial" w:eastAsia="Calibri" w:hAnsi="Arial" w:cs="Arial"/>
          <w:lang w:eastAsia="en-GB"/>
        </w:rPr>
        <w:t xml:space="preserve">For the purpose of this procurement exercise, all queries/questions should be directed to </w:t>
      </w:r>
      <w:hyperlink r:id="rId18" w:history="1">
        <w:r w:rsidRPr="003257D9">
          <w:rPr>
            <w:rFonts w:ascii="Arial" w:eastAsia="Calibri" w:hAnsi="Arial" w:cs="Arial"/>
            <w:color w:val="0000FF"/>
            <w:u w:val="single"/>
            <w:lang w:eastAsia="en-GB"/>
          </w:rPr>
          <w:t>contracts@mcga.gov.uk</w:t>
        </w:r>
      </w:hyperlink>
      <w:r w:rsidRPr="003257D9">
        <w:rPr>
          <w:rFonts w:ascii="Arial" w:eastAsia="Calibri" w:hAnsi="Arial" w:cs="Arial"/>
          <w:lang w:eastAsia="en-GB"/>
        </w:rPr>
        <w:t xml:space="preserve"> .</w:t>
      </w:r>
    </w:p>
    <w:p w14:paraId="7711A68A" w14:textId="77777777" w:rsidR="003257D9" w:rsidRPr="008D4855" w:rsidRDefault="003257D9" w:rsidP="008A2449">
      <w:pPr>
        <w:keepLines/>
        <w:numPr>
          <w:ilvl w:val="12"/>
          <w:numId w:val="0"/>
        </w:numPr>
        <w:suppressLineNumbers/>
        <w:suppressAutoHyphens/>
        <w:spacing w:before="120" w:after="0" w:line="240" w:lineRule="auto"/>
        <w:ind w:left="720"/>
        <w:jc w:val="both"/>
        <w:rPr>
          <w:rFonts w:ascii="Arial" w:hAnsi="Arial" w:cs="Arial"/>
        </w:rPr>
      </w:pPr>
    </w:p>
    <w:sectPr w:rsidR="003257D9"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Helvetica Neue">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0F568FD"/>
    <w:multiLevelType w:val="hybridMultilevel"/>
    <w:tmpl w:val="F95AA630"/>
    <w:lvl w:ilvl="0" w:tplc="6032DA36">
      <w:start w:val="27"/>
      <w:numFmt w:val="decimal"/>
      <w:lvlText w:val="%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FA11E0"/>
    <w:multiLevelType w:val="hybridMultilevel"/>
    <w:tmpl w:val="FDE29534"/>
    <w:lvl w:ilvl="0" w:tplc="4782CAA0">
      <w:start w:val="13"/>
      <w:numFmt w:val="decimal"/>
      <w:lvlText w:val="%1."/>
      <w:lvlJc w:val="left"/>
      <w:pPr>
        <w:ind w:left="720" w:hanging="360"/>
      </w:pPr>
      <w:rPr>
        <w:rFonts w:hint="default"/>
        <w:b w:val="0"/>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3C12E26"/>
    <w:multiLevelType w:val="hybridMultilevel"/>
    <w:tmpl w:val="9278829A"/>
    <w:lvl w:ilvl="0" w:tplc="B9DEF44C">
      <w:start w:val="26"/>
      <w:numFmt w:val="decimal"/>
      <w:lvlText w:val="%1."/>
      <w:lvlJc w:val="left"/>
      <w:pPr>
        <w:ind w:left="644" w:hanging="36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B6B7F"/>
    <w:multiLevelType w:val="hybridMultilevel"/>
    <w:tmpl w:val="5D307E0C"/>
    <w:lvl w:ilvl="0" w:tplc="7C240452">
      <w:start w:val="6"/>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1521F97"/>
    <w:multiLevelType w:val="hybridMultilevel"/>
    <w:tmpl w:val="8FFC5620"/>
    <w:lvl w:ilvl="0" w:tplc="F576736C">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8"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0"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5F7DF2"/>
    <w:multiLevelType w:val="multilevel"/>
    <w:tmpl w:val="634A954C"/>
    <w:lvl w:ilvl="0">
      <w:start w:val="1"/>
      <w:numFmt w:val="decimal"/>
      <w:lvlText w:val="%1"/>
      <w:lvlJc w:val="left"/>
      <w:pPr>
        <w:ind w:left="432" w:hanging="432"/>
      </w:pPr>
    </w:lvl>
    <w:lvl w:ilvl="1">
      <w:start w:val="1"/>
      <w:numFmt w:val="decimal"/>
      <w:lvlText w:val="%1.%2"/>
      <w:lvlJc w:val="left"/>
      <w:pPr>
        <w:ind w:left="576" w:hanging="576"/>
      </w:pPr>
      <w:rPr>
        <w:i w:val="0"/>
        <w:sz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6"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A830097"/>
    <w:multiLevelType w:val="hybridMultilevel"/>
    <w:tmpl w:val="8E665852"/>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95AAD"/>
    <w:multiLevelType w:val="hybridMultilevel"/>
    <w:tmpl w:val="D7126278"/>
    <w:lvl w:ilvl="0" w:tplc="C530619E">
      <w:start w:val="39"/>
      <w:numFmt w:val="decimal"/>
      <w:lvlText w:val="%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20"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26"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8F0F6E"/>
    <w:multiLevelType w:val="hybridMultilevel"/>
    <w:tmpl w:val="66624A38"/>
    <w:lvl w:ilvl="0" w:tplc="396EAC60">
      <w:start w:val="37"/>
      <w:numFmt w:val="decimal"/>
      <w:lvlText w:val="%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840B7B"/>
    <w:multiLevelType w:val="multilevel"/>
    <w:tmpl w:val="9B1CF228"/>
    <w:numStyleLink w:val="Definitions"/>
  </w:abstractNum>
  <w:abstractNum w:abstractNumId="29"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30"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3"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382EB7"/>
    <w:multiLevelType w:val="hybridMultilevel"/>
    <w:tmpl w:val="52C0F700"/>
    <w:lvl w:ilvl="0" w:tplc="E188E3EA">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6"/>
  </w:num>
  <w:num w:numId="3">
    <w:abstractNumId w:val="15"/>
  </w:num>
  <w:num w:numId="4">
    <w:abstractNumId w:val="29"/>
  </w:num>
  <w:num w:numId="5">
    <w:abstractNumId w:val="25"/>
  </w:num>
  <w:num w:numId="6">
    <w:abstractNumId w:val="24"/>
  </w:num>
  <w:num w:numId="7">
    <w:abstractNumId w:val="33"/>
  </w:num>
  <w:num w:numId="8">
    <w:abstractNumId w:val="37"/>
  </w:num>
  <w:num w:numId="9">
    <w:abstractNumId w:val="21"/>
  </w:num>
  <w:num w:numId="10">
    <w:abstractNumId w:val="31"/>
  </w:num>
  <w:num w:numId="11">
    <w:abstractNumId w:val="11"/>
  </w:num>
  <w:num w:numId="12">
    <w:abstractNumId w:val="22"/>
  </w:num>
  <w:num w:numId="13">
    <w:abstractNumId w:val="20"/>
  </w:num>
  <w:num w:numId="14">
    <w:abstractNumId w:val="35"/>
  </w:num>
  <w:num w:numId="15">
    <w:abstractNumId w:val="2"/>
  </w:num>
  <w:num w:numId="16">
    <w:abstractNumId w:val="23"/>
  </w:num>
  <w:num w:numId="17">
    <w:abstractNumId w:val="0"/>
  </w:num>
  <w:num w:numId="18">
    <w:abstractNumId w:val="8"/>
  </w:num>
  <w:num w:numId="19">
    <w:abstractNumId w:val="30"/>
  </w:num>
  <w:num w:numId="20">
    <w:abstractNumId w:val="6"/>
  </w:num>
  <w:num w:numId="21">
    <w:abstractNumId w:val="14"/>
  </w:num>
  <w:num w:numId="22">
    <w:abstractNumId w:val="13"/>
  </w:num>
  <w:num w:numId="23">
    <w:abstractNumId w:val="34"/>
  </w:num>
  <w:num w:numId="24">
    <w:abstractNumId w:val="10"/>
  </w:num>
  <w:num w:numId="25">
    <w:abstractNumId w:val="36"/>
  </w:num>
  <w:num w:numId="26">
    <w:abstractNumId w:val="5"/>
  </w:num>
  <w:num w:numId="27">
    <w:abstractNumId w:val="39"/>
  </w:num>
  <w:num w:numId="28">
    <w:abstractNumId w:val="19"/>
  </w:num>
  <w:num w:numId="29">
    <w:abstractNumId w:val="32"/>
  </w:num>
  <w:num w:numId="30">
    <w:abstractNumId w:val="38"/>
  </w:num>
  <w:num w:numId="31">
    <w:abstractNumId w:val="26"/>
  </w:num>
  <w:num w:numId="32">
    <w:abstractNumId w:val="9"/>
  </w:num>
  <w:num w:numId="33">
    <w:abstractNumId w:val="28"/>
  </w:num>
  <w:num w:numId="34">
    <w:abstractNumId w:val="3"/>
  </w:num>
  <w:num w:numId="35">
    <w:abstractNumId w:val="17"/>
  </w:num>
  <w:num w:numId="36">
    <w:abstractNumId w:val="4"/>
  </w:num>
  <w:num w:numId="37">
    <w:abstractNumId w:val="1"/>
  </w:num>
  <w:num w:numId="38">
    <w:abstractNumId w:val="12"/>
  </w:num>
  <w:num w:numId="39">
    <w:abstractNumId w:val="27"/>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515F4"/>
    <w:rsid w:val="0005187A"/>
    <w:rsid w:val="0005297D"/>
    <w:rsid w:val="00075489"/>
    <w:rsid w:val="00076613"/>
    <w:rsid w:val="00091102"/>
    <w:rsid w:val="000F28F6"/>
    <w:rsid w:val="000F3750"/>
    <w:rsid w:val="00114363"/>
    <w:rsid w:val="0016083B"/>
    <w:rsid w:val="00171125"/>
    <w:rsid w:val="00175AF6"/>
    <w:rsid w:val="00182788"/>
    <w:rsid w:val="001839D4"/>
    <w:rsid w:val="001A1BF8"/>
    <w:rsid w:val="001C2600"/>
    <w:rsid w:val="001D6C07"/>
    <w:rsid w:val="001F2711"/>
    <w:rsid w:val="001F31B3"/>
    <w:rsid w:val="001F3EED"/>
    <w:rsid w:val="00272416"/>
    <w:rsid w:val="00276EF5"/>
    <w:rsid w:val="002B17E4"/>
    <w:rsid w:val="002B4107"/>
    <w:rsid w:val="003141AE"/>
    <w:rsid w:val="00324364"/>
    <w:rsid w:val="003257D9"/>
    <w:rsid w:val="003462C7"/>
    <w:rsid w:val="00352934"/>
    <w:rsid w:val="00365031"/>
    <w:rsid w:val="0038304D"/>
    <w:rsid w:val="003864EF"/>
    <w:rsid w:val="003939C2"/>
    <w:rsid w:val="003B28F9"/>
    <w:rsid w:val="003D33E4"/>
    <w:rsid w:val="0045332B"/>
    <w:rsid w:val="0046146E"/>
    <w:rsid w:val="00462784"/>
    <w:rsid w:val="00463459"/>
    <w:rsid w:val="00473952"/>
    <w:rsid w:val="004C5F27"/>
    <w:rsid w:val="004F2DAE"/>
    <w:rsid w:val="004F5847"/>
    <w:rsid w:val="00526C57"/>
    <w:rsid w:val="00530972"/>
    <w:rsid w:val="00542192"/>
    <w:rsid w:val="00571DAC"/>
    <w:rsid w:val="0058366D"/>
    <w:rsid w:val="005B715B"/>
    <w:rsid w:val="005D2D9E"/>
    <w:rsid w:val="00600DA5"/>
    <w:rsid w:val="00612C60"/>
    <w:rsid w:val="00613720"/>
    <w:rsid w:val="00664266"/>
    <w:rsid w:val="00672510"/>
    <w:rsid w:val="006819A5"/>
    <w:rsid w:val="006A2AA0"/>
    <w:rsid w:val="006A2F37"/>
    <w:rsid w:val="006C2B6A"/>
    <w:rsid w:val="006D057C"/>
    <w:rsid w:val="006D26B3"/>
    <w:rsid w:val="00711C3B"/>
    <w:rsid w:val="0072570A"/>
    <w:rsid w:val="00740EF7"/>
    <w:rsid w:val="00747486"/>
    <w:rsid w:val="00754830"/>
    <w:rsid w:val="00763A8A"/>
    <w:rsid w:val="007E4C8E"/>
    <w:rsid w:val="007E602F"/>
    <w:rsid w:val="008555CE"/>
    <w:rsid w:val="008A18A0"/>
    <w:rsid w:val="008A2449"/>
    <w:rsid w:val="008C32EF"/>
    <w:rsid w:val="008D4855"/>
    <w:rsid w:val="008E452F"/>
    <w:rsid w:val="008E5471"/>
    <w:rsid w:val="008F090A"/>
    <w:rsid w:val="00901BF1"/>
    <w:rsid w:val="009224D6"/>
    <w:rsid w:val="0096086C"/>
    <w:rsid w:val="00976DA1"/>
    <w:rsid w:val="009B1543"/>
    <w:rsid w:val="009B7C91"/>
    <w:rsid w:val="00A05800"/>
    <w:rsid w:val="00A76ECE"/>
    <w:rsid w:val="00AB1B4D"/>
    <w:rsid w:val="00AB75B4"/>
    <w:rsid w:val="00AE4571"/>
    <w:rsid w:val="00AE5E92"/>
    <w:rsid w:val="00B0023D"/>
    <w:rsid w:val="00B03B80"/>
    <w:rsid w:val="00B362C1"/>
    <w:rsid w:val="00B421AF"/>
    <w:rsid w:val="00B503F9"/>
    <w:rsid w:val="00B85D2A"/>
    <w:rsid w:val="00BC1E64"/>
    <w:rsid w:val="00BC2955"/>
    <w:rsid w:val="00BC5B25"/>
    <w:rsid w:val="00BC5C1E"/>
    <w:rsid w:val="00BD1C0F"/>
    <w:rsid w:val="00BE6703"/>
    <w:rsid w:val="00BF10F1"/>
    <w:rsid w:val="00C33096"/>
    <w:rsid w:val="00C367CF"/>
    <w:rsid w:val="00C40A10"/>
    <w:rsid w:val="00C5322D"/>
    <w:rsid w:val="00C85D8A"/>
    <w:rsid w:val="00C87CCD"/>
    <w:rsid w:val="00CA4F82"/>
    <w:rsid w:val="00CC688D"/>
    <w:rsid w:val="00CE7D49"/>
    <w:rsid w:val="00D37FDF"/>
    <w:rsid w:val="00D56170"/>
    <w:rsid w:val="00D76D88"/>
    <w:rsid w:val="00D802FF"/>
    <w:rsid w:val="00DA05A2"/>
    <w:rsid w:val="00DA7DD0"/>
    <w:rsid w:val="00DF3175"/>
    <w:rsid w:val="00E0738C"/>
    <w:rsid w:val="00E117E3"/>
    <w:rsid w:val="00E121B7"/>
    <w:rsid w:val="00E27958"/>
    <w:rsid w:val="00E50670"/>
    <w:rsid w:val="00EB090C"/>
    <w:rsid w:val="00EC3B94"/>
    <w:rsid w:val="00ED4F8B"/>
    <w:rsid w:val="00EF3C3C"/>
    <w:rsid w:val="00F03D83"/>
    <w:rsid w:val="00F1265D"/>
    <w:rsid w:val="00F14C0F"/>
    <w:rsid w:val="00F2095F"/>
    <w:rsid w:val="00F23267"/>
    <w:rsid w:val="00F259CB"/>
    <w:rsid w:val="00F50E5A"/>
    <w:rsid w:val="00F55A6C"/>
    <w:rsid w:val="00F63BFD"/>
    <w:rsid w:val="00FA0332"/>
    <w:rsid w:val="00FB2546"/>
    <w:rsid w:val="00FB5886"/>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FE65"/>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unhideWhenUsed/>
    <w:qFormat/>
    <w:rsid w:val="003257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 w:type="paragraph" w:customStyle="1" w:styleId="MRDefinitions1">
    <w:name w:val="M&amp;R Definitions 1"/>
    <w:aliases w:val="M&amp;Rdef1"/>
    <w:basedOn w:val="Normal"/>
    <w:uiPriority w:val="24"/>
    <w:qFormat/>
    <w:rsid w:val="006C2B6A"/>
    <w:pPr>
      <w:numPr>
        <w:numId w:val="33"/>
      </w:numPr>
      <w:spacing w:before="240" w:after="0" w:line="360" w:lineRule="auto"/>
      <w:jc w:val="both"/>
    </w:pPr>
    <w:rPr>
      <w:rFonts w:ascii="Arial" w:eastAsia="Calibri" w:hAnsi="Arial" w:cs="Arial"/>
      <w:lang w:eastAsia="en-GB"/>
    </w:rPr>
  </w:style>
  <w:style w:type="paragraph" w:customStyle="1" w:styleId="MRDefinitions2">
    <w:name w:val="M&amp;R Definitions 2"/>
    <w:aliases w:val="M&amp;Rdef2"/>
    <w:basedOn w:val="Normal"/>
    <w:uiPriority w:val="24"/>
    <w:qFormat/>
    <w:rsid w:val="006C2B6A"/>
    <w:pPr>
      <w:numPr>
        <w:ilvl w:val="1"/>
        <w:numId w:val="33"/>
      </w:numPr>
      <w:tabs>
        <w:tab w:val="left" w:pos="1440"/>
      </w:tabs>
      <w:spacing w:before="240" w:after="0" w:line="360" w:lineRule="auto"/>
      <w:jc w:val="both"/>
    </w:pPr>
    <w:rPr>
      <w:rFonts w:ascii="Arial" w:eastAsia="Calibri" w:hAnsi="Arial" w:cs="Times New Roman"/>
      <w:lang w:eastAsia="en-GB"/>
    </w:rPr>
  </w:style>
  <w:style w:type="paragraph" w:customStyle="1" w:styleId="MRDefinitions3">
    <w:name w:val="M&amp;R Definitions 3"/>
    <w:aliases w:val="M&amp;Rdef3"/>
    <w:basedOn w:val="Normal"/>
    <w:uiPriority w:val="24"/>
    <w:qFormat/>
    <w:rsid w:val="006C2B6A"/>
    <w:pPr>
      <w:numPr>
        <w:ilvl w:val="2"/>
        <w:numId w:val="33"/>
      </w:numPr>
      <w:tabs>
        <w:tab w:val="left" w:pos="2160"/>
      </w:tabs>
      <w:spacing w:before="240" w:after="0" w:line="360" w:lineRule="auto"/>
      <w:jc w:val="both"/>
    </w:pPr>
    <w:rPr>
      <w:rFonts w:ascii="Arial" w:eastAsia="Calibri" w:hAnsi="Arial" w:cs="Times New Roman"/>
      <w:lang w:eastAsia="en-GB"/>
    </w:rPr>
  </w:style>
  <w:style w:type="paragraph" w:customStyle="1" w:styleId="MRDefinitions4">
    <w:name w:val="M&amp;R Definitions 4"/>
    <w:aliases w:val="M&amp;Rdef4"/>
    <w:basedOn w:val="Normal"/>
    <w:uiPriority w:val="24"/>
    <w:rsid w:val="006C2B6A"/>
    <w:pPr>
      <w:numPr>
        <w:ilvl w:val="3"/>
        <w:numId w:val="33"/>
      </w:numPr>
      <w:tabs>
        <w:tab w:val="left" w:pos="2880"/>
      </w:tabs>
      <w:spacing w:before="240" w:after="0" w:line="360" w:lineRule="auto"/>
      <w:jc w:val="both"/>
    </w:pPr>
    <w:rPr>
      <w:rFonts w:ascii="Arial" w:eastAsia="Calibri" w:hAnsi="Arial" w:cs="Times New Roman"/>
      <w:lang w:eastAsia="en-GB"/>
    </w:rPr>
  </w:style>
  <w:style w:type="paragraph" w:customStyle="1" w:styleId="MRDefinitions5">
    <w:name w:val="M&amp;R Definitions 5"/>
    <w:aliases w:val="M&amp;Rdef5"/>
    <w:basedOn w:val="Normal"/>
    <w:uiPriority w:val="24"/>
    <w:rsid w:val="006C2B6A"/>
    <w:pPr>
      <w:numPr>
        <w:ilvl w:val="4"/>
        <w:numId w:val="33"/>
      </w:numPr>
      <w:tabs>
        <w:tab w:val="left" w:pos="3600"/>
      </w:tabs>
      <w:spacing w:before="240" w:after="0" w:line="360" w:lineRule="auto"/>
      <w:jc w:val="both"/>
    </w:pPr>
    <w:rPr>
      <w:rFonts w:ascii="Arial" w:eastAsia="Calibri" w:hAnsi="Arial" w:cs="Times New Roman"/>
      <w:lang w:eastAsia="en-GB"/>
    </w:rPr>
  </w:style>
  <w:style w:type="numbering" w:customStyle="1" w:styleId="Definitions">
    <w:name w:val="Definitions"/>
    <w:rsid w:val="006C2B6A"/>
    <w:pPr>
      <w:numPr>
        <w:numId w:val="32"/>
      </w:numPr>
    </w:pPr>
  </w:style>
  <w:style w:type="table" w:customStyle="1" w:styleId="TableGrid1">
    <w:name w:val="Table Grid1"/>
    <w:basedOn w:val="TableNormal"/>
    <w:next w:val="TableGrid"/>
    <w:uiPriority w:val="59"/>
    <w:rsid w:val="006D26B3"/>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257D9"/>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13" Type="http://schemas.openxmlformats.org/officeDocument/2006/relationships/hyperlink" Target="https://www.ncsc.gov.uk/guidance/security-design-principles-digital-services-main" TargetMode="External"/><Relationship Id="rId18" Type="http://schemas.openxmlformats.org/officeDocument/2006/relationships/hyperlink" Target="mailto:contracts@mcga.gov.uk" TargetMode="External"/><Relationship Id="rId3" Type="http://schemas.openxmlformats.org/officeDocument/2006/relationships/styles" Target="styles.xml"/><Relationship Id="rId7" Type="http://schemas.openxmlformats.org/officeDocument/2006/relationships/hyperlink" Target="mailto:contracts@mcga.gov.uk" TargetMode="Externa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ncsc.gov.uk/guidance/implementing-cloud-security-principles" TargetMode="External"/><Relationship Id="rId2" Type="http://schemas.openxmlformats.org/officeDocument/2006/relationships/numbering" Target="numbering.xml"/><Relationship Id="rId16" Type="http://schemas.openxmlformats.org/officeDocument/2006/relationships/hyperlink" Target="https://www.ncsc.gov.uk/guidance/systems-administration-architectur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government/publications/government-supplier-assurance-framework" TargetMode="External"/><Relationship Id="rId5" Type="http://schemas.openxmlformats.org/officeDocument/2006/relationships/webSettings" Target="webSettings.xml"/><Relationship Id="rId15" Type="http://schemas.openxmlformats.org/officeDocument/2006/relationships/hyperlink" Target="https://www.owasp.org/index.php/Category:OWASP_Application_Security_Verification_Standard_Project" TargetMode="External"/><Relationship Id="rId10" Type="http://schemas.openxmlformats.org/officeDocument/2006/relationships/hyperlink" Target="mailto:supplier@crowncommercial.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racts@mcga.gov.uk" TargetMode="External"/><Relationship Id="rId14" Type="http://schemas.openxmlformats.org/officeDocument/2006/relationships/hyperlink" Target="https://www.ncsc.gov.uk/guidance/serving-web-content-architectural-patter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1635-6180-4E55-81F8-C79D4A1F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3529</Words>
  <Characters>20116</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2</cp:revision>
  <cp:lastPrinted>2019-03-29T11:25:00Z</cp:lastPrinted>
  <dcterms:created xsi:type="dcterms:W3CDTF">2019-04-12T09:20:00Z</dcterms:created>
  <dcterms:modified xsi:type="dcterms:W3CDTF">2019-04-12T09:20:00Z</dcterms:modified>
</cp:coreProperties>
</file>