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35AD3" w14:textId="4BD8A541" w:rsidR="00A4219A" w:rsidRDefault="00C80DE2">
      <w:r>
        <w:rPr>
          <w:noProof/>
        </w:rPr>
        <w:drawing>
          <wp:anchor distT="0" distB="0" distL="114300" distR="114300" simplePos="0" relativeHeight="251658240" behindDoc="0" locked="0" layoutInCell="1" allowOverlap="1" wp14:anchorId="51487EF0" wp14:editId="1C8B6B2F">
            <wp:simplePos x="0" y="0"/>
            <wp:positionH relativeFrom="margin">
              <wp:align>right</wp:align>
            </wp:positionH>
            <wp:positionV relativeFrom="paragraph">
              <wp:posOffset>-285750</wp:posOffset>
            </wp:positionV>
            <wp:extent cx="1219200" cy="914400"/>
            <wp:effectExtent l="0" t="0" r="0" b="0"/>
            <wp:wrapNone/>
            <wp:docPr id="2"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19200" cy="914400"/>
                    </a:xfrm>
                    <a:prstGeom prst="rect">
                      <a:avLst/>
                    </a:prstGeom>
                  </pic:spPr>
                </pic:pic>
              </a:graphicData>
            </a:graphic>
          </wp:anchor>
        </w:drawing>
      </w:r>
    </w:p>
    <w:p w14:paraId="1CC14C04" w14:textId="77777777" w:rsidR="00C80DE2" w:rsidRPr="00C80DE2" w:rsidRDefault="00C80DE2" w:rsidP="00C80DE2"/>
    <w:p w14:paraId="66BD5228" w14:textId="77777777" w:rsidR="00C80DE2" w:rsidRPr="00C80DE2" w:rsidRDefault="00C80DE2" w:rsidP="00C80DE2"/>
    <w:p w14:paraId="5B86446F" w14:textId="77777777" w:rsidR="00C80DE2" w:rsidRPr="00C80DE2" w:rsidRDefault="00C80DE2" w:rsidP="00C80DE2"/>
    <w:p w14:paraId="0D15B557" w14:textId="77777777" w:rsidR="00C80DE2" w:rsidRPr="00C80DE2" w:rsidRDefault="00C80DE2" w:rsidP="00C80DE2"/>
    <w:p w14:paraId="1CF89F3E" w14:textId="77777777" w:rsidR="00C80DE2" w:rsidRPr="00C80DE2" w:rsidRDefault="00C80DE2" w:rsidP="00C80DE2"/>
    <w:p w14:paraId="26C866F8" w14:textId="77777777" w:rsidR="00C80DE2" w:rsidRPr="00C80DE2" w:rsidRDefault="00C80DE2" w:rsidP="00C80DE2"/>
    <w:p w14:paraId="69822ED9" w14:textId="77777777" w:rsidR="00C80DE2" w:rsidRDefault="00C80DE2" w:rsidP="00C80DE2"/>
    <w:p w14:paraId="51834114" w14:textId="77777777" w:rsidR="00C80DE2" w:rsidRDefault="00C80DE2" w:rsidP="00C80DE2">
      <w:pPr>
        <w:spacing w:after="60"/>
        <w:jc w:val="center"/>
        <w:rPr>
          <w:b/>
          <w:sz w:val="32"/>
          <w:szCs w:val="32"/>
        </w:rPr>
      </w:pPr>
      <w:r>
        <w:tab/>
      </w:r>
    </w:p>
    <w:p w14:paraId="3364810C"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Market Engagement</w:t>
      </w:r>
    </w:p>
    <w:p w14:paraId="31B7689A" w14:textId="77777777" w:rsidR="00C80DE2" w:rsidRPr="00C80DE2" w:rsidRDefault="00C80DE2" w:rsidP="00C80DE2">
      <w:pPr>
        <w:spacing w:after="60"/>
        <w:jc w:val="center"/>
        <w:rPr>
          <w:rFonts w:ascii="Arial" w:hAnsi="Arial" w:cs="Arial"/>
          <w:b/>
          <w:sz w:val="32"/>
          <w:szCs w:val="32"/>
        </w:rPr>
      </w:pPr>
    </w:p>
    <w:p w14:paraId="64349B1C"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For</w:t>
      </w:r>
    </w:p>
    <w:p w14:paraId="512F5FBB" w14:textId="77777777" w:rsidR="00C80DE2" w:rsidRPr="00C80DE2" w:rsidRDefault="00C80DE2" w:rsidP="00C80DE2">
      <w:pPr>
        <w:spacing w:after="60"/>
        <w:jc w:val="center"/>
        <w:rPr>
          <w:rFonts w:ascii="Arial" w:hAnsi="Arial" w:cs="Arial"/>
          <w:b/>
          <w:sz w:val="32"/>
          <w:szCs w:val="32"/>
        </w:rPr>
      </w:pPr>
    </w:p>
    <w:p w14:paraId="21786B9E"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Department for Work and Pensions</w:t>
      </w:r>
    </w:p>
    <w:p w14:paraId="23C54858" w14:textId="77777777" w:rsidR="00C80DE2" w:rsidRPr="00C80DE2" w:rsidRDefault="00C80DE2" w:rsidP="00C80DE2">
      <w:pPr>
        <w:spacing w:after="60"/>
        <w:jc w:val="center"/>
        <w:rPr>
          <w:rFonts w:ascii="Arial" w:hAnsi="Arial" w:cs="Arial"/>
          <w:b/>
          <w:sz w:val="32"/>
          <w:szCs w:val="32"/>
        </w:rPr>
      </w:pPr>
      <w:r w:rsidRPr="00C80DE2">
        <w:rPr>
          <w:rFonts w:ascii="Arial" w:hAnsi="Arial" w:cs="Arial"/>
          <w:b/>
          <w:sz w:val="32"/>
          <w:szCs w:val="32"/>
        </w:rPr>
        <w:t xml:space="preserve">Property Legal Services 3 (PLS3) </w:t>
      </w:r>
    </w:p>
    <w:p w14:paraId="6275176E" w14:textId="77777777" w:rsidR="00C80DE2" w:rsidRPr="00C80DE2" w:rsidRDefault="00C80DE2" w:rsidP="00C80DE2">
      <w:pPr>
        <w:spacing w:after="60"/>
        <w:jc w:val="center"/>
        <w:rPr>
          <w:rFonts w:ascii="Arial" w:hAnsi="Arial" w:cs="Arial"/>
          <w:b/>
          <w:sz w:val="32"/>
          <w:szCs w:val="32"/>
        </w:rPr>
      </w:pPr>
    </w:p>
    <w:p w14:paraId="4110D165" w14:textId="77777777" w:rsidR="00C80DE2" w:rsidRPr="00C80DE2" w:rsidRDefault="00C80DE2" w:rsidP="00C80DE2">
      <w:pPr>
        <w:spacing w:after="60"/>
        <w:jc w:val="center"/>
        <w:rPr>
          <w:rFonts w:ascii="Arial" w:hAnsi="Arial" w:cs="Arial"/>
          <w:b/>
          <w:sz w:val="32"/>
          <w:szCs w:val="32"/>
        </w:rPr>
      </w:pPr>
    </w:p>
    <w:p w14:paraId="3D3DE1E3" w14:textId="77777777" w:rsidR="00C80DE2" w:rsidRPr="00C80DE2" w:rsidRDefault="00C80DE2" w:rsidP="00C80DE2">
      <w:pPr>
        <w:spacing w:after="60"/>
        <w:jc w:val="center"/>
        <w:rPr>
          <w:rFonts w:ascii="Arial" w:hAnsi="Arial" w:cs="Arial"/>
          <w:b/>
          <w:sz w:val="32"/>
          <w:szCs w:val="32"/>
        </w:rPr>
        <w:sectPr w:rsidR="00C80DE2" w:rsidRPr="00C80DE2" w:rsidSect="00C80DE2">
          <w:headerReference w:type="even" r:id="rId6"/>
          <w:footerReference w:type="even" r:id="rId7"/>
          <w:footerReference w:type="default" r:id="rId8"/>
          <w:headerReference w:type="first" r:id="rId9"/>
          <w:footerReference w:type="first" r:id="rId10"/>
          <w:pgSz w:w="11909" w:h="16834"/>
          <w:pgMar w:top="1440" w:right="1276" w:bottom="1440" w:left="1440" w:header="425" w:footer="431" w:gutter="0"/>
          <w:pgNumType w:start="1"/>
          <w:cols w:space="720"/>
          <w:docGrid w:linePitch="299"/>
        </w:sectPr>
      </w:pPr>
      <w:r w:rsidRPr="00C80DE2">
        <w:rPr>
          <w:rFonts w:ascii="Arial" w:hAnsi="Arial" w:cs="Arial"/>
          <w:b/>
          <w:sz w:val="32"/>
          <w:szCs w:val="32"/>
        </w:rPr>
        <w:t>Project_27240</w:t>
      </w:r>
    </w:p>
    <w:p w14:paraId="1DB4AF01" w14:textId="695D5D95" w:rsidR="00C80DE2" w:rsidRPr="00C80DE2" w:rsidRDefault="00C80DE2" w:rsidP="00C80DE2">
      <w:pPr>
        <w:pStyle w:val="Heading1"/>
      </w:pPr>
      <w:r w:rsidRPr="00C80DE2">
        <w:lastRenderedPageBreak/>
        <w:t>INTRODUCTION</w:t>
      </w:r>
    </w:p>
    <w:p w14:paraId="37AA69FE" w14:textId="2F4D86C5" w:rsidR="00C80DE2" w:rsidRPr="00C80DE2" w:rsidRDefault="00C80DE2" w:rsidP="00C80DE2">
      <w:pPr>
        <w:pStyle w:val="Subtitle"/>
      </w:pPr>
      <w:r w:rsidRPr="00C80DE2">
        <w:t>The Department for Work and Pensions (the “Department”) awarded a contract for Properly Legal Services in 2022, and this contract is due to expire in 2025.</w:t>
      </w:r>
    </w:p>
    <w:p w14:paraId="1FB10AB2" w14:textId="1BCC12F3" w:rsidR="00C80DE2" w:rsidRPr="00C80DE2" w:rsidRDefault="00C80DE2" w:rsidP="00C80DE2">
      <w:pPr>
        <w:pStyle w:val="Subtitle"/>
      </w:pPr>
      <w:r w:rsidRPr="00C80DE2">
        <w:t>It is anticipated that a new contract is likely to be procured in due course, therefore the Department will be initiating market engagement activity and are keen to invite organisations with the capability and capacity to deliver Property Legal Services to express their interest in this potential upcoming opportunity.</w:t>
      </w:r>
    </w:p>
    <w:p w14:paraId="65F404D6" w14:textId="7EFFB529" w:rsidR="00C80DE2" w:rsidRPr="00C80DE2" w:rsidRDefault="00C80DE2" w:rsidP="00C80DE2">
      <w:pPr>
        <w:pStyle w:val="Subtitle"/>
      </w:pPr>
      <w:r w:rsidRPr="00C80DE2">
        <w:t>Disclaimer: Please note this notice is for market engagement purposes only. It does not signify the commencement of any procurement process and does not constitute any commitment by the Department. A separate notice(s) will be published at the relevant time should the Department decide to commence any procurement(s).</w:t>
      </w:r>
    </w:p>
    <w:p w14:paraId="5D6A6C18" w14:textId="32D5F1A3" w:rsidR="00C80DE2" w:rsidRPr="00C80DE2" w:rsidRDefault="00C80DE2" w:rsidP="00C80DE2">
      <w:pPr>
        <w:pStyle w:val="Subtitle"/>
      </w:pPr>
      <w:r w:rsidRPr="00C80DE2">
        <w:t>Should the Department commence a procurement, the new contract will be procured as a light touch contract under the Procurement Act 2023.</w:t>
      </w:r>
    </w:p>
    <w:p w14:paraId="56C1B334" w14:textId="54A3CAE9" w:rsidR="00C80DE2" w:rsidRPr="00C80DE2" w:rsidRDefault="00C80DE2" w:rsidP="00C80DE2">
      <w:pPr>
        <w:pStyle w:val="Heading1"/>
      </w:pPr>
      <w:r w:rsidRPr="00C80DE2">
        <w:t>EXPRESSION OF INTEREST (EOI)</w:t>
      </w:r>
    </w:p>
    <w:p w14:paraId="166848DE"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6004AD9A" w14:textId="21175017" w:rsidR="00C80DE2" w:rsidRPr="00C80DE2" w:rsidRDefault="00C80DE2" w:rsidP="00C80DE2">
      <w:pPr>
        <w:pStyle w:val="Subtitle"/>
      </w:pPr>
      <w:r w:rsidRPr="00C80DE2">
        <w:t>Please register your interest via an email to Luke.rowlands@DWP.gov.uk by 5.00pm on the 15th of February.</w:t>
      </w:r>
    </w:p>
    <w:p w14:paraId="2E84D360" w14:textId="2CE7EB35" w:rsidR="00C80DE2" w:rsidRPr="00C80DE2" w:rsidRDefault="00C80DE2" w:rsidP="00C80DE2">
      <w:pPr>
        <w:pStyle w:val="Subtitle"/>
      </w:pPr>
      <w:r w:rsidRPr="00C80DE2">
        <w:t xml:space="preserve">If you are not interested in this opportunity, please provide reason(s) as this is valuable feedback for the Department. </w:t>
      </w:r>
    </w:p>
    <w:p w14:paraId="38ADC8F7" w14:textId="58371723" w:rsidR="00C80DE2" w:rsidRPr="00C80DE2" w:rsidRDefault="00C80DE2" w:rsidP="00C80DE2">
      <w:pPr>
        <w:pStyle w:val="Subtitle"/>
      </w:pPr>
      <w:r w:rsidRPr="00C80DE2">
        <w:t>The Department will provide further details for planned market engagement activities in due course.</w:t>
      </w:r>
    </w:p>
    <w:p w14:paraId="7E038351" w14:textId="547F6D1C" w:rsidR="00C80DE2" w:rsidRPr="00C80DE2" w:rsidRDefault="00C80DE2" w:rsidP="00C80DE2">
      <w:pPr>
        <w:pStyle w:val="Heading1"/>
      </w:pPr>
      <w:r w:rsidRPr="00C80DE2">
        <w:t xml:space="preserve">BACKGROUND TO THE CONTRACT REQUIREMENT </w:t>
      </w:r>
    </w:p>
    <w:p w14:paraId="3176F2A5"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67D1C797" w14:textId="3472C186" w:rsidR="00C80DE2" w:rsidRPr="00C80DE2" w:rsidRDefault="00C80DE2" w:rsidP="00C80DE2">
      <w:pPr>
        <w:pStyle w:val="Subtitle"/>
      </w:pPr>
      <w:r w:rsidRPr="00C80DE2">
        <w:t>The Department for Work and Pensions (DWP) are seeking to procure a contract for Property Legal Services.</w:t>
      </w:r>
    </w:p>
    <w:p w14:paraId="75E2CDC9" w14:textId="37808AC5" w:rsidR="00C80DE2" w:rsidRPr="00C80DE2" w:rsidRDefault="00C80DE2" w:rsidP="00C80DE2">
      <w:pPr>
        <w:pStyle w:val="Subtitle"/>
      </w:pPr>
      <w:r w:rsidRPr="00C80DE2">
        <w:t xml:space="preserve">DWP is the UK’s biggest public service department, administers the State Pension and a range of working age, disability, and ill health benefits to around 20 million claimants and customers. </w:t>
      </w:r>
    </w:p>
    <w:p w14:paraId="18FD815F" w14:textId="59587BEF" w:rsidR="00C80DE2" w:rsidRPr="00C80DE2" w:rsidRDefault="00C80DE2" w:rsidP="00C80DE2">
      <w:pPr>
        <w:pStyle w:val="Subtitle"/>
      </w:pPr>
      <w:r w:rsidRPr="00C80DE2">
        <w:t xml:space="preserve">The DWP employs circa 93,000 staff (August 2024) and occupying more than one million square metres of leasehold space. It has buildings in England, Wales and Scotland, including the Orkney and Shetland Islands. The age, quality, size and type of buildings in the estate varies, due to the need to be close to the communities served and the availability of leasehold property.  </w:t>
      </w:r>
    </w:p>
    <w:p w14:paraId="5058DBF9" w14:textId="32976DE5" w:rsidR="00C80DE2" w:rsidRPr="00C80DE2" w:rsidRDefault="00C80DE2" w:rsidP="00C80DE2">
      <w:pPr>
        <w:pStyle w:val="Subtitle"/>
      </w:pPr>
      <w:r w:rsidRPr="00C80DE2">
        <w:t xml:space="preserve">DWP Estates function is responsible for approximately 810 properties consisting of 609 Jobcentres, 120 assessment centres, 71 service &amp; </w:t>
      </w:r>
      <w:r w:rsidRPr="00C80DE2">
        <w:lastRenderedPageBreak/>
        <w:t>support centres and 10 hubs. Some sites host multiple operational functions.</w:t>
      </w:r>
    </w:p>
    <w:p w14:paraId="7BFBBDB7" w14:textId="765FBD82" w:rsidR="00C80DE2" w:rsidRPr="00C80DE2" w:rsidRDefault="00C80DE2" w:rsidP="00C80DE2">
      <w:pPr>
        <w:pStyle w:val="Subtitle"/>
      </w:pPr>
      <w:r w:rsidRPr="00C80DE2">
        <w:t>The Estate makes a significant contribution to the delivery of our public services, enabling us to interface with customers and provide the environment for front and back of house staff to undertake their important roles, supporting those in need within our society.</w:t>
      </w:r>
    </w:p>
    <w:p w14:paraId="03AA02A8" w14:textId="51F623D4" w:rsidR="00C80DE2" w:rsidRPr="00C80DE2" w:rsidRDefault="00C80DE2" w:rsidP="00C80DE2">
      <w:pPr>
        <w:pStyle w:val="Subtitle"/>
      </w:pPr>
      <w:r w:rsidRPr="00C80DE2">
        <w:t xml:space="preserve">DWP is committed to supporting the delivery of the Government Estate Strategy (https://www.gov.uk/government/publications/government-property-strategy-2022-2030) </w:t>
      </w:r>
    </w:p>
    <w:p w14:paraId="2C348D2C" w14:textId="6AC962BD" w:rsidR="00C80DE2" w:rsidRPr="00C80DE2" w:rsidRDefault="00C80DE2" w:rsidP="00C80DE2">
      <w:pPr>
        <w:pStyle w:val="Subtitle"/>
      </w:pPr>
      <w:r w:rsidRPr="00C80DE2">
        <w:t>This strategy will ensure that the government estate helps to transform places and services; is smaller, better and greener; and is managed in a professional and increasingly commercial way.</w:t>
      </w:r>
    </w:p>
    <w:p w14:paraId="771895EA" w14:textId="3EFFCA2B" w:rsidR="00C80DE2" w:rsidRPr="00C80DE2" w:rsidRDefault="00C80DE2" w:rsidP="00C80DE2">
      <w:pPr>
        <w:pStyle w:val="Subtitle"/>
      </w:pPr>
      <w:r w:rsidRPr="00C80DE2">
        <w:t>DWP’s current Property Legal Services 2 contract was let from Lot 1 of Crown Commercial Services General Legal Services Framework RM6179 on 1st August 2022 and is due to expire on 31st August 2025.</w:t>
      </w:r>
    </w:p>
    <w:p w14:paraId="053C3669" w14:textId="75FBA37E" w:rsidR="00C80DE2" w:rsidRPr="00C80DE2" w:rsidRDefault="00C80DE2" w:rsidP="00C80DE2">
      <w:pPr>
        <w:pStyle w:val="Heading1"/>
      </w:pPr>
      <w:r w:rsidRPr="00C80DE2">
        <w:t xml:space="preserve">CONTRACT REQURIEMENT </w:t>
      </w:r>
    </w:p>
    <w:p w14:paraId="70CD1292" w14:textId="77777777" w:rsidR="00C80DE2" w:rsidRPr="00C80DE2" w:rsidRDefault="00C80DE2" w:rsidP="00C80DE2">
      <w:pPr>
        <w:pStyle w:val="ListParagraph"/>
        <w:numPr>
          <w:ilvl w:val="0"/>
          <w:numId w:val="2"/>
        </w:numPr>
        <w:tabs>
          <w:tab w:val="left" w:pos="3435"/>
        </w:tabs>
        <w:spacing w:before="240"/>
        <w:contextualSpacing w:val="0"/>
        <w:rPr>
          <w:rFonts w:ascii="Arial" w:hAnsi="Arial" w:cs="Arial"/>
          <w:vanish/>
          <w:sz w:val="24"/>
          <w:szCs w:val="24"/>
        </w:rPr>
      </w:pPr>
    </w:p>
    <w:p w14:paraId="06DDE106" w14:textId="73B7E4AF" w:rsidR="00C80DE2" w:rsidRPr="00C80DE2" w:rsidRDefault="00C80DE2" w:rsidP="00C80DE2">
      <w:pPr>
        <w:pStyle w:val="Subtitle"/>
      </w:pPr>
      <w:r w:rsidRPr="00C80DE2">
        <w:t xml:space="preserve">DWP intends to award a new contract to provide property legal services which will commence in on or around 1st September 2025. The contract will be for an initial 3-year term, with 2 x up to 12-month optional extension periods, however, please note that this is subject to change to change. month optional extension periods, however, please note that this is subject to change. </w:t>
      </w:r>
    </w:p>
    <w:p w14:paraId="090E5C0E" w14:textId="35F4D924" w:rsidR="00C80DE2" w:rsidRPr="00C80DE2" w:rsidRDefault="00C80DE2" w:rsidP="00C80DE2">
      <w:pPr>
        <w:pStyle w:val="Subtitle"/>
      </w:pPr>
      <w:r w:rsidRPr="00C80DE2">
        <w:t>Legal services consumed by the Buyer as and when required, including, but not limited to:</w:t>
      </w:r>
    </w:p>
    <w:p w14:paraId="06EE3365" w14:textId="7F3BAF2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Property Management Advice</w:t>
      </w:r>
    </w:p>
    <w:p w14:paraId="7B3666E8" w14:textId="117CE3C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Acquisition &amp; Disposal </w:t>
      </w:r>
    </w:p>
    <w:p w14:paraId="7116BB7A" w14:textId="4FCD492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Lease &amp; Licence renewals – where Customer is the Tenant or Landlord. Extends to documenting TAW's, S25/26 processing etc. </w:t>
      </w:r>
    </w:p>
    <w:p w14:paraId="1023386D" w14:textId="1A3A75FE"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Landlords Consent</w:t>
      </w:r>
    </w:p>
    <w:p w14:paraId="32385FE0" w14:textId="395F5B33"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Deed of Variation</w:t>
      </w:r>
    </w:p>
    <w:p w14:paraId="37C2E9A5" w14:textId="623C2B8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Break Options &amp; Surrenders (NB, the Buyer has undergone two large-scale exit programmes during the course of the current contract and those instructions have not been included in this table)</w:t>
      </w:r>
    </w:p>
    <w:p w14:paraId="4B8A2D8A" w14:textId="073047B9"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Development, Town Planning, CPO, Party Walls, Boundary Advice</w:t>
      </w:r>
    </w:p>
    <w:p w14:paraId="0F01F5BB" w14:textId="51D583DB"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Dilapidations</w:t>
      </w:r>
    </w:p>
    <w:p w14:paraId="593CBE4E" w14:textId="1BD191DD"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 xml:space="preserve">Miscellaneous Licencing- Scaffolding, carparks, soil samples, cranes </w:t>
      </w:r>
    </w:p>
    <w:p w14:paraId="0A5D9918" w14:textId="74312126"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lastRenderedPageBreak/>
        <w:t>Wayleaves</w:t>
      </w:r>
    </w:p>
    <w:p w14:paraId="43C6F0A1" w14:textId="48B8CA2E"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Construction Advice</w:t>
      </w:r>
    </w:p>
    <w:p w14:paraId="420A3232" w14:textId="27AA3B7C"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Rent reviews – where Customer is the Tenant or Landlord</w:t>
      </w:r>
    </w:p>
    <w:p w14:paraId="1C347C9C" w14:textId="422EC6E7" w:rsidR="00C80DE2" w:rsidRPr="00C80DE2" w:rsidRDefault="00C80DE2" w:rsidP="00C80DE2">
      <w:pPr>
        <w:pStyle w:val="Subtitle"/>
      </w:pPr>
      <w:r w:rsidRPr="00C80DE2">
        <w:t>Primary Services are services necessary to the day-today running of the contract including but not limited to:</w:t>
      </w:r>
    </w:p>
    <w:p w14:paraId="249D3B59" w14:textId="388ADC36"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Contract Management</w:t>
      </w:r>
    </w:p>
    <w:p w14:paraId="3EFA9488" w14:textId="04AE94B0"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Supplier Personnel</w:t>
      </w:r>
    </w:p>
    <w:p w14:paraId="2E20FF06" w14:textId="39441A37" w:rsidR="00C80DE2" w:rsidRPr="00C80DE2" w:rsidRDefault="00C80DE2" w:rsidP="00C80DE2">
      <w:pPr>
        <w:pStyle w:val="ListParagraph"/>
        <w:numPr>
          <w:ilvl w:val="0"/>
          <w:numId w:val="3"/>
        </w:numPr>
        <w:tabs>
          <w:tab w:val="left" w:pos="3435"/>
        </w:tabs>
        <w:ind w:left="1701" w:hanging="567"/>
        <w:contextualSpacing w:val="0"/>
        <w:rPr>
          <w:rStyle w:val="Emphasis"/>
        </w:rPr>
      </w:pPr>
      <w:r w:rsidRPr="00C80DE2">
        <w:rPr>
          <w:rStyle w:val="Emphasis"/>
        </w:rPr>
        <w:t>Performance Management</w:t>
      </w:r>
    </w:p>
    <w:p w14:paraId="42E445F2" w14:textId="357088FD" w:rsidR="00C80DE2" w:rsidRPr="00C80DE2" w:rsidRDefault="00C80DE2" w:rsidP="00C80DE2">
      <w:pPr>
        <w:pStyle w:val="ListParagraph"/>
        <w:numPr>
          <w:ilvl w:val="0"/>
          <w:numId w:val="3"/>
        </w:numPr>
        <w:tabs>
          <w:tab w:val="left" w:pos="3435"/>
        </w:tabs>
        <w:spacing w:before="240"/>
        <w:ind w:left="1701" w:hanging="567"/>
        <w:contextualSpacing w:val="0"/>
        <w:rPr>
          <w:rStyle w:val="Emphasis"/>
        </w:rPr>
      </w:pPr>
      <w:r w:rsidRPr="00C80DE2">
        <w:rPr>
          <w:rStyle w:val="Emphasis"/>
        </w:rPr>
        <w:t xml:space="preserve"> </w:t>
      </w:r>
      <w:r w:rsidRPr="00C80DE2">
        <w:rPr>
          <w:rStyle w:val="Emphasis"/>
        </w:rPr>
        <w:t>(Provision of) Legal Portal and Data Assurance</w:t>
      </w:r>
    </w:p>
    <w:p w14:paraId="4A5C3AAB" w14:textId="1C5E3E39" w:rsidR="00C80DE2" w:rsidRPr="00C80DE2" w:rsidRDefault="00C80DE2" w:rsidP="00C80DE2">
      <w:pPr>
        <w:pStyle w:val="Heading1"/>
      </w:pPr>
      <w:r w:rsidRPr="00C80DE2">
        <w:t>INDICATIVE EVALUATION CRITERIA</w:t>
      </w:r>
    </w:p>
    <w:p w14:paraId="422F0784" w14:textId="77777777" w:rsidR="00FF02EE" w:rsidRPr="00FF02EE" w:rsidRDefault="00FF02EE" w:rsidP="00FF02EE">
      <w:pPr>
        <w:pStyle w:val="ListParagraph"/>
        <w:numPr>
          <w:ilvl w:val="0"/>
          <w:numId w:val="2"/>
        </w:numPr>
        <w:tabs>
          <w:tab w:val="left" w:pos="3435"/>
        </w:tabs>
        <w:spacing w:before="240"/>
        <w:contextualSpacing w:val="0"/>
        <w:rPr>
          <w:rFonts w:ascii="Arial" w:hAnsi="Arial" w:cs="Arial"/>
          <w:vanish/>
          <w:sz w:val="24"/>
          <w:szCs w:val="24"/>
        </w:rPr>
      </w:pPr>
    </w:p>
    <w:p w14:paraId="4F437F39" w14:textId="622F0DBD" w:rsidR="00C80DE2" w:rsidRPr="00C80DE2" w:rsidRDefault="00C80DE2" w:rsidP="00FF02EE">
      <w:pPr>
        <w:pStyle w:val="Subtitle"/>
      </w:pPr>
      <w:r w:rsidRPr="00C80DE2">
        <w:t xml:space="preserve">The tenders will be evaluated on a combination of quality, which will include social value (min 10%), and price, the evaluation methodology will be confirmed at the invitation to tender (ITT) stage. </w:t>
      </w:r>
    </w:p>
    <w:p w14:paraId="6B748406" w14:textId="2C0DEBD9" w:rsidR="00C80DE2" w:rsidRPr="00C80DE2" w:rsidRDefault="00C80DE2" w:rsidP="00C80DE2">
      <w:pPr>
        <w:pStyle w:val="Heading1"/>
      </w:pPr>
      <w:r w:rsidRPr="00C80DE2">
        <w:t>RIGHT TO CANCEL OR VARY THIS EXPRESSION OF INTEREST</w:t>
      </w:r>
    </w:p>
    <w:p w14:paraId="6A86CFFD" w14:textId="77777777" w:rsidR="00FF02EE" w:rsidRPr="00FF02EE" w:rsidRDefault="00FF02EE" w:rsidP="00FF02EE">
      <w:pPr>
        <w:pStyle w:val="ListParagraph"/>
        <w:numPr>
          <w:ilvl w:val="0"/>
          <w:numId w:val="2"/>
        </w:numPr>
        <w:tabs>
          <w:tab w:val="left" w:pos="3435"/>
        </w:tabs>
        <w:spacing w:before="240"/>
        <w:contextualSpacing w:val="0"/>
        <w:rPr>
          <w:rFonts w:ascii="Arial" w:hAnsi="Arial" w:cs="Arial"/>
          <w:vanish/>
          <w:sz w:val="24"/>
          <w:szCs w:val="24"/>
        </w:rPr>
      </w:pPr>
    </w:p>
    <w:p w14:paraId="6FF9BD9B" w14:textId="7B4A4004" w:rsidR="00C80DE2" w:rsidRPr="00C80DE2" w:rsidRDefault="00C80DE2" w:rsidP="00FF02EE">
      <w:pPr>
        <w:pStyle w:val="Subtitle"/>
      </w:pPr>
      <w:r w:rsidRPr="00C80DE2">
        <w:t>The Department reserves the right to amend, clarify or withdraw all or any part of the EOI at any time.</w:t>
      </w:r>
    </w:p>
    <w:p w14:paraId="5AEBE502" w14:textId="697DDB98" w:rsidR="00C80DE2" w:rsidRPr="00C80DE2" w:rsidRDefault="00C80DE2" w:rsidP="00FF02EE">
      <w:pPr>
        <w:pStyle w:val="Subtitle"/>
      </w:pPr>
      <w:r w:rsidRPr="00C80DE2">
        <w:t>Any costs incurred by a supplier, its employees or any other person in connection with this EOI will not be reimbursed by the Authority and neither the Authority nor any of its officers, ministers, employees, agents or advisors will be liable in any way for any costs, expenses or losses incurred in connection with this Procurement, including (but not limited to) where the Procurement is cancelled or the Authority otherwise decides not to award a contract.</w:t>
      </w:r>
    </w:p>
    <w:p w14:paraId="26BD67C1" w14:textId="77777777" w:rsidR="00C80DE2" w:rsidRPr="00C80DE2" w:rsidRDefault="00C80DE2" w:rsidP="00C80DE2">
      <w:pPr>
        <w:tabs>
          <w:tab w:val="left" w:pos="3435"/>
        </w:tabs>
        <w:rPr>
          <w:rFonts w:ascii="Arial" w:hAnsi="Arial" w:cs="Arial"/>
          <w:sz w:val="24"/>
          <w:szCs w:val="24"/>
        </w:rPr>
      </w:pPr>
    </w:p>
    <w:p w14:paraId="4B420B6A" w14:textId="2FBC0F51" w:rsidR="00C80DE2" w:rsidRPr="00FF02EE" w:rsidRDefault="00C80DE2" w:rsidP="00FF02EE">
      <w:pPr>
        <w:pStyle w:val="Heading1"/>
      </w:pPr>
      <w:r w:rsidRPr="00FF02EE">
        <w:t xml:space="preserve">CUSTOMER CONTACT </w:t>
      </w:r>
    </w:p>
    <w:tbl>
      <w:tblPr>
        <w:tblW w:w="8463"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985"/>
        <w:gridCol w:w="6478"/>
      </w:tblGrid>
      <w:tr w:rsidR="00FF02EE" w:rsidRPr="00FF02EE" w14:paraId="7A5681D7" w14:textId="77777777" w:rsidTr="00FF02EE">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BC65A2F"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Name</w:t>
            </w:r>
          </w:p>
        </w:tc>
        <w:tc>
          <w:tcPr>
            <w:tcW w:w="6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E963E"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Luke Rowlands</w:t>
            </w:r>
          </w:p>
        </w:tc>
      </w:tr>
      <w:tr w:rsidR="00FF02EE" w:rsidRPr="00FF02EE" w14:paraId="7FFE176A" w14:textId="77777777" w:rsidTr="00FF02EE">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63C01395"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Email Address</w:t>
            </w:r>
          </w:p>
        </w:tc>
        <w:tc>
          <w:tcPr>
            <w:tcW w:w="6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2C58" w14:textId="77777777" w:rsidR="00FF02EE" w:rsidRPr="00FF02EE" w:rsidRDefault="00FF02EE" w:rsidP="00FF02EE">
            <w:pPr>
              <w:keepNext/>
              <w:pBdr>
                <w:top w:val="nil"/>
                <w:left w:val="nil"/>
                <w:bottom w:val="nil"/>
                <w:right w:val="nil"/>
                <w:between w:val="nil"/>
              </w:pBdr>
              <w:spacing w:after="60" w:line="240" w:lineRule="auto"/>
              <w:ind w:left="720" w:hanging="720"/>
              <w:rPr>
                <w:rFonts w:ascii="Arial" w:eastAsia="Arial" w:hAnsi="Arial" w:cs="Arial"/>
                <w:b/>
                <w:color w:val="000000"/>
                <w:kern w:val="0"/>
                <w:sz w:val="24"/>
                <w:szCs w:val="24"/>
                <w:lang w:eastAsia="en-GB"/>
                <w14:ligatures w14:val="none"/>
              </w:rPr>
            </w:pPr>
            <w:r w:rsidRPr="00FF02EE">
              <w:rPr>
                <w:rFonts w:ascii="Arial" w:eastAsia="Arial" w:hAnsi="Arial" w:cs="Arial"/>
                <w:color w:val="000000"/>
                <w:kern w:val="0"/>
                <w:sz w:val="24"/>
                <w:szCs w:val="24"/>
                <w:lang w:eastAsia="en-GB"/>
                <w14:ligatures w14:val="none"/>
              </w:rPr>
              <w:t>Luke.rowlands@dwp.gov.uk</w:t>
            </w:r>
          </w:p>
        </w:tc>
      </w:tr>
    </w:tbl>
    <w:p w14:paraId="7E5CBE26" w14:textId="6C788F54" w:rsidR="00C80DE2" w:rsidRPr="00C80DE2" w:rsidRDefault="00C80DE2" w:rsidP="00C80DE2">
      <w:pPr>
        <w:tabs>
          <w:tab w:val="left" w:pos="3435"/>
        </w:tabs>
        <w:rPr>
          <w:rFonts w:ascii="Arial" w:hAnsi="Arial" w:cs="Arial"/>
          <w:sz w:val="24"/>
          <w:szCs w:val="24"/>
        </w:rPr>
      </w:pPr>
    </w:p>
    <w:sectPr w:rsidR="00C80DE2" w:rsidRPr="00C80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DF18" w14:textId="77777777" w:rsidR="00FF02EE" w:rsidRDefault="00FF02EE" w:rsidP="00A81FE1">
    <w:pPr>
      <w:pStyle w:val="Footer"/>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A6A5" w14:textId="77777777" w:rsidR="00FF02EE" w:rsidRPr="00345975" w:rsidRDefault="00FF02EE" w:rsidP="00D83699">
    <w:pPr>
      <w:pStyle w:val="Footer"/>
      <w:rPr>
        <w:color w:val="808080" w:themeColor="background1" w:themeShade="80"/>
        <w:sz w:val="20"/>
        <w:szCs w:val="20"/>
      </w:rPr>
    </w:pPr>
    <w:r w:rsidRPr="00345975">
      <w:rPr>
        <w:color w:val="808080" w:themeColor="background1" w:themeShade="80"/>
        <w:sz w:val="20"/>
        <w:szCs w:val="20"/>
      </w:rPr>
      <w:t>Department for Work and Pensions</w:t>
    </w:r>
  </w:p>
  <w:p w14:paraId="0D1CD14D" w14:textId="77777777" w:rsidR="00FF02EE" w:rsidRPr="00345975" w:rsidRDefault="00FF02EE" w:rsidP="00D83699">
    <w:pPr>
      <w:pStyle w:val="Footer"/>
      <w:rPr>
        <w:color w:val="808080" w:themeColor="background1" w:themeShade="80"/>
        <w:sz w:val="20"/>
        <w:szCs w:val="20"/>
      </w:rPr>
    </w:pPr>
    <w:r w:rsidRPr="00345975">
      <w:rPr>
        <w:color w:val="808080" w:themeColor="background1" w:themeShade="80"/>
        <w:sz w:val="20"/>
        <w:szCs w:val="20"/>
      </w:rPr>
      <w:t xml:space="preserve">Property </w:t>
    </w:r>
    <w:r>
      <w:rPr>
        <w:color w:val="808080" w:themeColor="background1" w:themeShade="80"/>
        <w:sz w:val="20"/>
        <w:szCs w:val="20"/>
      </w:rPr>
      <w:t>Legal Services 3</w:t>
    </w:r>
  </w:p>
  <w:p w14:paraId="259623C8" w14:textId="77777777" w:rsidR="00FF02EE" w:rsidRPr="00345975" w:rsidRDefault="00FF02EE" w:rsidP="00643987">
    <w:pPr>
      <w:pStyle w:val="Footer"/>
      <w:tabs>
        <w:tab w:val="clear" w:pos="4513"/>
        <w:tab w:val="center" w:pos="8505"/>
      </w:tabs>
      <w:rPr>
        <w:color w:val="808080" w:themeColor="background1" w:themeShade="80"/>
        <w:sz w:val="16"/>
        <w:szCs w:val="16"/>
      </w:rPr>
    </w:pPr>
    <w:r w:rsidRPr="00345975">
      <w:rPr>
        <w:color w:val="808080" w:themeColor="background1" w:themeShade="80"/>
        <w:sz w:val="20"/>
        <w:szCs w:val="20"/>
      </w:rPr>
      <w:tab/>
    </w:r>
    <w:r w:rsidRPr="00345975">
      <w:rPr>
        <w:color w:val="808080" w:themeColor="background1" w:themeShade="80"/>
        <w:sz w:val="20"/>
        <w:szCs w:val="20"/>
      </w:rPr>
      <w:fldChar w:fldCharType="begin"/>
    </w:r>
    <w:r w:rsidRPr="00345975">
      <w:rPr>
        <w:color w:val="808080" w:themeColor="background1" w:themeShade="80"/>
        <w:sz w:val="20"/>
        <w:szCs w:val="20"/>
      </w:rPr>
      <w:instrText xml:space="preserve"> PAGE   \* MERGEFORMAT </w:instrText>
    </w:r>
    <w:r w:rsidRPr="00345975">
      <w:rPr>
        <w:color w:val="808080" w:themeColor="background1" w:themeShade="80"/>
        <w:sz w:val="20"/>
        <w:szCs w:val="20"/>
      </w:rPr>
      <w:fldChar w:fldCharType="separate"/>
    </w:r>
    <w:r w:rsidRPr="00345975">
      <w:rPr>
        <w:noProof/>
        <w:color w:val="808080" w:themeColor="background1" w:themeShade="80"/>
        <w:sz w:val="20"/>
        <w:szCs w:val="20"/>
      </w:rPr>
      <w:t>1</w:t>
    </w:r>
    <w:r w:rsidRPr="00345975">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5BBF" w14:textId="77777777" w:rsidR="00FF02EE" w:rsidRPr="002901AA" w:rsidRDefault="00FF02EE">
    <w:pPr>
      <w:pStyle w:val="Footer"/>
      <w:rPr>
        <w:sz w:val="20"/>
        <w:szCs w:val="20"/>
      </w:rPr>
    </w:pPr>
    <w:r w:rsidRPr="002901AA">
      <w:rPr>
        <w:sz w:val="20"/>
        <w:szCs w:val="20"/>
      </w:rPr>
      <w:t>Department for Work and Pensions</w:t>
    </w:r>
  </w:p>
  <w:p w14:paraId="522A72CC" w14:textId="77777777" w:rsidR="00FF02EE" w:rsidRPr="002901AA" w:rsidRDefault="00FF02EE">
    <w:pPr>
      <w:pStyle w:val="Footer"/>
      <w:rPr>
        <w:sz w:val="20"/>
        <w:szCs w:val="20"/>
      </w:rPr>
    </w:pPr>
    <w:r w:rsidRPr="002901AA">
      <w:rPr>
        <w:sz w:val="20"/>
        <w:szCs w:val="20"/>
      </w:rPr>
      <w:t>Property</w:t>
    </w:r>
    <w:r w:rsidRPr="002901AA">
      <w:rPr>
        <w:sz w:val="20"/>
        <w:szCs w:val="20"/>
      </w:rPr>
      <w:t xml:space="preserve"> Lease Regears EOI</w:t>
    </w:r>
  </w:p>
  <w:p w14:paraId="4182CFBB" w14:textId="77777777" w:rsidR="00FF02EE" w:rsidRPr="002901AA" w:rsidRDefault="00FF02EE" w:rsidP="002901AA">
    <w:pPr>
      <w:pStyle w:val="Footer"/>
      <w:tabs>
        <w:tab w:val="clear" w:pos="4513"/>
      </w:tabs>
      <w:rPr>
        <w:sz w:val="20"/>
        <w:szCs w:val="20"/>
      </w:rPr>
    </w:pPr>
    <w:r w:rsidRPr="002901AA">
      <w:rPr>
        <w:sz w:val="20"/>
        <w:szCs w:val="20"/>
      </w:rPr>
      <w:t>Project_</w:t>
    </w:r>
    <w:r w:rsidRPr="002901AA">
      <w:rPr>
        <w:sz w:val="20"/>
        <w:szCs w:val="20"/>
      </w:rPr>
      <w:t>26403</w:t>
    </w:r>
    <w:r>
      <w:rPr>
        <w:sz w:val="20"/>
        <w:szCs w:val="20"/>
      </w:rPr>
      <w:tab/>
    </w:r>
    <w:r w:rsidRPr="00967D44">
      <w:rPr>
        <w:sz w:val="20"/>
        <w:szCs w:val="20"/>
      </w:rPr>
      <w:fldChar w:fldCharType="begin"/>
    </w:r>
    <w:r w:rsidRPr="00967D44">
      <w:rPr>
        <w:sz w:val="20"/>
        <w:szCs w:val="20"/>
      </w:rPr>
      <w:instrText xml:space="preserve"> PAGE   \* MERGEFORMAT </w:instrText>
    </w:r>
    <w:r w:rsidRPr="00967D44">
      <w:rPr>
        <w:sz w:val="20"/>
        <w:szCs w:val="20"/>
      </w:rPr>
      <w:fldChar w:fldCharType="separate"/>
    </w:r>
    <w:r w:rsidRPr="00967D44">
      <w:rPr>
        <w:noProof/>
        <w:sz w:val="20"/>
        <w:szCs w:val="20"/>
      </w:rPr>
      <w:t>1</w:t>
    </w:r>
    <w:r w:rsidRPr="00967D44">
      <w:rPr>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1FCF" w14:textId="77777777" w:rsidR="00FF02EE" w:rsidRDefault="00FF02EE" w:rsidP="00A81FE1">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4F7E6" w14:textId="77777777" w:rsidR="00FF02EE" w:rsidRDefault="00FF02EE">
    <w:pPr>
      <w:tabs>
        <w:tab w:val="center" w:pos="4153"/>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02760"/>
    <w:multiLevelType w:val="multilevel"/>
    <w:tmpl w:val="DBDAD7F6"/>
    <w:lvl w:ilvl="0">
      <w:start w:val="1"/>
      <w:numFmt w:val="decimal"/>
      <w:lvlText w:val="%1."/>
      <w:lvlJc w:val="left"/>
      <w:pPr>
        <w:ind w:left="927" w:hanging="360"/>
      </w:pPr>
    </w:lvl>
    <w:lvl w:ilvl="1">
      <w:start w:val="1"/>
      <w:numFmt w:val="decimal"/>
      <w:pStyle w:val="Subtitle"/>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3D7E50E8"/>
    <w:multiLevelType w:val="hybridMultilevel"/>
    <w:tmpl w:val="ABBCD278"/>
    <w:lvl w:ilvl="0" w:tplc="DFA8F2F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0C47E1"/>
    <w:multiLevelType w:val="hybridMultilevel"/>
    <w:tmpl w:val="A3AC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325162">
    <w:abstractNumId w:val="1"/>
  </w:num>
  <w:num w:numId="2" w16cid:durableId="1450858902">
    <w:abstractNumId w:val="0"/>
  </w:num>
  <w:num w:numId="3" w16cid:durableId="35392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E2"/>
    <w:rsid w:val="0004698C"/>
    <w:rsid w:val="00062851"/>
    <w:rsid w:val="00384C8C"/>
    <w:rsid w:val="003E765E"/>
    <w:rsid w:val="009D6EFB"/>
    <w:rsid w:val="00A4219A"/>
    <w:rsid w:val="00C80DE2"/>
    <w:rsid w:val="00FF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AB1C"/>
  <w15:chartTrackingRefBased/>
  <w15:docId w15:val="{C65F5849-8FC8-45C2-B908-5FB4A63B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80DE2"/>
    <w:pPr>
      <w:numPr>
        <w:numId w:val="1"/>
      </w:numPr>
      <w:tabs>
        <w:tab w:val="left" w:pos="3435"/>
      </w:tabs>
      <w:ind w:left="567" w:hanging="567"/>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C80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D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D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D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E2"/>
    <w:rPr>
      <w:rFonts w:ascii="Arial" w:hAnsi="Arial" w:cs="Arial"/>
      <w:b/>
      <w:bCs/>
      <w:sz w:val="24"/>
      <w:szCs w:val="24"/>
    </w:rPr>
  </w:style>
  <w:style w:type="character" w:customStyle="1" w:styleId="Heading2Char">
    <w:name w:val="Heading 2 Char"/>
    <w:basedOn w:val="DefaultParagraphFont"/>
    <w:link w:val="Heading2"/>
    <w:uiPriority w:val="9"/>
    <w:semiHidden/>
    <w:rsid w:val="00C80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E2"/>
    <w:rPr>
      <w:rFonts w:eastAsiaTheme="majorEastAsia" w:cstheme="majorBidi"/>
      <w:color w:val="272727" w:themeColor="text1" w:themeTint="D8"/>
    </w:rPr>
  </w:style>
  <w:style w:type="paragraph" w:styleId="Title">
    <w:name w:val="Title"/>
    <w:basedOn w:val="Normal"/>
    <w:next w:val="Normal"/>
    <w:link w:val="TitleChar"/>
    <w:uiPriority w:val="10"/>
    <w:qFormat/>
    <w:rsid w:val="00C8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E2"/>
    <w:rPr>
      <w:rFonts w:asciiTheme="majorHAnsi" w:eastAsiaTheme="majorEastAsia" w:hAnsiTheme="majorHAnsi" w:cstheme="majorBidi"/>
      <w:spacing w:val="-10"/>
      <w:kern w:val="28"/>
      <w:sz w:val="56"/>
      <w:szCs w:val="56"/>
    </w:rPr>
  </w:style>
  <w:style w:type="paragraph" w:styleId="Subtitle">
    <w:name w:val="Subtitle"/>
    <w:basedOn w:val="ListParagraph"/>
    <w:next w:val="Normal"/>
    <w:link w:val="SubtitleChar"/>
    <w:uiPriority w:val="11"/>
    <w:qFormat/>
    <w:rsid w:val="00C80DE2"/>
    <w:pPr>
      <w:numPr>
        <w:ilvl w:val="1"/>
        <w:numId w:val="2"/>
      </w:numPr>
      <w:tabs>
        <w:tab w:val="left" w:pos="3435"/>
      </w:tabs>
      <w:spacing w:before="240"/>
      <w:ind w:left="1134" w:hanging="567"/>
      <w:contextualSpacing w:val="0"/>
    </w:pPr>
    <w:rPr>
      <w:rFonts w:ascii="Arial" w:hAnsi="Arial" w:cs="Arial"/>
      <w:sz w:val="24"/>
      <w:szCs w:val="24"/>
    </w:rPr>
  </w:style>
  <w:style w:type="character" w:customStyle="1" w:styleId="SubtitleChar">
    <w:name w:val="Subtitle Char"/>
    <w:basedOn w:val="DefaultParagraphFont"/>
    <w:link w:val="Subtitle"/>
    <w:uiPriority w:val="11"/>
    <w:rsid w:val="00C80DE2"/>
    <w:rPr>
      <w:rFonts w:ascii="Arial" w:hAnsi="Arial" w:cs="Arial"/>
      <w:sz w:val="24"/>
      <w:szCs w:val="24"/>
    </w:rPr>
  </w:style>
  <w:style w:type="paragraph" w:styleId="Quote">
    <w:name w:val="Quote"/>
    <w:basedOn w:val="Normal"/>
    <w:next w:val="Normal"/>
    <w:link w:val="QuoteChar"/>
    <w:uiPriority w:val="29"/>
    <w:qFormat/>
    <w:rsid w:val="00C80DE2"/>
    <w:pPr>
      <w:spacing w:before="160"/>
      <w:jc w:val="center"/>
    </w:pPr>
    <w:rPr>
      <w:i/>
      <w:iCs/>
      <w:color w:val="404040" w:themeColor="text1" w:themeTint="BF"/>
    </w:rPr>
  </w:style>
  <w:style w:type="character" w:customStyle="1" w:styleId="QuoteChar">
    <w:name w:val="Quote Char"/>
    <w:basedOn w:val="DefaultParagraphFont"/>
    <w:link w:val="Quote"/>
    <w:uiPriority w:val="29"/>
    <w:rsid w:val="00C80DE2"/>
    <w:rPr>
      <w:i/>
      <w:iCs/>
      <w:color w:val="404040" w:themeColor="text1" w:themeTint="BF"/>
    </w:rPr>
  </w:style>
  <w:style w:type="paragraph" w:styleId="ListParagraph">
    <w:name w:val="List Paragraph"/>
    <w:basedOn w:val="Normal"/>
    <w:uiPriority w:val="34"/>
    <w:qFormat/>
    <w:rsid w:val="00C80DE2"/>
    <w:pPr>
      <w:ind w:left="720"/>
      <w:contextualSpacing/>
    </w:pPr>
  </w:style>
  <w:style w:type="character" w:styleId="IntenseEmphasis">
    <w:name w:val="Intense Emphasis"/>
    <w:basedOn w:val="DefaultParagraphFont"/>
    <w:uiPriority w:val="21"/>
    <w:qFormat/>
    <w:rsid w:val="00C80DE2"/>
    <w:rPr>
      <w:i/>
      <w:iCs/>
      <w:color w:val="2F5496" w:themeColor="accent1" w:themeShade="BF"/>
    </w:rPr>
  </w:style>
  <w:style w:type="paragraph" w:styleId="IntenseQuote">
    <w:name w:val="Intense Quote"/>
    <w:basedOn w:val="Normal"/>
    <w:next w:val="Normal"/>
    <w:link w:val="IntenseQuoteChar"/>
    <w:uiPriority w:val="30"/>
    <w:qFormat/>
    <w:rsid w:val="00C80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DE2"/>
    <w:rPr>
      <w:i/>
      <w:iCs/>
      <w:color w:val="2F5496" w:themeColor="accent1" w:themeShade="BF"/>
    </w:rPr>
  </w:style>
  <w:style w:type="character" w:styleId="IntenseReference">
    <w:name w:val="Intense Reference"/>
    <w:basedOn w:val="DefaultParagraphFont"/>
    <w:uiPriority w:val="32"/>
    <w:qFormat/>
    <w:rsid w:val="00C80DE2"/>
    <w:rPr>
      <w:b/>
      <w:bCs/>
      <w:smallCaps/>
      <w:color w:val="2F5496" w:themeColor="accent1" w:themeShade="BF"/>
      <w:spacing w:val="5"/>
    </w:rPr>
  </w:style>
  <w:style w:type="paragraph" w:styleId="Header">
    <w:name w:val="header"/>
    <w:basedOn w:val="Normal"/>
    <w:link w:val="HeaderChar"/>
    <w:uiPriority w:val="99"/>
    <w:unhideWhenUsed/>
    <w:rsid w:val="00C80DE2"/>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eastAsia="en-GB"/>
      <w14:ligatures w14:val="none"/>
    </w:rPr>
  </w:style>
  <w:style w:type="character" w:customStyle="1" w:styleId="HeaderChar">
    <w:name w:val="Header Char"/>
    <w:basedOn w:val="DefaultParagraphFont"/>
    <w:link w:val="Header"/>
    <w:uiPriority w:val="99"/>
    <w:rsid w:val="00C80DE2"/>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C80DE2"/>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eastAsia="en-GB"/>
      <w14:ligatures w14:val="none"/>
    </w:rPr>
  </w:style>
  <w:style w:type="character" w:customStyle="1" w:styleId="FooterChar">
    <w:name w:val="Footer Char"/>
    <w:basedOn w:val="DefaultParagraphFont"/>
    <w:link w:val="Footer"/>
    <w:uiPriority w:val="99"/>
    <w:rsid w:val="00C80DE2"/>
    <w:rPr>
      <w:rFonts w:ascii="Arial" w:eastAsia="Arial" w:hAnsi="Arial" w:cs="Arial"/>
      <w:color w:val="000000"/>
      <w:kern w:val="0"/>
      <w:lang w:eastAsia="en-GB"/>
      <w14:ligatures w14:val="none"/>
    </w:rPr>
  </w:style>
  <w:style w:type="character" w:styleId="Emphasis">
    <w:name w:val="Emphasis"/>
    <w:uiPriority w:val="20"/>
    <w:qFormat/>
    <w:rsid w:val="00C80DE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Luke DWP Commercial Directorate</dc:creator>
  <cp:keywords/>
  <dc:description/>
  <cp:lastModifiedBy>Rowlands Luke DWP Commercial Directorate</cp:lastModifiedBy>
  <cp:revision>1</cp:revision>
  <dcterms:created xsi:type="dcterms:W3CDTF">2025-01-30T16:21:00Z</dcterms:created>
  <dcterms:modified xsi:type="dcterms:W3CDTF">2025-01-30T16:44:00Z</dcterms:modified>
</cp:coreProperties>
</file>