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816" w:rsidRPr="00B62FDE" w:rsidRDefault="0085239A" w:rsidP="00702C1F">
      <w:pPr>
        <w:ind w:right="-469"/>
        <w:rPr>
          <w:rFonts w:eastAsia="Arial Unicode MS"/>
          <w:b/>
          <w:szCs w:val="22"/>
        </w:rPr>
      </w:pPr>
      <w:bookmarkStart w:id="0" w:name="_GoBack"/>
      <w:bookmarkEnd w:id="0"/>
      <w:r w:rsidRPr="0085239A">
        <w:rPr>
          <w:rFonts w:eastAsia="Arial Unicode MS"/>
          <w:b/>
          <w:noProof/>
          <w:szCs w:val="22"/>
          <w:lang w:eastAsia="en-GB"/>
        </w:rPr>
        <w:drawing>
          <wp:anchor distT="0" distB="0" distL="114300" distR="114300" simplePos="0" relativeHeight="251659264" behindDoc="1" locked="0" layoutInCell="1" allowOverlap="1">
            <wp:simplePos x="0" y="0"/>
            <wp:positionH relativeFrom="column">
              <wp:posOffset>-21590</wp:posOffset>
            </wp:positionH>
            <wp:positionV relativeFrom="paragraph">
              <wp:posOffset>-92710</wp:posOffset>
            </wp:positionV>
            <wp:extent cx="1695450" cy="1371600"/>
            <wp:effectExtent l="0" t="0" r="0" b="0"/>
            <wp:wrapNone/>
            <wp:docPr id="9"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8" cstate="print"/>
                    <a:srcRect/>
                    <a:stretch>
                      <a:fillRect/>
                    </a:stretch>
                  </pic:blipFill>
                  <pic:spPr bwMode="auto">
                    <a:xfrm>
                      <a:off x="0" y="0"/>
                      <a:ext cx="1695450" cy="1371600"/>
                    </a:xfrm>
                    <a:prstGeom prst="rect">
                      <a:avLst/>
                    </a:prstGeom>
                    <a:noFill/>
                  </pic:spPr>
                </pic:pic>
              </a:graphicData>
            </a:graphic>
          </wp:anchor>
        </w:drawing>
      </w:r>
    </w:p>
    <w:p w:rsidR="004D6816" w:rsidRPr="00ED7989" w:rsidRDefault="004D6816" w:rsidP="00702C1F">
      <w:pPr>
        <w:pStyle w:val="EndnoteText"/>
        <w:rPr>
          <w:sz w:val="22"/>
          <w:szCs w:val="22"/>
          <w:lang w:val="en-US"/>
        </w:rPr>
      </w:pPr>
    </w:p>
    <w:p w:rsidR="004D6816" w:rsidRPr="00AA59F4" w:rsidRDefault="004D6816" w:rsidP="00702C1F">
      <w:pPr>
        <w:spacing w:line="-280" w:lineRule="auto"/>
        <w:jc w:val="right"/>
        <w:rPr>
          <w:rFonts w:cs="Arial"/>
        </w:rPr>
      </w:pPr>
    </w:p>
    <w:p w:rsidR="004D6816" w:rsidRDefault="004D6816" w:rsidP="00702C1F">
      <w:pPr>
        <w:spacing w:line="-280" w:lineRule="auto"/>
        <w:jc w:val="center"/>
        <w:rPr>
          <w:b/>
          <w:sz w:val="32"/>
          <w:szCs w:val="32"/>
          <w:lang w:val="en-US"/>
        </w:rPr>
      </w:pPr>
    </w:p>
    <w:p w:rsidR="004D6816" w:rsidRDefault="004D6816" w:rsidP="00702C1F">
      <w:pPr>
        <w:spacing w:line="-280" w:lineRule="auto"/>
        <w:jc w:val="center"/>
        <w:rPr>
          <w:b/>
          <w:sz w:val="32"/>
          <w:szCs w:val="32"/>
          <w:lang w:val="en-US"/>
        </w:rPr>
      </w:pPr>
    </w:p>
    <w:p w:rsidR="004D6816" w:rsidRDefault="004D6816" w:rsidP="00702C1F">
      <w:pPr>
        <w:spacing w:line="-280" w:lineRule="auto"/>
        <w:jc w:val="center"/>
        <w:rPr>
          <w:b/>
          <w:sz w:val="32"/>
          <w:szCs w:val="32"/>
          <w:lang w:val="en-US"/>
        </w:rPr>
      </w:pPr>
    </w:p>
    <w:p w:rsidR="004D6816" w:rsidRDefault="004D6816" w:rsidP="00702C1F">
      <w:pPr>
        <w:spacing w:line="-280" w:lineRule="auto"/>
        <w:jc w:val="center"/>
        <w:rPr>
          <w:b/>
          <w:sz w:val="32"/>
          <w:szCs w:val="32"/>
          <w:lang w:val="en-US"/>
        </w:rPr>
      </w:pPr>
    </w:p>
    <w:p w:rsidR="004D6816" w:rsidRDefault="004D6816" w:rsidP="00702C1F">
      <w:pPr>
        <w:spacing w:line="-280" w:lineRule="auto"/>
        <w:jc w:val="center"/>
        <w:rPr>
          <w:b/>
          <w:sz w:val="32"/>
          <w:szCs w:val="32"/>
          <w:lang w:val="en-US"/>
        </w:rPr>
      </w:pPr>
    </w:p>
    <w:p w:rsidR="004D6816" w:rsidRDefault="004D6816" w:rsidP="00702C1F">
      <w:pPr>
        <w:spacing w:line="-280" w:lineRule="auto"/>
        <w:jc w:val="center"/>
        <w:rPr>
          <w:b/>
          <w:sz w:val="32"/>
          <w:szCs w:val="32"/>
          <w:lang w:val="en-US"/>
        </w:rPr>
      </w:pPr>
    </w:p>
    <w:p w:rsidR="004D6816" w:rsidRDefault="004D6816" w:rsidP="00702C1F">
      <w:pPr>
        <w:spacing w:line="-280" w:lineRule="auto"/>
        <w:jc w:val="center"/>
        <w:rPr>
          <w:b/>
          <w:sz w:val="32"/>
          <w:szCs w:val="32"/>
          <w:lang w:val="en-US"/>
        </w:rPr>
      </w:pPr>
    </w:p>
    <w:p w:rsidR="004D6816" w:rsidRDefault="004D6816" w:rsidP="00702C1F">
      <w:pPr>
        <w:spacing w:line="-280" w:lineRule="auto"/>
        <w:jc w:val="center"/>
        <w:rPr>
          <w:b/>
          <w:sz w:val="32"/>
          <w:szCs w:val="32"/>
          <w:lang w:val="en-US"/>
        </w:rPr>
      </w:pPr>
    </w:p>
    <w:p w:rsidR="004D6816" w:rsidRDefault="004D6816" w:rsidP="00702C1F">
      <w:pPr>
        <w:spacing w:line="-280" w:lineRule="auto"/>
        <w:jc w:val="center"/>
        <w:rPr>
          <w:b/>
          <w:sz w:val="32"/>
          <w:szCs w:val="32"/>
          <w:lang w:val="en-US"/>
        </w:rPr>
      </w:pPr>
    </w:p>
    <w:p w:rsidR="004D6816" w:rsidRDefault="004D6816" w:rsidP="00702C1F">
      <w:pPr>
        <w:spacing w:line="-280" w:lineRule="auto"/>
        <w:jc w:val="center"/>
        <w:rPr>
          <w:b/>
          <w:sz w:val="32"/>
          <w:szCs w:val="32"/>
          <w:lang w:val="en-US"/>
        </w:rPr>
      </w:pPr>
    </w:p>
    <w:p w:rsidR="004D6816" w:rsidRDefault="004D6816" w:rsidP="005B3C3B">
      <w:pPr>
        <w:tabs>
          <w:tab w:val="left" w:pos="8595"/>
        </w:tabs>
        <w:spacing w:line="-280" w:lineRule="auto"/>
        <w:rPr>
          <w:b/>
          <w:sz w:val="32"/>
          <w:szCs w:val="32"/>
          <w:lang w:val="en-US"/>
        </w:rPr>
      </w:pPr>
      <w:r>
        <w:rPr>
          <w:b/>
          <w:sz w:val="32"/>
          <w:szCs w:val="32"/>
          <w:lang w:val="en-US"/>
        </w:rPr>
        <w:tab/>
      </w:r>
    </w:p>
    <w:p w:rsidR="004D6816" w:rsidRDefault="004D6816" w:rsidP="00702C1F">
      <w:pPr>
        <w:spacing w:line="-280" w:lineRule="auto"/>
        <w:jc w:val="center"/>
        <w:rPr>
          <w:b/>
          <w:sz w:val="32"/>
          <w:szCs w:val="32"/>
          <w:lang w:val="en-US"/>
        </w:rPr>
      </w:pPr>
    </w:p>
    <w:p w:rsidR="004D6816" w:rsidRDefault="004D6816" w:rsidP="00702C1F">
      <w:pPr>
        <w:spacing w:line="-280" w:lineRule="auto"/>
        <w:jc w:val="center"/>
        <w:rPr>
          <w:b/>
          <w:sz w:val="32"/>
          <w:szCs w:val="32"/>
          <w:lang w:val="en-US"/>
        </w:rPr>
      </w:pPr>
    </w:p>
    <w:p w:rsidR="004D6816" w:rsidRDefault="004D6816" w:rsidP="00702C1F">
      <w:pPr>
        <w:spacing w:line="-280" w:lineRule="auto"/>
        <w:jc w:val="center"/>
        <w:rPr>
          <w:b/>
          <w:sz w:val="32"/>
          <w:szCs w:val="32"/>
          <w:lang w:val="en-US"/>
        </w:rPr>
      </w:pPr>
    </w:p>
    <w:p w:rsidR="004D6816" w:rsidRPr="00ED7989" w:rsidRDefault="004D6816" w:rsidP="00702C1F">
      <w:pPr>
        <w:spacing w:line="-280" w:lineRule="auto"/>
        <w:jc w:val="center"/>
        <w:rPr>
          <w:sz w:val="32"/>
          <w:szCs w:val="32"/>
          <w:lang w:val="en-US"/>
        </w:rPr>
      </w:pPr>
    </w:p>
    <w:p w:rsidR="004D6816" w:rsidRPr="00ED7989" w:rsidRDefault="004D6816" w:rsidP="00702C1F">
      <w:pPr>
        <w:spacing w:line="-280" w:lineRule="auto"/>
        <w:jc w:val="center"/>
        <w:rPr>
          <w:sz w:val="32"/>
          <w:szCs w:val="32"/>
          <w:lang w:val="en-US"/>
        </w:rPr>
      </w:pPr>
    </w:p>
    <w:p w:rsidR="004D6816" w:rsidRPr="00ED7989" w:rsidRDefault="004D6816" w:rsidP="00702C1F">
      <w:pPr>
        <w:pStyle w:val="Header"/>
        <w:tabs>
          <w:tab w:val="clear" w:pos="4153"/>
          <w:tab w:val="clear" w:pos="8306"/>
        </w:tabs>
        <w:spacing w:line="-280" w:lineRule="auto"/>
        <w:jc w:val="center"/>
        <w:rPr>
          <w:sz w:val="32"/>
          <w:szCs w:val="32"/>
          <w:lang w:val="en-US"/>
        </w:rPr>
      </w:pPr>
    </w:p>
    <w:p w:rsidR="004D6816" w:rsidRDefault="004D6816" w:rsidP="00702C1F">
      <w:pPr>
        <w:spacing w:line="-280" w:lineRule="auto"/>
        <w:jc w:val="center"/>
        <w:rPr>
          <w:b/>
          <w:caps/>
          <w:sz w:val="32"/>
          <w:szCs w:val="32"/>
          <w:lang w:val="en-US"/>
        </w:rPr>
      </w:pPr>
      <w:r>
        <w:rPr>
          <w:b/>
          <w:caps/>
          <w:sz w:val="32"/>
          <w:szCs w:val="32"/>
          <w:lang w:val="en-US"/>
        </w:rPr>
        <w:t>INVITATION TO TENDER</w:t>
      </w:r>
    </w:p>
    <w:p w:rsidR="004D6816" w:rsidRDefault="004D6816" w:rsidP="00702C1F">
      <w:pPr>
        <w:spacing w:line="-280" w:lineRule="auto"/>
        <w:jc w:val="center"/>
        <w:rPr>
          <w:b/>
          <w:caps/>
          <w:sz w:val="32"/>
          <w:szCs w:val="32"/>
          <w:lang w:val="en-US"/>
        </w:rPr>
      </w:pPr>
    </w:p>
    <w:p w:rsidR="004D6816" w:rsidRPr="00ED7989" w:rsidRDefault="004D6816" w:rsidP="00702C1F">
      <w:pPr>
        <w:spacing w:line="-280" w:lineRule="auto"/>
        <w:jc w:val="center"/>
        <w:rPr>
          <w:b/>
          <w:caps/>
          <w:sz w:val="32"/>
          <w:szCs w:val="32"/>
          <w:lang w:val="en-US"/>
        </w:rPr>
      </w:pPr>
    </w:p>
    <w:p w:rsidR="004D6816" w:rsidRDefault="004D6816" w:rsidP="00702C1F">
      <w:pPr>
        <w:spacing w:line="-280" w:lineRule="auto"/>
        <w:jc w:val="center"/>
        <w:rPr>
          <w:b/>
          <w:caps/>
          <w:sz w:val="32"/>
          <w:szCs w:val="32"/>
          <w:lang w:val="en-US"/>
        </w:rPr>
      </w:pPr>
      <w:r>
        <w:rPr>
          <w:b/>
          <w:caps/>
          <w:sz w:val="32"/>
          <w:szCs w:val="32"/>
          <w:lang w:val="en-US"/>
        </w:rPr>
        <w:t>for</w:t>
      </w:r>
    </w:p>
    <w:p w:rsidR="004D6816" w:rsidRDefault="004D6816" w:rsidP="00702C1F">
      <w:pPr>
        <w:spacing w:line="-280" w:lineRule="auto"/>
        <w:jc w:val="center"/>
        <w:rPr>
          <w:b/>
          <w:caps/>
          <w:sz w:val="32"/>
          <w:szCs w:val="32"/>
          <w:lang w:val="en-US"/>
        </w:rPr>
      </w:pPr>
    </w:p>
    <w:p w:rsidR="004D6816" w:rsidRDefault="004D6816" w:rsidP="00702C1F">
      <w:pPr>
        <w:spacing w:line="-280" w:lineRule="auto"/>
        <w:jc w:val="center"/>
        <w:rPr>
          <w:b/>
          <w:caps/>
          <w:sz w:val="32"/>
          <w:szCs w:val="32"/>
          <w:lang w:val="en-US"/>
        </w:rPr>
      </w:pPr>
      <w:r>
        <w:rPr>
          <w:b/>
          <w:caps/>
          <w:sz w:val="32"/>
          <w:szCs w:val="32"/>
          <w:lang w:val="en-US"/>
        </w:rPr>
        <w:t xml:space="preserve"> </w:t>
      </w:r>
    </w:p>
    <w:p w:rsidR="004D6816" w:rsidRDefault="002F0FDB" w:rsidP="00702C1F">
      <w:pPr>
        <w:spacing w:line="-280" w:lineRule="auto"/>
        <w:jc w:val="center"/>
        <w:rPr>
          <w:b/>
          <w:caps/>
          <w:sz w:val="32"/>
          <w:szCs w:val="32"/>
          <w:lang w:val="en-US"/>
        </w:rPr>
      </w:pPr>
      <w:r w:rsidRPr="00E66060">
        <w:rPr>
          <w:b/>
          <w:caps/>
          <w:sz w:val="32"/>
          <w:szCs w:val="32"/>
          <w:lang w:val="en-US"/>
        </w:rPr>
        <w:t>RM</w:t>
      </w:r>
      <w:r w:rsidR="00E66060" w:rsidRPr="00E66060">
        <w:rPr>
          <w:b/>
          <w:caps/>
          <w:sz w:val="32"/>
          <w:szCs w:val="32"/>
          <w:lang w:val="en-US"/>
        </w:rPr>
        <w:t>5573</w:t>
      </w:r>
      <w:r w:rsidRPr="00E66060">
        <w:rPr>
          <w:b/>
          <w:caps/>
          <w:sz w:val="32"/>
          <w:szCs w:val="32"/>
          <w:lang w:val="en-US"/>
        </w:rPr>
        <w:t>-S</w:t>
      </w:r>
      <w:r w:rsidR="00E66060" w:rsidRPr="00E66060">
        <w:rPr>
          <w:b/>
          <w:caps/>
          <w:sz w:val="32"/>
          <w:szCs w:val="32"/>
          <w:lang w:val="en-US"/>
        </w:rPr>
        <w:t>O9543</w:t>
      </w:r>
    </w:p>
    <w:p w:rsidR="004D6816" w:rsidRDefault="00E66060" w:rsidP="00702C1F">
      <w:pPr>
        <w:spacing w:line="-280" w:lineRule="auto"/>
        <w:jc w:val="center"/>
        <w:rPr>
          <w:b/>
          <w:caps/>
          <w:sz w:val="32"/>
          <w:szCs w:val="32"/>
        </w:rPr>
      </w:pPr>
      <w:r>
        <w:rPr>
          <w:b/>
          <w:caps/>
          <w:sz w:val="32"/>
          <w:szCs w:val="32"/>
        </w:rPr>
        <w:t>PROVISION OF LOG MANAGEMENT</w:t>
      </w:r>
    </w:p>
    <w:p w:rsidR="00E66060" w:rsidRPr="00890B08" w:rsidRDefault="00E66060" w:rsidP="00702C1F">
      <w:pPr>
        <w:spacing w:line="-280" w:lineRule="auto"/>
        <w:jc w:val="center"/>
        <w:rPr>
          <w:b/>
          <w:caps/>
          <w:sz w:val="32"/>
          <w:szCs w:val="32"/>
        </w:rPr>
      </w:pPr>
      <w:r>
        <w:rPr>
          <w:b/>
          <w:caps/>
          <w:sz w:val="32"/>
          <w:szCs w:val="32"/>
        </w:rPr>
        <w:t>&amp; MONITORING SOFTWARE</w:t>
      </w:r>
    </w:p>
    <w:p w:rsidR="004D6816" w:rsidRPr="00890B08" w:rsidRDefault="004D6816" w:rsidP="00702C1F">
      <w:pPr>
        <w:spacing w:line="-280" w:lineRule="auto"/>
        <w:jc w:val="center"/>
        <w:rPr>
          <w:b/>
          <w:caps/>
          <w:sz w:val="32"/>
          <w:szCs w:val="32"/>
        </w:rPr>
      </w:pPr>
    </w:p>
    <w:p w:rsidR="004D6816" w:rsidRPr="00890B08" w:rsidRDefault="004D6816" w:rsidP="00702C1F">
      <w:pPr>
        <w:spacing w:line="-280" w:lineRule="auto"/>
        <w:jc w:val="center"/>
        <w:rPr>
          <w:b/>
          <w:caps/>
          <w:sz w:val="32"/>
          <w:szCs w:val="32"/>
        </w:rPr>
      </w:pPr>
    </w:p>
    <w:p w:rsidR="004D6816" w:rsidRPr="00890B08" w:rsidRDefault="004D6816" w:rsidP="00702C1F">
      <w:pPr>
        <w:spacing w:line="-280" w:lineRule="auto"/>
        <w:jc w:val="center"/>
        <w:rPr>
          <w:b/>
          <w:szCs w:val="22"/>
        </w:rPr>
      </w:pPr>
    </w:p>
    <w:p w:rsidR="004D6816" w:rsidRPr="00890B08" w:rsidRDefault="004D6816" w:rsidP="00702C1F">
      <w:pPr>
        <w:jc w:val="right"/>
        <w:rPr>
          <w:b/>
          <w:i/>
          <w:szCs w:val="22"/>
        </w:rPr>
      </w:pPr>
    </w:p>
    <w:p w:rsidR="004D6816" w:rsidRPr="00890B08" w:rsidRDefault="004D6816" w:rsidP="00702C1F">
      <w:pPr>
        <w:rPr>
          <w:szCs w:val="22"/>
        </w:rPr>
      </w:pPr>
    </w:p>
    <w:p w:rsidR="004D6816" w:rsidRPr="00890B08" w:rsidRDefault="004D6816" w:rsidP="00702C1F">
      <w:pPr>
        <w:rPr>
          <w:szCs w:val="22"/>
        </w:rPr>
      </w:pPr>
    </w:p>
    <w:p w:rsidR="004D6816" w:rsidRPr="00890B08" w:rsidRDefault="004D6816" w:rsidP="00702C1F">
      <w:pPr>
        <w:rPr>
          <w:szCs w:val="22"/>
        </w:rPr>
      </w:pPr>
    </w:p>
    <w:p w:rsidR="004D6816" w:rsidRPr="00890B08" w:rsidRDefault="004D6816" w:rsidP="00702C1F">
      <w:pPr>
        <w:rPr>
          <w:szCs w:val="22"/>
        </w:rPr>
      </w:pPr>
    </w:p>
    <w:p w:rsidR="004D6816" w:rsidRPr="00890B08" w:rsidRDefault="004D6816" w:rsidP="00702C1F">
      <w:pPr>
        <w:rPr>
          <w:szCs w:val="22"/>
        </w:rPr>
      </w:pPr>
    </w:p>
    <w:p w:rsidR="004D6816" w:rsidRPr="00890B08" w:rsidRDefault="004D6816" w:rsidP="00702C1F">
      <w:pPr>
        <w:rPr>
          <w:szCs w:val="22"/>
        </w:rPr>
      </w:pPr>
    </w:p>
    <w:p w:rsidR="004D6816" w:rsidRPr="00890B08" w:rsidRDefault="004D6816" w:rsidP="00702C1F">
      <w:pPr>
        <w:rPr>
          <w:szCs w:val="22"/>
        </w:rPr>
      </w:pPr>
    </w:p>
    <w:p w:rsidR="004D6816" w:rsidRPr="00890B08" w:rsidRDefault="004D6816" w:rsidP="00702C1F">
      <w:pPr>
        <w:spacing w:line="-240" w:lineRule="auto"/>
        <w:ind w:left="6804" w:firstLine="426"/>
        <w:jc w:val="right"/>
        <w:rPr>
          <w:szCs w:val="22"/>
        </w:rPr>
      </w:pPr>
    </w:p>
    <w:p w:rsidR="004D6816" w:rsidRPr="00890B08" w:rsidRDefault="004D6816" w:rsidP="00702C1F">
      <w:pPr>
        <w:spacing w:line="-240" w:lineRule="auto"/>
        <w:ind w:left="6804" w:firstLine="426"/>
        <w:jc w:val="right"/>
        <w:rPr>
          <w:szCs w:val="22"/>
        </w:rPr>
      </w:pPr>
    </w:p>
    <w:p w:rsidR="004D6816" w:rsidRPr="00890B08" w:rsidRDefault="004D6816" w:rsidP="00B07973">
      <w:pPr>
        <w:spacing w:line="-240" w:lineRule="auto"/>
        <w:rPr>
          <w:szCs w:val="22"/>
        </w:rPr>
      </w:pPr>
    </w:p>
    <w:p w:rsidR="004D6816" w:rsidRDefault="004D6816" w:rsidP="00702C1F">
      <w:pPr>
        <w:spacing w:line="-240" w:lineRule="auto"/>
        <w:ind w:left="6804" w:firstLine="426"/>
        <w:jc w:val="right"/>
        <w:rPr>
          <w:szCs w:val="22"/>
        </w:rPr>
      </w:pPr>
    </w:p>
    <w:p w:rsidR="0085239A" w:rsidRDefault="0085239A" w:rsidP="00702C1F">
      <w:pPr>
        <w:spacing w:line="-240" w:lineRule="auto"/>
        <w:ind w:left="6804" w:firstLine="426"/>
        <w:jc w:val="right"/>
        <w:rPr>
          <w:szCs w:val="22"/>
        </w:rPr>
      </w:pPr>
    </w:p>
    <w:p w:rsidR="0085239A" w:rsidRDefault="0085239A" w:rsidP="00702C1F">
      <w:pPr>
        <w:spacing w:line="-240" w:lineRule="auto"/>
        <w:ind w:left="6804" w:firstLine="426"/>
        <w:jc w:val="right"/>
        <w:rPr>
          <w:szCs w:val="22"/>
        </w:rPr>
      </w:pPr>
    </w:p>
    <w:p w:rsidR="0085239A" w:rsidRDefault="0085239A" w:rsidP="00702C1F">
      <w:pPr>
        <w:spacing w:line="-240" w:lineRule="auto"/>
        <w:ind w:left="6804" w:firstLine="426"/>
        <w:jc w:val="right"/>
        <w:rPr>
          <w:szCs w:val="22"/>
        </w:rPr>
      </w:pPr>
    </w:p>
    <w:p w:rsidR="0085239A" w:rsidRDefault="0085239A" w:rsidP="00702C1F">
      <w:pPr>
        <w:spacing w:line="-240" w:lineRule="auto"/>
        <w:ind w:left="6804" w:firstLine="426"/>
        <w:jc w:val="right"/>
        <w:rPr>
          <w:szCs w:val="22"/>
        </w:rPr>
      </w:pPr>
    </w:p>
    <w:p w:rsidR="0085239A" w:rsidRPr="00890B08" w:rsidRDefault="0085239A" w:rsidP="00702C1F">
      <w:pPr>
        <w:spacing w:line="-240" w:lineRule="auto"/>
        <w:ind w:left="6804" w:firstLine="426"/>
        <w:jc w:val="right"/>
        <w:rPr>
          <w:szCs w:val="22"/>
        </w:rPr>
      </w:pPr>
    </w:p>
    <w:p w:rsidR="004D6816" w:rsidRPr="00890B08" w:rsidRDefault="004D6816" w:rsidP="00702C1F">
      <w:pPr>
        <w:spacing w:line="-240" w:lineRule="auto"/>
        <w:ind w:left="6804" w:firstLine="426"/>
        <w:jc w:val="right"/>
        <w:rPr>
          <w:szCs w:val="22"/>
        </w:rPr>
      </w:pPr>
    </w:p>
    <w:p w:rsidR="004D6816" w:rsidRPr="00890B08" w:rsidRDefault="004D6816" w:rsidP="00702C1F">
      <w:pPr>
        <w:spacing w:line="-240" w:lineRule="auto"/>
        <w:ind w:left="6804" w:firstLine="426"/>
        <w:jc w:val="right"/>
        <w:rPr>
          <w:szCs w:val="22"/>
        </w:rPr>
      </w:pPr>
      <w:r w:rsidRPr="00890B08">
        <w:rPr>
          <w:szCs w:val="22"/>
        </w:rPr>
        <w:t xml:space="preserve"> Version 1.0</w:t>
      </w:r>
    </w:p>
    <w:p w:rsidR="004D6816" w:rsidRPr="00890B08" w:rsidRDefault="004D6816" w:rsidP="00702C1F">
      <w:pPr>
        <w:spacing w:line="-240" w:lineRule="auto"/>
        <w:ind w:left="6804" w:firstLine="426"/>
        <w:jc w:val="right"/>
        <w:rPr>
          <w:szCs w:val="22"/>
        </w:rPr>
      </w:pPr>
    </w:p>
    <w:p w:rsidR="004D6816" w:rsidRPr="00890B08" w:rsidRDefault="004D6816" w:rsidP="00702C1F">
      <w:pPr>
        <w:spacing w:line="-240" w:lineRule="auto"/>
        <w:jc w:val="right"/>
        <w:rPr>
          <w:szCs w:val="22"/>
        </w:rPr>
      </w:pPr>
      <w:r w:rsidRPr="00890B08">
        <w:rPr>
          <w:szCs w:val="22"/>
        </w:rPr>
        <w:t>Date:</w:t>
      </w:r>
      <w:r w:rsidR="008D1E6C">
        <w:rPr>
          <w:szCs w:val="22"/>
        </w:rPr>
        <w:t xml:space="preserve"> </w:t>
      </w:r>
      <w:r w:rsidR="002618BF">
        <w:rPr>
          <w:szCs w:val="22"/>
        </w:rPr>
        <w:t>8</w:t>
      </w:r>
      <w:r w:rsidR="002618BF" w:rsidRPr="002618BF">
        <w:rPr>
          <w:szCs w:val="22"/>
          <w:vertAlign w:val="superscript"/>
        </w:rPr>
        <w:t>th</w:t>
      </w:r>
      <w:r w:rsidR="002618BF">
        <w:rPr>
          <w:szCs w:val="22"/>
        </w:rPr>
        <w:t xml:space="preserve"> May 2015</w:t>
      </w:r>
    </w:p>
    <w:p w:rsidR="004D6816" w:rsidRPr="00890B08" w:rsidRDefault="004D6816" w:rsidP="00702C1F">
      <w:pPr>
        <w:rPr>
          <w:szCs w:val="22"/>
        </w:rPr>
      </w:pPr>
    </w:p>
    <w:p w:rsidR="004D6816" w:rsidRDefault="008D1E6C" w:rsidP="00702C1F">
      <w:pPr>
        <w:spacing w:line="-240" w:lineRule="auto"/>
        <w:jc w:val="right"/>
        <w:rPr>
          <w:b/>
          <w:szCs w:val="22"/>
          <w:lang w:val="en-US"/>
        </w:rPr>
      </w:pPr>
      <w:r>
        <w:rPr>
          <w:szCs w:val="22"/>
          <w:lang w:val="en-US"/>
        </w:rPr>
        <w:t xml:space="preserve">Author:  </w:t>
      </w:r>
      <w:r w:rsidR="002618BF">
        <w:rPr>
          <w:szCs w:val="22"/>
          <w:lang w:val="en-US"/>
        </w:rPr>
        <w:t>Nick Beynon</w:t>
      </w:r>
    </w:p>
    <w:p w:rsidR="004D6816" w:rsidRDefault="004D6816" w:rsidP="0017225B">
      <w:pPr>
        <w:spacing w:after="240"/>
        <w:jc w:val="center"/>
        <w:rPr>
          <w:b/>
        </w:rPr>
        <w:sectPr w:rsidR="004D6816" w:rsidSect="00702C1F">
          <w:footerReference w:type="first" r:id="rId9"/>
          <w:endnotePr>
            <w:numFmt w:val="decimal"/>
          </w:endnotePr>
          <w:pgSz w:w="11909" w:h="16834" w:code="9"/>
          <w:pgMar w:top="851" w:right="710" w:bottom="567" w:left="709" w:header="426" w:footer="426" w:gutter="0"/>
          <w:pgNumType w:start="1"/>
          <w:cols w:space="720"/>
          <w:noEndnote/>
        </w:sectPr>
      </w:pPr>
    </w:p>
    <w:p w:rsidR="004D6816" w:rsidRDefault="004D6816" w:rsidP="008B2760">
      <w:pPr>
        <w:pStyle w:val="bodystrongcentred"/>
      </w:pPr>
      <w:r>
        <w:lastRenderedPageBreak/>
        <w:t>CONTENTS</w:t>
      </w:r>
    </w:p>
    <w:p w:rsidR="004D6816" w:rsidRDefault="004D6816" w:rsidP="00861D08"/>
    <w:p w:rsidR="004D6816" w:rsidRDefault="005E3662">
      <w:pPr>
        <w:pStyle w:val="TOC1"/>
        <w:rPr>
          <w:rFonts w:ascii="Calibri" w:hAnsi="Calibri"/>
          <w:caps w:val="0"/>
          <w:noProof/>
          <w:szCs w:val="22"/>
          <w:lang w:eastAsia="en-GB"/>
        </w:rPr>
      </w:pPr>
      <w:r>
        <w:rPr>
          <w:caps w:val="0"/>
        </w:rPr>
        <w:fldChar w:fldCharType="begin"/>
      </w:r>
      <w:r w:rsidR="004D6816">
        <w:rPr>
          <w:caps w:val="0"/>
        </w:rPr>
        <w:instrText xml:space="preserve"> TOC \o "1-1" \h \z \u </w:instrText>
      </w:r>
      <w:r>
        <w:rPr>
          <w:caps w:val="0"/>
        </w:rPr>
        <w:fldChar w:fldCharType="separate"/>
      </w:r>
      <w:hyperlink w:anchor="_Toc323222357" w:history="1">
        <w:r w:rsidR="004D6816" w:rsidRPr="002942F6">
          <w:rPr>
            <w:rStyle w:val="Hyperlink"/>
            <w:noProof/>
          </w:rPr>
          <w:t>1.</w:t>
        </w:r>
        <w:r w:rsidR="004D6816">
          <w:rPr>
            <w:rFonts w:ascii="Calibri" w:hAnsi="Calibri"/>
            <w:caps w:val="0"/>
            <w:noProof/>
            <w:szCs w:val="22"/>
            <w:lang w:eastAsia="en-GB"/>
          </w:rPr>
          <w:tab/>
        </w:r>
        <w:r w:rsidR="004D6816" w:rsidRPr="002942F6">
          <w:rPr>
            <w:rStyle w:val="Hyperlink"/>
            <w:noProof/>
          </w:rPr>
          <w:t>introduction</w:t>
        </w:r>
        <w:r w:rsidR="004D6816">
          <w:rPr>
            <w:noProof/>
            <w:webHidden/>
          </w:rPr>
          <w:tab/>
        </w:r>
        <w:r>
          <w:rPr>
            <w:noProof/>
            <w:webHidden/>
          </w:rPr>
          <w:fldChar w:fldCharType="begin"/>
        </w:r>
        <w:r w:rsidR="004D6816">
          <w:rPr>
            <w:noProof/>
            <w:webHidden/>
          </w:rPr>
          <w:instrText xml:space="preserve"> PAGEREF _Toc323222357 \h </w:instrText>
        </w:r>
        <w:r>
          <w:rPr>
            <w:noProof/>
            <w:webHidden/>
          </w:rPr>
        </w:r>
        <w:r>
          <w:rPr>
            <w:noProof/>
            <w:webHidden/>
          </w:rPr>
          <w:fldChar w:fldCharType="separate"/>
        </w:r>
        <w:r w:rsidR="004D6816">
          <w:rPr>
            <w:noProof/>
            <w:webHidden/>
          </w:rPr>
          <w:t>3</w:t>
        </w:r>
        <w:r>
          <w:rPr>
            <w:noProof/>
            <w:webHidden/>
          </w:rPr>
          <w:fldChar w:fldCharType="end"/>
        </w:r>
      </w:hyperlink>
    </w:p>
    <w:p w:rsidR="004D6816" w:rsidRDefault="00AC011A">
      <w:pPr>
        <w:pStyle w:val="TOC1"/>
        <w:rPr>
          <w:rFonts w:ascii="Calibri" w:hAnsi="Calibri"/>
          <w:caps w:val="0"/>
          <w:noProof/>
          <w:szCs w:val="22"/>
          <w:lang w:eastAsia="en-GB"/>
        </w:rPr>
      </w:pPr>
      <w:hyperlink w:anchor="_Toc323222358" w:history="1">
        <w:r w:rsidR="004D6816" w:rsidRPr="002942F6">
          <w:rPr>
            <w:rStyle w:val="Hyperlink"/>
            <w:noProof/>
          </w:rPr>
          <w:t>2.</w:t>
        </w:r>
        <w:r w:rsidR="004D6816">
          <w:rPr>
            <w:rFonts w:ascii="Calibri" w:hAnsi="Calibri"/>
            <w:caps w:val="0"/>
            <w:noProof/>
            <w:szCs w:val="22"/>
            <w:lang w:eastAsia="en-GB"/>
          </w:rPr>
          <w:tab/>
        </w:r>
        <w:r w:rsidR="004D6816" w:rsidRPr="002942F6">
          <w:rPr>
            <w:rStyle w:val="Hyperlink"/>
            <w:noProof/>
          </w:rPr>
          <w:t>OVERVIEW OF Invitation to tender</w:t>
        </w:r>
        <w:r w:rsidR="004D6816">
          <w:rPr>
            <w:noProof/>
            <w:webHidden/>
          </w:rPr>
          <w:tab/>
        </w:r>
        <w:r w:rsidR="005E3662">
          <w:rPr>
            <w:noProof/>
            <w:webHidden/>
          </w:rPr>
          <w:fldChar w:fldCharType="begin"/>
        </w:r>
        <w:r w:rsidR="004D6816">
          <w:rPr>
            <w:noProof/>
            <w:webHidden/>
          </w:rPr>
          <w:instrText xml:space="preserve"> PAGEREF _Toc323222358 \h </w:instrText>
        </w:r>
        <w:r w:rsidR="005E3662">
          <w:rPr>
            <w:noProof/>
            <w:webHidden/>
          </w:rPr>
        </w:r>
        <w:r w:rsidR="005E3662">
          <w:rPr>
            <w:noProof/>
            <w:webHidden/>
          </w:rPr>
          <w:fldChar w:fldCharType="separate"/>
        </w:r>
        <w:r w:rsidR="004D6816">
          <w:rPr>
            <w:noProof/>
            <w:webHidden/>
          </w:rPr>
          <w:t>3</w:t>
        </w:r>
        <w:r w:rsidR="005E3662">
          <w:rPr>
            <w:noProof/>
            <w:webHidden/>
          </w:rPr>
          <w:fldChar w:fldCharType="end"/>
        </w:r>
      </w:hyperlink>
    </w:p>
    <w:p w:rsidR="004D6816" w:rsidRDefault="00AC011A">
      <w:pPr>
        <w:pStyle w:val="TOC1"/>
        <w:rPr>
          <w:rFonts w:ascii="Calibri" w:hAnsi="Calibri"/>
          <w:caps w:val="0"/>
          <w:noProof/>
          <w:szCs w:val="22"/>
          <w:lang w:eastAsia="en-GB"/>
        </w:rPr>
      </w:pPr>
      <w:hyperlink w:anchor="_Toc323222359" w:history="1">
        <w:r w:rsidR="004D6816" w:rsidRPr="002942F6">
          <w:rPr>
            <w:rStyle w:val="Hyperlink"/>
            <w:noProof/>
          </w:rPr>
          <w:t>3.</w:t>
        </w:r>
        <w:r w:rsidR="004D6816">
          <w:rPr>
            <w:rFonts w:ascii="Calibri" w:hAnsi="Calibri"/>
            <w:caps w:val="0"/>
            <w:noProof/>
            <w:szCs w:val="22"/>
            <w:lang w:eastAsia="en-GB"/>
          </w:rPr>
          <w:tab/>
        </w:r>
        <w:r w:rsidR="004D6816" w:rsidRPr="002942F6">
          <w:rPr>
            <w:rStyle w:val="Hyperlink"/>
            <w:noProof/>
          </w:rPr>
          <w:t>tENDER RESPONSES</w:t>
        </w:r>
        <w:r w:rsidR="004D6816">
          <w:rPr>
            <w:noProof/>
            <w:webHidden/>
          </w:rPr>
          <w:tab/>
        </w:r>
        <w:r w:rsidR="005E3662">
          <w:rPr>
            <w:noProof/>
            <w:webHidden/>
          </w:rPr>
          <w:fldChar w:fldCharType="begin"/>
        </w:r>
        <w:r w:rsidR="004D6816">
          <w:rPr>
            <w:noProof/>
            <w:webHidden/>
          </w:rPr>
          <w:instrText xml:space="preserve"> PAGEREF _Toc323222359 \h </w:instrText>
        </w:r>
        <w:r w:rsidR="005E3662">
          <w:rPr>
            <w:noProof/>
            <w:webHidden/>
          </w:rPr>
        </w:r>
        <w:r w:rsidR="005E3662">
          <w:rPr>
            <w:noProof/>
            <w:webHidden/>
          </w:rPr>
          <w:fldChar w:fldCharType="separate"/>
        </w:r>
        <w:r w:rsidR="004D6816">
          <w:rPr>
            <w:noProof/>
            <w:webHidden/>
          </w:rPr>
          <w:t>3</w:t>
        </w:r>
        <w:r w:rsidR="005E3662">
          <w:rPr>
            <w:noProof/>
            <w:webHidden/>
          </w:rPr>
          <w:fldChar w:fldCharType="end"/>
        </w:r>
      </w:hyperlink>
    </w:p>
    <w:p w:rsidR="004D6816" w:rsidRDefault="00AC011A">
      <w:pPr>
        <w:pStyle w:val="TOC1"/>
        <w:rPr>
          <w:rFonts w:ascii="Calibri" w:hAnsi="Calibri"/>
          <w:caps w:val="0"/>
          <w:noProof/>
          <w:szCs w:val="22"/>
          <w:lang w:eastAsia="en-GB"/>
        </w:rPr>
      </w:pPr>
      <w:hyperlink w:anchor="_Toc323222360" w:history="1">
        <w:r w:rsidR="004D6816" w:rsidRPr="002942F6">
          <w:rPr>
            <w:rStyle w:val="Hyperlink"/>
            <w:noProof/>
          </w:rPr>
          <w:t>4.</w:t>
        </w:r>
        <w:r w:rsidR="004D6816">
          <w:rPr>
            <w:rFonts w:ascii="Calibri" w:hAnsi="Calibri"/>
            <w:caps w:val="0"/>
            <w:noProof/>
            <w:szCs w:val="22"/>
            <w:lang w:eastAsia="en-GB"/>
          </w:rPr>
          <w:tab/>
        </w:r>
        <w:r w:rsidR="004D6816" w:rsidRPr="002942F6">
          <w:rPr>
            <w:rStyle w:val="Hyperlink"/>
            <w:noProof/>
          </w:rPr>
          <w:t>PROCUREMENT TIMETABLE</w:t>
        </w:r>
        <w:r w:rsidR="004D6816">
          <w:rPr>
            <w:noProof/>
            <w:webHidden/>
          </w:rPr>
          <w:tab/>
        </w:r>
        <w:r w:rsidR="005E3662">
          <w:rPr>
            <w:noProof/>
            <w:webHidden/>
          </w:rPr>
          <w:fldChar w:fldCharType="begin"/>
        </w:r>
        <w:r w:rsidR="004D6816">
          <w:rPr>
            <w:noProof/>
            <w:webHidden/>
          </w:rPr>
          <w:instrText xml:space="preserve"> PAGEREF _Toc323222360 \h </w:instrText>
        </w:r>
        <w:r w:rsidR="005E3662">
          <w:rPr>
            <w:noProof/>
            <w:webHidden/>
          </w:rPr>
        </w:r>
        <w:r w:rsidR="005E3662">
          <w:rPr>
            <w:noProof/>
            <w:webHidden/>
          </w:rPr>
          <w:fldChar w:fldCharType="separate"/>
        </w:r>
        <w:r w:rsidR="004D6816">
          <w:rPr>
            <w:noProof/>
            <w:webHidden/>
          </w:rPr>
          <w:t>3</w:t>
        </w:r>
        <w:r w:rsidR="005E3662">
          <w:rPr>
            <w:noProof/>
            <w:webHidden/>
          </w:rPr>
          <w:fldChar w:fldCharType="end"/>
        </w:r>
      </w:hyperlink>
    </w:p>
    <w:p w:rsidR="004D6816" w:rsidRDefault="00AC011A">
      <w:pPr>
        <w:pStyle w:val="TOC1"/>
        <w:rPr>
          <w:rFonts w:ascii="Calibri" w:hAnsi="Calibri"/>
          <w:caps w:val="0"/>
          <w:noProof/>
          <w:szCs w:val="22"/>
          <w:lang w:eastAsia="en-GB"/>
        </w:rPr>
      </w:pPr>
      <w:hyperlink w:anchor="_Toc323222361" w:history="1">
        <w:r w:rsidR="004D6816" w:rsidRPr="002942F6">
          <w:rPr>
            <w:rStyle w:val="Hyperlink"/>
            <w:noProof/>
          </w:rPr>
          <w:t>5.</w:t>
        </w:r>
        <w:r w:rsidR="004D6816">
          <w:rPr>
            <w:rFonts w:ascii="Calibri" w:hAnsi="Calibri"/>
            <w:caps w:val="0"/>
            <w:noProof/>
            <w:szCs w:val="22"/>
            <w:lang w:eastAsia="en-GB"/>
          </w:rPr>
          <w:tab/>
        </w:r>
        <w:r w:rsidR="004D6816" w:rsidRPr="002942F6">
          <w:rPr>
            <w:rStyle w:val="Hyperlink"/>
            <w:noProof/>
          </w:rPr>
          <w:t>questions AND CLARIFICATIONS</w:t>
        </w:r>
        <w:r w:rsidR="004D6816">
          <w:rPr>
            <w:noProof/>
            <w:webHidden/>
          </w:rPr>
          <w:tab/>
        </w:r>
        <w:r w:rsidR="005E3662">
          <w:rPr>
            <w:noProof/>
            <w:webHidden/>
          </w:rPr>
          <w:fldChar w:fldCharType="begin"/>
        </w:r>
        <w:r w:rsidR="004D6816">
          <w:rPr>
            <w:noProof/>
            <w:webHidden/>
          </w:rPr>
          <w:instrText xml:space="preserve"> PAGEREF _Toc323222361 \h </w:instrText>
        </w:r>
        <w:r w:rsidR="005E3662">
          <w:rPr>
            <w:noProof/>
            <w:webHidden/>
          </w:rPr>
        </w:r>
        <w:r w:rsidR="005E3662">
          <w:rPr>
            <w:noProof/>
            <w:webHidden/>
          </w:rPr>
          <w:fldChar w:fldCharType="separate"/>
        </w:r>
        <w:r w:rsidR="004D6816">
          <w:rPr>
            <w:noProof/>
            <w:webHidden/>
          </w:rPr>
          <w:t>4</w:t>
        </w:r>
        <w:r w:rsidR="005E3662">
          <w:rPr>
            <w:noProof/>
            <w:webHidden/>
          </w:rPr>
          <w:fldChar w:fldCharType="end"/>
        </w:r>
      </w:hyperlink>
    </w:p>
    <w:p w:rsidR="004D6816" w:rsidRDefault="00AC011A">
      <w:pPr>
        <w:pStyle w:val="TOC1"/>
        <w:rPr>
          <w:rFonts w:ascii="Calibri" w:hAnsi="Calibri"/>
          <w:caps w:val="0"/>
          <w:noProof/>
          <w:szCs w:val="22"/>
          <w:lang w:eastAsia="en-GB"/>
        </w:rPr>
      </w:pPr>
      <w:hyperlink w:anchor="_Toc323222362" w:history="1">
        <w:r w:rsidR="004D6816" w:rsidRPr="002942F6">
          <w:rPr>
            <w:rStyle w:val="Hyperlink"/>
            <w:noProof/>
          </w:rPr>
          <w:t>6.</w:t>
        </w:r>
        <w:r w:rsidR="004D6816">
          <w:rPr>
            <w:rFonts w:ascii="Calibri" w:hAnsi="Calibri"/>
            <w:caps w:val="0"/>
            <w:noProof/>
            <w:szCs w:val="22"/>
            <w:lang w:eastAsia="en-GB"/>
          </w:rPr>
          <w:tab/>
        </w:r>
        <w:r w:rsidR="004D6816" w:rsidRPr="002942F6">
          <w:rPr>
            <w:rStyle w:val="Hyperlink"/>
            <w:noProof/>
          </w:rPr>
          <w:t>tender EVALUATION</w:t>
        </w:r>
        <w:r w:rsidR="004D6816">
          <w:rPr>
            <w:noProof/>
            <w:webHidden/>
          </w:rPr>
          <w:tab/>
        </w:r>
        <w:r w:rsidR="005E3662">
          <w:rPr>
            <w:noProof/>
            <w:webHidden/>
          </w:rPr>
          <w:fldChar w:fldCharType="begin"/>
        </w:r>
        <w:r w:rsidR="004D6816">
          <w:rPr>
            <w:noProof/>
            <w:webHidden/>
          </w:rPr>
          <w:instrText xml:space="preserve"> PAGEREF _Toc323222362 \h </w:instrText>
        </w:r>
        <w:r w:rsidR="005E3662">
          <w:rPr>
            <w:noProof/>
            <w:webHidden/>
          </w:rPr>
        </w:r>
        <w:r w:rsidR="005E3662">
          <w:rPr>
            <w:noProof/>
            <w:webHidden/>
          </w:rPr>
          <w:fldChar w:fldCharType="separate"/>
        </w:r>
        <w:r w:rsidR="004D6816">
          <w:rPr>
            <w:noProof/>
            <w:webHidden/>
          </w:rPr>
          <w:t>4</w:t>
        </w:r>
        <w:r w:rsidR="005E3662">
          <w:rPr>
            <w:noProof/>
            <w:webHidden/>
          </w:rPr>
          <w:fldChar w:fldCharType="end"/>
        </w:r>
      </w:hyperlink>
    </w:p>
    <w:p w:rsidR="004D6816" w:rsidRDefault="00AC011A">
      <w:pPr>
        <w:pStyle w:val="TOC1"/>
        <w:rPr>
          <w:rFonts w:ascii="Calibri" w:hAnsi="Calibri"/>
          <w:caps w:val="0"/>
          <w:noProof/>
          <w:szCs w:val="22"/>
          <w:lang w:eastAsia="en-GB"/>
        </w:rPr>
      </w:pPr>
      <w:hyperlink w:anchor="_Toc323222363" w:history="1">
        <w:r w:rsidR="004D6816" w:rsidRPr="002942F6">
          <w:rPr>
            <w:rStyle w:val="Hyperlink"/>
            <w:noProof/>
          </w:rPr>
          <w:t>7.</w:t>
        </w:r>
        <w:r w:rsidR="004D6816">
          <w:rPr>
            <w:rFonts w:ascii="Calibri" w:hAnsi="Calibri"/>
            <w:caps w:val="0"/>
            <w:noProof/>
            <w:szCs w:val="22"/>
            <w:lang w:eastAsia="en-GB"/>
          </w:rPr>
          <w:tab/>
        </w:r>
        <w:r w:rsidR="004D6816" w:rsidRPr="002942F6">
          <w:rPr>
            <w:rStyle w:val="Hyperlink"/>
            <w:noProof/>
          </w:rPr>
          <w:t>CONTRACT AWARD</w:t>
        </w:r>
        <w:r w:rsidR="004D6816">
          <w:rPr>
            <w:noProof/>
            <w:webHidden/>
          </w:rPr>
          <w:tab/>
        </w:r>
        <w:r w:rsidR="005E3662">
          <w:rPr>
            <w:noProof/>
            <w:webHidden/>
          </w:rPr>
          <w:fldChar w:fldCharType="begin"/>
        </w:r>
        <w:r w:rsidR="004D6816">
          <w:rPr>
            <w:noProof/>
            <w:webHidden/>
          </w:rPr>
          <w:instrText xml:space="preserve"> PAGEREF _Toc323222363 \h </w:instrText>
        </w:r>
        <w:r w:rsidR="005E3662">
          <w:rPr>
            <w:noProof/>
            <w:webHidden/>
          </w:rPr>
        </w:r>
        <w:r w:rsidR="005E3662">
          <w:rPr>
            <w:noProof/>
            <w:webHidden/>
          </w:rPr>
          <w:fldChar w:fldCharType="separate"/>
        </w:r>
        <w:r w:rsidR="004D6816">
          <w:rPr>
            <w:noProof/>
            <w:webHidden/>
          </w:rPr>
          <w:t>5</w:t>
        </w:r>
        <w:r w:rsidR="005E3662">
          <w:rPr>
            <w:noProof/>
            <w:webHidden/>
          </w:rPr>
          <w:fldChar w:fldCharType="end"/>
        </w:r>
      </w:hyperlink>
    </w:p>
    <w:p w:rsidR="004D6816" w:rsidRDefault="00AC011A">
      <w:pPr>
        <w:pStyle w:val="TOC1"/>
        <w:rPr>
          <w:rFonts w:ascii="Calibri" w:hAnsi="Calibri"/>
          <w:caps w:val="0"/>
          <w:noProof/>
          <w:szCs w:val="22"/>
          <w:lang w:eastAsia="en-GB"/>
        </w:rPr>
      </w:pPr>
      <w:hyperlink w:anchor="_Toc323222364" w:history="1">
        <w:r w:rsidR="004D6816" w:rsidRPr="002942F6">
          <w:rPr>
            <w:rStyle w:val="Hyperlink"/>
            <w:noProof/>
          </w:rPr>
          <w:t>8.</w:t>
        </w:r>
        <w:r w:rsidR="004D6816">
          <w:rPr>
            <w:rFonts w:ascii="Calibri" w:hAnsi="Calibri"/>
            <w:caps w:val="0"/>
            <w:noProof/>
            <w:szCs w:val="22"/>
            <w:lang w:eastAsia="en-GB"/>
          </w:rPr>
          <w:tab/>
        </w:r>
        <w:r w:rsidR="004D6816" w:rsidRPr="002942F6">
          <w:rPr>
            <w:rStyle w:val="Hyperlink"/>
            <w:noProof/>
          </w:rPr>
          <w:t>glossary</w:t>
        </w:r>
        <w:r w:rsidR="004D6816">
          <w:rPr>
            <w:noProof/>
            <w:webHidden/>
          </w:rPr>
          <w:tab/>
        </w:r>
        <w:r w:rsidR="005E3662">
          <w:rPr>
            <w:noProof/>
            <w:webHidden/>
          </w:rPr>
          <w:fldChar w:fldCharType="begin"/>
        </w:r>
        <w:r w:rsidR="004D6816">
          <w:rPr>
            <w:noProof/>
            <w:webHidden/>
          </w:rPr>
          <w:instrText xml:space="preserve"> PAGEREF _Toc323222364 \h </w:instrText>
        </w:r>
        <w:r w:rsidR="005E3662">
          <w:rPr>
            <w:noProof/>
            <w:webHidden/>
          </w:rPr>
        </w:r>
        <w:r w:rsidR="005E3662">
          <w:rPr>
            <w:noProof/>
            <w:webHidden/>
          </w:rPr>
          <w:fldChar w:fldCharType="separate"/>
        </w:r>
        <w:r w:rsidR="004D6816">
          <w:rPr>
            <w:noProof/>
            <w:webHidden/>
          </w:rPr>
          <w:t>5</w:t>
        </w:r>
        <w:r w:rsidR="005E3662">
          <w:rPr>
            <w:noProof/>
            <w:webHidden/>
          </w:rPr>
          <w:fldChar w:fldCharType="end"/>
        </w:r>
      </w:hyperlink>
    </w:p>
    <w:p w:rsidR="004D6816" w:rsidRDefault="005E3662" w:rsidP="00136BDD">
      <w:pPr>
        <w:pStyle w:val="Heading1"/>
        <w:numPr>
          <w:ilvl w:val="0"/>
          <w:numId w:val="0"/>
        </w:numPr>
        <w:tabs>
          <w:tab w:val="left" w:pos="851"/>
        </w:tabs>
        <w:spacing w:after="120"/>
        <w:ind w:left="720"/>
        <w:rPr>
          <w:caps w:val="0"/>
        </w:rPr>
      </w:pPr>
      <w:r>
        <w:rPr>
          <w:caps w:val="0"/>
        </w:rPr>
        <w:fldChar w:fldCharType="end"/>
      </w:r>
    </w:p>
    <w:p w:rsidR="004D6816" w:rsidRPr="00CB7AAC" w:rsidRDefault="004D6816" w:rsidP="007110A9">
      <w:pPr>
        <w:pStyle w:val="Heading1"/>
        <w:tabs>
          <w:tab w:val="left" w:pos="851"/>
        </w:tabs>
        <w:spacing w:after="120"/>
      </w:pPr>
      <w:r w:rsidRPr="000067FA">
        <w:rPr>
          <w:caps w:val="0"/>
        </w:rPr>
        <w:br w:type="page"/>
      </w:r>
      <w:bookmarkStart w:id="1" w:name="_Toc278544909"/>
      <w:bookmarkStart w:id="2" w:name="_Toc323222357"/>
      <w:r w:rsidRPr="00CB7AAC">
        <w:t>introduction</w:t>
      </w:r>
      <w:bookmarkEnd w:id="1"/>
      <w:bookmarkEnd w:id="2"/>
    </w:p>
    <w:p w:rsidR="004D6816" w:rsidRDefault="004D6816" w:rsidP="007110A9">
      <w:pPr>
        <w:pStyle w:val="Heading2"/>
        <w:tabs>
          <w:tab w:val="left" w:pos="851"/>
        </w:tabs>
        <w:spacing w:after="120"/>
        <w:ind w:left="737" w:hanging="737"/>
      </w:pPr>
      <w:r>
        <w:t xml:space="preserve">This Invitation to Tender relates to the Procurement to award a </w:t>
      </w:r>
      <w:r w:rsidRPr="00782BCC">
        <w:t xml:space="preserve">provision of </w:t>
      </w:r>
      <w:r w:rsidR="002618BF">
        <w:t xml:space="preserve">Log Management &amp; Monitoring Software </w:t>
      </w:r>
      <w:r w:rsidRPr="00782BCC">
        <w:t>contract</w:t>
      </w:r>
      <w:r>
        <w:t xml:space="preserve"> to a sole Supplier. </w:t>
      </w:r>
    </w:p>
    <w:p w:rsidR="00011778" w:rsidRDefault="004D6816" w:rsidP="00782BCC">
      <w:pPr>
        <w:pStyle w:val="Heading2"/>
        <w:tabs>
          <w:tab w:val="left" w:pos="851"/>
        </w:tabs>
        <w:spacing w:after="120"/>
        <w:ind w:left="737" w:hanging="737"/>
      </w:pPr>
      <w:r>
        <w:t xml:space="preserve">This ITT contains the information and instructions the Potential Provider needs to submit a Tender. </w:t>
      </w:r>
    </w:p>
    <w:p w:rsidR="004D6816" w:rsidRPr="004A159B" w:rsidRDefault="00011778" w:rsidP="00782BCC">
      <w:pPr>
        <w:pStyle w:val="Heading2"/>
        <w:tabs>
          <w:tab w:val="left" w:pos="851"/>
        </w:tabs>
        <w:spacing w:after="120"/>
        <w:ind w:left="737" w:hanging="737"/>
      </w:pPr>
      <w:r w:rsidRPr="004A159B">
        <w:t>The c</w:t>
      </w:r>
      <w:r w:rsidR="002F0FDB" w:rsidRPr="004A159B">
        <w:t xml:space="preserve">ontract will be for an initial </w:t>
      </w:r>
      <w:r w:rsidR="004A159B" w:rsidRPr="004A159B">
        <w:t>12</w:t>
      </w:r>
      <w:r w:rsidRPr="004A159B">
        <w:t xml:space="preserve"> </w:t>
      </w:r>
      <w:r w:rsidR="004A159B" w:rsidRPr="004A159B">
        <w:t>month</w:t>
      </w:r>
      <w:r w:rsidRPr="004A159B">
        <w:t xml:space="preserve"> period</w:t>
      </w:r>
      <w:r w:rsidR="004A159B" w:rsidRPr="004A159B">
        <w:t>.</w:t>
      </w:r>
      <w:r w:rsidR="004D6816" w:rsidRPr="004A159B">
        <w:t xml:space="preserve">   </w:t>
      </w:r>
    </w:p>
    <w:p w:rsidR="004D6816" w:rsidRPr="00782BCC" w:rsidRDefault="004D6816" w:rsidP="00782BCC">
      <w:pPr>
        <w:pStyle w:val="Heading2"/>
        <w:tabs>
          <w:tab w:val="left" w:pos="851"/>
        </w:tabs>
        <w:spacing w:after="120"/>
        <w:ind w:left="737" w:hanging="737"/>
      </w:pPr>
      <w:r>
        <w:t>This Contract</w:t>
      </w:r>
      <w:r w:rsidR="004F37D0">
        <w:t xml:space="preserve"> is being offered under </w:t>
      </w:r>
      <w:r w:rsidR="0085239A">
        <w:t>Crown Commercial Service</w:t>
      </w:r>
      <w:r w:rsidR="004F37D0">
        <w:t xml:space="preserve"> standard Terms and Conditions for </w:t>
      </w:r>
      <w:r w:rsidR="004F37D0" w:rsidRPr="002618BF">
        <w:t>Services</w:t>
      </w:r>
      <w:r w:rsidR="004F37D0">
        <w:t xml:space="preserve"> which will</w:t>
      </w:r>
      <w:r>
        <w:t xml:space="preserve"> </w:t>
      </w:r>
      <w:r w:rsidR="004F37D0">
        <w:t>govern any resultant contract.</w:t>
      </w:r>
    </w:p>
    <w:p w:rsidR="004D6816" w:rsidRDefault="0085239A" w:rsidP="007110A9">
      <w:pPr>
        <w:pStyle w:val="Heading2"/>
        <w:tabs>
          <w:tab w:val="left" w:pos="851"/>
        </w:tabs>
        <w:spacing w:after="120"/>
        <w:ind w:left="737" w:hanging="737"/>
      </w:pPr>
      <w:r>
        <w:t>Crown Commercial Service</w:t>
      </w:r>
      <w:r w:rsidR="004D6816" w:rsidRPr="00AD3491">
        <w:t xml:space="preserve"> is using an e</w:t>
      </w:r>
      <w:r w:rsidR="002F0FDB">
        <w:t>-</w:t>
      </w:r>
      <w:r w:rsidR="004D6816" w:rsidRPr="00AD3491">
        <w:t xml:space="preserve">Sourcing Portal to manage this Procurement, therefore your Tender must be submitted via this means. </w:t>
      </w:r>
    </w:p>
    <w:p w:rsidR="004D6816" w:rsidRPr="00AD3491" w:rsidRDefault="0085239A" w:rsidP="00A533C7">
      <w:pPr>
        <w:pStyle w:val="Heading2"/>
        <w:tabs>
          <w:tab w:val="left" w:pos="851"/>
        </w:tabs>
        <w:spacing w:after="120"/>
        <w:ind w:left="737" w:hanging="737"/>
      </w:pPr>
      <w:r>
        <w:t>Crown Commercial Service</w:t>
      </w:r>
      <w:r w:rsidR="004D6816">
        <w:t xml:space="preserve"> reserves the right the run a reverse auction on this requirement.</w:t>
      </w:r>
    </w:p>
    <w:p w:rsidR="004D6816" w:rsidRDefault="004D6816" w:rsidP="00800097">
      <w:pPr>
        <w:pStyle w:val="Heading1"/>
        <w:tabs>
          <w:tab w:val="left" w:pos="851"/>
        </w:tabs>
        <w:spacing w:before="120" w:after="120"/>
      </w:pPr>
      <w:bookmarkStart w:id="3" w:name="_Ref284694562"/>
      <w:bookmarkStart w:id="4" w:name="_Toc323222358"/>
      <w:r>
        <w:t>OVERVIEW OF Invitation to tender</w:t>
      </w:r>
      <w:bookmarkEnd w:id="3"/>
      <w:bookmarkEnd w:id="4"/>
    </w:p>
    <w:p w:rsidR="004D6816" w:rsidRDefault="004D6816" w:rsidP="007110A9">
      <w:pPr>
        <w:pStyle w:val="Heading2"/>
        <w:tabs>
          <w:tab w:val="left" w:pos="851"/>
        </w:tabs>
        <w:spacing w:after="120"/>
        <w:ind w:left="737" w:hanging="737"/>
      </w:pPr>
      <w:r>
        <w:t>The following appendices accompany this ITT:</w:t>
      </w:r>
    </w:p>
    <w:p w:rsidR="004D6816" w:rsidRPr="003E7509" w:rsidRDefault="004D6816" w:rsidP="007110A9">
      <w:pPr>
        <w:pStyle w:val="Heading3"/>
        <w:tabs>
          <w:tab w:val="clear" w:pos="1800"/>
          <w:tab w:val="num" w:pos="1418"/>
        </w:tabs>
        <w:spacing w:after="120"/>
        <w:ind w:left="1418" w:hanging="698"/>
        <w:rPr>
          <w:b/>
        </w:rPr>
      </w:pPr>
      <w:r w:rsidRPr="003E7509">
        <w:rPr>
          <w:b/>
        </w:rPr>
        <w:t>Appendix A – Terms of the Procurement</w:t>
      </w:r>
    </w:p>
    <w:p w:rsidR="004D6816" w:rsidRDefault="004D6816" w:rsidP="007110A9">
      <w:pPr>
        <w:pStyle w:val="Heading3"/>
        <w:numPr>
          <w:ilvl w:val="0"/>
          <w:numId w:val="0"/>
        </w:numPr>
        <w:spacing w:after="120"/>
        <w:ind w:left="1418"/>
      </w:pPr>
      <w:r>
        <w:t xml:space="preserve">Sets out rights and obligations which apply to the Potential Provider and the </w:t>
      </w:r>
      <w:r w:rsidR="0085239A">
        <w:t>Crown Commercial Service</w:t>
      </w:r>
      <w:r>
        <w:t xml:space="preserve"> during this Procurement. </w:t>
      </w:r>
    </w:p>
    <w:p w:rsidR="004D6816" w:rsidRPr="003E7509" w:rsidRDefault="004D6816" w:rsidP="007110A9">
      <w:pPr>
        <w:pStyle w:val="Heading3"/>
        <w:tabs>
          <w:tab w:val="clear" w:pos="1800"/>
          <w:tab w:val="num" w:pos="1418"/>
        </w:tabs>
        <w:spacing w:after="120"/>
        <w:ind w:left="1418" w:hanging="698"/>
        <w:rPr>
          <w:b/>
        </w:rPr>
      </w:pPr>
      <w:r w:rsidRPr="003E7509">
        <w:rPr>
          <w:b/>
        </w:rPr>
        <w:t xml:space="preserve">Appendix B – </w:t>
      </w:r>
      <w:r w:rsidR="00514DF0">
        <w:rPr>
          <w:b/>
        </w:rPr>
        <w:t xml:space="preserve">Statement of </w:t>
      </w:r>
      <w:r w:rsidR="00EF070C">
        <w:rPr>
          <w:b/>
        </w:rPr>
        <w:t>Requirements</w:t>
      </w:r>
    </w:p>
    <w:p w:rsidR="004D6816" w:rsidRDefault="004D6816" w:rsidP="007110A9">
      <w:pPr>
        <w:pStyle w:val="Heading3"/>
        <w:numPr>
          <w:ilvl w:val="0"/>
          <w:numId w:val="0"/>
        </w:numPr>
        <w:spacing w:after="120"/>
        <w:ind w:left="1418"/>
      </w:pPr>
      <w:r>
        <w:t xml:space="preserve">A </w:t>
      </w:r>
      <w:r w:rsidRPr="001D0473">
        <w:t>detailed description of the</w:t>
      </w:r>
      <w:r>
        <w:t xml:space="preserve"> services that the</w:t>
      </w:r>
      <w:r w:rsidRPr="001D0473">
        <w:t xml:space="preserve"> Supplier will be required to supply</w:t>
      </w:r>
      <w:r>
        <w:t xml:space="preserve"> to the Authority</w:t>
      </w:r>
      <w:r w:rsidRPr="001D0473">
        <w:t xml:space="preserve">. </w:t>
      </w:r>
    </w:p>
    <w:p w:rsidR="004D6816" w:rsidRPr="003E7509" w:rsidRDefault="004D6816" w:rsidP="007110A9">
      <w:pPr>
        <w:pStyle w:val="Heading3"/>
        <w:tabs>
          <w:tab w:val="clear" w:pos="1800"/>
          <w:tab w:val="num" w:pos="1418"/>
        </w:tabs>
        <w:spacing w:after="120"/>
        <w:ind w:left="1418" w:hanging="698"/>
        <w:rPr>
          <w:b/>
        </w:rPr>
      </w:pPr>
      <w:r w:rsidRPr="003E7509">
        <w:rPr>
          <w:b/>
        </w:rPr>
        <w:t>Appendix C – Terms and Conditions of Contract</w:t>
      </w:r>
    </w:p>
    <w:p w:rsidR="004D6816" w:rsidRDefault="004D6816" w:rsidP="007110A9">
      <w:pPr>
        <w:pStyle w:val="Heading3"/>
        <w:numPr>
          <w:ilvl w:val="0"/>
          <w:numId w:val="0"/>
        </w:numPr>
        <w:spacing w:after="120"/>
        <w:ind w:left="1418"/>
      </w:pPr>
      <w:r>
        <w:t xml:space="preserve">Sets out the terms and conditions of Contract that will exist between the Authority and the Supplier. </w:t>
      </w:r>
    </w:p>
    <w:p w:rsidR="004D6816" w:rsidRPr="003E7509" w:rsidRDefault="004D6816" w:rsidP="007110A9">
      <w:pPr>
        <w:pStyle w:val="Heading3"/>
        <w:tabs>
          <w:tab w:val="clear" w:pos="1800"/>
          <w:tab w:val="num" w:pos="1418"/>
        </w:tabs>
        <w:spacing w:after="120"/>
        <w:ind w:left="1418" w:hanging="698"/>
        <w:rPr>
          <w:b/>
        </w:rPr>
      </w:pPr>
      <w:r w:rsidRPr="003E7509">
        <w:rPr>
          <w:b/>
        </w:rPr>
        <w:t xml:space="preserve">Appendix D – Response </w:t>
      </w:r>
      <w:r>
        <w:rPr>
          <w:b/>
        </w:rPr>
        <w:t>Guidance</w:t>
      </w:r>
      <w:r w:rsidRPr="003E7509">
        <w:rPr>
          <w:b/>
        </w:rPr>
        <w:t xml:space="preserve"> </w:t>
      </w:r>
    </w:p>
    <w:p w:rsidR="004D6816" w:rsidRDefault="004D6816" w:rsidP="007110A9">
      <w:pPr>
        <w:pStyle w:val="Heading3"/>
        <w:numPr>
          <w:ilvl w:val="0"/>
          <w:numId w:val="0"/>
        </w:numPr>
        <w:spacing w:after="120"/>
        <w:ind w:left="1418"/>
      </w:pPr>
      <w:r>
        <w:t xml:space="preserve">A template containing questions which the Potential Provider is required to respond to. </w:t>
      </w:r>
    </w:p>
    <w:p w:rsidR="002618BF" w:rsidRPr="002618BF" w:rsidRDefault="002618BF" w:rsidP="002618BF">
      <w:pPr>
        <w:pStyle w:val="Heading3"/>
        <w:tabs>
          <w:tab w:val="clear" w:pos="1800"/>
          <w:tab w:val="num" w:pos="1418"/>
        </w:tabs>
        <w:spacing w:after="120"/>
        <w:ind w:left="1418" w:hanging="698"/>
        <w:rPr>
          <w:b/>
        </w:rPr>
      </w:pPr>
      <w:r w:rsidRPr="002618BF">
        <w:rPr>
          <w:b/>
        </w:rPr>
        <w:t>Appendix E – Pricing Matrix</w:t>
      </w:r>
    </w:p>
    <w:p w:rsidR="002618BF" w:rsidRPr="008A0199" w:rsidRDefault="002618BF" w:rsidP="002618BF">
      <w:pPr>
        <w:pStyle w:val="Heading3"/>
        <w:numPr>
          <w:ilvl w:val="0"/>
          <w:numId w:val="0"/>
        </w:numPr>
        <w:spacing w:after="120"/>
        <w:ind w:left="1418"/>
      </w:pPr>
      <w:r w:rsidRPr="008A0199">
        <w:t>Bidders are required to complete and return Appendix E – Pricing Matrix providing a transparent breakdown of their tendered price.</w:t>
      </w:r>
    </w:p>
    <w:p w:rsidR="004D6816" w:rsidRDefault="004D6816" w:rsidP="00C22B7B">
      <w:pPr>
        <w:pStyle w:val="Heading1"/>
        <w:tabs>
          <w:tab w:val="left" w:pos="851"/>
        </w:tabs>
        <w:spacing w:before="120" w:after="120"/>
      </w:pPr>
      <w:bookmarkStart w:id="5" w:name="_Toc323222359"/>
      <w:r>
        <w:t>tENDER RESPONSES</w:t>
      </w:r>
      <w:bookmarkEnd w:id="5"/>
    </w:p>
    <w:p w:rsidR="004D6816" w:rsidRDefault="004D6816" w:rsidP="00F205ED">
      <w:pPr>
        <w:pStyle w:val="Heading2"/>
        <w:tabs>
          <w:tab w:val="left" w:pos="851"/>
        </w:tabs>
        <w:spacing w:after="120"/>
        <w:ind w:left="737" w:hanging="737"/>
      </w:pPr>
      <w:r>
        <w:t xml:space="preserve">Potential Providers </w:t>
      </w:r>
      <w:r w:rsidRPr="0086454D">
        <w:rPr>
          <w:b/>
        </w:rPr>
        <w:t>must</w:t>
      </w:r>
      <w:r>
        <w:t xml:space="preserve"> submit their proposals/answer all questions via the e-sourcing portal as outlined in Appendix D – Response Guidance.</w:t>
      </w:r>
    </w:p>
    <w:p w:rsidR="004D6816" w:rsidRDefault="004D6816" w:rsidP="00C22B7B">
      <w:pPr>
        <w:pStyle w:val="Heading2"/>
        <w:tabs>
          <w:tab w:val="left" w:pos="851"/>
        </w:tabs>
        <w:spacing w:after="120"/>
        <w:ind w:left="737" w:hanging="737"/>
      </w:pPr>
      <w:r>
        <w:t xml:space="preserve">Potential Providers </w:t>
      </w:r>
      <w:r w:rsidRPr="00C22B7B">
        <w:rPr>
          <w:b/>
        </w:rPr>
        <w:t>must not</w:t>
      </w:r>
      <w:r>
        <w:t xml:space="preserve"> submit any additional information with their Tender other than that specifically requested in Appendix B – </w:t>
      </w:r>
      <w:r w:rsidR="00514DF0">
        <w:t>Statement of Requriements</w:t>
      </w:r>
      <w:r>
        <w:t xml:space="preserve"> or Appendix D – Response Guidance. </w:t>
      </w:r>
    </w:p>
    <w:p w:rsidR="002A4AF1" w:rsidRDefault="002A4AF1" w:rsidP="00C22B7B">
      <w:pPr>
        <w:pStyle w:val="Heading2"/>
        <w:tabs>
          <w:tab w:val="left" w:pos="851"/>
        </w:tabs>
        <w:spacing w:after="120"/>
        <w:ind w:left="737" w:hanging="737"/>
      </w:pPr>
      <w:r>
        <w:t>Potential Providers must ensure they select the ‘Submit all draft bids’ icon in order for their response to be submitted. Failure to select this option will mean that the bid remains in a ‘draft; status and will therefore not be considered.</w:t>
      </w:r>
    </w:p>
    <w:p w:rsidR="0081063F" w:rsidRDefault="0081063F" w:rsidP="0081063F">
      <w:pPr>
        <w:pStyle w:val="Heading2"/>
        <w:tabs>
          <w:tab w:val="left" w:pos="851"/>
        </w:tabs>
        <w:spacing w:after="120"/>
        <w:ind w:left="737" w:hanging="737"/>
        <w:rPr>
          <w:rFonts w:cs="Arial"/>
        </w:rPr>
      </w:pPr>
      <w:r w:rsidRPr="005716CA">
        <w:rPr>
          <w:rFonts w:cs="Arial"/>
        </w:rPr>
        <w:t>Pricing will be held firm for the duration of the contract, however, bidders should note that the Authority will be focussed on containing and controlling costs and scope and will be actively seeking discounts on r</w:t>
      </w:r>
      <w:r w:rsidR="009B2CD5">
        <w:rPr>
          <w:rFonts w:cs="Arial"/>
        </w:rPr>
        <w:t>ates applied.</w:t>
      </w:r>
    </w:p>
    <w:p w:rsidR="0081063F" w:rsidRDefault="0081063F" w:rsidP="0081063F">
      <w:pPr>
        <w:pStyle w:val="Heading3"/>
      </w:pPr>
      <w:r w:rsidRPr="0081063F">
        <w:t>All Bids</w:t>
      </w:r>
      <w:r w:rsidR="008A0199">
        <w:t xml:space="preserve"> </w:t>
      </w:r>
      <w:r w:rsidRPr="0081063F">
        <w:t>(including prices) shall be valid for a period of 90 days from the closing date.</w:t>
      </w:r>
    </w:p>
    <w:p w:rsidR="004D6816" w:rsidRDefault="004D6816" w:rsidP="00800097">
      <w:pPr>
        <w:pStyle w:val="Heading1"/>
        <w:tabs>
          <w:tab w:val="left" w:pos="851"/>
        </w:tabs>
        <w:spacing w:before="120" w:after="120"/>
      </w:pPr>
      <w:bookmarkStart w:id="6" w:name="_Toc323222360"/>
      <w:r>
        <w:t>PROCUREMENT TIMETABLE</w:t>
      </w:r>
      <w:bookmarkEnd w:id="6"/>
      <w:r>
        <w:t xml:space="preserve"> </w:t>
      </w:r>
    </w:p>
    <w:p w:rsidR="004D6816" w:rsidRDefault="004D6816" w:rsidP="007110A9">
      <w:pPr>
        <w:pStyle w:val="Heading2"/>
        <w:tabs>
          <w:tab w:val="left" w:pos="851"/>
        </w:tabs>
        <w:spacing w:after="120"/>
        <w:ind w:left="737" w:hanging="737"/>
      </w:pPr>
      <w:r>
        <w:t xml:space="preserve">The timetable for this Procurement is set out in the table below. </w:t>
      </w:r>
    </w:p>
    <w:p w:rsidR="004D6816" w:rsidRDefault="004D6816" w:rsidP="007110A9">
      <w:pPr>
        <w:pStyle w:val="Heading2"/>
        <w:tabs>
          <w:tab w:val="left" w:pos="851"/>
        </w:tabs>
        <w:spacing w:after="120"/>
        <w:ind w:left="737" w:hanging="737"/>
      </w:pPr>
      <w:r>
        <w:t xml:space="preserve">This timetable may be changed by the </w:t>
      </w:r>
      <w:r w:rsidR="0085239A">
        <w:t>Crown Commercial Service</w:t>
      </w:r>
      <w:r>
        <w:t xml:space="preserve"> at any time. The Potential Provider will be informed through the e</w:t>
      </w:r>
      <w:r w:rsidR="003F5C20">
        <w:t>-</w:t>
      </w:r>
      <w:r>
        <w:t>Sourcing Portal if changes to this timetable are necessary.</w:t>
      </w:r>
    </w:p>
    <w:tbl>
      <w:tblPr>
        <w:tblW w:w="83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829"/>
      </w:tblGrid>
      <w:tr w:rsidR="004D6816" w:rsidTr="00BF612A">
        <w:trPr>
          <w:cantSplit/>
          <w:tblHeader/>
        </w:trPr>
        <w:tc>
          <w:tcPr>
            <w:tcW w:w="2552" w:type="dxa"/>
            <w:shd w:val="clear" w:color="auto" w:fill="E0E0E0"/>
            <w:vAlign w:val="center"/>
          </w:tcPr>
          <w:p w:rsidR="004D6816" w:rsidRDefault="004D6816" w:rsidP="00C22B7B">
            <w:pPr>
              <w:pStyle w:val="MarginText"/>
              <w:spacing w:before="60" w:after="60"/>
              <w:jc w:val="center"/>
              <w:rPr>
                <w:b/>
              </w:rPr>
            </w:pPr>
            <w:r>
              <w:rPr>
                <w:b/>
              </w:rPr>
              <w:t>DATE</w:t>
            </w:r>
          </w:p>
        </w:tc>
        <w:tc>
          <w:tcPr>
            <w:tcW w:w="5829" w:type="dxa"/>
            <w:shd w:val="clear" w:color="auto" w:fill="E0E0E0"/>
            <w:vAlign w:val="center"/>
          </w:tcPr>
          <w:p w:rsidR="004D6816" w:rsidRDefault="004D6816" w:rsidP="00C22B7B">
            <w:pPr>
              <w:pStyle w:val="MarginText"/>
              <w:spacing w:before="60" w:after="60"/>
              <w:jc w:val="center"/>
              <w:rPr>
                <w:b/>
              </w:rPr>
            </w:pPr>
            <w:r>
              <w:rPr>
                <w:b/>
              </w:rPr>
              <w:t>ACTIVITY</w:t>
            </w:r>
          </w:p>
        </w:tc>
      </w:tr>
      <w:tr w:rsidR="004D6816" w:rsidTr="00C22B7B">
        <w:trPr>
          <w:cantSplit/>
        </w:trPr>
        <w:tc>
          <w:tcPr>
            <w:tcW w:w="2552" w:type="dxa"/>
          </w:tcPr>
          <w:p w:rsidR="004D6816" w:rsidRPr="002F0FDB" w:rsidRDefault="008A0199" w:rsidP="008A0199">
            <w:pPr>
              <w:pStyle w:val="MarginText"/>
              <w:spacing w:before="60" w:after="60"/>
              <w:jc w:val="center"/>
              <w:rPr>
                <w:highlight w:val="yellow"/>
              </w:rPr>
            </w:pPr>
            <w:r>
              <w:t>Tuesday 12</w:t>
            </w:r>
            <w:r w:rsidRPr="008A0199">
              <w:rPr>
                <w:vertAlign w:val="superscript"/>
              </w:rPr>
              <w:t>th</w:t>
            </w:r>
            <w:r>
              <w:t xml:space="preserve"> May 2015</w:t>
            </w:r>
          </w:p>
        </w:tc>
        <w:tc>
          <w:tcPr>
            <w:tcW w:w="5829" w:type="dxa"/>
          </w:tcPr>
          <w:p w:rsidR="004D6816" w:rsidRDefault="004D6816" w:rsidP="00C22B7B">
            <w:pPr>
              <w:pStyle w:val="MarginText"/>
              <w:spacing w:before="60" w:after="60"/>
            </w:pPr>
            <w:r>
              <w:t>Publication of the ITT</w:t>
            </w:r>
            <w:r w:rsidR="001E65BE">
              <w:t>/Contracts Finder</w:t>
            </w:r>
            <w:r>
              <w:t xml:space="preserve"> </w:t>
            </w:r>
          </w:p>
        </w:tc>
      </w:tr>
      <w:tr w:rsidR="004D6816" w:rsidTr="00C22B7B">
        <w:trPr>
          <w:cantSplit/>
        </w:trPr>
        <w:tc>
          <w:tcPr>
            <w:tcW w:w="2552" w:type="dxa"/>
          </w:tcPr>
          <w:p w:rsidR="004D6816" w:rsidRPr="002F0FDB" w:rsidRDefault="008A0199" w:rsidP="00BA1418">
            <w:pPr>
              <w:pStyle w:val="MarginText"/>
              <w:spacing w:before="60" w:after="60"/>
              <w:jc w:val="center"/>
              <w:rPr>
                <w:highlight w:val="yellow"/>
              </w:rPr>
            </w:pPr>
            <w:r>
              <w:t>Tuesday 12</w:t>
            </w:r>
            <w:r w:rsidRPr="008A0199">
              <w:rPr>
                <w:vertAlign w:val="superscript"/>
              </w:rPr>
              <w:t>th</w:t>
            </w:r>
            <w:r>
              <w:t xml:space="preserve"> May 2015</w:t>
            </w:r>
          </w:p>
        </w:tc>
        <w:tc>
          <w:tcPr>
            <w:tcW w:w="5829" w:type="dxa"/>
          </w:tcPr>
          <w:p w:rsidR="004D6816" w:rsidRDefault="004D6816" w:rsidP="00C22B7B">
            <w:pPr>
              <w:pStyle w:val="MarginText"/>
              <w:spacing w:before="60" w:after="60"/>
            </w:pPr>
            <w:r>
              <w:t>Clarification period starts</w:t>
            </w:r>
          </w:p>
        </w:tc>
      </w:tr>
      <w:tr w:rsidR="004D6816" w:rsidTr="00C22B7B">
        <w:trPr>
          <w:cantSplit/>
        </w:trPr>
        <w:tc>
          <w:tcPr>
            <w:tcW w:w="2552" w:type="dxa"/>
          </w:tcPr>
          <w:p w:rsidR="004D6816" w:rsidRPr="002F0FDB" w:rsidRDefault="004A159B" w:rsidP="004A159B">
            <w:pPr>
              <w:pStyle w:val="MarginText"/>
              <w:spacing w:before="60" w:after="60"/>
              <w:jc w:val="center"/>
              <w:rPr>
                <w:highlight w:val="yellow"/>
              </w:rPr>
            </w:pPr>
            <w:r>
              <w:t>Thursday</w:t>
            </w:r>
            <w:r w:rsidR="008A0199">
              <w:t xml:space="preserve"> 1</w:t>
            </w:r>
            <w:r>
              <w:t>4</w:t>
            </w:r>
            <w:r w:rsidR="008A0199" w:rsidRPr="008A0199">
              <w:rPr>
                <w:vertAlign w:val="superscript"/>
              </w:rPr>
              <w:t>th</w:t>
            </w:r>
            <w:r w:rsidR="008A0199">
              <w:t xml:space="preserve"> May 2015 1</w:t>
            </w:r>
            <w:r>
              <w:t>6</w:t>
            </w:r>
            <w:r w:rsidR="008A0199">
              <w:t>:00</w:t>
            </w:r>
          </w:p>
        </w:tc>
        <w:tc>
          <w:tcPr>
            <w:tcW w:w="5829" w:type="dxa"/>
          </w:tcPr>
          <w:p w:rsidR="004D6816" w:rsidRDefault="004D6816" w:rsidP="00C22B7B">
            <w:pPr>
              <w:pStyle w:val="MarginText"/>
              <w:spacing w:before="60" w:after="60"/>
            </w:pPr>
            <w:r>
              <w:t>Clarification period closes (“</w:t>
            </w:r>
            <w:r>
              <w:rPr>
                <w:b/>
              </w:rPr>
              <w:t>Tender Clarifications Deadline</w:t>
            </w:r>
            <w:r>
              <w:t>”)</w:t>
            </w:r>
          </w:p>
        </w:tc>
      </w:tr>
      <w:tr w:rsidR="008D1E6C" w:rsidTr="00C22B7B">
        <w:trPr>
          <w:cantSplit/>
        </w:trPr>
        <w:tc>
          <w:tcPr>
            <w:tcW w:w="2552" w:type="dxa"/>
          </w:tcPr>
          <w:p w:rsidR="008D1E6C" w:rsidRPr="002F0FDB" w:rsidRDefault="004A159B" w:rsidP="004A159B">
            <w:pPr>
              <w:pStyle w:val="MarginText"/>
              <w:spacing w:before="60" w:after="60"/>
              <w:jc w:val="center"/>
              <w:rPr>
                <w:highlight w:val="yellow"/>
              </w:rPr>
            </w:pPr>
            <w:r>
              <w:t>Friday</w:t>
            </w:r>
            <w:r w:rsidR="008A0199">
              <w:t xml:space="preserve"> 1</w:t>
            </w:r>
            <w:r>
              <w:t>5</w:t>
            </w:r>
            <w:r w:rsidR="008A0199" w:rsidRPr="008A0199">
              <w:rPr>
                <w:vertAlign w:val="superscript"/>
              </w:rPr>
              <w:t>th</w:t>
            </w:r>
            <w:r w:rsidR="008A0199">
              <w:t xml:space="preserve"> May 2015 16:00</w:t>
            </w:r>
          </w:p>
        </w:tc>
        <w:tc>
          <w:tcPr>
            <w:tcW w:w="5829" w:type="dxa"/>
          </w:tcPr>
          <w:p w:rsidR="008D1E6C" w:rsidRDefault="008D1E6C" w:rsidP="00C22B7B">
            <w:pPr>
              <w:pStyle w:val="MarginText"/>
              <w:spacing w:before="60" w:after="60"/>
            </w:pPr>
            <w:r>
              <w:t>Deadline for a response to the clarification questions</w:t>
            </w:r>
          </w:p>
        </w:tc>
      </w:tr>
      <w:tr w:rsidR="008D1E6C" w:rsidTr="00C22B7B">
        <w:trPr>
          <w:cantSplit/>
        </w:trPr>
        <w:tc>
          <w:tcPr>
            <w:tcW w:w="2552" w:type="dxa"/>
          </w:tcPr>
          <w:p w:rsidR="008D1E6C" w:rsidRPr="002F0FDB" w:rsidRDefault="004A159B" w:rsidP="004A159B">
            <w:pPr>
              <w:pStyle w:val="MarginText"/>
              <w:spacing w:before="60" w:after="60"/>
              <w:jc w:val="center"/>
              <w:rPr>
                <w:highlight w:val="yellow"/>
              </w:rPr>
            </w:pPr>
            <w:r>
              <w:t>Tuesday 19</w:t>
            </w:r>
            <w:r w:rsidRPr="004A159B">
              <w:rPr>
                <w:vertAlign w:val="superscript"/>
              </w:rPr>
              <w:t>th</w:t>
            </w:r>
            <w:r>
              <w:t xml:space="preserve"> </w:t>
            </w:r>
            <w:r w:rsidR="008A0199">
              <w:t xml:space="preserve"> May 2015 1</w:t>
            </w:r>
            <w:r>
              <w:t>4</w:t>
            </w:r>
            <w:r w:rsidR="008A0199">
              <w:t>:00</w:t>
            </w:r>
          </w:p>
        </w:tc>
        <w:tc>
          <w:tcPr>
            <w:tcW w:w="5829" w:type="dxa"/>
          </w:tcPr>
          <w:p w:rsidR="008D1E6C" w:rsidRDefault="008D1E6C" w:rsidP="00C22B7B">
            <w:pPr>
              <w:pStyle w:val="MarginText"/>
              <w:spacing w:before="60" w:after="60"/>
            </w:pPr>
            <w:r>
              <w:t xml:space="preserve">Deadline for submission of a Tender to the </w:t>
            </w:r>
            <w:r w:rsidR="0085239A">
              <w:t>Crown Commercial Service</w:t>
            </w:r>
            <w:r>
              <w:t xml:space="preserve"> (“</w:t>
            </w:r>
            <w:r>
              <w:rPr>
                <w:b/>
              </w:rPr>
              <w:t>Tender Submission Deadline</w:t>
            </w:r>
            <w:r>
              <w:t>”)</w:t>
            </w:r>
          </w:p>
        </w:tc>
      </w:tr>
      <w:tr w:rsidR="004D6816" w:rsidTr="00C22B7B">
        <w:trPr>
          <w:cantSplit/>
        </w:trPr>
        <w:tc>
          <w:tcPr>
            <w:tcW w:w="2552" w:type="dxa"/>
          </w:tcPr>
          <w:p w:rsidR="004D6816" w:rsidRPr="002F0FDB" w:rsidRDefault="008A0199" w:rsidP="00175EAF">
            <w:pPr>
              <w:pStyle w:val="MarginText"/>
              <w:spacing w:before="60" w:after="60"/>
              <w:jc w:val="center"/>
              <w:rPr>
                <w:highlight w:val="yellow"/>
              </w:rPr>
            </w:pPr>
            <w:r>
              <w:t xml:space="preserve">Wednesday </w:t>
            </w:r>
            <w:r w:rsidR="00175EAF">
              <w:t>20</w:t>
            </w:r>
            <w:r w:rsidRPr="008A0199">
              <w:rPr>
                <w:vertAlign w:val="superscript"/>
              </w:rPr>
              <w:t>th</w:t>
            </w:r>
            <w:r>
              <w:t xml:space="preserve"> May 2015 – Thursday </w:t>
            </w:r>
            <w:r w:rsidR="00175EAF">
              <w:t>21</w:t>
            </w:r>
            <w:r w:rsidR="00175EAF" w:rsidRPr="00175EAF">
              <w:rPr>
                <w:vertAlign w:val="superscript"/>
              </w:rPr>
              <w:t>st</w:t>
            </w:r>
            <w:r>
              <w:t xml:space="preserve"> May 2015</w:t>
            </w:r>
          </w:p>
        </w:tc>
        <w:tc>
          <w:tcPr>
            <w:tcW w:w="5829" w:type="dxa"/>
          </w:tcPr>
          <w:p w:rsidR="004D6816" w:rsidRDefault="004D6816" w:rsidP="00C22B7B">
            <w:pPr>
              <w:pStyle w:val="MarginText"/>
              <w:spacing w:before="60" w:after="60"/>
            </w:pPr>
            <w:r>
              <w:t xml:space="preserve">Evaluation </w:t>
            </w:r>
            <w:r w:rsidR="00011778">
              <w:t>Period</w:t>
            </w:r>
          </w:p>
        </w:tc>
      </w:tr>
      <w:tr w:rsidR="008B19E3" w:rsidTr="00C22B7B">
        <w:trPr>
          <w:cantSplit/>
        </w:trPr>
        <w:tc>
          <w:tcPr>
            <w:tcW w:w="2552" w:type="dxa"/>
          </w:tcPr>
          <w:p w:rsidR="008B19E3" w:rsidRDefault="008A0199" w:rsidP="00175EAF">
            <w:pPr>
              <w:pStyle w:val="MarginText"/>
              <w:spacing w:before="60" w:after="60"/>
              <w:jc w:val="center"/>
            </w:pPr>
            <w:r>
              <w:t>Friday 2</w:t>
            </w:r>
            <w:r w:rsidR="00175EAF">
              <w:t>2</w:t>
            </w:r>
            <w:r w:rsidR="00175EAF" w:rsidRPr="00175EAF">
              <w:rPr>
                <w:vertAlign w:val="superscript"/>
              </w:rPr>
              <w:t>nd</w:t>
            </w:r>
            <w:r w:rsidR="00175EAF">
              <w:t xml:space="preserve"> </w:t>
            </w:r>
            <w:r>
              <w:t xml:space="preserve">May 2015 – Monday </w:t>
            </w:r>
            <w:r w:rsidR="00175EAF">
              <w:t>25</w:t>
            </w:r>
            <w:r w:rsidR="00175EAF" w:rsidRPr="00175EAF">
              <w:rPr>
                <w:vertAlign w:val="superscript"/>
              </w:rPr>
              <w:t>th</w:t>
            </w:r>
            <w:r w:rsidR="00175EAF">
              <w:t xml:space="preserve"> May</w:t>
            </w:r>
            <w:r>
              <w:t xml:space="preserve"> 2015</w:t>
            </w:r>
          </w:p>
        </w:tc>
        <w:tc>
          <w:tcPr>
            <w:tcW w:w="5829" w:type="dxa"/>
          </w:tcPr>
          <w:p w:rsidR="008B19E3" w:rsidRDefault="008B19E3" w:rsidP="008B19E3">
            <w:pPr>
              <w:pStyle w:val="MarginText"/>
              <w:spacing w:before="60" w:after="60"/>
            </w:pPr>
            <w:r>
              <w:t>Draft and approval of Award Recommendation Report</w:t>
            </w:r>
          </w:p>
        </w:tc>
      </w:tr>
      <w:tr w:rsidR="004D6816" w:rsidTr="00C22B7B">
        <w:trPr>
          <w:cantSplit/>
        </w:trPr>
        <w:tc>
          <w:tcPr>
            <w:tcW w:w="2552" w:type="dxa"/>
          </w:tcPr>
          <w:p w:rsidR="004D6816" w:rsidRPr="002F0FDB" w:rsidRDefault="008A0199" w:rsidP="00175EAF">
            <w:pPr>
              <w:pStyle w:val="MarginText"/>
              <w:spacing w:before="60" w:after="60"/>
              <w:jc w:val="center"/>
              <w:rPr>
                <w:highlight w:val="yellow"/>
              </w:rPr>
            </w:pPr>
            <w:r>
              <w:t xml:space="preserve">Tuesday </w:t>
            </w:r>
            <w:r w:rsidR="00175EAF">
              <w:t>26</w:t>
            </w:r>
            <w:r w:rsidR="00175EAF" w:rsidRPr="00175EAF">
              <w:rPr>
                <w:vertAlign w:val="superscript"/>
              </w:rPr>
              <w:t>th</w:t>
            </w:r>
            <w:r w:rsidR="00175EAF">
              <w:t xml:space="preserve"> May</w:t>
            </w:r>
            <w:r>
              <w:t xml:space="preserve"> 2015</w:t>
            </w:r>
          </w:p>
        </w:tc>
        <w:tc>
          <w:tcPr>
            <w:tcW w:w="5829" w:type="dxa"/>
          </w:tcPr>
          <w:p w:rsidR="004D6816" w:rsidRDefault="004D6816" w:rsidP="008D1E6C">
            <w:pPr>
              <w:pStyle w:val="MarginText"/>
              <w:spacing w:before="60" w:after="60"/>
            </w:pPr>
            <w:r>
              <w:t xml:space="preserve">Expected </w:t>
            </w:r>
            <w:r w:rsidR="008D1E6C">
              <w:t>award date of contract</w:t>
            </w:r>
          </w:p>
        </w:tc>
      </w:tr>
      <w:tr w:rsidR="008D1E6C" w:rsidTr="00C22B7B">
        <w:trPr>
          <w:cantSplit/>
        </w:trPr>
        <w:tc>
          <w:tcPr>
            <w:tcW w:w="2552" w:type="dxa"/>
          </w:tcPr>
          <w:p w:rsidR="008D1E6C" w:rsidRPr="002F0FDB" w:rsidRDefault="008A0199" w:rsidP="00175EAF">
            <w:pPr>
              <w:pStyle w:val="MarginText"/>
              <w:spacing w:before="60" w:after="60"/>
              <w:jc w:val="center"/>
              <w:rPr>
                <w:highlight w:val="yellow"/>
              </w:rPr>
            </w:pPr>
            <w:r>
              <w:t xml:space="preserve">Wednesday </w:t>
            </w:r>
            <w:r w:rsidR="00175EAF">
              <w:t>27</w:t>
            </w:r>
            <w:r w:rsidR="00175EAF" w:rsidRPr="00175EAF">
              <w:rPr>
                <w:vertAlign w:val="superscript"/>
              </w:rPr>
              <w:t>th</w:t>
            </w:r>
            <w:r w:rsidR="00175EAF">
              <w:t xml:space="preserve"> May</w:t>
            </w:r>
            <w:r>
              <w:t xml:space="preserve"> 2015</w:t>
            </w:r>
          </w:p>
        </w:tc>
        <w:tc>
          <w:tcPr>
            <w:tcW w:w="5829" w:type="dxa"/>
          </w:tcPr>
          <w:p w:rsidR="008D1E6C" w:rsidRDefault="008D1E6C" w:rsidP="008D1E6C">
            <w:pPr>
              <w:pStyle w:val="MarginText"/>
              <w:spacing w:before="60" w:after="60"/>
            </w:pPr>
            <w:r>
              <w:t>Anticipated contract commencement date</w:t>
            </w:r>
          </w:p>
        </w:tc>
      </w:tr>
    </w:tbl>
    <w:p w:rsidR="004D6816" w:rsidRDefault="004D6816" w:rsidP="009A37CD">
      <w:pPr>
        <w:pStyle w:val="Heading1"/>
        <w:tabs>
          <w:tab w:val="left" w:pos="851"/>
        </w:tabs>
        <w:spacing w:before="240" w:after="120"/>
      </w:pPr>
      <w:bookmarkStart w:id="7" w:name="_Toc323222361"/>
      <w:r>
        <w:t>questions AND CLARIFICATIONS</w:t>
      </w:r>
      <w:bookmarkEnd w:id="7"/>
    </w:p>
    <w:p w:rsidR="004D6816" w:rsidRPr="007C40D2" w:rsidRDefault="004D6816" w:rsidP="007C40D2">
      <w:pPr>
        <w:pStyle w:val="Heading2"/>
        <w:tabs>
          <w:tab w:val="left" w:pos="851"/>
        </w:tabs>
        <w:spacing w:after="120"/>
        <w:ind w:left="737" w:hanging="737"/>
      </w:pPr>
      <w:r w:rsidRPr="0077138F">
        <w:t xml:space="preserve">Potential Providers may raise questions or seek clarification regarding any aspect of this </w:t>
      </w:r>
      <w:r w:rsidRPr="007C40D2">
        <w:t xml:space="preserve">Procurement at any time prior to the Tender Clarification Deadline. Questions must be submitted via </w:t>
      </w:r>
      <w:r w:rsidR="008D1E6C">
        <w:t xml:space="preserve">the </w:t>
      </w:r>
      <w:r>
        <w:t>e-sourcing suite.</w:t>
      </w:r>
    </w:p>
    <w:p w:rsidR="004D6816" w:rsidRPr="007C40D2" w:rsidRDefault="0085239A" w:rsidP="007C40D2">
      <w:pPr>
        <w:pStyle w:val="Heading2"/>
        <w:tabs>
          <w:tab w:val="left" w:pos="851"/>
        </w:tabs>
        <w:spacing w:after="120"/>
        <w:ind w:left="737" w:hanging="737"/>
      </w:pPr>
      <w:r>
        <w:t>Crown Commercial Service</w:t>
      </w:r>
      <w:r w:rsidR="004D6816">
        <w:t xml:space="preserve"> </w:t>
      </w:r>
      <w:r w:rsidR="004D6816" w:rsidRPr="007C40D2">
        <w:t>will not enter into exclusive discussions regarding the requirements of this Procurement with Potential Providers.</w:t>
      </w:r>
    </w:p>
    <w:p w:rsidR="004D6816" w:rsidRPr="007C40D2" w:rsidRDefault="004D6816" w:rsidP="007C40D2">
      <w:pPr>
        <w:pStyle w:val="Heading2"/>
        <w:tabs>
          <w:tab w:val="left" w:pos="851"/>
        </w:tabs>
        <w:spacing w:after="120"/>
        <w:ind w:left="737" w:hanging="737"/>
      </w:pPr>
      <w:r w:rsidRPr="007C40D2">
        <w:t xml:space="preserve">To ensure that all Potential Providers have equal access to information regarding this Procurement, the </w:t>
      </w:r>
      <w:r w:rsidR="0085239A">
        <w:t>Crown Commercial Service</w:t>
      </w:r>
      <w:r>
        <w:t xml:space="preserve"> </w:t>
      </w:r>
      <w:r w:rsidRPr="007C40D2">
        <w:t xml:space="preserve">will publish all its responses to questions raised by Potential Providers on an anonymous basis. </w:t>
      </w:r>
    </w:p>
    <w:p w:rsidR="004D6816" w:rsidRDefault="004D6816" w:rsidP="00931F12">
      <w:pPr>
        <w:pStyle w:val="Heading2"/>
        <w:tabs>
          <w:tab w:val="left" w:pos="851"/>
        </w:tabs>
        <w:spacing w:after="120"/>
        <w:ind w:left="737" w:hanging="737"/>
      </w:pPr>
      <w:r w:rsidRPr="0025076C">
        <w:t xml:space="preserve">Responses will be published in a Questions and Answers document </w:t>
      </w:r>
      <w:r>
        <w:t>to all companies who expressed an interest and were subsequently invited to tender.</w:t>
      </w:r>
    </w:p>
    <w:p w:rsidR="004D6816" w:rsidRPr="007C40D2" w:rsidRDefault="004D6816" w:rsidP="007C40D2">
      <w:pPr>
        <w:pStyle w:val="Heading2"/>
        <w:tabs>
          <w:tab w:val="left" w:pos="851"/>
        </w:tabs>
        <w:spacing w:after="120"/>
        <w:ind w:left="737" w:hanging="737"/>
      </w:pPr>
      <w:r w:rsidRPr="007C40D2">
        <w:t xml:space="preserve">At times the </w:t>
      </w:r>
      <w:r w:rsidR="0085239A">
        <w:t>Crown Commercial Service</w:t>
      </w:r>
      <w:r>
        <w:t xml:space="preserve"> </w:t>
      </w:r>
      <w:r w:rsidRPr="007C40D2">
        <w:t xml:space="preserve">may issue communications to the email address for the tender contact provided in Appendix D (Response </w:t>
      </w:r>
      <w:r>
        <w:t>Guidance</w:t>
      </w:r>
      <w:r w:rsidRPr="007C40D2">
        <w:t xml:space="preserve">), therefore please ensure that this mailbox is reviewed on a regular basis. </w:t>
      </w:r>
    </w:p>
    <w:p w:rsidR="004D6816" w:rsidRDefault="004D6816" w:rsidP="002905A0">
      <w:pPr>
        <w:pStyle w:val="Heading1"/>
        <w:tabs>
          <w:tab w:val="left" w:pos="851"/>
        </w:tabs>
        <w:spacing w:before="120" w:after="120"/>
      </w:pPr>
      <w:bookmarkStart w:id="8" w:name="_Toc323222362"/>
      <w:r>
        <w:t>Price</w:t>
      </w:r>
    </w:p>
    <w:p w:rsidR="004D6816" w:rsidRDefault="004D6816" w:rsidP="00121282">
      <w:pPr>
        <w:pStyle w:val="Heading2"/>
      </w:pPr>
      <w:r>
        <w:t>Prices should be submitted</w:t>
      </w:r>
      <w:r w:rsidR="00C2383B">
        <w:t xml:space="preserve"> in pounds sterling</w:t>
      </w:r>
      <w:r>
        <w:t xml:space="preserve"> inclusive of any expenses but should </w:t>
      </w:r>
      <w:r w:rsidRPr="00121282">
        <w:rPr>
          <w:u w:val="single"/>
        </w:rPr>
        <w:t>exclude</w:t>
      </w:r>
      <w:r>
        <w:t xml:space="preserve"> VAT.  </w:t>
      </w:r>
    </w:p>
    <w:p w:rsidR="00F83727" w:rsidRDefault="00F83727" w:rsidP="00121282">
      <w:pPr>
        <w:pStyle w:val="Heading2"/>
      </w:pPr>
      <w:r>
        <w:t>Potential Providers are required to complete the bid fields within the e-sourcing suite which provides a total fixed price for the delivery of the requirement as well as providing a transparent breakdown within the price questionnaire.</w:t>
      </w:r>
    </w:p>
    <w:p w:rsidR="00F83727" w:rsidRDefault="00F83727" w:rsidP="00121282">
      <w:pPr>
        <w:pStyle w:val="Heading2"/>
      </w:pPr>
      <w:r>
        <w:t>Where bid fields have not been specified, potential providers are required to attach a transparent breakdown of their price schedule within the price questionnaire only.</w:t>
      </w:r>
    </w:p>
    <w:p w:rsidR="004D6816" w:rsidRDefault="004D6816" w:rsidP="002905A0">
      <w:pPr>
        <w:pStyle w:val="Heading1"/>
        <w:tabs>
          <w:tab w:val="left" w:pos="851"/>
        </w:tabs>
        <w:spacing w:before="120" w:after="120"/>
      </w:pPr>
      <w:r>
        <w:t>Submitting a tender</w:t>
      </w:r>
    </w:p>
    <w:p w:rsidR="004D6816" w:rsidRPr="00F205ED" w:rsidRDefault="004D6816" w:rsidP="002905A0">
      <w:pPr>
        <w:pStyle w:val="Heading2"/>
      </w:pPr>
      <w:r w:rsidRPr="00F205ED">
        <w:t xml:space="preserve">Potential Providers should submit their Tender via the e-Sourcing portal that </w:t>
      </w:r>
      <w:r w:rsidR="0085239A">
        <w:t>Crown Commercial Service</w:t>
      </w:r>
      <w:r w:rsidRPr="00F205ED">
        <w:t xml:space="preserve"> has used during the Procurement unless otherwise stated.</w:t>
      </w:r>
    </w:p>
    <w:p w:rsidR="002F0FDB" w:rsidRDefault="004D6816" w:rsidP="002F0FDB">
      <w:pPr>
        <w:pStyle w:val="Heading2"/>
      </w:pPr>
      <w:r>
        <w:t xml:space="preserve">If Potential Providers experience any technical difficulties uploading their Tender, the Spot Buy Team at </w:t>
      </w:r>
      <w:r w:rsidR="0085239A">
        <w:t>Crown Commercial Service</w:t>
      </w:r>
      <w:r>
        <w:t xml:space="preserve"> must be contacted immediately via </w:t>
      </w:r>
      <w:hyperlink r:id="rId10" w:history="1">
        <w:r w:rsidRPr="00036181">
          <w:rPr>
            <w:rStyle w:val="Hyperlink"/>
          </w:rPr>
          <w:t>spot.buying@</w:t>
        </w:r>
        <w:r w:rsidR="0085239A">
          <w:rPr>
            <w:rStyle w:val="Hyperlink"/>
          </w:rPr>
          <w:t>ccs</w:t>
        </w:r>
        <w:r w:rsidRPr="00036181">
          <w:rPr>
            <w:rStyle w:val="Hyperlink"/>
          </w:rPr>
          <w:t>.gsi.gov.uk</w:t>
        </w:r>
      </w:hyperlink>
      <w:r w:rsidR="002F0FDB">
        <w:t xml:space="preserve"> or 0345 010 3503.</w:t>
      </w:r>
    </w:p>
    <w:p w:rsidR="007871D6" w:rsidRDefault="007871D6" w:rsidP="002F0FDB">
      <w:pPr>
        <w:pStyle w:val="Heading2"/>
      </w:pPr>
      <w:r>
        <w:t xml:space="preserve">Potential Providers are responsible for all costs incurred in submitting a tender for this requirement irrespective of a contract award.  </w:t>
      </w:r>
    </w:p>
    <w:p w:rsidR="004D6816" w:rsidRDefault="004D6816" w:rsidP="009A37CD">
      <w:pPr>
        <w:pStyle w:val="Heading1"/>
        <w:tabs>
          <w:tab w:val="left" w:pos="851"/>
        </w:tabs>
        <w:spacing w:before="120" w:after="120"/>
      </w:pPr>
      <w:r>
        <w:t>tender EVALUATION</w:t>
      </w:r>
      <w:bookmarkEnd w:id="8"/>
      <w:r>
        <w:t xml:space="preserve"> </w:t>
      </w:r>
    </w:p>
    <w:p w:rsidR="0081063F" w:rsidRDefault="0085239A" w:rsidP="0081063F">
      <w:pPr>
        <w:pStyle w:val="Heading2"/>
      </w:pPr>
      <w:r>
        <w:t>CCS</w:t>
      </w:r>
      <w:r w:rsidR="0081063F" w:rsidRPr="00390450">
        <w:t xml:space="preserve"> are required under Government purchasing initiatives to continually seek competition for the supply of goods and services in order to obtain optimum value for money.  This does not always mean accepting the lowest price and an assessment will be made of the quality of the services offered, to determine the whole life cost as apposed to initial costs.</w:t>
      </w:r>
    </w:p>
    <w:p w:rsidR="0081063F" w:rsidRDefault="0081063F" w:rsidP="0081063F">
      <w:pPr>
        <w:pStyle w:val="Heading2"/>
      </w:pPr>
      <w:r w:rsidRPr="00390450">
        <w:t xml:space="preserve">The contract will be awarded on the basis of the most economically advantageous tender. That is to say, when considering all the factors, the proposal that enables the </w:t>
      </w:r>
      <w:r>
        <w:t>Authority</w:t>
      </w:r>
      <w:r w:rsidRPr="00390450">
        <w:t xml:space="preserve"> to achieve best value for money.</w:t>
      </w:r>
    </w:p>
    <w:p w:rsidR="004D6816" w:rsidRDefault="004D6816" w:rsidP="00F172D8">
      <w:pPr>
        <w:pStyle w:val="Heading2"/>
        <w:tabs>
          <w:tab w:val="left" w:pos="851"/>
        </w:tabs>
        <w:spacing w:after="120"/>
        <w:ind w:left="737" w:hanging="737"/>
      </w:pPr>
      <w:r>
        <w:t xml:space="preserve">Tenders will be evaluated in line with the Marking Scheme set out in Appendix D (Response Guidance).  </w:t>
      </w:r>
    </w:p>
    <w:p w:rsidR="004D6816" w:rsidRDefault="004D6816" w:rsidP="006C25AD">
      <w:pPr>
        <w:pStyle w:val="Heading2"/>
        <w:tabs>
          <w:tab w:val="left" w:pos="851"/>
        </w:tabs>
        <w:spacing w:after="120"/>
        <w:ind w:left="737" w:hanging="737"/>
      </w:pPr>
      <w:r>
        <w:t xml:space="preserve">For reference an Evaluation Guidance document has been provided to Potential Providers to ensure full understanding of how Tenders are to be evaluated by the evaluation teams. </w:t>
      </w:r>
    </w:p>
    <w:p w:rsidR="004D6816" w:rsidRDefault="004D6816" w:rsidP="006C25AD">
      <w:pPr>
        <w:pStyle w:val="Heading2"/>
        <w:tabs>
          <w:tab w:val="left" w:pos="851"/>
        </w:tabs>
        <w:spacing w:after="120"/>
        <w:ind w:left="737" w:hanging="737"/>
      </w:pPr>
      <w:r>
        <w:t>Upon completion of the evaluation, the marks obtained by the Potential Provider for each question will be converted into a “</w:t>
      </w:r>
      <w:r w:rsidRPr="006C25AD">
        <w:rPr>
          <w:b/>
        </w:rPr>
        <w:t>Question Score</w:t>
      </w:r>
      <w:r w:rsidRPr="0001408F">
        <w:t xml:space="preserve">”, </w:t>
      </w:r>
      <w:r>
        <w:t xml:space="preserve">this is a percentage of the Total Score Available as indicated in the Marking Scheme for the specific question. </w:t>
      </w:r>
    </w:p>
    <w:p w:rsidR="004D6816" w:rsidRDefault="004D6816" w:rsidP="006C25AD">
      <w:pPr>
        <w:pStyle w:val="Heading2"/>
        <w:tabs>
          <w:tab w:val="left" w:pos="851"/>
        </w:tabs>
        <w:spacing w:after="120"/>
        <w:ind w:left="737" w:hanging="737"/>
      </w:pPr>
      <w:r>
        <w:t>The Question Scores will be added together to determine an overall “</w:t>
      </w:r>
      <w:r w:rsidRPr="006C25AD">
        <w:rPr>
          <w:b/>
        </w:rPr>
        <w:t>T</w:t>
      </w:r>
      <w:r>
        <w:rPr>
          <w:b/>
        </w:rPr>
        <w:t>otal</w:t>
      </w:r>
      <w:r w:rsidRPr="006C25AD">
        <w:rPr>
          <w:b/>
        </w:rPr>
        <w:t xml:space="preserve"> Score</w:t>
      </w:r>
      <w:r>
        <w:t xml:space="preserve">” for the Potential Provider. </w:t>
      </w:r>
    </w:p>
    <w:p w:rsidR="004D6816" w:rsidRDefault="004D6816" w:rsidP="0030185A">
      <w:pPr>
        <w:pStyle w:val="Heading2"/>
        <w:tabs>
          <w:tab w:val="left" w:pos="851"/>
        </w:tabs>
        <w:spacing w:after="120"/>
        <w:ind w:left="737" w:hanging="737"/>
      </w:pPr>
      <w:r>
        <w:t>The Total Score Available for each question set out in Appendix D (Response Guidance) is as follows:</w:t>
      </w:r>
    </w:p>
    <w:tbl>
      <w:tblPr>
        <w:tblW w:w="842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3471"/>
        <w:gridCol w:w="1673"/>
        <w:gridCol w:w="1891"/>
      </w:tblGrid>
      <w:tr w:rsidR="00744A4E" w:rsidTr="007C0317">
        <w:trPr>
          <w:cantSplit/>
          <w:tblHeader/>
        </w:trPr>
        <w:tc>
          <w:tcPr>
            <w:tcW w:w="1397" w:type="dxa"/>
            <w:shd w:val="clear" w:color="auto" w:fill="E0E0E0"/>
            <w:vAlign w:val="center"/>
          </w:tcPr>
          <w:p w:rsidR="00744A4E" w:rsidRDefault="00744A4E" w:rsidP="0030185A">
            <w:pPr>
              <w:pStyle w:val="MarginText"/>
              <w:spacing w:before="60" w:after="60"/>
              <w:jc w:val="center"/>
              <w:rPr>
                <w:b/>
              </w:rPr>
            </w:pPr>
            <w:r>
              <w:rPr>
                <w:b/>
              </w:rPr>
              <w:t>QUESTION NUMBER</w:t>
            </w:r>
          </w:p>
        </w:tc>
        <w:tc>
          <w:tcPr>
            <w:tcW w:w="3700" w:type="dxa"/>
            <w:shd w:val="clear" w:color="auto" w:fill="E0E0E0"/>
            <w:vAlign w:val="center"/>
          </w:tcPr>
          <w:p w:rsidR="00744A4E" w:rsidRDefault="00744A4E" w:rsidP="0030185A">
            <w:pPr>
              <w:pStyle w:val="MarginText"/>
              <w:spacing w:before="60" w:after="60"/>
              <w:jc w:val="center"/>
              <w:rPr>
                <w:b/>
              </w:rPr>
            </w:pPr>
            <w:r>
              <w:rPr>
                <w:b/>
              </w:rPr>
              <w:t>QUESTION</w:t>
            </w:r>
          </w:p>
        </w:tc>
        <w:tc>
          <w:tcPr>
            <w:tcW w:w="1697" w:type="dxa"/>
            <w:shd w:val="clear" w:color="auto" w:fill="E0E0E0"/>
          </w:tcPr>
          <w:p w:rsidR="00744A4E" w:rsidRDefault="00744A4E" w:rsidP="0030185A">
            <w:pPr>
              <w:pStyle w:val="MarginText"/>
              <w:spacing w:before="60" w:after="60"/>
              <w:jc w:val="center"/>
              <w:rPr>
                <w:b/>
              </w:rPr>
            </w:pPr>
            <w:r>
              <w:rPr>
                <w:b/>
              </w:rPr>
              <w:t>TOTAL SCORE AVAILABLE</w:t>
            </w:r>
          </w:p>
        </w:tc>
        <w:tc>
          <w:tcPr>
            <w:tcW w:w="1634" w:type="dxa"/>
            <w:shd w:val="clear" w:color="auto" w:fill="E0E0E0"/>
          </w:tcPr>
          <w:p w:rsidR="00744A4E" w:rsidRDefault="00744A4E" w:rsidP="0030185A">
            <w:pPr>
              <w:pStyle w:val="MarginText"/>
              <w:spacing w:before="60" w:after="60"/>
              <w:jc w:val="center"/>
              <w:rPr>
                <w:b/>
              </w:rPr>
            </w:pPr>
            <w:r>
              <w:rPr>
                <w:b/>
              </w:rPr>
              <w:t>WEIGHTINGS %</w:t>
            </w:r>
          </w:p>
        </w:tc>
      </w:tr>
      <w:tr w:rsidR="00744A4E" w:rsidTr="007C0317">
        <w:trPr>
          <w:cantSplit/>
        </w:trPr>
        <w:tc>
          <w:tcPr>
            <w:tcW w:w="1397" w:type="dxa"/>
          </w:tcPr>
          <w:p w:rsidR="00744A4E" w:rsidRPr="00F15160" w:rsidRDefault="00744A4E" w:rsidP="00F15160">
            <w:pPr>
              <w:pStyle w:val="MarginText"/>
              <w:spacing w:before="60" w:after="60"/>
              <w:jc w:val="center"/>
            </w:pPr>
            <w:r>
              <w:t>[1]</w:t>
            </w:r>
          </w:p>
        </w:tc>
        <w:tc>
          <w:tcPr>
            <w:tcW w:w="3700" w:type="dxa"/>
            <w:vAlign w:val="center"/>
          </w:tcPr>
          <w:p w:rsidR="00744A4E" w:rsidRPr="00E3420B" w:rsidRDefault="00744A4E" w:rsidP="00E33BE9">
            <w:pPr>
              <w:pStyle w:val="MarginText"/>
              <w:spacing w:before="60" w:after="60"/>
              <w:jc w:val="left"/>
            </w:pPr>
            <w:r w:rsidRPr="00E3420B">
              <w:t>Company Information</w:t>
            </w:r>
          </w:p>
        </w:tc>
        <w:tc>
          <w:tcPr>
            <w:tcW w:w="1697" w:type="dxa"/>
          </w:tcPr>
          <w:p w:rsidR="00744A4E" w:rsidRPr="00E3420B" w:rsidRDefault="00744A4E" w:rsidP="00F15160">
            <w:pPr>
              <w:pStyle w:val="MarginText"/>
              <w:spacing w:before="60" w:after="60"/>
              <w:jc w:val="center"/>
            </w:pPr>
            <w:r w:rsidRPr="00E3420B">
              <w:t>Information Only</w:t>
            </w:r>
          </w:p>
        </w:tc>
        <w:tc>
          <w:tcPr>
            <w:tcW w:w="1634" w:type="dxa"/>
          </w:tcPr>
          <w:p w:rsidR="00744A4E" w:rsidRPr="00E3420B" w:rsidRDefault="00744A4E" w:rsidP="00F15160">
            <w:pPr>
              <w:pStyle w:val="MarginText"/>
              <w:spacing w:before="60" w:after="60"/>
              <w:jc w:val="center"/>
            </w:pPr>
            <w:r>
              <w:t>N/A</w:t>
            </w:r>
          </w:p>
        </w:tc>
      </w:tr>
      <w:tr w:rsidR="00744A4E" w:rsidTr="007C0317">
        <w:trPr>
          <w:cantSplit/>
        </w:trPr>
        <w:tc>
          <w:tcPr>
            <w:tcW w:w="1397" w:type="dxa"/>
          </w:tcPr>
          <w:p w:rsidR="00744A4E" w:rsidRPr="00F15160" w:rsidRDefault="00744A4E" w:rsidP="00F15160">
            <w:pPr>
              <w:pStyle w:val="MarginText"/>
              <w:spacing w:before="60" w:after="60"/>
              <w:jc w:val="center"/>
            </w:pPr>
            <w:r>
              <w:t>[2]</w:t>
            </w:r>
          </w:p>
        </w:tc>
        <w:tc>
          <w:tcPr>
            <w:tcW w:w="3700" w:type="dxa"/>
            <w:vAlign w:val="center"/>
          </w:tcPr>
          <w:p w:rsidR="00744A4E" w:rsidRPr="00E3420B" w:rsidRDefault="00744A4E" w:rsidP="00E33BE9">
            <w:r w:rsidRPr="00E3420B">
              <w:t>Tender Contact</w:t>
            </w:r>
          </w:p>
        </w:tc>
        <w:tc>
          <w:tcPr>
            <w:tcW w:w="1697" w:type="dxa"/>
          </w:tcPr>
          <w:p w:rsidR="00744A4E" w:rsidRPr="00E3420B" w:rsidRDefault="00744A4E" w:rsidP="00F15160">
            <w:pPr>
              <w:pStyle w:val="MarginText"/>
              <w:spacing w:before="60" w:after="60"/>
              <w:jc w:val="center"/>
            </w:pPr>
            <w:r w:rsidRPr="00E3420B">
              <w:t>Information Only</w:t>
            </w:r>
          </w:p>
        </w:tc>
        <w:tc>
          <w:tcPr>
            <w:tcW w:w="1634" w:type="dxa"/>
          </w:tcPr>
          <w:p w:rsidR="00744A4E" w:rsidRPr="00E3420B" w:rsidRDefault="00744A4E" w:rsidP="00F15160">
            <w:pPr>
              <w:pStyle w:val="MarginText"/>
              <w:spacing w:before="60" w:after="60"/>
              <w:jc w:val="center"/>
            </w:pPr>
            <w:r>
              <w:t>N/A</w:t>
            </w:r>
          </w:p>
        </w:tc>
      </w:tr>
      <w:tr w:rsidR="00C91719" w:rsidTr="007C0317">
        <w:trPr>
          <w:cantSplit/>
        </w:trPr>
        <w:tc>
          <w:tcPr>
            <w:tcW w:w="1397" w:type="dxa"/>
          </w:tcPr>
          <w:p w:rsidR="00C91719" w:rsidRPr="00F15160" w:rsidRDefault="00C91719" w:rsidP="00F15160">
            <w:pPr>
              <w:pStyle w:val="MarginText"/>
              <w:spacing w:before="60" w:after="60"/>
              <w:jc w:val="center"/>
            </w:pPr>
            <w:r>
              <w:t>[3</w:t>
            </w:r>
            <w:r w:rsidRPr="00F15160">
              <w:t>]</w:t>
            </w:r>
          </w:p>
        </w:tc>
        <w:tc>
          <w:tcPr>
            <w:tcW w:w="3700" w:type="dxa"/>
            <w:vAlign w:val="center"/>
          </w:tcPr>
          <w:p w:rsidR="00C91719" w:rsidRPr="00E3420B" w:rsidRDefault="00C91719" w:rsidP="002618BF">
            <w:r>
              <w:t>Mandatory Requirements</w:t>
            </w:r>
          </w:p>
        </w:tc>
        <w:tc>
          <w:tcPr>
            <w:tcW w:w="1697" w:type="dxa"/>
          </w:tcPr>
          <w:p w:rsidR="00C91719" w:rsidRPr="00E3420B" w:rsidRDefault="00C91719" w:rsidP="003D274F">
            <w:pPr>
              <w:pStyle w:val="MarginText"/>
              <w:spacing w:before="60" w:after="60"/>
              <w:jc w:val="center"/>
            </w:pPr>
            <w:r w:rsidRPr="00E3420B">
              <w:t>Pass / Fail</w:t>
            </w:r>
          </w:p>
        </w:tc>
        <w:tc>
          <w:tcPr>
            <w:tcW w:w="1634" w:type="dxa"/>
          </w:tcPr>
          <w:p w:rsidR="00C91719" w:rsidRPr="00E3420B" w:rsidRDefault="00C91719" w:rsidP="003D274F">
            <w:pPr>
              <w:pStyle w:val="MarginText"/>
              <w:spacing w:before="60" w:after="60"/>
              <w:jc w:val="center"/>
            </w:pPr>
            <w:r>
              <w:t>N/A</w:t>
            </w:r>
          </w:p>
        </w:tc>
      </w:tr>
      <w:tr w:rsidR="00C91719" w:rsidTr="007C0317">
        <w:trPr>
          <w:cantSplit/>
        </w:trPr>
        <w:tc>
          <w:tcPr>
            <w:tcW w:w="1397" w:type="dxa"/>
          </w:tcPr>
          <w:p w:rsidR="00C91719" w:rsidRDefault="00C91719" w:rsidP="00F15160">
            <w:pPr>
              <w:pStyle w:val="MarginText"/>
              <w:spacing w:before="60" w:after="60"/>
              <w:jc w:val="center"/>
            </w:pPr>
            <w:r>
              <w:t>[4]</w:t>
            </w:r>
          </w:p>
        </w:tc>
        <w:tc>
          <w:tcPr>
            <w:tcW w:w="3700" w:type="dxa"/>
            <w:vAlign w:val="center"/>
          </w:tcPr>
          <w:p w:rsidR="00C91719" w:rsidRPr="002F0FDB" w:rsidRDefault="00C91719" w:rsidP="002618BF">
            <w:pPr>
              <w:rPr>
                <w:highlight w:val="yellow"/>
              </w:rPr>
            </w:pPr>
            <w:r>
              <w:t>Conflicts of Interest</w:t>
            </w:r>
          </w:p>
        </w:tc>
        <w:tc>
          <w:tcPr>
            <w:tcW w:w="1697" w:type="dxa"/>
          </w:tcPr>
          <w:p w:rsidR="00C91719" w:rsidRPr="00E3420B" w:rsidRDefault="00C91719" w:rsidP="003D274F">
            <w:pPr>
              <w:pStyle w:val="MarginText"/>
              <w:spacing w:before="60" w:after="60"/>
              <w:jc w:val="center"/>
            </w:pPr>
            <w:r w:rsidRPr="00E3420B">
              <w:t>Pass / Fail</w:t>
            </w:r>
          </w:p>
        </w:tc>
        <w:tc>
          <w:tcPr>
            <w:tcW w:w="1634" w:type="dxa"/>
          </w:tcPr>
          <w:p w:rsidR="00C91719" w:rsidRDefault="00C91719" w:rsidP="003D274F">
            <w:pPr>
              <w:pStyle w:val="MarginText"/>
              <w:spacing w:before="60" w:after="60"/>
              <w:jc w:val="center"/>
            </w:pPr>
            <w:r>
              <w:t>N/A</w:t>
            </w:r>
          </w:p>
        </w:tc>
      </w:tr>
      <w:tr w:rsidR="00C91719" w:rsidTr="007C0317">
        <w:trPr>
          <w:cantSplit/>
        </w:trPr>
        <w:tc>
          <w:tcPr>
            <w:tcW w:w="1397" w:type="dxa"/>
          </w:tcPr>
          <w:p w:rsidR="00C91719" w:rsidRDefault="00C91719" w:rsidP="00F15160">
            <w:pPr>
              <w:pStyle w:val="MarginText"/>
              <w:spacing w:before="60" w:after="60"/>
              <w:jc w:val="center"/>
            </w:pPr>
            <w:r>
              <w:t>[5]</w:t>
            </w:r>
          </w:p>
        </w:tc>
        <w:tc>
          <w:tcPr>
            <w:tcW w:w="3700" w:type="dxa"/>
            <w:vAlign w:val="center"/>
          </w:tcPr>
          <w:p w:rsidR="00C91719" w:rsidRPr="00F63C1A" w:rsidRDefault="008A0199" w:rsidP="002618BF">
            <w:r>
              <w:t>Service Delivery &amp; Approach</w:t>
            </w:r>
          </w:p>
        </w:tc>
        <w:tc>
          <w:tcPr>
            <w:tcW w:w="1697" w:type="dxa"/>
          </w:tcPr>
          <w:p w:rsidR="00C91719" w:rsidRPr="0072546C" w:rsidRDefault="008A0199" w:rsidP="00C91719">
            <w:pPr>
              <w:pStyle w:val="MarginText"/>
              <w:spacing w:before="60" w:after="60"/>
              <w:jc w:val="center"/>
            </w:pPr>
            <w:r>
              <w:t>100</w:t>
            </w:r>
          </w:p>
        </w:tc>
        <w:tc>
          <w:tcPr>
            <w:tcW w:w="1634" w:type="dxa"/>
          </w:tcPr>
          <w:p w:rsidR="00C91719" w:rsidRPr="0072546C" w:rsidRDefault="008A0199" w:rsidP="00F15160">
            <w:pPr>
              <w:pStyle w:val="MarginText"/>
              <w:spacing w:before="60" w:after="60"/>
              <w:jc w:val="center"/>
            </w:pPr>
            <w:r>
              <w:t>30%</w:t>
            </w:r>
          </w:p>
        </w:tc>
      </w:tr>
      <w:tr w:rsidR="00F63C1A" w:rsidTr="007C0317">
        <w:trPr>
          <w:cantSplit/>
        </w:trPr>
        <w:tc>
          <w:tcPr>
            <w:tcW w:w="1397" w:type="dxa"/>
          </w:tcPr>
          <w:p w:rsidR="00F63C1A" w:rsidRDefault="00F63C1A" w:rsidP="00F15160">
            <w:pPr>
              <w:pStyle w:val="MarginText"/>
              <w:spacing w:before="60" w:after="60"/>
              <w:jc w:val="center"/>
            </w:pPr>
            <w:r>
              <w:t>[6]</w:t>
            </w:r>
          </w:p>
        </w:tc>
        <w:tc>
          <w:tcPr>
            <w:tcW w:w="3700" w:type="dxa"/>
            <w:vAlign w:val="center"/>
          </w:tcPr>
          <w:p w:rsidR="00F63C1A" w:rsidRPr="002F0FDB" w:rsidRDefault="008A0199" w:rsidP="002618BF">
            <w:pPr>
              <w:rPr>
                <w:highlight w:val="yellow"/>
              </w:rPr>
            </w:pPr>
            <w:r w:rsidRPr="008A0199">
              <w:t>Price</w:t>
            </w:r>
          </w:p>
        </w:tc>
        <w:tc>
          <w:tcPr>
            <w:tcW w:w="1697" w:type="dxa"/>
          </w:tcPr>
          <w:p w:rsidR="00F63C1A" w:rsidRPr="0072546C" w:rsidRDefault="008A0199" w:rsidP="00F15160">
            <w:pPr>
              <w:pStyle w:val="MarginText"/>
              <w:spacing w:before="60" w:after="60"/>
              <w:jc w:val="center"/>
            </w:pPr>
            <w:r>
              <w:t>100</w:t>
            </w:r>
          </w:p>
        </w:tc>
        <w:tc>
          <w:tcPr>
            <w:tcW w:w="1634" w:type="dxa"/>
          </w:tcPr>
          <w:p w:rsidR="00F63C1A" w:rsidRPr="0072546C" w:rsidRDefault="008A0199" w:rsidP="00F15160">
            <w:pPr>
              <w:pStyle w:val="MarginText"/>
              <w:spacing w:before="60" w:after="60"/>
              <w:jc w:val="center"/>
            </w:pPr>
            <w:r>
              <w:t>70%</w:t>
            </w:r>
          </w:p>
        </w:tc>
      </w:tr>
      <w:tr w:rsidR="00F63C1A" w:rsidTr="007C0317">
        <w:trPr>
          <w:cantSplit/>
        </w:trPr>
        <w:tc>
          <w:tcPr>
            <w:tcW w:w="5097" w:type="dxa"/>
            <w:gridSpan w:val="2"/>
            <w:shd w:val="clear" w:color="auto" w:fill="000000"/>
          </w:tcPr>
          <w:p w:rsidR="00F63C1A" w:rsidRPr="00F15160" w:rsidRDefault="00F63C1A" w:rsidP="006C25AD">
            <w:pPr>
              <w:pStyle w:val="MarginText"/>
              <w:spacing w:before="60" w:after="60"/>
              <w:jc w:val="right"/>
              <w:rPr>
                <w:b/>
              </w:rPr>
            </w:pPr>
            <w:r w:rsidRPr="00F15160">
              <w:rPr>
                <w:b/>
              </w:rPr>
              <w:t>Total</w:t>
            </w:r>
            <w:r>
              <w:rPr>
                <w:b/>
              </w:rPr>
              <w:t xml:space="preserve"> </w:t>
            </w:r>
          </w:p>
        </w:tc>
        <w:tc>
          <w:tcPr>
            <w:tcW w:w="1697" w:type="dxa"/>
            <w:shd w:val="clear" w:color="auto" w:fill="000000"/>
          </w:tcPr>
          <w:p w:rsidR="00F63C1A" w:rsidRPr="00F15160" w:rsidRDefault="00F63C1A" w:rsidP="00F15160">
            <w:pPr>
              <w:pStyle w:val="MarginText"/>
              <w:spacing w:before="60" w:after="60"/>
              <w:jc w:val="center"/>
              <w:rPr>
                <w:b/>
              </w:rPr>
            </w:pPr>
            <w:r w:rsidRPr="00F15160">
              <w:rPr>
                <w:b/>
              </w:rPr>
              <w:t>100</w:t>
            </w:r>
          </w:p>
        </w:tc>
        <w:tc>
          <w:tcPr>
            <w:tcW w:w="1634" w:type="dxa"/>
            <w:shd w:val="clear" w:color="auto" w:fill="000000"/>
          </w:tcPr>
          <w:p w:rsidR="00F63C1A" w:rsidRPr="00F15160" w:rsidRDefault="00F63C1A" w:rsidP="00F15160">
            <w:pPr>
              <w:pStyle w:val="MarginText"/>
              <w:spacing w:before="60" w:after="60"/>
              <w:jc w:val="center"/>
              <w:rPr>
                <w:b/>
              </w:rPr>
            </w:pPr>
            <w:r>
              <w:rPr>
                <w:b/>
              </w:rPr>
              <w:t>100%</w:t>
            </w:r>
          </w:p>
        </w:tc>
      </w:tr>
    </w:tbl>
    <w:p w:rsidR="004D6816" w:rsidRDefault="004D6816" w:rsidP="00DB4AB7">
      <w:pPr>
        <w:pStyle w:val="Heading1"/>
        <w:tabs>
          <w:tab w:val="left" w:pos="851"/>
        </w:tabs>
        <w:spacing w:before="240" w:after="120"/>
      </w:pPr>
      <w:bookmarkStart w:id="9" w:name="_Toc323222363"/>
      <w:r>
        <w:t>CONTRACT AWARD</w:t>
      </w:r>
      <w:bookmarkEnd w:id="9"/>
      <w:r>
        <w:t xml:space="preserve"> </w:t>
      </w:r>
    </w:p>
    <w:p w:rsidR="004D6816" w:rsidRDefault="004D6816" w:rsidP="00217776">
      <w:pPr>
        <w:pStyle w:val="Heading2"/>
        <w:tabs>
          <w:tab w:val="left" w:pos="851"/>
        </w:tabs>
        <w:spacing w:after="120"/>
        <w:ind w:left="737" w:hanging="737"/>
      </w:pPr>
      <w:r w:rsidRPr="00FE038C">
        <w:t xml:space="preserve">The Potential Provider that achieves the highest </w:t>
      </w:r>
      <w:r>
        <w:t>t</w:t>
      </w:r>
      <w:r w:rsidRPr="00FE038C">
        <w:t xml:space="preserve">otal </w:t>
      </w:r>
      <w:r>
        <w:t>s</w:t>
      </w:r>
      <w:r w:rsidRPr="00FE038C">
        <w:t>core wi</w:t>
      </w:r>
      <w:r>
        <w:t xml:space="preserve">ll be awarded the Contract. </w:t>
      </w:r>
    </w:p>
    <w:p w:rsidR="004D6816" w:rsidRDefault="004D6816" w:rsidP="00217776">
      <w:pPr>
        <w:pStyle w:val="Heading2"/>
        <w:tabs>
          <w:tab w:val="left" w:pos="851"/>
        </w:tabs>
        <w:spacing w:after="120"/>
        <w:ind w:left="737" w:hanging="737"/>
      </w:pPr>
      <w:r>
        <w:t>If</w:t>
      </w:r>
      <w:r w:rsidRPr="00FE038C">
        <w:t xml:space="preserve"> two or more Potential Providers obtain the highest </w:t>
      </w:r>
      <w:r>
        <w:t>t</w:t>
      </w:r>
      <w:r w:rsidRPr="00FE038C">
        <w:t xml:space="preserve">otal </w:t>
      </w:r>
      <w:r>
        <w:t>s</w:t>
      </w:r>
      <w:r w:rsidRPr="00FE038C">
        <w:t xml:space="preserve">core, the Potential Provider with the highest score for the </w:t>
      </w:r>
      <w:r w:rsidR="008A0199">
        <w:t>‘Service Delivery &amp; Approach’</w:t>
      </w:r>
      <w:r>
        <w:t xml:space="preserve"> element </w:t>
      </w:r>
      <w:r w:rsidRPr="00FE038C">
        <w:t xml:space="preserve">will be deemed the winner and awarded the </w:t>
      </w:r>
      <w:r>
        <w:t>Contract</w:t>
      </w:r>
      <w:r w:rsidRPr="00FE038C">
        <w:t>.</w:t>
      </w:r>
      <w:r>
        <w:t xml:space="preserve">  </w:t>
      </w:r>
    </w:p>
    <w:p w:rsidR="002F0FDB" w:rsidRDefault="002F0FDB" w:rsidP="002F0FDB">
      <w:pPr>
        <w:pStyle w:val="Heading1"/>
      </w:pPr>
      <w:r>
        <w:t>Procurement Contact</w:t>
      </w:r>
    </w:p>
    <w:p w:rsidR="002F0FDB" w:rsidRDefault="002F0FDB" w:rsidP="002F0FDB">
      <w:pPr>
        <w:pStyle w:val="Heading2"/>
      </w:pPr>
      <w:r>
        <w:t>The procurement lead for this requirement is;</w:t>
      </w:r>
    </w:p>
    <w:p w:rsidR="002F0FDB" w:rsidRPr="009666E8" w:rsidRDefault="009666E8" w:rsidP="002F0FDB">
      <w:pPr>
        <w:pStyle w:val="Heading3"/>
      </w:pPr>
      <w:r w:rsidRPr="009666E8">
        <w:t>Nick Beynon</w:t>
      </w:r>
    </w:p>
    <w:p w:rsidR="002F0FDB" w:rsidRPr="009666E8" w:rsidRDefault="009666E8" w:rsidP="002F0FDB">
      <w:pPr>
        <w:pStyle w:val="Heading3"/>
      </w:pPr>
      <w:r w:rsidRPr="009666E8">
        <w:t>01633 811578</w:t>
      </w:r>
    </w:p>
    <w:p w:rsidR="002F0FDB" w:rsidRPr="009666E8" w:rsidRDefault="009666E8" w:rsidP="002F0FDB">
      <w:pPr>
        <w:pStyle w:val="Heading3"/>
      </w:pPr>
      <w:r w:rsidRPr="009666E8">
        <w:t>spot.buying@crowncommercial.gov.uk</w:t>
      </w:r>
    </w:p>
    <w:p w:rsidR="004D6816" w:rsidRDefault="004D6816" w:rsidP="004A2E7B">
      <w:pPr>
        <w:pStyle w:val="Heading1"/>
        <w:tabs>
          <w:tab w:val="left" w:pos="851"/>
        </w:tabs>
        <w:spacing w:before="120" w:after="120"/>
      </w:pPr>
      <w:bookmarkStart w:id="10" w:name="_Toc323222364"/>
      <w:r>
        <w:t>glossary</w:t>
      </w:r>
      <w:bookmarkEnd w:id="10"/>
      <w:r>
        <w:t xml:space="preserve"> </w:t>
      </w:r>
    </w:p>
    <w:p w:rsidR="004D6816" w:rsidRDefault="004D6816" w:rsidP="004A2E7B">
      <w:pPr>
        <w:pStyle w:val="Heading2"/>
        <w:tabs>
          <w:tab w:val="left" w:pos="851"/>
        </w:tabs>
        <w:spacing w:after="120"/>
        <w:ind w:left="737" w:hanging="737"/>
      </w:pPr>
      <w:r>
        <w:t>In this ITT the following words and phrases have the following meanings:</w:t>
      </w:r>
    </w:p>
    <w:p w:rsidR="004D6816" w:rsidRDefault="004D6816" w:rsidP="003C6646">
      <w:pPr>
        <w:pStyle w:val="Heading2"/>
        <w:numPr>
          <w:ilvl w:val="0"/>
          <w:numId w:val="0"/>
        </w:numPr>
        <w:tabs>
          <w:tab w:val="left" w:pos="851"/>
        </w:tabs>
        <w:spacing w:after="120"/>
        <w:ind w:left="720"/>
      </w:pPr>
      <w:r w:rsidRPr="003C6646">
        <w:t>“</w:t>
      </w:r>
      <w:r w:rsidRPr="003C6646">
        <w:rPr>
          <w:b/>
        </w:rPr>
        <w:t>Authority</w:t>
      </w:r>
      <w:r w:rsidRPr="003C6646">
        <w:t>”</w:t>
      </w:r>
      <w:r>
        <w:t xml:space="preserve"> means </w:t>
      </w:r>
      <w:r w:rsidR="009666E8" w:rsidRPr="009666E8">
        <w:t>Home Office</w:t>
      </w:r>
      <w:r w:rsidRPr="009666E8">
        <w:t>;</w:t>
      </w:r>
    </w:p>
    <w:p w:rsidR="004D6816" w:rsidRDefault="004D6816" w:rsidP="00F1633B">
      <w:pPr>
        <w:pStyle w:val="Heading2"/>
        <w:numPr>
          <w:ilvl w:val="0"/>
          <w:numId w:val="0"/>
        </w:numPr>
        <w:tabs>
          <w:tab w:val="left" w:pos="851"/>
        </w:tabs>
        <w:spacing w:after="120"/>
        <w:ind w:left="720"/>
      </w:pPr>
      <w:r>
        <w:t>“</w:t>
      </w:r>
      <w:r w:rsidRPr="00F1633B">
        <w:rPr>
          <w:b/>
        </w:rPr>
        <w:t>Contract</w:t>
      </w:r>
      <w:r>
        <w:t>” has the meaning set out in Appendix C (</w:t>
      </w:r>
      <w:r w:rsidRPr="00F1633B">
        <w:t>Terms and Conditions of Contract</w:t>
      </w:r>
      <w:r>
        <w:t>);</w:t>
      </w:r>
    </w:p>
    <w:p w:rsidR="004D6816" w:rsidRDefault="004D6816" w:rsidP="008A41ED">
      <w:pPr>
        <w:pStyle w:val="Heading2"/>
        <w:numPr>
          <w:ilvl w:val="0"/>
          <w:numId w:val="0"/>
        </w:numPr>
        <w:tabs>
          <w:tab w:val="left" w:pos="851"/>
        </w:tabs>
        <w:spacing w:after="120"/>
        <w:ind w:left="720"/>
      </w:pPr>
      <w:r w:rsidRPr="00E22B18">
        <w:t>“</w:t>
      </w:r>
      <w:r w:rsidRPr="00E22B18">
        <w:rPr>
          <w:b/>
        </w:rPr>
        <w:t>e</w:t>
      </w:r>
      <w:r w:rsidR="00B072AE">
        <w:rPr>
          <w:b/>
        </w:rPr>
        <w:t>-</w:t>
      </w:r>
      <w:r w:rsidRPr="00E22B18">
        <w:rPr>
          <w:b/>
        </w:rPr>
        <w:t>Sourcing Portal</w:t>
      </w:r>
      <w:r w:rsidRPr="00E22B18">
        <w:t xml:space="preserve">” means the online tender management system which is being used by the </w:t>
      </w:r>
      <w:r w:rsidR="0085239A">
        <w:t>Crown Commercial Service</w:t>
      </w:r>
      <w:r w:rsidRPr="00E22B18">
        <w:t xml:space="preserve"> for this Procurement which can be found at: </w:t>
      </w:r>
      <w:hyperlink r:id="rId11" w:history="1">
        <w:r w:rsidRPr="00E22B18">
          <w:rPr>
            <w:rStyle w:val="Hyperlink"/>
          </w:rPr>
          <w:t>https://gpsesourcing.cabinetoffice.gov.uk/sso/jsp/login.jsp</w:t>
        </w:r>
      </w:hyperlink>
      <w:r>
        <w:t xml:space="preserve"> </w:t>
      </w:r>
    </w:p>
    <w:p w:rsidR="004D6816" w:rsidRDefault="004D6816" w:rsidP="00770747">
      <w:pPr>
        <w:pStyle w:val="Heading2"/>
        <w:numPr>
          <w:ilvl w:val="0"/>
          <w:numId w:val="0"/>
        </w:numPr>
        <w:tabs>
          <w:tab w:val="left" w:pos="851"/>
        </w:tabs>
        <w:spacing w:after="120"/>
        <w:ind w:left="720"/>
      </w:pPr>
      <w:r w:rsidRPr="003C6646">
        <w:t>“</w:t>
      </w:r>
      <w:r w:rsidR="0085239A">
        <w:rPr>
          <w:b/>
        </w:rPr>
        <w:t>Crown Commercial Service</w:t>
      </w:r>
      <w:r w:rsidRPr="003C6646">
        <w:t xml:space="preserve">” means </w:t>
      </w:r>
      <w:r w:rsidRPr="00CA482E">
        <w:t xml:space="preserve">a trading fund of the Cabinet Office whose offices are located at </w:t>
      </w:r>
      <w:r w:rsidR="004F37D0">
        <w:t>2</w:t>
      </w:r>
      <w:r w:rsidR="004F37D0" w:rsidRPr="001B7E86">
        <w:rPr>
          <w:vertAlign w:val="superscript"/>
        </w:rPr>
        <w:t>nd</w:t>
      </w:r>
      <w:r w:rsidR="004F37D0">
        <w:t xml:space="preserve"> Floor, Concept House, Cardiff Road, Newport, NP10 8QQ</w:t>
      </w:r>
      <w:r w:rsidRPr="003C6646">
        <w:t>;</w:t>
      </w:r>
    </w:p>
    <w:p w:rsidR="004D6816" w:rsidRDefault="004D6816" w:rsidP="004A2E7B">
      <w:pPr>
        <w:pStyle w:val="Heading2"/>
        <w:numPr>
          <w:ilvl w:val="0"/>
          <w:numId w:val="0"/>
        </w:numPr>
        <w:tabs>
          <w:tab w:val="left" w:pos="851"/>
        </w:tabs>
        <w:spacing w:after="120"/>
        <w:ind w:left="720"/>
      </w:pPr>
      <w:r>
        <w:t>“</w:t>
      </w:r>
      <w:r w:rsidRPr="004A2E7B">
        <w:rPr>
          <w:b/>
        </w:rPr>
        <w:t>Invitation to Tender</w:t>
      </w:r>
      <w:r>
        <w:t>” or “</w:t>
      </w:r>
      <w:r w:rsidRPr="004A2E7B">
        <w:rPr>
          <w:b/>
        </w:rPr>
        <w:t>ITT</w:t>
      </w:r>
      <w:r>
        <w:t xml:space="preserve">” means this invitation to tender document and all related documents published by the </w:t>
      </w:r>
      <w:r w:rsidR="0085239A">
        <w:t>Crown Commercial Service</w:t>
      </w:r>
      <w:r w:rsidRPr="00BA68DB">
        <w:t xml:space="preserve"> </w:t>
      </w:r>
      <w:r>
        <w:t>in relation to this Procurement;</w:t>
      </w:r>
    </w:p>
    <w:p w:rsidR="004D6816" w:rsidRDefault="004D6816" w:rsidP="004A2E7B">
      <w:pPr>
        <w:pStyle w:val="Heading2"/>
        <w:numPr>
          <w:ilvl w:val="0"/>
          <w:numId w:val="0"/>
        </w:numPr>
        <w:tabs>
          <w:tab w:val="left" w:pos="851"/>
        </w:tabs>
        <w:spacing w:after="120"/>
        <w:ind w:left="720"/>
      </w:pPr>
      <w:r>
        <w:t>“</w:t>
      </w:r>
      <w:r w:rsidRPr="004A2E7B">
        <w:rPr>
          <w:b/>
        </w:rPr>
        <w:t>Marking Scheme</w:t>
      </w:r>
      <w:r>
        <w:t>” means the range of marks that may be given to a Potential Provider depending on the quality of its response to a question which is located in the boxes below the applicable question;</w:t>
      </w:r>
    </w:p>
    <w:p w:rsidR="004D6816" w:rsidRDefault="004D6816" w:rsidP="00FB654B">
      <w:pPr>
        <w:pStyle w:val="Heading2"/>
        <w:numPr>
          <w:ilvl w:val="0"/>
          <w:numId w:val="0"/>
        </w:numPr>
        <w:tabs>
          <w:tab w:val="left" w:pos="851"/>
        </w:tabs>
        <w:spacing w:after="120"/>
        <w:ind w:left="720"/>
      </w:pPr>
      <w:r>
        <w:t>“</w:t>
      </w:r>
      <w:r w:rsidRPr="004A2E7B">
        <w:rPr>
          <w:b/>
        </w:rPr>
        <w:t>M</w:t>
      </w:r>
      <w:r>
        <w:rPr>
          <w:b/>
        </w:rPr>
        <w:t>inimum Total Score</w:t>
      </w:r>
      <w:r>
        <w:t>” means the minimum score that the Potential Provider must obtain in order to be awarded the Contract;</w:t>
      </w:r>
    </w:p>
    <w:p w:rsidR="004D6816" w:rsidRDefault="004D6816" w:rsidP="004A2E7B">
      <w:pPr>
        <w:pStyle w:val="Heading2"/>
        <w:numPr>
          <w:ilvl w:val="0"/>
          <w:numId w:val="0"/>
        </w:numPr>
        <w:tabs>
          <w:tab w:val="left" w:pos="851"/>
        </w:tabs>
        <w:spacing w:after="120"/>
        <w:ind w:left="720"/>
      </w:pPr>
      <w:r>
        <w:t>“</w:t>
      </w:r>
      <w:r w:rsidRPr="004A2E7B">
        <w:rPr>
          <w:b/>
        </w:rPr>
        <w:t>Total Score Available</w:t>
      </w:r>
      <w:r>
        <w:t>” means the maximum potential score that can be awarded for a response to a question;</w:t>
      </w:r>
    </w:p>
    <w:p w:rsidR="004D6816" w:rsidRDefault="004D6816" w:rsidP="004A2E7B">
      <w:pPr>
        <w:pStyle w:val="Heading2"/>
        <w:numPr>
          <w:ilvl w:val="0"/>
          <w:numId w:val="0"/>
        </w:numPr>
        <w:tabs>
          <w:tab w:val="left" w:pos="851"/>
        </w:tabs>
        <w:spacing w:after="120"/>
        <w:ind w:left="720"/>
      </w:pPr>
      <w:r>
        <w:t>“</w:t>
      </w:r>
      <w:r w:rsidRPr="004A2E7B">
        <w:rPr>
          <w:b/>
        </w:rPr>
        <w:t>Potential Provider</w:t>
      </w:r>
      <w:r>
        <w:t>” means a company that submits a Tender in response to the Invitation to Tender;</w:t>
      </w:r>
    </w:p>
    <w:p w:rsidR="004D6816" w:rsidRDefault="004D6816" w:rsidP="004A2E7B">
      <w:pPr>
        <w:pStyle w:val="Heading2"/>
        <w:numPr>
          <w:ilvl w:val="0"/>
          <w:numId w:val="0"/>
        </w:numPr>
        <w:tabs>
          <w:tab w:val="left" w:pos="851"/>
        </w:tabs>
        <w:spacing w:after="120"/>
        <w:ind w:left="720"/>
      </w:pPr>
      <w:r>
        <w:t>“</w:t>
      </w:r>
      <w:r w:rsidRPr="004A2E7B">
        <w:rPr>
          <w:b/>
        </w:rPr>
        <w:t>Procurement</w:t>
      </w:r>
      <w:r>
        <w:t xml:space="preserve">” means the process used to establish a Contract that facilitates the provision of </w:t>
      </w:r>
      <w:r w:rsidR="009666E8" w:rsidRPr="009666E8">
        <w:t>Log Management &amp; Monitoring Software</w:t>
      </w:r>
      <w:r w:rsidRPr="009666E8">
        <w:t>.</w:t>
      </w:r>
    </w:p>
    <w:p w:rsidR="004D6816" w:rsidRDefault="004D6816" w:rsidP="004A2E7B">
      <w:pPr>
        <w:pStyle w:val="Heading2"/>
        <w:numPr>
          <w:ilvl w:val="0"/>
          <w:numId w:val="0"/>
        </w:numPr>
        <w:tabs>
          <w:tab w:val="left" w:pos="851"/>
        </w:tabs>
        <w:spacing w:after="120"/>
        <w:ind w:left="720"/>
      </w:pPr>
      <w:r>
        <w:t>“</w:t>
      </w:r>
      <w:r w:rsidRPr="004A2E7B">
        <w:rPr>
          <w:b/>
        </w:rPr>
        <w:t>Supplier</w:t>
      </w:r>
      <w:r>
        <w:t>” means the Potential Provider with whom the Authority has concluded the Contract;</w:t>
      </w:r>
    </w:p>
    <w:p w:rsidR="004D6816" w:rsidRDefault="004D6816" w:rsidP="000B21A8">
      <w:pPr>
        <w:pStyle w:val="NormalIndent1"/>
        <w:tabs>
          <w:tab w:val="left" w:pos="709"/>
        </w:tabs>
        <w:spacing w:after="120"/>
        <w:ind w:left="709"/>
        <w:jc w:val="both"/>
      </w:pPr>
      <w:r>
        <w:t>“</w:t>
      </w:r>
      <w:r w:rsidRPr="000B21A8">
        <w:rPr>
          <w:b/>
        </w:rPr>
        <w:t>SME</w:t>
      </w:r>
      <w:r>
        <w:t>” means an organisation or entity:</w:t>
      </w:r>
    </w:p>
    <w:p w:rsidR="004D6816" w:rsidRDefault="004D6816" w:rsidP="000B21A8">
      <w:pPr>
        <w:pStyle w:val="Heading5"/>
        <w:tabs>
          <w:tab w:val="clear" w:pos="3600"/>
          <w:tab w:val="num" w:pos="1008"/>
          <w:tab w:val="left" w:pos="1701"/>
        </w:tabs>
        <w:adjustRightInd/>
        <w:spacing w:after="120"/>
        <w:ind w:left="1701" w:hanging="567"/>
      </w:pPr>
      <w:r>
        <w:t>having less than 250 employees; and</w:t>
      </w:r>
    </w:p>
    <w:p w:rsidR="004D6816" w:rsidRDefault="004D6816" w:rsidP="000B21A8">
      <w:pPr>
        <w:pStyle w:val="Heading5"/>
        <w:tabs>
          <w:tab w:val="clear" w:pos="3600"/>
          <w:tab w:val="num" w:pos="1008"/>
          <w:tab w:val="left" w:pos="1701"/>
        </w:tabs>
        <w:adjustRightInd/>
        <w:spacing w:after="120"/>
        <w:ind w:left="1701" w:hanging="567"/>
      </w:pPr>
      <w:r>
        <w:t>having an annual turnover of less than forty million pounds (£40,000,000); or</w:t>
      </w:r>
    </w:p>
    <w:p w:rsidR="004D6816" w:rsidRDefault="004D6816" w:rsidP="000B21A8">
      <w:pPr>
        <w:pStyle w:val="Heading5"/>
        <w:tabs>
          <w:tab w:val="clear" w:pos="3600"/>
          <w:tab w:val="num" w:pos="1008"/>
          <w:tab w:val="left" w:pos="1701"/>
        </w:tabs>
        <w:adjustRightInd/>
        <w:spacing w:after="120"/>
        <w:ind w:left="1701" w:hanging="567"/>
      </w:pPr>
      <w:r>
        <w:t>having a balance sheet of less than thirty five million pounds (£35,000,000); and</w:t>
      </w:r>
    </w:p>
    <w:p w:rsidR="004D6816" w:rsidRDefault="004D6816" w:rsidP="000B21A8">
      <w:pPr>
        <w:pStyle w:val="Heading5"/>
        <w:tabs>
          <w:tab w:val="clear" w:pos="3600"/>
          <w:tab w:val="num" w:pos="1008"/>
          <w:tab w:val="left" w:pos="1701"/>
        </w:tabs>
        <w:adjustRightInd/>
        <w:spacing w:after="120"/>
        <w:ind w:left="1701" w:hanging="567"/>
      </w:pPr>
      <w:r>
        <w:t xml:space="preserve">is totally independent of other enterprises; or </w:t>
      </w:r>
    </w:p>
    <w:p w:rsidR="004D6816" w:rsidRDefault="004D6816" w:rsidP="000B21A8">
      <w:pPr>
        <w:pStyle w:val="NormalIndent1"/>
        <w:tabs>
          <w:tab w:val="left" w:pos="1701"/>
        </w:tabs>
        <w:spacing w:after="120"/>
        <w:ind w:left="1701" w:hanging="567"/>
        <w:jc w:val="both"/>
      </w:pPr>
      <w:r>
        <w:t xml:space="preserve">(e) </w:t>
      </w:r>
      <w:r>
        <w:tab/>
        <w:t>holds less than 25% of the capital or voting rights in one or more other enterprises and other enterprises do not each own more than 25% of its capital or voting rights;</w:t>
      </w:r>
    </w:p>
    <w:p w:rsidR="004D6816" w:rsidRDefault="004D6816" w:rsidP="004A2E7B">
      <w:pPr>
        <w:pStyle w:val="Heading2"/>
        <w:numPr>
          <w:ilvl w:val="0"/>
          <w:numId w:val="0"/>
        </w:numPr>
        <w:tabs>
          <w:tab w:val="left" w:pos="851"/>
        </w:tabs>
        <w:spacing w:after="120"/>
        <w:ind w:left="720"/>
      </w:pPr>
      <w:r>
        <w:t>“</w:t>
      </w:r>
      <w:r w:rsidRPr="004A2E7B">
        <w:rPr>
          <w:b/>
        </w:rPr>
        <w:t>Tender Clarifications Deadline</w:t>
      </w:r>
      <w:r>
        <w:t xml:space="preserve">” means the time and date set out in paragraph 4 for the latest submission of clarification questions; </w:t>
      </w:r>
    </w:p>
    <w:p w:rsidR="004D6816" w:rsidRDefault="004D6816" w:rsidP="004A2E7B">
      <w:pPr>
        <w:pStyle w:val="Heading2"/>
        <w:numPr>
          <w:ilvl w:val="0"/>
          <w:numId w:val="0"/>
        </w:numPr>
        <w:tabs>
          <w:tab w:val="left" w:pos="851"/>
        </w:tabs>
        <w:spacing w:after="120"/>
        <w:ind w:left="720"/>
      </w:pPr>
      <w:r>
        <w:t>“</w:t>
      </w:r>
      <w:r w:rsidRPr="004A2E7B">
        <w:rPr>
          <w:b/>
        </w:rPr>
        <w:t>Tender Submission Deadline</w:t>
      </w:r>
      <w:r>
        <w:t>” means the time and date set out in paragraph 4 for the latest uploading of Tenders; and</w:t>
      </w:r>
    </w:p>
    <w:p w:rsidR="004D6816" w:rsidRDefault="004D6816" w:rsidP="004A2E7B">
      <w:pPr>
        <w:pStyle w:val="Heading2"/>
        <w:numPr>
          <w:ilvl w:val="0"/>
          <w:numId w:val="0"/>
        </w:numPr>
        <w:tabs>
          <w:tab w:val="left" w:pos="851"/>
        </w:tabs>
        <w:spacing w:after="120"/>
        <w:ind w:left="720"/>
      </w:pPr>
      <w:r>
        <w:t>“</w:t>
      </w:r>
      <w:r w:rsidRPr="004A2E7B">
        <w:rPr>
          <w:b/>
        </w:rPr>
        <w:t>Tender</w:t>
      </w:r>
      <w:r>
        <w:t xml:space="preserve">” means the Potential Provider’s formal offer in response to the Invitation to Tender. </w:t>
      </w:r>
    </w:p>
    <w:p w:rsidR="004D6816" w:rsidRDefault="004D6816" w:rsidP="004A2E7B">
      <w:pPr>
        <w:pStyle w:val="Heading1"/>
        <w:numPr>
          <w:ilvl w:val="0"/>
          <w:numId w:val="0"/>
        </w:numPr>
        <w:ind w:left="720"/>
      </w:pPr>
    </w:p>
    <w:sectPr w:rsidR="004D6816" w:rsidSect="009E22EF">
      <w:headerReference w:type="even" r:id="rId12"/>
      <w:headerReference w:type="default" r:id="rId13"/>
      <w:footerReference w:type="default" r:id="rId14"/>
      <w:headerReference w:type="first" r:id="rId15"/>
      <w:endnotePr>
        <w:numFmt w:val="decimal"/>
      </w:endnotePr>
      <w:pgSz w:w="11909" w:h="16834" w:code="9"/>
      <w:pgMar w:top="1440" w:right="1440" w:bottom="1560" w:left="1440" w:header="426" w:footer="43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11A" w:rsidRDefault="00AC011A">
      <w:pPr>
        <w:spacing w:line="20" w:lineRule="exact"/>
      </w:pPr>
    </w:p>
  </w:endnote>
  <w:endnote w:type="continuationSeparator" w:id="0">
    <w:p w:rsidR="00AC011A" w:rsidRDefault="00AC011A">
      <w:pPr>
        <w:spacing w:line="20" w:lineRule="exact"/>
      </w:pPr>
      <w:r>
        <w:t xml:space="preserve"> </w:t>
      </w:r>
    </w:p>
  </w:endnote>
  <w:endnote w:type="continuationNotice" w:id="1">
    <w:p w:rsidR="00AC011A" w:rsidRDefault="00AC011A">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BF" w:rsidRDefault="00AC011A">
    <w:pPr>
      <w:pStyle w:val="Footer"/>
      <w:pBdr>
        <w:top w:val="single" w:sz="6" w:space="1" w:color="auto"/>
      </w:pBdr>
      <w:tabs>
        <w:tab w:val="clear" w:pos="8306"/>
        <w:tab w:val="right" w:pos="8910"/>
      </w:tabs>
      <w:rPr>
        <w:rStyle w:val="PageNumber"/>
      </w:rPr>
    </w:pPr>
    <w:r>
      <w:fldChar w:fldCharType="begin"/>
    </w:r>
    <w:r>
      <w:instrText xml:space="preserve"> TITLE \* Upper \* MERGEFORMAT </w:instrText>
    </w:r>
    <w:r>
      <w:fldChar w:fldCharType="separate"/>
    </w:r>
    <w:r w:rsidR="002618BF" w:rsidRPr="00576C34">
      <w:rPr>
        <w:sz w:val="16"/>
      </w:rPr>
      <w:t xml:space="preserve">     </w:t>
    </w:r>
    <w:r>
      <w:rPr>
        <w:sz w:val="16"/>
      </w:rPr>
      <w:fldChar w:fldCharType="end"/>
    </w:r>
    <w:r>
      <w:fldChar w:fldCharType="begin"/>
    </w:r>
    <w:r>
      <w:instrText xml:space="preserve"> FILENAME \* Upper \* MERGEFORMAT </w:instrText>
    </w:r>
    <w:r>
      <w:fldChar w:fldCharType="separate"/>
    </w:r>
    <w:r w:rsidR="002618BF" w:rsidRPr="00576C34">
      <w:rPr>
        <w:noProof/>
        <w:sz w:val="16"/>
      </w:rPr>
      <w:t>1 - INVITATION TO TENDER</w:t>
    </w:r>
    <w:r>
      <w:rPr>
        <w:noProof/>
        <w:sz w:val="16"/>
      </w:rPr>
      <w:fldChar w:fldCharType="end"/>
    </w:r>
    <w:r w:rsidR="002618BF">
      <w:rPr>
        <w:sz w:val="16"/>
      </w:rPr>
      <w:t xml:space="preserve"> (</w:t>
    </w:r>
    <w:r w:rsidR="002618BF">
      <w:rPr>
        <w:sz w:val="16"/>
      </w:rPr>
      <w:fldChar w:fldCharType="begin"/>
    </w:r>
    <w:r w:rsidR="002618BF">
      <w:rPr>
        <w:sz w:val="16"/>
      </w:rPr>
      <w:instrText xml:space="preserve"> SUBJECT \* Lower \* MERGEFORMAT </w:instrText>
    </w:r>
    <w:r w:rsidR="002618BF">
      <w:rPr>
        <w:sz w:val="16"/>
      </w:rPr>
      <w:fldChar w:fldCharType="end"/>
    </w:r>
    <w:r w:rsidR="002618BF">
      <w:rPr>
        <w:sz w:val="16"/>
      </w:rPr>
      <w:t>\</w:t>
    </w:r>
    <w:fldSimple w:instr=" USERINITIALS \* Lower \* MERGEFORMAT ">
      <w:r w:rsidR="002618BF" w:rsidRPr="00576C34">
        <w:rPr>
          <w:noProof/>
          <w:sz w:val="16"/>
        </w:rPr>
        <w:t>nb</w:t>
      </w:r>
    </w:fldSimple>
    <w:r w:rsidR="002618BF">
      <w:rPr>
        <w:sz w:val="16"/>
      </w:rPr>
      <w:t>)</w:t>
    </w:r>
    <w:r w:rsidR="002618BF">
      <w:tab/>
    </w:r>
    <w:r w:rsidR="002618BF">
      <w:tab/>
    </w:r>
    <w:r w:rsidR="002618BF">
      <w:rPr>
        <w:rStyle w:val="PageNumber"/>
      </w:rPr>
      <w:fldChar w:fldCharType="begin"/>
    </w:r>
    <w:r w:rsidR="002618BF">
      <w:rPr>
        <w:rStyle w:val="PageNumber"/>
      </w:rPr>
      <w:instrText xml:space="preserve"> PAGE </w:instrText>
    </w:r>
    <w:r w:rsidR="002618BF">
      <w:rPr>
        <w:rStyle w:val="PageNumber"/>
      </w:rPr>
      <w:fldChar w:fldCharType="separate"/>
    </w:r>
    <w:r w:rsidR="002618BF">
      <w:rPr>
        <w:rStyle w:val="PageNumber"/>
        <w:noProof/>
      </w:rPr>
      <w:t>21</w:t>
    </w:r>
    <w:r w:rsidR="002618BF">
      <w:rPr>
        <w:rStyle w:val="PageNumber"/>
      </w:rPr>
      <w:fldChar w:fldCharType="end"/>
    </w:r>
  </w:p>
  <w:p w:rsidR="002618BF" w:rsidRDefault="002618BF">
    <w:pPr>
      <w:pStyle w:val="Footer"/>
      <w:pBdr>
        <w:top w:val="single" w:sz="6" w:space="1" w:color="auto"/>
      </w:pBdr>
      <w:tabs>
        <w:tab w:val="clear" w:pos="8306"/>
        <w:tab w:val="right" w:pos="9000"/>
      </w:tabs>
      <w:rPr>
        <w:i/>
        <w:vanish/>
        <w:sz w:val="16"/>
      </w:rPr>
    </w:pPr>
    <w:r>
      <w:rPr>
        <w:i/>
        <w:vanish/>
        <w:sz w:val="16"/>
      </w:rPr>
      <w:fldChar w:fldCharType="begin"/>
    </w:r>
    <w:r>
      <w:rPr>
        <w:i/>
        <w:vanish/>
        <w:sz w:val="16"/>
      </w:rPr>
      <w:instrText xml:space="preserve"> PRINTDATE \@ "dd MMMM yyyy" \* MERGEFORMAT </w:instrText>
    </w:r>
    <w:r>
      <w:rPr>
        <w:i/>
        <w:vanish/>
        <w:sz w:val="16"/>
      </w:rPr>
      <w:fldChar w:fldCharType="separate"/>
    </w:r>
    <w:r>
      <w:rPr>
        <w:i/>
        <w:noProof/>
        <w:vanish/>
        <w:sz w:val="16"/>
      </w:rPr>
      <w:t>12 April 2011</w:t>
    </w:r>
    <w:r>
      <w:rPr>
        <w:i/>
        <w:vanish/>
        <w:sz w:val="16"/>
      </w:rPr>
      <w:fldChar w:fldCharType="end"/>
    </w:r>
    <w:r>
      <w:rPr>
        <w:i/>
        <w:vanish/>
        <w:sz w:val="16"/>
      </w:rPr>
      <w:t xml:space="preserve">  </w:t>
    </w:r>
    <w:r>
      <w:rPr>
        <w:i/>
        <w:vanish/>
        <w:sz w:val="16"/>
      </w:rPr>
      <w:fldChar w:fldCharType="begin"/>
    </w:r>
    <w:r>
      <w:rPr>
        <w:i/>
        <w:vanish/>
        <w:sz w:val="16"/>
      </w:rPr>
      <w:instrText xml:space="preserve"> TIME \@ "H:mm" \* MERGEFORMAT </w:instrText>
    </w:r>
    <w:r>
      <w:rPr>
        <w:i/>
        <w:vanish/>
        <w:sz w:val="16"/>
      </w:rPr>
      <w:fldChar w:fldCharType="separate"/>
    </w:r>
    <w:r w:rsidR="008657B1">
      <w:rPr>
        <w:i/>
        <w:noProof/>
        <w:vanish/>
        <w:sz w:val="16"/>
      </w:rPr>
      <w:t>13:36</w:t>
    </w:r>
    <w:r>
      <w:rPr>
        <w:i/>
        <w:vanish/>
        <w:sz w:val="16"/>
      </w:rPr>
      <w:fldChar w:fldCharType="end"/>
    </w:r>
  </w:p>
  <w:p w:rsidR="002618BF" w:rsidRDefault="002618BF">
    <w:pPr>
      <w:pStyle w:val="Footer"/>
      <w:pBdr>
        <w:top w:val="single" w:sz="6" w:space="1" w:color="auto"/>
      </w:pBdr>
      <w:tabs>
        <w:tab w:val="clear" w:pos="8306"/>
        <w:tab w:val="right" w:pos="9000"/>
      </w:tabs>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BF" w:rsidRDefault="002618BF" w:rsidP="00074357">
    <w:pPr>
      <w:pStyle w:val="Footer"/>
      <w:pBdr>
        <w:top w:val="single" w:sz="6" w:space="1" w:color="auto"/>
      </w:pBdr>
      <w:tabs>
        <w:tab w:val="clear" w:pos="4153"/>
        <w:tab w:val="clear" w:pos="8306"/>
      </w:tabs>
      <w:ind w:right="-43"/>
      <w:jc w:val="center"/>
      <w:rPr>
        <w:sz w:val="18"/>
        <w:szCs w:val="18"/>
      </w:rPr>
    </w:pPr>
  </w:p>
  <w:p w:rsidR="002618BF" w:rsidRDefault="002618BF" w:rsidP="00074357">
    <w:pPr>
      <w:pStyle w:val="Footer"/>
      <w:pBdr>
        <w:top w:val="single" w:sz="6" w:space="1" w:color="auto"/>
      </w:pBdr>
      <w:tabs>
        <w:tab w:val="clear" w:pos="4153"/>
        <w:tab w:val="clear" w:pos="8306"/>
      </w:tabs>
      <w:ind w:right="-43"/>
      <w:jc w:val="center"/>
      <w:rPr>
        <w:sz w:val="18"/>
        <w:szCs w:val="18"/>
      </w:rPr>
    </w:pPr>
    <w:r>
      <w:rPr>
        <w:sz w:val="18"/>
        <w:szCs w:val="18"/>
      </w:rPr>
      <w:t>OFFICIAL</w:t>
    </w:r>
  </w:p>
  <w:p w:rsidR="002618BF" w:rsidRDefault="002618BF" w:rsidP="00074357">
    <w:pPr>
      <w:pStyle w:val="Footer"/>
      <w:pBdr>
        <w:top w:val="single" w:sz="6" w:space="1" w:color="auto"/>
      </w:pBdr>
      <w:tabs>
        <w:tab w:val="clear" w:pos="4153"/>
        <w:tab w:val="clear" w:pos="8306"/>
      </w:tabs>
      <w:ind w:right="-43"/>
      <w:jc w:val="center"/>
    </w:pPr>
  </w:p>
  <w:p w:rsidR="002618BF" w:rsidRPr="00074357" w:rsidRDefault="002618BF" w:rsidP="00074357">
    <w:pPr>
      <w:pStyle w:val="Footer"/>
      <w:tabs>
        <w:tab w:val="clear" w:pos="8306"/>
      </w:tabs>
      <w:ind w:right="-43"/>
      <w:jc w:val="center"/>
      <w:rPr>
        <w:sz w:val="24"/>
      </w:rPr>
    </w:pPr>
    <w:r w:rsidRPr="00C81EC7">
      <w:rPr>
        <w:rFonts w:cs="Arial"/>
        <w:szCs w:val="22"/>
      </w:rPr>
      <w:t xml:space="preserve">Page </w:t>
    </w:r>
    <w:r w:rsidRPr="00C81EC7">
      <w:rPr>
        <w:rFonts w:cs="Arial"/>
        <w:szCs w:val="22"/>
      </w:rPr>
      <w:fldChar w:fldCharType="begin"/>
    </w:r>
    <w:r w:rsidRPr="00C81EC7">
      <w:rPr>
        <w:rFonts w:cs="Arial"/>
        <w:szCs w:val="22"/>
      </w:rPr>
      <w:instrText xml:space="preserve"> PAGE </w:instrText>
    </w:r>
    <w:r w:rsidRPr="00C81EC7">
      <w:rPr>
        <w:rFonts w:cs="Arial"/>
        <w:szCs w:val="22"/>
      </w:rPr>
      <w:fldChar w:fldCharType="separate"/>
    </w:r>
    <w:r w:rsidR="008657B1">
      <w:rPr>
        <w:rFonts w:cs="Arial"/>
        <w:noProof/>
        <w:szCs w:val="22"/>
      </w:rPr>
      <w:t>7</w:t>
    </w:r>
    <w:r w:rsidRPr="00C81EC7">
      <w:rPr>
        <w:rFonts w:cs="Arial"/>
        <w:szCs w:val="22"/>
      </w:rPr>
      <w:fldChar w:fldCharType="end"/>
    </w:r>
    <w:r w:rsidRPr="00C81EC7">
      <w:rPr>
        <w:rFonts w:cs="Arial"/>
        <w:szCs w:val="22"/>
      </w:rPr>
      <w:t xml:space="preserve"> of </w:t>
    </w:r>
    <w:r w:rsidRPr="00C81EC7">
      <w:rPr>
        <w:rFonts w:cs="Arial"/>
        <w:szCs w:val="22"/>
      </w:rPr>
      <w:fldChar w:fldCharType="begin"/>
    </w:r>
    <w:r w:rsidRPr="00C81EC7">
      <w:rPr>
        <w:rFonts w:cs="Arial"/>
        <w:szCs w:val="22"/>
      </w:rPr>
      <w:instrText xml:space="preserve"> NUMPAGES </w:instrText>
    </w:r>
    <w:r w:rsidRPr="00C81EC7">
      <w:rPr>
        <w:rFonts w:cs="Arial"/>
        <w:szCs w:val="22"/>
      </w:rPr>
      <w:fldChar w:fldCharType="separate"/>
    </w:r>
    <w:r w:rsidR="008657B1">
      <w:rPr>
        <w:rFonts w:cs="Arial"/>
        <w:noProof/>
        <w:szCs w:val="22"/>
      </w:rPr>
      <w:t>7</w:t>
    </w:r>
    <w:r w:rsidRPr="00C81EC7">
      <w:rPr>
        <w:rFonts w:cs="Arial"/>
        <w:szCs w:val="22"/>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11A" w:rsidRDefault="00AC011A">
      <w:r>
        <w:separator/>
      </w:r>
    </w:p>
  </w:footnote>
  <w:footnote w:type="continuationSeparator" w:id="0">
    <w:p w:rsidR="00AC011A" w:rsidRDefault="00AC011A">
      <w:r>
        <w:continuationSeparator/>
      </w:r>
    </w:p>
  </w:footnote>
  <w:footnote w:type="continuationNotice" w:id="1">
    <w:p w:rsidR="00AC011A" w:rsidRDefault="00AC01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BF" w:rsidRDefault="002618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BF" w:rsidRPr="005924FF" w:rsidRDefault="002618BF" w:rsidP="00074357">
    <w:pPr>
      <w:pStyle w:val="Header"/>
      <w:jc w:val="center"/>
      <w:rPr>
        <w:sz w:val="18"/>
        <w:szCs w:val="18"/>
      </w:rPr>
    </w:pPr>
    <w:r>
      <w:rPr>
        <w:noProof/>
        <w:sz w:val="18"/>
        <w:szCs w:val="18"/>
        <w:lang w:eastAsia="en-GB"/>
      </w:rPr>
      <w:drawing>
        <wp:anchor distT="0" distB="0" distL="114300" distR="114300" simplePos="0" relativeHeight="251662336" behindDoc="1" locked="0" layoutInCell="1" allowOverlap="1" wp14:anchorId="3A28A0EA" wp14:editId="43B2017B">
          <wp:simplePos x="0" y="0"/>
          <wp:positionH relativeFrom="column">
            <wp:posOffset>-619125</wp:posOffset>
          </wp:positionH>
          <wp:positionV relativeFrom="paragraph">
            <wp:posOffset>-70485</wp:posOffset>
          </wp:positionV>
          <wp:extent cx="1276350" cy="666750"/>
          <wp:effectExtent l="19050" t="0" r="0" b="0"/>
          <wp:wrapNone/>
          <wp:docPr id="1"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1" cstate="print"/>
                  <a:srcRect/>
                  <a:stretch>
                    <a:fillRect/>
                  </a:stretch>
                </pic:blipFill>
                <pic:spPr bwMode="auto">
                  <a:xfrm>
                    <a:off x="0" y="0"/>
                    <a:ext cx="1276350" cy="666750"/>
                  </a:xfrm>
                  <a:prstGeom prst="rect">
                    <a:avLst/>
                  </a:prstGeom>
                  <a:noFill/>
                </pic:spPr>
              </pic:pic>
            </a:graphicData>
          </a:graphic>
        </wp:anchor>
      </w:drawing>
    </w:r>
    <w:r>
      <w:rPr>
        <w:noProof/>
        <w:sz w:val="18"/>
        <w:szCs w:val="18"/>
        <w:lang w:eastAsia="en-GB"/>
      </w:rPr>
      <w:t>OFFICIAL</w:t>
    </w:r>
  </w:p>
  <w:p w:rsidR="002618BF" w:rsidRDefault="002618BF" w:rsidP="00074357">
    <w:pPr>
      <w:pStyle w:val="Header"/>
      <w:jc w:val="center"/>
      <w:rPr>
        <w:b/>
      </w:rPr>
    </w:pPr>
  </w:p>
  <w:p w:rsidR="002618BF" w:rsidRDefault="002618BF" w:rsidP="008D4B02">
    <w:pPr>
      <w:pStyle w:val="Header"/>
      <w:jc w:val="center"/>
      <w:rPr>
        <w:b/>
      </w:rPr>
    </w:pPr>
    <w:r w:rsidRPr="002618BF">
      <w:rPr>
        <w:b/>
      </w:rPr>
      <w:t xml:space="preserve"> RM5573 SO-9543 </w:t>
    </w:r>
    <w:r>
      <w:rPr>
        <w:b/>
      </w:rPr>
      <w:t>Provision of Log Management</w:t>
    </w:r>
  </w:p>
  <w:p w:rsidR="002618BF" w:rsidRDefault="002618BF" w:rsidP="008D4B02">
    <w:pPr>
      <w:pStyle w:val="Header"/>
      <w:jc w:val="center"/>
      <w:rPr>
        <w:b/>
      </w:rPr>
    </w:pPr>
    <w:r>
      <w:rPr>
        <w:b/>
      </w:rPr>
      <w:t>&amp; Monitoring Software</w:t>
    </w:r>
  </w:p>
  <w:p w:rsidR="002618BF" w:rsidRPr="00C81EC7" w:rsidRDefault="002618BF" w:rsidP="00074357">
    <w:pPr>
      <w:pStyle w:val="Header"/>
      <w:jc w:val="center"/>
      <w:rPr>
        <w:b/>
      </w:rPr>
    </w:pPr>
    <w:r>
      <w:rPr>
        <w:b/>
      </w:rPr>
      <w:t xml:space="preserve">Invitation to Tender </w:t>
    </w:r>
  </w:p>
  <w:p w:rsidR="002618BF" w:rsidRDefault="002618BF" w:rsidP="00074357">
    <w:pPr>
      <w:pStyle w:val="Header"/>
      <w:tabs>
        <w:tab w:val="clear" w:pos="4153"/>
        <w:tab w:val="clear" w:pos="8306"/>
        <w:tab w:val="center" w:pos="4514"/>
      </w:tabs>
    </w:pPr>
    <w:r>
      <w:tab/>
    </w:r>
  </w:p>
  <w:p w:rsidR="002618BF" w:rsidRPr="00074357" w:rsidRDefault="002618BF" w:rsidP="00074357">
    <w:pPr>
      <w:pStyle w:val="Header"/>
    </w:pPr>
    <w:r>
      <w:rPr>
        <w:noProof/>
        <w:lang w:eastAsia="en-GB"/>
      </w:rPr>
      <mc:AlternateContent>
        <mc:Choice Requires="wps">
          <w:drawing>
            <wp:anchor distT="0" distB="0" distL="114300" distR="114300" simplePos="0" relativeHeight="251660288" behindDoc="0" locked="0" layoutInCell="1" allowOverlap="1" wp14:anchorId="1EEFA8AC" wp14:editId="6B2691EB">
              <wp:simplePos x="0" y="0"/>
              <wp:positionH relativeFrom="column">
                <wp:posOffset>-55245</wp:posOffset>
              </wp:positionH>
              <wp:positionV relativeFrom="paragraph">
                <wp:posOffset>-3810</wp:posOffset>
              </wp:positionV>
              <wp:extent cx="5853430" cy="0"/>
              <wp:effectExtent l="11430" t="5715" r="12065" b="1333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A383EA" id="_x0000_t32" coordsize="21600,21600" o:spt="32" o:oned="t" path="m,l21600,21600e" filled="f">
              <v:path arrowok="t" fillok="f" o:connecttype="none"/>
              <o:lock v:ext="edit" shapetype="t"/>
            </v:shapetype>
            <v:shape id="AutoShape 1" o:spid="_x0000_s1026" type="#_x0000_t32" style="position:absolute;margin-left:-4.35pt;margin-top:-.3pt;width:460.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BF" w:rsidRDefault="00261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DEC6A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07444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38C6B40"/>
    <w:lvl w:ilvl="0">
      <w:start w:val="1"/>
      <w:numFmt w:val="decimal"/>
      <w:lvlText w:val="%1."/>
      <w:lvlJc w:val="left"/>
      <w:pPr>
        <w:tabs>
          <w:tab w:val="num" w:pos="926"/>
        </w:tabs>
        <w:ind w:left="926" w:hanging="360"/>
      </w:pPr>
    </w:lvl>
  </w:abstractNum>
  <w:abstractNum w:abstractNumId="3">
    <w:nsid w:val="FFFFFF7F"/>
    <w:multiLevelType w:val="singleLevel"/>
    <w:tmpl w:val="13E0E2D6"/>
    <w:lvl w:ilvl="0">
      <w:start w:val="1"/>
      <w:numFmt w:val="decimal"/>
      <w:lvlText w:val="%1."/>
      <w:lvlJc w:val="left"/>
      <w:pPr>
        <w:tabs>
          <w:tab w:val="num" w:pos="643"/>
        </w:tabs>
        <w:ind w:left="643" w:hanging="360"/>
      </w:pPr>
    </w:lvl>
  </w:abstractNum>
  <w:abstractNum w:abstractNumId="4">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5">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6">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7">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8">
    <w:nsid w:val="FFFFFF88"/>
    <w:multiLevelType w:val="singleLevel"/>
    <w:tmpl w:val="575CFE80"/>
    <w:lvl w:ilvl="0">
      <w:start w:val="1"/>
      <w:numFmt w:val="decimal"/>
      <w:lvlText w:val="%1."/>
      <w:lvlJc w:val="left"/>
      <w:pPr>
        <w:tabs>
          <w:tab w:val="num" w:pos="360"/>
        </w:tabs>
        <w:ind w:left="360" w:hanging="360"/>
      </w:pPr>
    </w:lvl>
  </w:abstractNum>
  <w:abstractNum w:abstractNumId="9">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1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11">
    <w:nsid w:val="0795064A"/>
    <w:multiLevelType w:val="multilevel"/>
    <w:tmpl w:val="1332CCD4"/>
    <w:styleLink w:val="11111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2">
    <w:nsid w:val="0882258A"/>
    <w:multiLevelType w:val="hybridMultilevel"/>
    <w:tmpl w:val="C828460A"/>
    <w:name w:val="Recital Numbering List2"/>
    <w:lvl w:ilvl="0" w:tplc="F8F0A9EA">
      <w:start w:val="13"/>
      <w:numFmt w:val="decimal"/>
      <w:lvlText w:val="%1."/>
      <w:lvlJc w:val="left"/>
      <w:pPr>
        <w:ind w:left="14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5">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17">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8">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19">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1">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3">
    <w:nsid w:val="47112B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B6C2C5C"/>
    <w:multiLevelType w:val="multilevel"/>
    <w:tmpl w:val="1332CCD4"/>
    <w:name w:val="Plato Schedule Numbering List"/>
    <w:numStyleLink w:val="111111"/>
  </w:abstractNum>
  <w:abstractNum w:abstractNumId="26">
    <w:nsid w:val="50965CCA"/>
    <w:multiLevelType w:val="multilevel"/>
    <w:tmpl w:val="1332CCD4"/>
    <w:name w:val="Appendicies Heading List"/>
    <w:numStyleLink w:val="111111"/>
  </w:abstractNum>
  <w:abstractNum w:abstractNumId="27">
    <w:nsid w:val="51200365"/>
    <w:multiLevelType w:val="multilevel"/>
    <w:tmpl w:val="6B285866"/>
    <w:lvl w:ilvl="0">
      <w:start w:val="1"/>
      <w:numFmt w:val="decimal"/>
      <w:lvlRestart w:val="0"/>
      <w:pStyle w:val="Heading1"/>
      <w:lvlText w:val="%1."/>
      <w:lvlJc w:val="left"/>
      <w:pPr>
        <w:tabs>
          <w:tab w:val="num" w:pos="720"/>
        </w:tabs>
        <w:ind w:left="720" w:hanging="720"/>
      </w:pPr>
      <w:rPr>
        <w:rFonts w:cs="Times New Roman" w:hint="default"/>
        <w:caps w:val="0"/>
        <w:effect w:val="none"/>
      </w:rPr>
    </w:lvl>
    <w:lvl w:ilvl="1">
      <w:start w:val="1"/>
      <w:numFmt w:val="decimal"/>
      <w:pStyle w:val="Heading2"/>
      <w:lvlText w:val="%1.%2"/>
      <w:lvlJc w:val="left"/>
      <w:pPr>
        <w:tabs>
          <w:tab w:val="num" w:pos="720"/>
        </w:tabs>
        <w:ind w:left="720" w:hanging="720"/>
      </w:pPr>
      <w:rPr>
        <w:rFonts w:cs="Times New Roman" w:hint="default"/>
        <w:caps w:val="0"/>
        <w:effect w:val="none"/>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pStyle w:val="Heading8"/>
      <w:lvlText w:val=""/>
      <w:lvlJc w:val="left"/>
      <w:pPr>
        <w:tabs>
          <w:tab w:val="num" w:pos="5040"/>
        </w:tabs>
        <w:ind w:left="5040" w:hanging="720"/>
      </w:pPr>
      <w:rPr>
        <w:rFonts w:cs="Times New Roman" w:hint="default"/>
        <w:caps w:val="0"/>
        <w:effect w:val="none"/>
      </w:rPr>
    </w:lvl>
    <w:lvl w:ilvl="8">
      <w:start w:val="1"/>
      <w:numFmt w:val="none"/>
      <w:pStyle w:val="Heading9"/>
      <w:lvlText w:val=""/>
      <w:lvlJc w:val="left"/>
      <w:pPr>
        <w:tabs>
          <w:tab w:val="num" w:pos="5040"/>
        </w:tabs>
        <w:ind w:left="5040" w:hanging="720"/>
      </w:pPr>
      <w:rPr>
        <w:rFonts w:cs="Times New Roman" w:hint="default"/>
        <w:caps w:val="0"/>
        <w:effect w:val="none"/>
      </w:rPr>
    </w:lvl>
  </w:abstractNum>
  <w:abstractNum w:abstractNumId="28">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9">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32">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abstractNum w:abstractNumId="33">
    <w:nsid w:val="7FC0411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
  </w:num>
  <w:num w:numId="12">
    <w:abstractNumId w:val="0"/>
  </w:num>
  <w:num w:numId="13">
    <w:abstractNumId w:val="9"/>
  </w:num>
  <w:num w:numId="14">
    <w:abstractNumId w:val="7"/>
  </w:num>
  <w:num w:numId="15">
    <w:abstractNumId w:val="6"/>
  </w:num>
  <w:num w:numId="16">
    <w:abstractNumId w:val="11"/>
  </w:num>
  <w:num w:numId="17">
    <w:abstractNumId w:val="27"/>
  </w:num>
  <w:num w:numId="18">
    <w:abstractNumId w:val="18"/>
  </w:num>
  <w:num w:numId="19">
    <w:abstractNumId w:val="19"/>
  </w:num>
  <w:num w:numId="20">
    <w:abstractNumId w:val="10"/>
  </w:num>
  <w:num w:numId="21">
    <w:abstractNumId w:val="24"/>
  </w:num>
  <w:num w:numId="22">
    <w:abstractNumId w:val="21"/>
  </w:num>
  <w:num w:numId="23">
    <w:abstractNumId w:val="17"/>
  </w:num>
  <w:num w:numId="24">
    <w:abstractNumId w:val="31"/>
  </w:num>
  <w:num w:numId="25">
    <w:abstractNumId w:val="14"/>
  </w:num>
  <w:num w:numId="26">
    <w:abstractNumId w:val="30"/>
  </w:num>
  <w:num w:numId="27">
    <w:abstractNumId w:val="13"/>
  </w:num>
  <w:num w:numId="28">
    <w:abstractNumId w:val="22"/>
  </w:num>
  <w:num w:numId="29">
    <w:abstractNumId w:val="20"/>
  </w:num>
  <w:num w:numId="30">
    <w:abstractNumId w:val="28"/>
  </w:num>
  <w:num w:numId="31">
    <w:abstractNumId w:val="16"/>
  </w:num>
  <w:num w:numId="32">
    <w:abstractNumId w:val="33"/>
  </w:num>
  <w:num w:numId="33">
    <w:abstractNumId w:val="23"/>
  </w:num>
  <w:num w:numId="34">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DDC"/>
    <w:rsid w:val="0000639C"/>
    <w:rsid w:val="000067FA"/>
    <w:rsid w:val="00007A30"/>
    <w:rsid w:val="000109B9"/>
    <w:rsid w:val="000110CC"/>
    <w:rsid w:val="00011778"/>
    <w:rsid w:val="00011988"/>
    <w:rsid w:val="000127AA"/>
    <w:rsid w:val="00012987"/>
    <w:rsid w:val="0001386E"/>
    <w:rsid w:val="0001408F"/>
    <w:rsid w:val="00014A44"/>
    <w:rsid w:val="00020611"/>
    <w:rsid w:val="0002117B"/>
    <w:rsid w:val="0002119E"/>
    <w:rsid w:val="000213ED"/>
    <w:rsid w:val="00022304"/>
    <w:rsid w:val="0002409B"/>
    <w:rsid w:val="00024B2F"/>
    <w:rsid w:val="00026CBD"/>
    <w:rsid w:val="00026E28"/>
    <w:rsid w:val="00027C05"/>
    <w:rsid w:val="000318CA"/>
    <w:rsid w:val="0003289F"/>
    <w:rsid w:val="00035A45"/>
    <w:rsid w:val="00036181"/>
    <w:rsid w:val="00037CB6"/>
    <w:rsid w:val="00040A60"/>
    <w:rsid w:val="000459DD"/>
    <w:rsid w:val="00052A65"/>
    <w:rsid w:val="0005414E"/>
    <w:rsid w:val="00056F7F"/>
    <w:rsid w:val="00060D0E"/>
    <w:rsid w:val="00066D70"/>
    <w:rsid w:val="000715C8"/>
    <w:rsid w:val="0007280F"/>
    <w:rsid w:val="00074357"/>
    <w:rsid w:val="00074D97"/>
    <w:rsid w:val="000763EA"/>
    <w:rsid w:val="00076448"/>
    <w:rsid w:val="000769CF"/>
    <w:rsid w:val="000812AE"/>
    <w:rsid w:val="0008330B"/>
    <w:rsid w:val="00090D6B"/>
    <w:rsid w:val="000910A7"/>
    <w:rsid w:val="00092145"/>
    <w:rsid w:val="00092C56"/>
    <w:rsid w:val="00094E2D"/>
    <w:rsid w:val="00096F76"/>
    <w:rsid w:val="000A0C5F"/>
    <w:rsid w:val="000A0D22"/>
    <w:rsid w:val="000A5E95"/>
    <w:rsid w:val="000A72F8"/>
    <w:rsid w:val="000B1C66"/>
    <w:rsid w:val="000B21A8"/>
    <w:rsid w:val="000B254C"/>
    <w:rsid w:val="000B29B2"/>
    <w:rsid w:val="000B3946"/>
    <w:rsid w:val="000B5C9F"/>
    <w:rsid w:val="000C2484"/>
    <w:rsid w:val="000C2E05"/>
    <w:rsid w:val="000C68BF"/>
    <w:rsid w:val="000C7C2B"/>
    <w:rsid w:val="000D3881"/>
    <w:rsid w:val="000D4DCD"/>
    <w:rsid w:val="000E13A7"/>
    <w:rsid w:val="000E4C53"/>
    <w:rsid w:val="000F232D"/>
    <w:rsid w:val="000F3348"/>
    <w:rsid w:val="000F3500"/>
    <w:rsid w:val="000F3E1D"/>
    <w:rsid w:val="00100B77"/>
    <w:rsid w:val="0010318E"/>
    <w:rsid w:val="0010453E"/>
    <w:rsid w:val="0010577C"/>
    <w:rsid w:val="00105FBC"/>
    <w:rsid w:val="00110F67"/>
    <w:rsid w:val="00113459"/>
    <w:rsid w:val="0011622E"/>
    <w:rsid w:val="001173D2"/>
    <w:rsid w:val="00120702"/>
    <w:rsid w:val="00121282"/>
    <w:rsid w:val="001223EC"/>
    <w:rsid w:val="00123FAD"/>
    <w:rsid w:val="001245F5"/>
    <w:rsid w:val="001256D9"/>
    <w:rsid w:val="0012683D"/>
    <w:rsid w:val="00131AF8"/>
    <w:rsid w:val="001321F1"/>
    <w:rsid w:val="00133ADF"/>
    <w:rsid w:val="001345B2"/>
    <w:rsid w:val="00134C60"/>
    <w:rsid w:val="00135690"/>
    <w:rsid w:val="001368D7"/>
    <w:rsid w:val="00136BDD"/>
    <w:rsid w:val="00136D23"/>
    <w:rsid w:val="0013718C"/>
    <w:rsid w:val="00144867"/>
    <w:rsid w:val="00144F3B"/>
    <w:rsid w:val="00145485"/>
    <w:rsid w:val="00145725"/>
    <w:rsid w:val="00156231"/>
    <w:rsid w:val="0015696A"/>
    <w:rsid w:val="00156E2F"/>
    <w:rsid w:val="00157D99"/>
    <w:rsid w:val="001609A4"/>
    <w:rsid w:val="0016322B"/>
    <w:rsid w:val="0016383C"/>
    <w:rsid w:val="00166299"/>
    <w:rsid w:val="00167897"/>
    <w:rsid w:val="0017225B"/>
    <w:rsid w:val="00173352"/>
    <w:rsid w:val="0017368C"/>
    <w:rsid w:val="00175332"/>
    <w:rsid w:val="00175EAF"/>
    <w:rsid w:val="00176DF8"/>
    <w:rsid w:val="00181D58"/>
    <w:rsid w:val="00183EB0"/>
    <w:rsid w:val="00184673"/>
    <w:rsid w:val="00184E37"/>
    <w:rsid w:val="001863E6"/>
    <w:rsid w:val="0018756A"/>
    <w:rsid w:val="001962E6"/>
    <w:rsid w:val="001A1780"/>
    <w:rsid w:val="001A18DF"/>
    <w:rsid w:val="001A3C4D"/>
    <w:rsid w:val="001A3D83"/>
    <w:rsid w:val="001A7AB1"/>
    <w:rsid w:val="001B1E20"/>
    <w:rsid w:val="001B2EA8"/>
    <w:rsid w:val="001B3C1C"/>
    <w:rsid w:val="001B485F"/>
    <w:rsid w:val="001B4B79"/>
    <w:rsid w:val="001B52D8"/>
    <w:rsid w:val="001C210F"/>
    <w:rsid w:val="001C4CDC"/>
    <w:rsid w:val="001C609B"/>
    <w:rsid w:val="001C63F8"/>
    <w:rsid w:val="001D0473"/>
    <w:rsid w:val="001D101F"/>
    <w:rsid w:val="001D1ADF"/>
    <w:rsid w:val="001D3018"/>
    <w:rsid w:val="001D3C18"/>
    <w:rsid w:val="001D54F2"/>
    <w:rsid w:val="001D5C65"/>
    <w:rsid w:val="001D6212"/>
    <w:rsid w:val="001E378F"/>
    <w:rsid w:val="001E3BC9"/>
    <w:rsid w:val="001E49D6"/>
    <w:rsid w:val="001E65BE"/>
    <w:rsid w:val="001F0B69"/>
    <w:rsid w:val="001F13E1"/>
    <w:rsid w:val="001F2926"/>
    <w:rsid w:val="001F2F1C"/>
    <w:rsid w:val="001F300D"/>
    <w:rsid w:val="001F3B05"/>
    <w:rsid w:val="001F4B65"/>
    <w:rsid w:val="001F6E2C"/>
    <w:rsid w:val="002014DC"/>
    <w:rsid w:val="00202978"/>
    <w:rsid w:val="00202DAB"/>
    <w:rsid w:val="00204498"/>
    <w:rsid w:val="00205CD6"/>
    <w:rsid w:val="00206015"/>
    <w:rsid w:val="00211BA6"/>
    <w:rsid w:val="00212B43"/>
    <w:rsid w:val="002136EC"/>
    <w:rsid w:val="00215015"/>
    <w:rsid w:val="00217776"/>
    <w:rsid w:val="0022047E"/>
    <w:rsid w:val="002222F1"/>
    <w:rsid w:val="002229A8"/>
    <w:rsid w:val="002235BF"/>
    <w:rsid w:val="0022513D"/>
    <w:rsid w:val="00225865"/>
    <w:rsid w:val="0022592F"/>
    <w:rsid w:val="002262A5"/>
    <w:rsid w:val="002268D4"/>
    <w:rsid w:val="0022721A"/>
    <w:rsid w:val="00234955"/>
    <w:rsid w:val="002376ED"/>
    <w:rsid w:val="00241853"/>
    <w:rsid w:val="00243547"/>
    <w:rsid w:val="00245B30"/>
    <w:rsid w:val="00246795"/>
    <w:rsid w:val="00250446"/>
    <w:rsid w:val="0025076C"/>
    <w:rsid w:val="00257039"/>
    <w:rsid w:val="00257F38"/>
    <w:rsid w:val="002600C6"/>
    <w:rsid w:val="002608F4"/>
    <w:rsid w:val="0026119D"/>
    <w:rsid w:val="002618BF"/>
    <w:rsid w:val="002630FA"/>
    <w:rsid w:val="002634FE"/>
    <w:rsid w:val="0027062E"/>
    <w:rsid w:val="00274416"/>
    <w:rsid w:val="00277524"/>
    <w:rsid w:val="00280B5B"/>
    <w:rsid w:val="00283BE6"/>
    <w:rsid w:val="002848C1"/>
    <w:rsid w:val="0028697F"/>
    <w:rsid w:val="00286F62"/>
    <w:rsid w:val="002876FE"/>
    <w:rsid w:val="002905A0"/>
    <w:rsid w:val="002942F6"/>
    <w:rsid w:val="00297D77"/>
    <w:rsid w:val="002A08BF"/>
    <w:rsid w:val="002A269E"/>
    <w:rsid w:val="002A4AF1"/>
    <w:rsid w:val="002A5258"/>
    <w:rsid w:val="002A7D10"/>
    <w:rsid w:val="002A7DA6"/>
    <w:rsid w:val="002B0D7D"/>
    <w:rsid w:val="002B1E1B"/>
    <w:rsid w:val="002B43BE"/>
    <w:rsid w:val="002B55ED"/>
    <w:rsid w:val="002B5AEB"/>
    <w:rsid w:val="002B5C29"/>
    <w:rsid w:val="002B6278"/>
    <w:rsid w:val="002B744B"/>
    <w:rsid w:val="002C1AF6"/>
    <w:rsid w:val="002C1DE8"/>
    <w:rsid w:val="002C2337"/>
    <w:rsid w:val="002C2D54"/>
    <w:rsid w:val="002C3316"/>
    <w:rsid w:val="002C4729"/>
    <w:rsid w:val="002C538F"/>
    <w:rsid w:val="002C671C"/>
    <w:rsid w:val="002D2841"/>
    <w:rsid w:val="002D3A27"/>
    <w:rsid w:val="002D3DBD"/>
    <w:rsid w:val="002E05A6"/>
    <w:rsid w:val="002E5436"/>
    <w:rsid w:val="002E7996"/>
    <w:rsid w:val="002F0FDB"/>
    <w:rsid w:val="002F13FD"/>
    <w:rsid w:val="002F1F7F"/>
    <w:rsid w:val="002F2B0E"/>
    <w:rsid w:val="002F42F4"/>
    <w:rsid w:val="0030038A"/>
    <w:rsid w:val="0030185A"/>
    <w:rsid w:val="0030285B"/>
    <w:rsid w:val="00323541"/>
    <w:rsid w:val="00323EAA"/>
    <w:rsid w:val="00324C1C"/>
    <w:rsid w:val="00330C5C"/>
    <w:rsid w:val="003316AA"/>
    <w:rsid w:val="003341DC"/>
    <w:rsid w:val="00336059"/>
    <w:rsid w:val="0034369B"/>
    <w:rsid w:val="00346A23"/>
    <w:rsid w:val="00347685"/>
    <w:rsid w:val="00347DB3"/>
    <w:rsid w:val="00350917"/>
    <w:rsid w:val="00353191"/>
    <w:rsid w:val="00353E68"/>
    <w:rsid w:val="003550DB"/>
    <w:rsid w:val="00357E6F"/>
    <w:rsid w:val="00360D7C"/>
    <w:rsid w:val="003627B1"/>
    <w:rsid w:val="003631FE"/>
    <w:rsid w:val="00363D74"/>
    <w:rsid w:val="0036574F"/>
    <w:rsid w:val="003660F6"/>
    <w:rsid w:val="00366F85"/>
    <w:rsid w:val="003729F0"/>
    <w:rsid w:val="00373767"/>
    <w:rsid w:val="0037526E"/>
    <w:rsid w:val="00376922"/>
    <w:rsid w:val="00376FF7"/>
    <w:rsid w:val="00386338"/>
    <w:rsid w:val="00386706"/>
    <w:rsid w:val="003874EB"/>
    <w:rsid w:val="00390123"/>
    <w:rsid w:val="003908EB"/>
    <w:rsid w:val="00390BC3"/>
    <w:rsid w:val="0039193D"/>
    <w:rsid w:val="00396B62"/>
    <w:rsid w:val="003A0CDA"/>
    <w:rsid w:val="003A199A"/>
    <w:rsid w:val="003A2C48"/>
    <w:rsid w:val="003A4DD7"/>
    <w:rsid w:val="003B0599"/>
    <w:rsid w:val="003B4727"/>
    <w:rsid w:val="003B4B25"/>
    <w:rsid w:val="003B74BC"/>
    <w:rsid w:val="003C1CB5"/>
    <w:rsid w:val="003C4135"/>
    <w:rsid w:val="003C54C9"/>
    <w:rsid w:val="003C6646"/>
    <w:rsid w:val="003D0A36"/>
    <w:rsid w:val="003D1E1C"/>
    <w:rsid w:val="003D2039"/>
    <w:rsid w:val="003D274F"/>
    <w:rsid w:val="003D2902"/>
    <w:rsid w:val="003D4366"/>
    <w:rsid w:val="003D4F07"/>
    <w:rsid w:val="003D6D0B"/>
    <w:rsid w:val="003E7509"/>
    <w:rsid w:val="003F06FF"/>
    <w:rsid w:val="003F1295"/>
    <w:rsid w:val="003F1C5D"/>
    <w:rsid w:val="003F5C20"/>
    <w:rsid w:val="00402F0D"/>
    <w:rsid w:val="00404F9C"/>
    <w:rsid w:val="0040508D"/>
    <w:rsid w:val="00405871"/>
    <w:rsid w:val="004126C0"/>
    <w:rsid w:val="004128DA"/>
    <w:rsid w:val="00413A43"/>
    <w:rsid w:val="00413AFB"/>
    <w:rsid w:val="004147A7"/>
    <w:rsid w:val="00415016"/>
    <w:rsid w:val="00416045"/>
    <w:rsid w:val="00422823"/>
    <w:rsid w:val="0042602C"/>
    <w:rsid w:val="00426AB4"/>
    <w:rsid w:val="00427A64"/>
    <w:rsid w:val="00430054"/>
    <w:rsid w:val="0043067F"/>
    <w:rsid w:val="004324B4"/>
    <w:rsid w:val="0044116E"/>
    <w:rsid w:val="00442EDE"/>
    <w:rsid w:val="00447F11"/>
    <w:rsid w:val="0045279B"/>
    <w:rsid w:val="00453EE6"/>
    <w:rsid w:val="00456D72"/>
    <w:rsid w:val="00461688"/>
    <w:rsid w:val="00470A2A"/>
    <w:rsid w:val="00476F39"/>
    <w:rsid w:val="004771C4"/>
    <w:rsid w:val="00480506"/>
    <w:rsid w:val="00480E50"/>
    <w:rsid w:val="004900A1"/>
    <w:rsid w:val="004909B0"/>
    <w:rsid w:val="0049625F"/>
    <w:rsid w:val="004969DB"/>
    <w:rsid w:val="004A159B"/>
    <w:rsid w:val="004A225E"/>
    <w:rsid w:val="004A2D0B"/>
    <w:rsid w:val="004A2E7B"/>
    <w:rsid w:val="004A31F5"/>
    <w:rsid w:val="004A4371"/>
    <w:rsid w:val="004B4E34"/>
    <w:rsid w:val="004B6951"/>
    <w:rsid w:val="004C0636"/>
    <w:rsid w:val="004C1460"/>
    <w:rsid w:val="004C50CD"/>
    <w:rsid w:val="004C5C6B"/>
    <w:rsid w:val="004D0392"/>
    <w:rsid w:val="004D0A59"/>
    <w:rsid w:val="004D1EED"/>
    <w:rsid w:val="004D267E"/>
    <w:rsid w:val="004D2D01"/>
    <w:rsid w:val="004D34B9"/>
    <w:rsid w:val="004D4D43"/>
    <w:rsid w:val="004D5500"/>
    <w:rsid w:val="004D6816"/>
    <w:rsid w:val="004E1F9F"/>
    <w:rsid w:val="004E445C"/>
    <w:rsid w:val="004F2229"/>
    <w:rsid w:val="004F2D68"/>
    <w:rsid w:val="004F37D0"/>
    <w:rsid w:val="004F4E58"/>
    <w:rsid w:val="004F4E7F"/>
    <w:rsid w:val="004F6B43"/>
    <w:rsid w:val="004F6EE0"/>
    <w:rsid w:val="0050062B"/>
    <w:rsid w:val="005009A0"/>
    <w:rsid w:val="00501278"/>
    <w:rsid w:val="00502279"/>
    <w:rsid w:val="00502DB6"/>
    <w:rsid w:val="0050537E"/>
    <w:rsid w:val="00505473"/>
    <w:rsid w:val="00507DAF"/>
    <w:rsid w:val="005114F2"/>
    <w:rsid w:val="005147FE"/>
    <w:rsid w:val="00514DF0"/>
    <w:rsid w:val="00515D51"/>
    <w:rsid w:val="00517904"/>
    <w:rsid w:val="00522AAC"/>
    <w:rsid w:val="00523DF9"/>
    <w:rsid w:val="00527040"/>
    <w:rsid w:val="00527446"/>
    <w:rsid w:val="0053220D"/>
    <w:rsid w:val="00533F76"/>
    <w:rsid w:val="005364E3"/>
    <w:rsid w:val="005534F2"/>
    <w:rsid w:val="00561BB6"/>
    <w:rsid w:val="00564CCA"/>
    <w:rsid w:val="0056534C"/>
    <w:rsid w:val="005750D7"/>
    <w:rsid w:val="005750F5"/>
    <w:rsid w:val="005759DD"/>
    <w:rsid w:val="00576C34"/>
    <w:rsid w:val="005821EF"/>
    <w:rsid w:val="0058297A"/>
    <w:rsid w:val="0058409F"/>
    <w:rsid w:val="00586CC2"/>
    <w:rsid w:val="005924FF"/>
    <w:rsid w:val="00593CFF"/>
    <w:rsid w:val="00597B02"/>
    <w:rsid w:val="005B28B1"/>
    <w:rsid w:val="005B2BA5"/>
    <w:rsid w:val="005B3C3B"/>
    <w:rsid w:val="005B466A"/>
    <w:rsid w:val="005C2951"/>
    <w:rsid w:val="005C3B95"/>
    <w:rsid w:val="005C6291"/>
    <w:rsid w:val="005C6503"/>
    <w:rsid w:val="005D2362"/>
    <w:rsid w:val="005E2029"/>
    <w:rsid w:val="005E29A1"/>
    <w:rsid w:val="005E3662"/>
    <w:rsid w:val="005E4205"/>
    <w:rsid w:val="005E4793"/>
    <w:rsid w:val="005E4F6C"/>
    <w:rsid w:val="005E5DD9"/>
    <w:rsid w:val="005E77ED"/>
    <w:rsid w:val="005E7C19"/>
    <w:rsid w:val="005F11AF"/>
    <w:rsid w:val="005F2A14"/>
    <w:rsid w:val="005F2F66"/>
    <w:rsid w:val="005F3E1B"/>
    <w:rsid w:val="005F6E6D"/>
    <w:rsid w:val="005F79C0"/>
    <w:rsid w:val="00600D97"/>
    <w:rsid w:val="00600EA9"/>
    <w:rsid w:val="00604B69"/>
    <w:rsid w:val="00605194"/>
    <w:rsid w:val="006054F0"/>
    <w:rsid w:val="006072D7"/>
    <w:rsid w:val="0061104D"/>
    <w:rsid w:val="00613C61"/>
    <w:rsid w:val="00627B4B"/>
    <w:rsid w:val="0063134B"/>
    <w:rsid w:val="00632838"/>
    <w:rsid w:val="006373DB"/>
    <w:rsid w:val="00641ACD"/>
    <w:rsid w:val="0064354C"/>
    <w:rsid w:val="006455A0"/>
    <w:rsid w:val="0064629E"/>
    <w:rsid w:val="00646B4C"/>
    <w:rsid w:val="00650B3E"/>
    <w:rsid w:val="00653D40"/>
    <w:rsid w:val="00654173"/>
    <w:rsid w:val="00657DE2"/>
    <w:rsid w:val="006600A8"/>
    <w:rsid w:val="00660E0B"/>
    <w:rsid w:val="006641E1"/>
    <w:rsid w:val="006645BF"/>
    <w:rsid w:val="00671C2E"/>
    <w:rsid w:val="00674B62"/>
    <w:rsid w:val="006754B9"/>
    <w:rsid w:val="006772C0"/>
    <w:rsid w:val="00680C72"/>
    <w:rsid w:val="00682677"/>
    <w:rsid w:val="00683380"/>
    <w:rsid w:val="006849F7"/>
    <w:rsid w:val="00684CF6"/>
    <w:rsid w:val="0068585D"/>
    <w:rsid w:val="0068678A"/>
    <w:rsid w:val="00686C1E"/>
    <w:rsid w:val="0069053C"/>
    <w:rsid w:val="0069239F"/>
    <w:rsid w:val="00693308"/>
    <w:rsid w:val="006A2A0F"/>
    <w:rsid w:val="006A385C"/>
    <w:rsid w:val="006B1F15"/>
    <w:rsid w:val="006B32CD"/>
    <w:rsid w:val="006B3676"/>
    <w:rsid w:val="006B4F77"/>
    <w:rsid w:val="006C0828"/>
    <w:rsid w:val="006C2069"/>
    <w:rsid w:val="006C25AD"/>
    <w:rsid w:val="006C3FE6"/>
    <w:rsid w:val="006C466F"/>
    <w:rsid w:val="006C7377"/>
    <w:rsid w:val="006D0B91"/>
    <w:rsid w:val="006D2324"/>
    <w:rsid w:val="006D3910"/>
    <w:rsid w:val="006D50D6"/>
    <w:rsid w:val="006D6196"/>
    <w:rsid w:val="006D64A7"/>
    <w:rsid w:val="006D7362"/>
    <w:rsid w:val="006E09FF"/>
    <w:rsid w:val="006E28A2"/>
    <w:rsid w:val="006E5B51"/>
    <w:rsid w:val="006E5FFB"/>
    <w:rsid w:val="006F098A"/>
    <w:rsid w:val="006F0C06"/>
    <w:rsid w:val="006F490F"/>
    <w:rsid w:val="006F6878"/>
    <w:rsid w:val="006F6F85"/>
    <w:rsid w:val="006F7674"/>
    <w:rsid w:val="007003CC"/>
    <w:rsid w:val="00702C1F"/>
    <w:rsid w:val="00704A4D"/>
    <w:rsid w:val="00706FCC"/>
    <w:rsid w:val="007110A9"/>
    <w:rsid w:val="007145F1"/>
    <w:rsid w:val="0072081F"/>
    <w:rsid w:val="00724885"/>
    <w:rsid w:val="0072546C"/>
    <w:rsid w:val="00733ACF"/>
    <w:rsid w:val="00735032"/>
    <w:rsid w:val="0073540C"/>
    <w:rsid w:val="00735D7F"/>
    <w:rsid w:val="00740B2E"/>
    <w:rsid w:val="007435B9"/>
    <w:rsid w:val="00744A4E"/>
    <w:rsid w:val="0075008F"/>
    <w:rsid w:val="0075444C"/>
    <w:rsid w:val="00755A73"/>
    <w:rsid w:val="00756064"/>
    <w:rsid w:val="00760E17"/>
    <w:rsid w:val="0076417D"/>
    <w:rsid w:val="00770747"/>
    <w:rsid w:val="0077082E"/>
    <w:rsid w:val="0077138F"/>
    <w:rsid w:val="00772062"/>
    <w:rsid w:val="0077235F"/>
    <w:rsid w:val="007723BF"/>
    <w:rsid w:val="007734F9"/>
    <w:rsid w:val="007742BD"/>
    <w:rsid w:val="0078132F"/>
    <w:rsid w:val="00781B53"/>
    <w:rsid w:val="00781F72"/>
    <w:rsid w:val="00782BCC"/>
    <w:rsid w:val="007838E0"/>
    <w:rsid w:val="00784548"/>
    <w:rsid w:val="007871D6"/>
    <w:rsid w:val="00791568"/>
    <w:rsid w:val="00792A76"/>
    <w:rsid w:val="00792F41"/>
    <w:rsid w:val="00793CFE"/>
    <w:rsid w:val="007957E7"/>
    <w:rsid w:val="007A1EDB"/>
    <w:rsid w:val="007A4212"/>
    <w:rsid w:val="007B22E8"/>
    <w:rsid w:val="007B3FCD"/>
    <w:rsid w:val="007B5019"/>
    <w:rsid w:val="007B52CD"/>
    <w:rsid w:val="007B7B17"/>
    <w:rsid w:val="007C0317"/>
    <w:rsid w:val="007C33F9"/>
    <w:rsid w:val="007C389F"/>
    <w:rsid w:val="007C40D2"/>
    <w:rsid w:val="007C70CC"/>
    <w:rsid w:val="007C79FC"/>
    <w:rsid w:val="007D04CE"/>
    <w:rsid w:val="007D1C75"/>
    <w:rsid w:val="007D2B47"/>
    <w:rsid w:val="007D5356"/>
    <w:rsid w:val="007D5C41"/>
    <w:rsid w:val="007D7EEC"/>
    <w:rsid w:val="007E2733"/>
    <w:rsid w:val="007E3BEA"/>
    <w:rsid w:val="007E4D19"/>
    <w:rsid w:val="007E581E"/>
    <w:rsid w:val="007E5ED3"/>
    <w:rsid w:val="007E69D2"/>
    <w:rsid w:val="007F062B"/>
    <w:rsid w:val="007F280E"/>
    <w:rsid w:val="007F521C"/>
    <w:rsid w:val="007F78F3"/>
    <w:rsid w:val="00800097"/>
    <w:rsid w:val="0080204D"/>
    <w:rsid w:val="00802735"/>
    <w:rsid w:val="00804229"/>
    <w:rsid w:val="008042A5"/>
    <w:rsid w:val="0080626B"/>
    <w:rsid w:val="00806CB2"/>
    <w:rsid w:val="008073BC"/>
    <w:rsid w:val="0081063F"/>
    <w:rsid w:val="00811C30"/>
    <w:rsid w:val="0081457C"/>
    <w:rsid w:val="00821734"/>
    <w:rsid w:val="00822196"/>
    <w:rsid w:val="008227FE"/>
    <w:rsid w:val="0082305E"/>
    <w:rsid w:val="00825DD7"/>
    <w:rsid w:val="0082702F"/>
    <w:rsid w:val="00827E40"/>
    <w:rsid w:val="00827E8F"/>
    <w:rsid w:val="00830EA9"/>
    <w:rsid w:val="00835003"/>
    <w:rsid w:val="0083566B"/>
    <w:rsid w:val="008367F3"/>
    <w:rsid w:val="00842735"/>
    <w:rsid w:val="00843256"/>
    <w:rsid w:val="008433A5"/>
    <w:rsid w:val="00843CA8"/>
    <w:rsid w:val="00843FCC"/>
    <w:rsid w:val="00845DE9"/>
    <w:rsid w:val="00846256"/>
    <w:rsid w:val="008465F9"/>
    <w:rsid w:val="008519A1"/>
    <w:rsid w:val="0085239A"/>
    <w:rsid w:val="0085331D"/>
    <w:rsid w:val="00854513"/>
    <w:rsid w:val="008556F2"/>
    <w:rsid w:val="00861D08"/>
    <w:rsid w:val="00862C72"/>
    <w:rsid w:val="00862E1D"/>
    <w:rsid w:val="008633FF"/>
    <w:rsid w:val="0086454D"/>
    <w:rsid w:val="008657B1"/>
    <w:rsid w:val="00867F30"/>
    <w:rsid w:val="00873E83"/>
    <w:rsid w:val="00877AA1"/>
    <w:rsid w:val="00877C1C"/>
    <w:rsid w:val="0088161D"/>
    <w:rsid w:val="00882465"/>
    <w:rsid w:val="008901F7"/>
    <w:rsid w:val="00890886"/>
    <w:rsid w:val="00890B08"/>
    <w:rsid w:val="008916A4"/>
    <w:rsid w:val="008A0199"/>
    <w:rsid w:val="008A17B5"/>
    <w:rsid w:val="008A20B1"/>
    <w:rsid w:val="008A3F1A"/>
    <w:rsid w:val="008A3FCF"/>
    <w:rsid w:val="008A41ED"/>
    <w:rsid w:val="008A5EAC"/>
    <w:rsid w:val="008A74AE"/>
    <w:rsid w:val="008A7C5C"/>
    <w:rsid w:val="008B19E3"/>
    <w:rsid w:val="008B2760"/>
    <w:rsid w:val="008B3DC8"/>
    <w:rsid w:val="008B4EC5"/>
    <w:rsid w:val="008B5210"/>
    <w:rsid w:val="008B7859"/>
    <w:rsid w:val="008C05F1"/>
    <w:rsid w:val="008C218B"/>
    <w:rsid w:val="008C59EE"/>
    <w:rsid w:val="008C6917"/>
    <w:rsid w:val="008C6DD8"/>
    <w:rsid w:val="008C764B"/>
    <w:rsid w:val="008D01FD"/>
    <w:rsid w:val="008D17C0"/>
    <w:rsid w:val="008D1858"/>
    <w:rsid w:val="008D1AFC"/>
    <w:rsid w:val="008D1E6C"/>
    <w:rsid w:val="008D1F53"/>
    <w:rsid w:val="008D28A6"/>
    <w:rsid w:val="008D4B02"/>
    <w:rsid w:val="008D66D4"/>
    <w:rsid w:val="008D7794"/>
    <w:rsid w:val="008E0B8A"/>
    <w:rsid w:val="008E3774"/>
    <w:rsid w:val="008E6D8C"/>
    <w:rsid w:val="008E7D6B"/>
    <w:rsid w:val="008F0B3A"/>
    <w:rsid w:val="008F0B5B"/>
    <w:rsid w:val="008F0F5B"/>
    <w:rsid w:val="008F48B8"/>
    <w:rsid w:val="008F5EDB"/>
    <w:rsid w:val="008F7730"/>
    <w:rsid w:val="00900BFA"/>
    <w:rsid w:val="00900E71"/>
    <w:rsid w:val="00900FEA"/>
    <w:rsid w:val="009021F5"/>
    <w:rsid w:val="0090447A"/>
    <w:rsid w:val="00905BFB"/>
    <w:rsid w:val="009064EA"/>
    <w:rsid w:val="009066E0"/>
    <w:rsid w:val="00910C56"/>
    <w:rsid w:val="00911C93"/>
    <w:rsid w:val="00912B1E"/>
    <w:rsid w:val="0091398F"/>
    <w:rsid w:val="0091531E"/>
    <w:rsid w:val="00915583"/>
    <w:rsid w:val="009176C3"/>
    <w:rsid w:val="0092030B"/>
    <w:rsid w:val="00923A8C"/>
    <w:rsid w:val="00923ACC"/>
    <w:rsid w:val="00926AFD"/>
    <w:rsid w:val="00931F12"/>
    <w:rsid w:val="00932346"/>
    <w:rsid w:val="00932D6C"/>
    <w:rsid w:val="00934359"/>
    <w:rsid w:val="009448C5"/>
    <w:rsid w:val="0094512F"/>
    <w:rsid w:val="00950550"/>
    <w:rsid w:val="00951437"/>
    <w:rsid w:val="00951F13"/>
    <w:rsid w:val="00951FEC"/>
    <w:rsid w:val="009572E2"/>
    <w:rsid w:val="00964906"/>
    <w:rsid w:val="00965F55"/>
    <w:rsid w:val="009666E8"/>
    <w:rsid w:val="00970943"/>
    <w:rsid w:val="00970C86"/>
    <w:rsid w:val="00971A11"/>
    <w:rsid w:val="009738CD"/>
    <w:rsid w:val="00973F5F"/>
    <w:rsid w:val="0097525F"/>
    <w:rsid w:val="0097705B"/>
    <w:rsid w:val="0098237E"/>
    <w:rsid w:val="00983AEF"/>
    <w:rsid w:val="009842C2"/>
    <w:rsid w:val="00984502"/>
    <w:rsid w:val="00985750"/>
    <w:rsid w:val="00986DDB"/>
    <w:rsid w:val="00993750"/>
    <w:rsid w:val="00995864"/>
    <w:rsid w:val="00996944"/>
    <w:rsid w:val="00997A9A"/>
    <w:rsid w:val="009A041A"/>
    <w:rsid w:val="009A0DA6"/>
    <w:rsid w:val="009A28B5"/>
    <w:rsid w:val="009A37CD"/>
    <w:rsid w:val="009A535E"/>
    <w:rsid w:val="009B0A14"/>
    <w:rsid w:val="009B0E63"/>
    <w:rsid w:val="009B2CD5"/>
    <w:rsid w:val="009C2B62"/>
    <w:rsid w:val="009C3578"/>
    <w:rsid w:val="009C3DAF"/>
    <w:rsid w:val="009D08E6"/>
    <w:rsid w:val="009D12CD"/>
    <w:rsid w:val="009D7801"/>
    <w:rsid w:val="009E2289"/>
    <w:rsid w:val="009E22EF"/>
    <w:rsid w:val="009E38B3"/>
    <w:rsid w:val="009E447F"/>
    <w:rsid w:val="009E46E8"/>
    <w:rsid w:val="009E7CA6"/>
    <w:rsid w:val="009F0DAB"/>
    <w:rsid w:val="009F1E64"/>
    <w:rsid w:val="009F33D5"/>
    <w:rsid w:val="009F54D1"/>
    <w:rsid w:val="00A04242"/>
    <w:rsid w:val="00A055F2"/>
    <w:rsid w:val="00A06EEA"/>
    <w:rsid w:val="00A07797"/>
    <w:rsid w:val="00A07BA2"/>
    <w:rsid w:val="00A11943"/>
    <w:rsid w:val="00A126CF"/>
    <w:rsid w:val="00A13177"/>
    <w:rsid w:val="00A150ED"/>
    <w:rsid w:val="00A163C2"/>
    <w:rsid w:val="00A203DA"/>
    <w:rsid w:val="00A26DB5"/>
    <w:rsid w:val="00A3180D"/>
    <w:rsid w:val="00A33F0B"/>
    <w:rsid w:val="00A35CA9"/>
    <w:rsid w:val="00A3630D"/>
    <w:rsid w:val="00A363DA"/>
    <w:rsid w:val="00A37384"/>
    <w:rsid w:val="00A4055F"/>
    <w:rsid w:val="00A425FC"/>
    <w:rsid w:val="00A46AE8"/>
    <w:rsid w:val="00A50D39"/>
    <w:rsid w:val="00A520BB"/>
    <w:rsid w:val="00A533C7"/>
    <w:rsid w:val="00A53C90"/>
    <w:rsid w:val="00A544DF"/>
    <w:rsid w:val="00A54C8F"/>
    <w:rsid w:val="00A5594A"/>
    <w:rsid w:val="00A57890"/>
    <w:rsid w:val="00A61283"/>
    <w:rsid w:val="00A61BC1"/>
    <w:rsid w:val="00A63F3F"/>
    <w:rsid w:val="00A646DE"/>
    <w:rsid w:val="00A72352"/>
    <w:rsid w:val="00A73E58"/>
    <w:rsid w:val="00A81243"/>
    <w:rsid w:val="00A828AA"/>
    <w:rsid w:val="00A845EC"/>
    <w:rsid w:val="00A852B4"/>
    <w:rsid w:val="00A90772"/>
    <w:rsid w:val="00A949A8"/>
    <w:rsid w:val="00A959B8"/>
    <w:rsid w:val="00A95BAF"/>
    <w:rsid w:val="00A9628B"/>
    <w:rsid w:val="00A96390"/>
    <w:rsid w:val="00AA196D"/>
    <w:rsid w:val="00AA220C"/>
    <w:rsid w:val="00AA31FA"/>
    <w:rsid w:val="00AA341B"/>
    <w:rsid w:val="00AA4F8E"/>
    <w:rsid w:val="00AA59F4"/>
    <w:rsid w:val="00AA7115"/>
    <w:rsid w:val="00AB0220"/>
    <w:rsid w:val="00AB1D5F"/>
    <w:rsid w:val="00AB262A"/>
    <w:rsid w:val="00AB4B48"/>
    <w:rsid w:val="00AB4FFF"/>
    <w:rsid w:val="00AB55DE"/>
    <w:rsid w:val="00AB656C"/>
    <w:rsid w:val="00AB66B3"/>
    <w:rsid w:val="00AB6CFB"/>
    <w:rsid w:val="00AC011A"/>
    <w:rsid w:val="00AC28DE"/>
    <w:rsid w:val="00AC4A36"/>
    <w:rsid w:val="00AC6A1B"/>
    <w:rsid w:val="00AC6CBD"/>
    <w:rsid w:val="00AD047E"/>
    <w:rsid w:val="00AD3491"/>
    <w:rsid w:val="00AD5F2B"/>
    <w:rsid w:val="00AD6C7F"/>
    <w:rsid w:val="00AE0361"/>
    <w:rsid w:val="00AE169A"/>
    <w:rsid w:val="00AE1C64"/>
    <w:rsid w:val="00AE2742"/>
    <w:rsid w:val="00AE36E5"/>
    <w:rsid w:val="00AF00EB"/>
    <w:rsid w:val="00AF21E6"/>
    <w:rsid w:val="00AF5288"/>
    <w:rsid w:val="00AF5D31"/>
    <w:rsid w:val="00AF7B04"/>
    <w:rsid w:val="00B008C0"/>
    <w:rsid w:val="00B0302C"/>
    <w:rsid w:val="00B0421A"/>
    <w:rsid w:val="00B072AE"/>
    <w:rsid w:val="00B07973"/>
    <w:rsid w:val="00B1155E"/>
    <w:rsid w:val="00B1289A"/>
    <w:rsid w:val="00B12987"/>
    <w:rsid w:val="00B13340"/>
    <w:rsid w:val="00B238B0"/>
    <w:rsid w:val="00B240CE"/>
    <w:rsid w:val="00B316A1"/>
    <w:rsid w:val="00B32B5E"/>
    <w:rsid w:val="00B345AB"/>
    <w:rsid w:val="00B366A1"/>
    <w:rsid w:val="00B37052"/>
    <w:rsid w:val="00B42707"/>
    <w:rsid w:val="00B432A0"/>
    <w:rsid w:val="00B46D5E"/>
    <w:rsid w:val="00B4720A"/>
    <w:rsid w:val="00B507CC"/>
    <w:rsid w:val="00B50FC5"/>
    <w:rsid w:val="00B55F78"/>
    <w:rsid w:val="00B561E8"/>
    <w:rsid w:val="00B57549"/>
    <w:rsid w:val="00B62FDE"/>
    <w:rsid w:val="00B63F2F"/>
    <w:rsid w:val="00B64C19"/>
    <w:rsid w:val="00B67970"/>
    <w:rsid w:val="00B720D3"/>
    <w:rsid w:val="00B72164"/>
    <w:rsid w:val="00B7286F"/>
    <w:rsid w:val="00B7431E"/>
    <w:rsid w:val="00B74E47"/>
    <w:rsid w:val="00B768E2"/>
    <w:rsid w:val="00B769AD"/>
    <w:rsid w:val="00B775CB"/>
    <w:rsid w:val="00B81D11"/>
    <w:rsid w:val="00B82F46"/>
    <w:rsid w:val="00B8471A"/>
    <w:rsid w:val="00B87270"/>
    <w:rsid w:val="00B9252C"/>
    <w:rsid w:val="00B92A35"/>
    <w:rsid w:val="00B9498B"/>
    <w:rsid w:val="00B951B1"/>
    <w:rsid w:val="00B979BD"/>
    <w:rsid w:val="00B97A23"/>
    <w:rsid w:val="00BA1418"/>
    <w:rsid w:val="00BA4A84"/>
    <w:rsid w:val="00BA53B5"/>
    <w:rsid w:val="00BA68DB"/>
    <w:rsid w:val="00BB0A71"/>
    <w:rsid w:val="00BB5C1E"/>
    <w:rsid w:val="00BB6D98"/>
    <w:rsid w:val="00BB6DF6"/>
    <w:rsid w:val="00BB7AA8"/>
    <w:rsid w:val="00BC0359"/>
    <w:rsid w:val="00BC1EBF"/>
    <w:rsid w:val="00BC2E68"/>
    <w:rsid w:val="00BC44B6"/>
    <w:rsid w:val="00BC79C0"/>
    <w:rsid w:val="00BD1D37"/>
    <w:rsid w:val="00BD42DB"/>
    <w:rsid w:val="00BD6245"/>
    <w:rsid w:val="00BD697F"/>
    <w:rsid w:val="00BE1049"/>
    <w:rsid w:val="00BE17A9"/>
    <w:rsid w:val="00BE5763"/>
    <w:rsid w:val="00BF19C4"/>
    <w:rsid w:val="00BF3BAD"/>
    <w:rsid w:val="00BF3CBD"/>
    <w:rsid w:val="00BF423A"/>
    <w:rsid w:val="00BF612A"/>
    <w:rsid w:val="00C02A15"/>
    <w:rsid w:val="00C02C4F"/>
    <w:rsid w:val="00C0327F"/>
    <w:rsid w:val="00C1747F"/>
    <w:rsid w:val="00C22B7B"/>
    <w:rsid w:val="00C2383B"/>
    <w:rsid w:val="00C25BEE"/>
    <w:rsid w:val="00C26F1C"/>
    <w:rsid w:val="00C3280C"/>
    <w:rsid w:val="00C35E26"/>
    <w:rsid w:val="00C36C28"/>
    <w:rsid w:val="00C3701E"/>
    <w:rsid w:val="00C4024C"/>
    <w:rsid w:val="00C44504"/>
    <w:rsid w:val="00C44DC2"/>
    <w:rsid w:val="00C5443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47AF"/>
    <w:rsid w:val="00C85E8A"/>
    <w:rsid w:val="00C86061"/>
    <w:rsid w:val="00C8752E"/>
    <w:rsid w:val="00C901B4"/>
    <w:rsid w:val="00C91719"/>
    <w:rsid w:val="00C944BE"/>
    <w:rsid w:val="00C959C7"/>
    <w:rsid w:val="00CA2595"/>
    <w:rsid w:val="00CA3052"/>
    <w:rsid w:val="00CA3130"/>
    <w:rsid w:val="00CA3A4A"/>
    <w:rsid w:val="00CA482E"/>
    <w:rsid w:val="00CA69F1"/>
    <w:rsid w:val="00CA7764"/>
    <w:rsid w:val="00CB14F9"/>
    <w:rsid w:val="00CB1680"/>
    <w:rsid w:val="00CB3318"/>
    <w:rsid w:val="00CB7AAC"/>
    <w:rsid w:val="00CC2078"/>
    <w:rsid w:val="00CC5CB2"/>
    <w:rsid w:val="00CD10B1"/>
    <w:rsid w:val="00CD2FCE"/>
    <w:rsid w:val="00CD3EE5"/>
    <w:rsid w:val="00CD4D5D"/>
    <w:rsid w:val="00CD7168"/>
    <w:rsid w:val="00CE2942"/>
    <w:rsid w:val="00CE43E0"/>
    <w:rsid w:val="00CF09E4"/>
    <w:rsid w:val="00CF0F7A"/>
    <w:rsid w:val="00CF199D"/>
    <w:rsid w:val="00CF7B6A"/>
    <w:rsid w:val="00CF7DAB"/>
    <w:rsid w:val="00CF7DAD"/>
    <w:rsid w:val="00D00434"/>
    <w:rsid w:val="00D01126"/>
    <w:rsid w:val="00D02587"/>
    <w:rsid w:val="00D03382"/>
    <w:rsid w:val="00D038AC"/>
    <w:rsid w:val="00D056A2"/>
    <w:rsid w:val="00D10BD3"/>
    <w:rsid w:val="00D12A9F"/>
    <w:rsid w:val="00D178E0"/>
    <w:rsid w:val="00D21E06"/>
    <w:rsid w:val="00D23214"/>
    <w:rsid w:val="00D32B32"/>
    <w:rsid w:val="00D336B8"/>
    <w:rsid w:val="00D353B7"/>
    <w:rsid w:val="00D42A06"/>
    <w:rsid w:val="00D440C9"/>
    <w:rsid w:val="00D44A45"/>
    <w:rsid w:val="00D47512"/>
    <w:rsid w:val="00D47B67"/>
    <w:rsid w:val="00D5114F"/>
    <w:rsid w:val="00D53F84"/>
    <w:rsid w:val="00D62E47"/>
    <w:rsid w:val="00D70A58"/>
    <w:rsid w:val="00D7211C"/>
    <w:rsid w:val="00D74C4C"/>
    <w:rsid w:val="00D76A04"/>
    <w:rsid w:val="00D80252"/>
    <w:rsid w:val="00D8251C"/>
    <w:rsid w:val="00D82A24"/>
    <w:rsid w:val="00D82DB4"/>
    <w:rsid w:val="00D83B95"/>
    <w:rsid w:val="00D846CA"/>
    <w:rsid w:val="00D84A3C"/>
    <w:rsid w:val="00D87254"/>
    <w:rsid w:val="00D92179"/>
    <w:rsid w:val="00D94567"/>
    <w:rsid w:val="00D9647E"/>
    <w:rsid w:val="00DA5C32"/>
    <w:rsid w:val="00DA6D7B"/>
    <w:rsid w:val="00DA770E"/>
    <w:rsid w:val="00DB0CEC"/>
    <w:rsid w:val="00DB3C6E"/>
    <w:rsid w:val="00DB3D51"/>
    <w:rsid w:val="00DB4281"/>
    <w:rsid w:val="00DB4974"/>
    <w:rsid w:val="00DB4AB7"/>
    <w:rsid w:val="00DB7133"/>
    <w:rsid w:val="00DC0208"/>
    <w:rsid w:val="00DC1AC7"/>
    <w:rsid w:val="00DC465C"/>
    <w:rsid w:val="00DC6E1E"/>
    <w:rsid w:val="00DD4374"/>
    <w:rsid w:val="00DD6502"/>
    <w:rsid w:val="00DD6E07"/>
    <w:rsid w:val="00DD714C"/>
    <w:rsid w:val="00DE0CDD"/>
    <w:rsid w:val="00DE1254"/>
    <w:rsid w:val="00DE29D7"/>
    <w:rsid w:val="00DE3681"/>
    <w:rsid w:val="00DE5090"/>
    <w:rsid w:val="00E00BEB"/>
    <w:rsid w:val="00E024D2"/>
    <w:rsid w:val="00E030C9"/>
    <w:rsid w:val="00E05439"/>
    <w:rsid w:val="00E05F1D"/>
    <w:rsid w:val="00E10534"/>
    <w:rsid w:val="00E13CFC"/>
    <w:rsid w:val="00E14310"/>
    <w:rsid w:val="00E20D35"/>
    <w:rsid w:val="00E22084"/>
    <w:rsid w:val="00E22767"/>
    <w:rsid w:val="00E22B18"/>
    <w:rsid w:val="00E23384"/>
    <w:rsid w:val="00E25C2D"/>
    <w:rsid w:val="00E2631F"/>
    <w:rsid w:val="00E2791D"/>
    <w:rsid w:val="00E33788"/>
    <w:rsid w:val="00E33BE9"/>
    <w:rsid w:val="00E3410E"/>
    <w:rsid w:val="00E3420B"/>
    <w:rsid w:val="00E41D60"/>
    <w:rsid w:val="00E420B0"/>
    <w:rsid w:val="00E450B0"/>
    <w:rsid w:val="00E50B0C"/>
    <w:rsid w:val="00E53E5F"/>
    <w:rsid w:val="00E54518"/>
    <w:rsid w:val="00E56D03"/>
    <w:rsid w:val="00E5747E"/>
    <w:rsid w:val="00E57A45"/>
    <w:rsid w:val="00E613F6"/>
    <w:rsid w:val="00E63261"/>
    <w:rsid w:val="00E63383"/>
    <w:rsid w:val="00E63E21"/>
    <w:rsid w:val="00E66060"/>
    <w:rsid w:val="00E7010B"/>
    <w:rsid w:val="00E70BA3"/>
    <w:rsid w:val="00E7139A"/>
    <w:rsid w:val="00E7148B"/>
    <w:rsid w:val="00E83567"/>
    <w:rsid w:val="00E839C0"/>
    <w:rsid w:val="00E84FBC"/>
    <w:rsid w:val="00E8578F"/>
    <w:rsid w:val="00E86F90"/>
    <w:rsid w:val="00E876BF"/>
    <w:rsid w:val="00E90397"/>
    <w:rsid w:val="00E90BDB"/>
    <w:rsid w:val="00E9160D"/>
    <w:rsid w:val="00E92407"/>
    <w:rsid w:val="00E927E9"/>
    <w:rsid w:val="00E96B4D"/>
    <w:rsid w:val="00EA3CBF"/>
    <w:rsid w:val="00EA6A93"/>
    <w:rsid w:val="00EB1275"/>
    <w:rsid w:val="00EB512C"/>
    <w:rsid w:val="00EB6DB1"/>
    <w:rsid w:val="00EC1B98"/>
    <w:rsid w:val="00EC212C"/>
    <w:rsid w:val="00EC3A14"/>
    <w:rsid w:val="00ED08E0"/>
    <w:rsid w:val="00ED0E52"/>
    <w:rsid w:val="00ED208B"/>
    <w:rsid w:val="00ED3242"/>
    <w:rsid w:val="00ED3ECF"/>
    <w:rsid w:val="00ED6D4F"/>
    <w:rsid w:val="00ED7989"/>
    <w:rsid w:val="00EE2602"/>
    <w:rsid w:val="00EE3490"/>
    <w:rsid w:val="00EE3CAE"/>
    <w:rsid w:val="00EE6DC8"/>
    <w:rsid w:val="00EF0368"/>
    <w:rsid w:val="00EF070C"/>
    <w:rsid w:val="00EF14C7"/>
    <w:rsid w:val="00EF5B11"/>
    <w:rsid w:val="00F000D3"/>
    <w:rsid w:val="00F015C6"/>
    <w:rsid w:val="00F03948"/>
    <w:rsid w:val="00F06447"/>
    <w:rsid w:val="00F072DE"/>
    <w:rsid w:val="00F07323"/>
    <w:rsid w:val="00F10E1E"/>
    <w:rsid w:val="00F1110B"/>
    <w:rsid w:val="00F15160"/>
    <w:rsid w:val="00F16205"/>
    <w:rsid w:val="00F1633B"/>
    <w:rsid w:val="00F172D8"/>
    <w:rsid w:val="00F17D6E"/>
    <w:rsid w:val="00F2043B"/>
    <w:rsid w:val="00F205ED"/>
    <w:rsid w:val="00F26236"/>
    <w:rsid w:val="00F26367"/>
    <w:rsid w:val="00F267CA"/>
    <w:rsid w:val="00F2778E"/>
    <w:rsid w:val="00F30696"/>
    <w:rsid w:val="00F33F50"/>
    <w:rsid w:val="00F34D03"/>
    <w:rsid w:val="00F3576A"/>
    <w:rsid w:val="00F35B2B"/>
    <w:rsid w:val="00F37B26"/>
    <w:rsid w:val="00F40B47"/>
    <w:rsid w:val="00F439AD"/>
    <w:rsid w:val="00F4664B"/>
    <w:rsid w:val="00F468FE"/>
    <w:rsid w:val="00F476A1"/>
    <w:rsid w:val="00F50AFD"/>
    <w:rsid w:val="00F533A3"/>
    <w:rsid w:val="00F63C1A"/>
    <w:rsid w:val="00F6463B"/>
    <w:rsid w:val="00F718BA"/>
    <w:rsid w:val="00F722CD"/>
    <w:rsid w:val="00F7526B"/>
    <w:rsid w:val="00F800F4"/>
    <w:rsid w:val="00F80355"/>
    <w:rsid w:val="00F8366A"/>
    <w:rsid w:val="00F83727"/>
    <w:rsid w:val="00F8387B"/>
    <w:rsid w:val="00F87597"/>
    <w:rsid w:val="00F950A3"/>
    <w:rsid w:val="00FA0C0A"/>
    <w:rsid w:val="00FA0D97"/>
    <w:rsid w:val="00FA11A4"/>
    <w:rsid w:val="00FA136F"/>
    <w:rsid w:val="00FA27DB"/>
    <w:rsid w:val="00FA52F7"/>
    <w:rsid w:val="00FA5C55"/>
    <w:rsid w:val="00FA79DC"/>
    <w:rsid w:val="00FB1A3D"/>
    <w:rsid w:val="00FB2431"/>
    <w:rsid w:val="00FB654B"/>
    <w:rsid w:val="00FB7F1C"/>
    <w:rsid w:val="00FC0100"/>
    <w:rsid w:val="00FC0D7C"/>
    <w:rsid w:val="00FC38BB"/>
    <w:rsid w:val="00FC56BC"/>
    <w:rsid w:val="00FC7CF2"/>
    <w:rsid w:val="00FD0FBD"/>
    <w:rsid w:val="00FD330F"/>
    <w:rsid w:val="00FD4289"/>
    <w:rsid w:val="00FD5235"/>
    <w:rsid w:val="00FD6F08"/>
    <w:rsid w:val="00FE008E"/>
    <w:rsid w:val="00FE038C"/>
    <w:rsid w:val="00FE0D7E"/>
    <w:rsid w:val="00FE2F86"/>
    <w:rsid w:val="00FE2F95"/>
    <w:rsid w:val="00FE7D76"/>
    <w:rsid w:val="00FF4D9A"/>
    <w:rsid w:val="00FF5673"/>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99C5333-2F48-4444-8728-DFD353D4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
    <w:basedOn w:val="HouseStyleBase"/>
    <w:link w:val="Heading1Char1"/>
    <w:uiPriority w:val="99"/>
    <w:qFormat/>
    <w:rsid w:val="00AA7115"/>
    <w:pPr>
      <w:keepNext/>
      <w:numPr>
        <w:numId w:val="17"/>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AA7115"/>
    <w:pPr>
      <w:numPr>
        <w:ilvl w:val="1"/>
        <w:numId w:val="17"/>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AA7115"/>
    <w:pPr>
      <w:numPr>
        <w:ilvl w:val="2"/>
        <w:numId w:val="17"/>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17"/>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AA7115"/>
    <w:pPr>
      <w:numPr>
        <w:ilvl w:val="4"/>
        <w:numId w:val="17"/>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qFormat/>
    <w:rsid w:val="00AA7115"/>
    <w:pPr>
      <w:numPr>
        <w:ilvl w:val="5"/>
        <w:numId w:val="17"/>
      </w:numPr>
      <w:outlineLvl w:val="5"/>
    </w:pPr>
  </w:style>
  <w:style w:type="paragraph" w:styleId="Heading7">
    <w:name w:val="heading 7"/>
    <w:aliases w:val="Heading 7 (Do Not Use),Heading 7(unused),Legal Level 1.1.,L2 PIP,Lev 7,H7DO NOT USE,PA Appendix Major"/>
    <w:basedOn w:val="HouseStyleBase"/>
    <w:link w:val="Heading7Char"/>
    <w:uiPriority w:val="99"/>
    <w:qFormat/>
    <w:rsid w:val="00AA7115"/>
    <w:pPr>
      <w:numPr>
        <w:ilvl w:val="6"/>
        <w:numId w:val="17"/>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17"/>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1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AA7115"/>
    <w:rPr>
      <w:rFonts w:ascii="Arial" w:eastAsia="STZhongsong" w:hAnsi="Arial"/>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AA7115"/>
    <w:rPr>
      <w:rFonts w:ascii="Arial" w:eastAsia="STZhongsong" w:hAnsi="Arial"/>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AA7115"/>
    <w:rPr>
      <w:rFonts w:ascii="Arial" w:eastAsia="STZhongsong" w:hAnsi="Arial"/>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AA7115"/>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locked/>
    <w:rsid w:val="00AA7115"/>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locked/>
    <w:rsid w:val="00AA7115"/>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locked/>
    <w:rsid w:val="00AA7115"/>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locked/>
    <w:rsid w:val="00AA7115"/>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rsid w:val="00AA7115"/>
    <w:pPr>
      <w:spacing w:after="60"/>
      <w:ind w:left="720" w:hanging="720"/>
    </w:pPr>
    <w:rPr>
      <w:sz w:val="16"/>
    </w:rPr>
  </w:style>
  <w:style w:type="character" w:customStyle="1" w:styleId="FootnoteTextChar">
    <w:name w:val="Footnote Text Char"/>
    <w:basedOn w:val="DefaultParagraphFont"/>
    <w:link w:val="FootnoteText"/>
    <w:uiPriority w:val="99"/>
    <w:semiHidden/>
    <w:locked/>
    <w:rsid w:val="00AA7115"/>
    <w:rPr>
      <w:rFonts w:eastAsia="STZhongsong" w:cs="Times New Roman"/>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99"/>
    <w:rsid w:val="00AA7115"/>
    <w:pPr>
      <w:tabs>
        <w:tab w:val="left" w:pos="720"/>
        <w:tab w:val="right" w:leader="dot" w:pos="9029"/>
      </w:tabs>
      <w:adjustRightInd w:val="0"/>
      <w:spacing w:after="120"/>
      <w:ind w:left="720" w:hanging="720"/>
    </w:pPr>
    <w:rPr>
      <w:rFonts w:eastAsia="STZhongsong"/>
      <w:caps/>
      <w:szCs w:val="20"/>
    </w:rPr>
  </w:style>
  <w:style w:type="paragraph" w:styleId="TOC2">
    <w:name w:val="toc 2"/>
    <w:basedOn w:val="Normal"/>
    <w:uiPriority w:val="99"/>
    <w:rsid w:val="00AA7115"/>
    <w:pPr>
      <w:tabs>
        <w:tab w:val="left" w:pos="1440"/>
        <w:tab w:val="right" w:leader="dot" w:pos="9029"/>
      </w:tabs>
      <w:adjustRightInd w:val="0"/>
      <w:spacing w:after="120"/>
      <w:ind w:left="1440" w:hanging="720"/>
    </w:pPr>
    <w:rPr>
      <w:rFonts w:eastAsia="STZhongsong"/>
      <w:szCs w:val="20"/>
    </w:rPr>
  </w:style>
  <w:style w:type="paragraph" w:styleId="TOC3">
    <w:name w:val="toc 3"/>
    <w:basedOn w:val="Normal"/>
    <w:uiPriority w:val="99"/>
    <w:rsid w:val="00AA7115"/>
    <w:pPr>
      <w:tabs>
        <w:tab w:val="left" w:pos="2160"/>
        <w:tab w:val="right" w:leader="dot" w:pos="9029"/>
      </w:tabs>
      <w:adjustRightInd w:val="0"/>
      <w:spacing w:after="120"/>
      <w:ind w:left="2160" w:hanging="720"/>
    </w:pPr>
    <w:rPr>
      <w:rFonts w:eastAsia="STZhongsong"/>
      <w:szCs w:val="20"/>
    </w:rPr>
  </w:style>
  <w:style w:type="paragraph" w:styleId="TOC4">
    <w:name w:val="toc 4"/>
    <w:basedOn w:val="Normal"/>
    <w:uiPriority w:val="99"/>
    <w:semiHidden/>
    <w:rsid w:val="00AA7115"/>
    <w:pPr>
      <w:tabs>
        <w:tab w:val="left" w:pos="2880"/>
        <w:tab w:val="right" w:leader="dot" w:pos="9029"/>
      </w:tabs>
      <w:adjustRightInd w:val="0"/>
      <w:spacing w:after="120"/>
      <w:ind w:left="2880" w:hanging="720"/>
    </w:pPr>
    <w:rPr>
      <w:rFonts w:eastAsia="STZhongsong"/>
      <w:szCs w:val="20"/>
    </w:rPr>
  </w:style>
  <w:style w:type="paragraph" w:styleId="TOC5">
    <w:name w:val="toc 5"/>
    <w:basedOn w:val="Normal"/>
    <w:uiPriority w:val="99"/>
    <w:semiHidden/>
    <w:rsid w:val="00AA7115"/>
    <w:pPr>
      <w:tabs>
        <w:tab w:val="left" w:pos="3600"/>
        <w:tab w:val="right" w:leader="dot" w:pos="9029"/>
      </w:tabs>
      <w:adjustRightInd w:val="0"/>
      <w:spacing w:after="120"/>
      <w:ind w:left="3600" w:hanging="720"/>
    </w:pPr>
    <w:rPr>
      <w:rFonts w:eastAsia="STZhongsong"/>
      <w:szCs w:val="20"/>
    </w:rPr>
  </w:style>
  <w:style w:type="paragraph" w:styleId="TOC6">
    <w:name w:val="toc 6"/>
    <w:basedOn w:val="Normal"/>
    <w:uiPriority w:val="99"/>
    <w:semiHidden/>
    <w:rsid w:val="00AA7115"/>
    <w:pPr>
      <w:tabs>
        <w:tab w:val="left" w:pos="4320"/>
        <w:tab w:val="right" w:leader="dot" w:pos="9029"/>
      </w:tabs>
      <w:adjustRightInd w:val="0"/>
      <w:spacing w:after="120"/>
      <w:ind w:left="4320" w:hanging="720"/>
    </w:pPr>
    <w:rPr>
      <w:rFonts w:eastAsia="STZhongsong"/>
      <w:szCs w:val="20"/>
    </w:rPr>
  </w:style>
  <w:style w:type="paragraph" w:styleId="TOC7">
    <w:name w:val="toc 7"/>
    <w:basedOn w:val="Normal"/>
    <w:uiPriority w:val="99"/>
    <w:semiHidden/>
    <w:rsid w:val="00AA7115"/>
    <w:pPr>
      <w:tabs>
        <w:tab w:val="left" w:pos="5040"/>
        <w:tab w:val="right" w:leader="dot" w:pos="9029"/>
      </w:tabs>
      <w:adjustRightInd w:val="0"/>
      <w:spacing w:after="120"/>
      <w:ind w:left="5040" w:hanging="720"/>
    </w:pPr>
    <w:rPr>
      <w:rFonts w:eastAsia="STZhongsong"/>
      <w:szCs w:val="20"/>
    </w:rPr>
  </w:style>
  <w:style w:type="paragraph" w:styleId="TOC8">
    <w:name w:val="toc 8"/>
    <w:basedOn w:val="Normal"/>
    <w:uiPriority w:val="99"/>
    <w:semiHidden/>
    <w:rsid w:val="00AA7115"/>
    <w:pPr>
      <w:tabs>
        <w:tab w:val="right" w:leader="dot" w:pos="9029"/>
      </w:tabs>
      <w:adjustRightInd w:val="0"/>
      <w:spacing w:after="120"/>
    </w:pPr>
    <w:rPr>
      <w:rFonts w:eastAsia="STZhongsong"/>
      <w:caps/>
      <w:szCs w:val="20"/>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szCs w:val="20"/>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uiPriority w:val="99"/>
    <w:qFormat/>
    <w:rsid w:val="00AA7115"/>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basedOn w:val="Normal"/>
    <w:link w:val="HeaderChar"/>
    <w:rsid w:val="00AA7115"/>
    <w:pPr>
      <w:tabs>
        <w:tab w:val="center" w:pos="4153"/>
        <w:tab w:val="right" w:pos="8306"/>
      </w:tabs>
    </w:pPr>
  </w:style>
  <w:style w:type="character" w:customStyle="1" w:styleId="HeaderChar">
    <w:name w:val="Header Char"/>
    <w:basedOn w:val="DefaultParagraphFont"/>
    <w:link w:val="Header"/>
    <w:locked/>
    <w:rsid w:val="00AA7115"/>
    <w:rPr>
      <w:rFonts w:cs="Times New Roman"/>
      <w:sz w:val="22"/>
      <w:lang w:val="en-GB" w:eastAsia="en-US" w:bidi="ar-SA"/>
    </w:rPr>
  </w:style>
  <w:style w:type="character" w:styleId="PageNumber">
    <w:name w:val="page number"/>
    <w:basedOn w:val="DefaultParagraphFont"/>
    <w:uiPriority w:val="99"/>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20"/>
      </w:numPr>
    </w:pPr>
  </w:style>
  <w:style w:type="character" w:customStyle="1" w:styleId="BodyTextIndentChar">
    <w:name w:val="Body Text Indent Char"/>
    <w:basedOn w:val="DefaultParagraphFont"/>
    <w:link w:val="BodyTextIndent"/>
    <w:uiPriority w:val="99"/>
    <w:locked/>
    <w:rsid w:val="00AA7115"/>
    <w:rPr>
      <w:rFonts w:ascii="Arial" w:eastAsia="STZhongsong" w:hAnsi="Arial"/>
      <w:szCs w:val="20"/>
      <w:lang w:eastAsia="zh-CN"/>
    </w:rPr>
  </w:style>
  <w:style w:type="paragraph" w:styleId="BodyTextIndent2">
    <w:name w:val="Body Text Indent 2"/>
    <w:basedOn w:val="HouseStyleBase"/>
    <w:link w:val="BodyTextIndent2Char"/>
    <w:uiPriority w:val="99"/>
    <w:rsid w:val="00AA7115"/>
    <w:pPr>
      <w:numPr>
        <w:ilvl w:val="1"/>
        <w:numId w:val="20"/>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szCs w:val="20"/>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uiPriority w:val="99"/>
    <w:rsid w:val="00AA7115"/>
    <w:pPr>
      <w:keepNext/>
      <w:numPr>
        <w:numId w:val="21"/>
      </w:numPr>
      <w:jc w:val="center"/>
      <w:outlineLvl w:val="0"/>
    </w:pPr>
    <w:rPr>
      <w:b/>
      <w:caps/>
    </w:rPr>
  </w:style>
  <w:style w:type="paragraph" w:customStyle="1" w:styleId="ListBullet1">
    <w:name w:val="List Bullet 1"/>
    <w:basedOn w:val="HouseStyleBase"/>
    <w:uiPriority w:val="99"/>
    <w:rsid w:val="00AA7115"/>
    <w:pPr>
      <w:numPr>
        <w:numId w:val="22"/>
      </w:numPr>
    </w:pPr>
  </w:style>
  <w:style w:type="paragraph" w:styleId="ListBullet">
    <w:name w:val="List Bullet"/>
    <w:basedOn w:val="Normal"/>
    <w:uiPriority w:val="99"/>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uiPriority w:val="99"/>
    <w:rsid w:val="00AA7115"/>
    <w:pPr>
      <w:numPr>
        <w:ilvl w:val="1"/>
        <w:numId w:val="22"/>
      </w:numPr>
    </w:pPr>
  </w:style>
  <w:style w:type="paragraph" w:customStyle="1" w:styleId="body">
    <w:name w:val="body"/>
    <w:basedOn w:val="Normal"/>
    <w:link w:val="bodyChar"/>
    <w:uiPriority w:val="99"/>
    <w:rsid w:val="00AA7115"/>
    <w:rPr>
      <w:lang w:eastAsia="en-GB"/>
    </w:rPr>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szCs w:val="22"/>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uiPriority w:val="99"/>
    <w:rsid w:val="00AA7115"/>
    <w:pPr>
      <w:jc w:val="center"/>
    </w:pPr>
    <w:rPr>
      <w:szCs w:val="22"/>
    </w:r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szCs w:val="22"/>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szCs w:val="20"/>
      <w:lang w:eastAsia="zh-CN"/>
    </w:rPr>
  </w:style>
  <w:style w:type="character" w:customStyle="1" w:styleId="MarginTextChar">
    <w:name w:val="Margin Text Char"/>
    <w:basedOn w:val="BodyTextChar"/>
    <w:link w:val="MarginText"/>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19"/>
      </w:numPr>
      <w:jc w:val="center"/>
      <w:outlineLvl w:val="0"/>
    </w:pPr>
    <w:rPr>
      <w:b/>
      <w:caps/>
    </w:rPr>
  </w:style>
  <w:style w:type="paragraph" w:customStyle="1" w:styleId="RecitalNumbering">
    <w:name w:val="Recital Numbering"/>
    <w:basedOn w:val="HouseStyleBase"/>
    <w:uiPriority w:val="99"/>
    <w:rsid w:val="00AA7115"/>
    <w:pPr>
      <w:numPr>
        <w:numId w:val="23"/>
      </w:numPr>
      <w:outlineLvl w:val="0"/>
    </w:pPr>
  </w:style>
  <w:style w:type="paragraph" w:customStyle="1" w:styleId="DefinitionNumbering1">
    <w:name w:val="Definition Numbering 1"/>
    <w:basedOn w:val="HouseStyleBase"/>
    <w:uiPriority w:val="99"/>
    <w:rsid w:val="00AA7115"/>
    <w:pPr>
      <w:numPr>
        <w:ilvl w:val="2"/>
        <w:numId w:val="20"/>
      </w:numPr>
      <w:outlineLvl w:val="0"/>
    </w:pPr>
  </w:style>
  <w:style w:type="paragraph" w:customStyle="1" w:styleId="DefinitionNumbering2">
    <w:name w:val="Definition Numbering 2"/>
    <w:basedOn w:val="HouseStyleBase"/>
    <w:uiPriority w:val="99"/>
    <w:rsid w:val="00AA7115"/>
    <w:pPr>
      <w:numPr>
        <w:ilvl w:val="3"/>
        <w:numId w:val="20"/>
      </w:numPr>
      <w:outlineLvl w:val="1"/>
    </w:pPr>
  </w:style>
  <w:style w:type="paragraph" w:customStyle="1" w:styleId="DefinitionNumbering3">
    <w:name w:val="Definition Numbering 3"/>
    <w:basedOn w:val="HouseStyleBase"/>
    <w:uiPriority w:val="99"/>
    <w:rsid w:val="00AA7115"/>
    <w:pPr>
      <w:numPr>
        <w:ilvl w:val="4"/>
        <w:numId w:val="20"/>
      </w:numPr>
      <w:outlineLvl w:val="2"/>
    </w:pPr>
  </w:style>
  <w:style w:type="paragraph" w:customStyle="1" w:styleId="DefinitionNumbering4">
    <w:name w:val="Definition Numbering 4"/>
    <w:basedOn w:val="HouseStyleBase"/>
    <w:uiPriority w:val="99"/>
    <w:rsid w:val="00AA7115"/>
    <w:pPr>
      <w:numPr>
        <w:ilvl w:val="5"/>
        <w:numId w:val="20"/>
      </w:numPr>
      <w:outlineLvl w:val="3"/>
    </w:pPr>
  </w:style>
  <w:style w:type="paragraph" w:customStyle="1" w:styleId="DefinitionNumbering5">
    <w:name w:val="Definition Numbering 5"/>
    <w:basedOn w:val="HouseStyleBase"/>
    <w:uiPriority w:val="99"/>
    <w:rsid w:val="00AA7115"/>
    <w:pPr>
      <w:numPr>
        <w:ilvl w:val="6"/>
        <w:numId w:val="20"/>
      </w:numPr>
      <w:outlineLvl w:val="4"/>
    </w:pPr>
  </w:style>
  <w:style w:type="paragraph" w:customStyle="1" w:styleId="DefinitionNumbering6">
    <w:name w:val="Definition Numbering 6"/>
    <w:basedOn w:val="HouseStyleBase"/>
    <w:uiPriority w:val="99"/>
    <w:rsid w:val="00AA7115"/>
    <w:pPr>
      <w:numPr>
        <w:ilvl w:val="7"/>
        <w:numId w:val="20"/>
      </w:numPr>
      <w:outlineLvl w:val="5"/>
    </w:pPr>
  </w:style>
  <w:style w:type="paragraph" w:customStyle="1" w:styleId="DefinitionNumbering7">
    <w:name w:val="Definition Numbering 7"/>
    <w:basedOn w:val="HouseStyleBase"/>
    <w:uiPriority w:val="99"/>
    <w:rsid w:val="00AA7115"/>
    <w:pPr>
      <w:numPr>
        <w:ilvl w:val="8"/>
        <w:numId w:val="20"/>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21"/>
      </w:numPr>
      <w:jc w:val="center"/>
      <w:outlineLvl w:val="1"/>
    </w:pPr>
    <w:rPr>
      <w:b/>
    </w:rPr>
  </w:style>
  <w:style w:type="paragraph" w:styleId="ListBullet3">
    <w:name w:val="List Bullet 3"/>
    <w:basedOn w:val="HouseStyleBase"/>
    <w:uiPriority w:val="99"/>
    <w:rsid w:val="00AA7115"/>
    <w:pPr>
      <w:numPr>
        <w:ilvl w:val="2"/>
        <w:numId w:val="22"/>
      </w:numPr>
    </w:pPr>
  </w:style>
  <w:style w:type="paragraph" w:styleId="ListBullet4">
    <w:name w:val="List Bullet 4"/>
    <w:basedOn w:val="HouseStyleBase"/>
    <w:uiPriority w:val="99"/>
    <w:rsid w:val="00AA7115"/>
    <w:pPr>
      <w:numPr>
        <w:ilvl w:val="3"/>
        <w:numId w:val="22"/>
      </w:numPr>
    </w:pPr>
  </w:style>
  <w:style w:type="paragraph" w:styleId="ListBullet5">
    <w:name w:val="List Bullet 5"/>
    <w:basedOn w:val="HouseStyleBase"/>
    <w:uiPriority w:val="99"/>
    <w:rsid w:val="00AA7115"/>
    <w:pPr>
      <w:numPr>
        <w:ilvl w:val="4"/>
        <w:numId w:val="22"/>
      </w:numPr>
    </w:pPr>
  </w:style>
  <w:style w:type="paragraph" w:customStyle="1" w:styleId="ListBullet6">
    <w:name w:val="List Bullet 6"/>
    <w:basedOn w:val="HouseStyleBase"/>
    <w:uiPriority w:val="99"/>
    <w:rsid w:val="00AA7115"/>
    <w:pPr>
      <w:numPr>
        <w:ilvl w:val="5"/>
        <w:numId w:val="22"/>
      </w:numPr>
    </w:pPr>
  </w:style>
  <w:style w:type="paragraph" w:customStyle="1" w:styleId="ListBullet7">
    <w:name w:val="List Bullet 7"/>
    <w:basedOn w:val="HouseStyleBase"/>
    <w:uiPriority w:val="99"/>
    <w:rsid w:val="00AA7115"/>
    <w:pPr>
      <w:numPr>
        <w:ilvl w:val="6"/>
        <w:numId w:val="22"/>
      </w:numPr>
    </w:pPr>
  </w:style>
  <w:style w:type="paragraph" w:customStyle="1" w:styleId="ListBullet8">
    <w:name w:val="List Bullet 8"/>
    <w:basedOn w:val="HouseStyleBase"/>
    <w:uiPriority w:val="99"/>
    <w:rsid w:val="00AA7115"/>
    <w:pPr>
      <w:numPr>
        <w:ilvl w:val="7"/>
        <w:numId w:val="22"/>
      </w:numPr>
    </w:pPr>
  </w:style>
  <w:style w:type="paragraph" w:customStyle="1" w:styleId="ListBullet9">
    <w:name w:val="List Bullet 9"/>
    <w:basedOn w:val="HouseStyleBase"/>
    <w:uiPriority w:val="99"/>
    <w:rsid w:val="00AA7115"/>
    <w:pPr>
      <w:numPr>
        <w:ilvl w:val="8"/>
        <w:numId w:val="22"/>
      </w:numPr>
    </w:pPr>
  </w:style>
  <w:style w:type="paragraph" w:customStyle="1" w:styleId="ScheduleL1">
    <w:name w:val="Schedule L1"/>
    <w:basedOn w:val="HouseStyleBase"/>
    <w:uiPriority w:val="99"/>
    <w:rsid w:val="00AA7115"/>
    <w:pPr>
      <w:numPr>
        <w:numId w:val="18"/>
      </w:numPr>
      <w:outlineLvl w:val="0"/>
    </w:pPr>
  </w:style>
  <w:style w:type="paragraph" w:customStyle="1" w:styleId="ScheduleL2">
    <w:name w:val="Schedule L2"/>
    <w:basedOn w:val="HouseStyleBase"/>
    <w:uiPriority w:val="99"/>
    <w:rsid w:val="00AA7115"/>
    <w:pPr>
      <w:numPr>
        <w:ilvl w:val="1"/>
        <w:numId w:val="18"/>
      </w:numPr>
      <w:outlineLvl w:val="1"/>
    </w:pPr>
  </w:style>
  <w:style w:type="paragraph" w:customStyle="1" w:styleId="ScheduleL3">
    <w:name w:val="Schedule L3"/>
    <w:basedOn w:val="HouseStyleBase"/>
    <w:uiPriority w:val="99"/>
    <w:rsid w:val="00AA7115"/>
    <w:pPr>
      <w:numPr>
        <w:ilvl w:val="2"/>
        <w:numId w:val="18"/>
      </w:numPr>
      <w:outlineLvl w:val="2"/>
    </w:pPr>
  </w:style>
  <w:style w:type="paragraph" w:customStyle="1" w:styleId="ScheduleL4">
    <w:name w:val="Schedule L4"/>
    <w:basedOn w:val="HouseStyleBase"/>
    <w:uiPriority w:val="99"/>
    <w:rsid w:val="00AA7115"/>
    <w:pPr>
      <w:numPr>
        <w:ilvl w:val="3"/>
        <w:numId w:val="18"/>
      </w:numPr>
      <w:outlineLvl w:val="3"/>
    </w:pPr>
  </w:style>
  <w:style w:type="paragraph" w:customStyle="1" w:styleId="ScheduleL5">
    <w:name w:val="Schedule L5"/>
    <w:basedOn w:val="HouseStyleBase"/>
    <w:uiPriority w:val="99"/>
    <w:rsid w:val="00AA7115"/>
    <w:pPr>
      <w:numPr>
        <w:ilvl w:val="4"/>
        <w:numId w:val="18"/>
      </w:numPr>
      <w:outlineLvl w:val="4"/>
    </w:pPr>
  </w:style>
  <w:style w:type="paragraph" w:customStyle="1" w:styleId="ScheduleL6">
    <w:name w:val="Schedule L6"/>
    <w:basedOn w:val="HouseStyleBase"/>
    <w:uiPriority w:val="99"/>
    <w:rsid w:val="00AA7115"/>
    <w:pPr>
      <w:numPr>
        <w:ilvl w:val="5"/>
        <w:numId w:val="18"/>
      </w:numPr>
      <w:outlineLvl w:val="5"/>
    </w:pPr>
  </w:style>
  <w:style w:type="paragraph" w:customStyle="1" w:styleId="ScheduleL7">
    <w:name w:val="Schedule L7"/>
    <w:basedOn w:val="HouseStyleBase"/>
    <w:uiPriority w:val="99"/>
    <w:rsid w:val="00AA7115"/>
    <w:pPr>
      <w:numPr>
        <w:ilvl w:val="6"/>
        <w:numId w:val="18"/>
      </w:numPr>
      <w:outlineLvl w:val="6"/>
    </w:pPr>
  </w:style>
  <w:style w:type="paragraph" w:customStyle="1" w:styleId="ScheduleL8">
    <w:name w:val="Schedule L8"/>
    <w:basedOn w:val="HouseStyleBase"/>
    <w:uiPriority w:val="99"/>
    <w:rsid w:val="00AA7115"/>
    <w:pPr>
      <w:numPr>
        <w:ilvl w:val="7"/>
        <w:numId w:val="18"/>
      </w:numPr>
      <w:outlineLvl w:val="7"/>
    </w:pPr>
  </w:style>
  <w:style w:type="paragraph" w:customStyle="1" w:styleId="ScheduleL9">
    <w:name w:val="Schedule L9"/>
    <w:basedOn w:val="HouseStyleBase"/>
    <w:uiPriority w:val="99"/>
    <w:rsid w:val="00AA7115"/>
    <w:pPr>
      <w:numPr>
        <w:ilvl w:val="8"/>
        <w:numId w:val="18"/>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szCs w:val="20"/>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21"/>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19"/>
      </w:numPr>
      <w:jc w:val="center"/>
      <w:outlineLvl w:val="1"/>
    </w:pPr>
    <w:rPr>
      <w:b/>
    </w:rPr>
  </w:style>
  <w:style w:type="paragraph" w:customStyle="1" w:styleId="RecitalNumbering2">
    <w:name w:val="Recital Numbering 2"/>
    <w:basedOn w:val="HouseStyleBase"/>
    <w:uiPriority w:val="99"/>
    <w:rsid w:val="00AA7115"/>
    <w:pPr>
      <w:numPr>
        <w:ilvl w:val="1"/>
        <w:numId w:val="23"/>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23"/>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rPr>
      <w:sz w:val="20"/>
      <w:szCs w:val="20"/>
    </w:rPr>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DefaultParagraphFont"/>
    <w:uiPriority w:val="99"/>
    <w:qFormat/>
    <w:rsid w:val="00AA7115"/>
    <w:rPr>
      <w:rFonts w:cs="Times New Roman"/>
      <w:i/>
      <w:iCs/>
    </w:rPr>
  </w:style>
  <w:style w:type="paragraph" w:styleId="EnvelopeAddress">
    <w:name w:val="envelope address"/>
    <w:basedOn w:val="Normal"/>
    <w:uiPriority w:val="99"/>
    <w:rsid w:val="00AA7115"/>
    <w:pPr>
      <w:framePr w:w="7920" w:h="1980" w:hRule="exact" w:hSpace="180" w:wrap="auto" w:hAnchor="page" w:xAlign="center" w:yAlign="bottom"/>
      <w:ind w:left="2880"/>
    </w:pPr>
    <w:rPr>
      <w:rFonts w:cs="Arial"/>
      <w:sz w:val="24"/>
    </w:rPr>
  </w:style>
  <w:style w:type="paragraph" w:styleId="EnvelopeReturn">
    <w:name w:val="envelope return"/>
    <w:basedOn w:val="Normal"/>
    <w:uiPriority w:val="99"/>
    <w:rsid w:val="00AA7115"/>
    <w:rPr>
      <w:rFonts w:cs="Arial"/>
      <w:sz w:val="20"/>
      <w:szCs w:val="20"/>
    </w:rPr>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rFonts w:cs="Arial"/>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uiPriority w:val="99"/>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99"/>
    <w:qFormat/>
    <w:rsid w:val="00AA7115"/>
    <w:rPr>
      <w:rFonts w:cs="Times New Roman"/>
      <w:b/>
      <w:bCs/>
    </w:rPr>
  </w:style>
  <w:style w:type="paragraph" w:styleId="Subtitle">
    <w:name w:val="Subtitle"/>
    <w:basedOn w:val="Normal"/>
    <w:link w:val="SubtitleChar"/>
    <w:uiPriority w:val="99"/>
    <w:qFormat/>
    <w:rsid w:val="00AA7115"/>
    <w:pPr>
      <w:spacing w:after="60"/>
      <w:jc w:val="center"/>
      <w:outlineLvl w:val="1"/>
    </w:pPr>
    <w:rPr>
      <w:rFonts w:cs="Arial"/>
      <w:sz w:val="24"/>
    </w:rPr>
  </w:style>
  <w:style w:type="character" w:customStyle="1" w:styleId="SubtitleChar">
    <w:name w:val="Subtitle Char"/>
    <w:basedOn w:val="DefaultParagraphFont"/>
    <w:link w:val="Subtitle"/>
    <w:uiPriority w:val="99"/>
    <w:locked/>
    <w:rsid w:val="005534F2"/>
    <w:rPr>
      <w:rFonts w:ascii="Cambria" w:hAnsi="Cambria" w:cs="Times New Roman"/>
      <w:sz w:val="24"/>
      <w:szCs w:val="24"/>
      <w:lang w:eastAsia="zh-CN"/>
    </w:rPr>
  </w:style>
  <w:style w:type="table" w:styleId="Table3Deffects1">
    <w:name w:val="Table 3D effects 1"/>
    <w:basedOn w:val="TableNormal"/>
    <w:uiPriority w:val="99"/>
    <w:rsid w:val="00AA7115"/>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AA7115"/>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99"/>
    <w:locked/>
    <w:rsid w:val="00AA7115"/>
    <w:rPr>
      <w:rFonts w:ascii="Arial" w:eastAsia="SimSun" w:hAnsi="Arial" w:cs="Arial"/>
      <w:b/>
      <w:bCs/>
      <w:kern w:val="28"/>
      <w:sz w:val="32"/>
      <w:szCs w:val="32"/>
      <w:lang w:eastAsia="zh-CN"/>
    </w:rPr>
  </w:style>
  <w:style w:type="paragraph" w:styleId="ListParagraph">
    <w:name w:val="List Paragraph"/>
    <w:basedOn w:val="Normal"/>
    <w:uiPriority w:val="34"/>
    <w:qFormat/>
    <w:rsid w:val="00AA7115"/>
    <w:pPr>
      <w:ind w:left="72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uiPriority w:val="99"/>
    <w:rsid w:val="00AA7115"/>
    <w:pPr>
      <w:spacing w:before="120" w:after="120"/>
    </w:pPr>
    <w:rPr>
      <w:rFonts w:eastAsia="Times New Roman"/>
      <w:b/>
      <w:lang w:eastAsia="en-US"/>
    </w:rPr>
  </w:style>
  <w:style w:type="paragraph" w:customStyle="1" w:styleId="ScheduleLevel1">
    <w:name w:val="Schedule Level 1"/>
    <w:basedOn w:val="Normal"/>
    <w:uiPriority w:val="99"/>
    <w:rsid w:val="00AA7115"/>
    <w:pPr>
      <w:numPr>
        <w:numId w:val="24"/>
      </w:numPr>
      <w:spacing w:after="240"/>
      <w:jc w:val="both"/>
    </w:pPr>
    <w:rPr>
      <w:rFonts w:eastAsia="Times New Roman"/>
      <w:szCs w:val="20"/>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24"/>
      </w:numPr>
      <w:spacing w:after="240"/>
      <w:jc w:val="both"/>
    </w:pPr>
    <w:rPr>
      <w:rFonts w:eastAsia="Times New Roman"/>
      <w:szCs w:val="20"/>
      <w:lang w:eastAsia="en-US"/>
    </w:rPr>
  </w:style>
  <w:style w:type="paragraph" w:customStyle="1" w:styleId="ScheduleLevel4">
    <w:name w:val="Schedule Level 4"/>
    <w:basedOn w:val="Normal"/>
    <w:uiPriority w:val="99"/>
    <w:rsid w:val="00AA7115"/>
    <w:pPr>
      <w:numPr>
        <w:ilvl w:val="3"/>
        <w:numId w:val="24"/>
      </w:numPr>
      <w:spacing w:after="240"/>
      <w:jc w:val="both"/>
    </w:pPr>
    <w:rPr>
      <w:rFonts w:eastAsia="Times New Roman"/>
      <w:szCs w:val="20"/>
      <w:lang w:eastAsia="en-US"/>
    </w:rPr>
  </w:style>
  <w:style w:type="paragraph" w:customStyle="1" w:styleId="ScheduleLevel5">
    <w:name w:val="Schedule Level 5"/>
    <w:basedOn w:val="Normal"/>
    <w:uiPriority w:val="99"/>
    <w:rsid w:val="00AA7115"/>
    <w:pPr>
      <w:numPr>
        <w:ilvl w:val="4"/>
        <w:numId w:val="24"/>
      </w:numPr>
      <w:spacing w:after="240"/>
      <w:jc w:val="both"/>
    </w:pPr>
    <w:rPr>
      <w:rFonts w:eastAsia="Times New Roman"/>
      <w:szCs w:val="20"/>
      <w:lang w:eastAsia="en-US"/>
    </w:rPr>
  </w:style>
  <w:style w:type="paragraph" w:customStyle="1" w:styleId="ScheduleLevel6">
    <w:name w:val="Schedule Level 6"/>
    <w:basedOn w:val="Normal"/>
    <w:uiPriority w:val="99"/>
    <w:rsid w:val="00AA7115"/>
    <w:pPr>
      <w:numPr>
        <w:ilvl w:val="5"/>
        <w:numId w:val="24"/>
      </w:numPr>
      <w:spacing w:after="240"/>
      <w:jc w:val="both"/>
    </w:pPr>
    <w:rPr>
      <w:rFonts w:eastAsia="Times New Roman"/>
      <w:szCs w:val="20"/>
      <w:lang w:eastAsia="en-US"/>
    </w:rPr>
  </w:style>
  <w:style w:type="paragraph" w:customStyle="1" w:styleId="ScheduleLevel7">
    <w:name w:val="Schedule Level 7"/>
    <w:basedOn w:val="Normal"/>
    <w:uiPriority w:val="99"/>
    <w:rsid w:val="00AA7115"/>
    <w:pPr>
      <w:numPr>
        <w:ilvl w:val="6"/>
        <w:numId w:val="24"/>
      </w:numPr>
      <w:spacing w:after="240"/>
      <w:jc w:val="both"/>
    </w:pPr>
    <w:rPr>
      <w:rFonts w:eastAsia="Times New Roman"/>
      <w:szCs w:val="20"/>
      <w:lang w:eastAsia="en-US"/>
    </w:rPr>
  </w:style>
  <w:style w:type="paragraph" w:customStyle="1" w:styleId="ScheduleLevel8">
    <w:name w:val="Schedule Level 8"/>
    <w:basedOn w:val="Normal"/>
    <w:uiPriority w:val="99"/>
    <w:rsid w:val="00AA7115"/>
    <w:pPr>
      <w:numPr>
        <w:ilvl w:val="7"/>
        <w:numId w:val="24"/>
      </w:numPr>
      <w:spacing w:after="240"/>
      <w:jc w:val="both"/>
    </w:pPr>
    <w:rPr>
      <w:rFonts w:eastAsia="Times New Roman"/>
      <w:szCs w:val="20"/>
      <w:lang w:eastAsia="en-US"/>
    </w:rPr>
  </w:style>
  <w:style w:type="paragraph" w:customStyle="1" w:styleId="ScheduleLevel9">
    <w:name w:val="Schedule Level 9"/>
    <w:basedOn w:val="Normal"/>
    <w:uiPriority w:val="99"/>
    <w:rsid w:val="00AA7115"/>
    <w:pPr>
      <w:numPr>
        <w:ilvl w:val="8"/>
        <w:numId w:val="24"/>
      </w:numPr>
      <w:spacing w:after="240"/>
      <w:jc w:val="both"/>
    </w:pPr>
    <w:rPr>
      <w:rFonts w:eastAsia="Times New Roman"/>
      <w:szCs w:val="20"/>
      <w:lang w:eastAsia="en-US"/>
    </w:rPr>
  </w:style>
  <w:style w:type="paragraph" w:customStyle="1" w:styleId="Paragraph4">
    <w:name w:val="Paragraph 4"/>
    <w:basedOn w:val="Normal"/>
    <w:uiPriority w:val="99"/>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99"/>
    <w:qFormat/>
    <w:rsid w:val="00AA7115"/>
    <w:rPr>
      <w:rFonts w:ascii="Calibri" w:hAnsi="Calibri"/>
      <w:lang w:val="en-US" w:eastAsia="en-US"/>
    </w:rPr>
  </w:style>
  <w:style w:type="character" w:customStyle="1" w:styleId="NoSpacingChar">
    <w:name w:val="No Spacing Char"/>
    <w:basedOn w:val="DefaultParagraphFont"/>
    <w:link w:val="NoSpacing"/>
    <w:uiPriority w:val="99"/>
    <w:locked/>
    <w:rsid w:val="00AA7115"/>
    <w:rPr>
      <w:rFonts w:ascii="Calibri" w:hAnsi="Calibri" w:cs="Times New Roman"/>
      <w:sz w:val="22"/>
      <w:szCs w:val="22"/>
      <w:lang w:val="en-US" w:eastAsia="en-US" w:bidi="ar-SA"/>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AA7115"/>
    <w:rPr>
      <w:rFonts w:ascii="Arial" w:eastAsia="STZhongsong" w:hAnsi="Arial"/>
      <w:b/>
      <w:caps/>
      <w:szCs w:val="20"/>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25"/>
      </w:numPr>
      <w:spacing w:after="240"/>
      <w:jc w:val="both"/>
    </w:pPr>
    <w:rPr>
      <w:rFonts w:eastAsia="Times New Roman"/>
      <w:szCs w:val="20"/>
      <w:lang w:eastAsia="en-US"/>
    </w:rPr>
  </w:style>
  <w:style w:type="paragraph" w:customStyle="1" w:styleId="Level2">
    <w:name w:val="Level 2"/>
    <w:basedOn w:val="Normal"/>
    <w:uiPriority w:val="99"/>
    <w:rsid w:val="00AA7115"/>
    <w:pPr>
      <w:numPr>
        <w:ilvl w:val="1"/>
        <w:numId w:val="25"/>
      </w:numPr>
      <w:spacing w:after="240"/>
      <w:jc w:val="both"/>
    </w:pPr>
    <w:rPr>
      <w:rFonts w:eastAsia="Times New Roman"/>
      <w:szCs w:val="22"/>
      <w:lang w:eastAsia="en-US"/>
    </w:rPr>
  </w:style>
  <w:style w:type="paragraph" w:customStyle="1" w:styleId="Level3">
    <w:name w:val="Level 3"/>
    <w:basedOn w:val="Normal"/>
    <w:uiPriority w:val="99"/>
    <w:rsid w:val="00AA7115"/>
    <w:pPr>
      <w:numPr>
        <w:ilvl w:val="2"/>
        <w:numId w:val="25"/>
      </w:numPr>
      <w:spacing w:after="240"/>
      <w:jc w:val="both"/>
    </w:pPr>
    <w:rPr>
      <w:rFonts w:eastAsia="Times New Roman"/>
      <w:szCs w:val="20"/>
      <w:lang w:eastAsia="en-US"/>
    </w:rPr>
  </w:style>
  <w:style w:type="paragraph" w:customStyle="1" w:styleId="Level4">
    <w:name w:val="Level 4"/>
    <w:basedOn w:val="Normal"/>
    <w:uiPriority w:val="99"/>
    <w:rsid w:val="00AA7115"/>
    <w:pPr>
      <w:numPr>
        <w:ilvl w:val="3"/>
        <w:numId w:val="25"/>
      </w:numPr>
      <w:spacing w:after="240"/>
      <w:jc w:val="both"/>
    </w:pPr>
    <w:rPr>
      <w:rFonts w:eastAsia="Times New Roman"/>
      <w:szCs w:val="20"/>
      <w:lang w:eastAsia="en-US"/>
    </w:rPr>
  </w:style>
  <w:style w:type="paragraph" w:customStyle="1" w:styleId="Level5">
    <w:name w:val="Level 5"/>
    <w:basedOn w:val="Normal"/>
    <w:uiPriority w:val="99"/>
    <w:rsid w:val="00AA7115"/>
    <w:pPr>
      <w:numPr>
        <w:ilvl w:val="4"/>
        <w:numId w:val="25"/>
      </w:numPr>
      <w:spacing w:after="240"/>
      <w:jc w:val="both"/>
    </w:pPr>
    <w:rPr>
      <w:rFonts w:eastAsia="Times New Roman"/>
      <w:szCs w:val="20"/>
      <w:lang w:eastAsia="en-US"/>
    </w:rPr>
  </w:style>
  <w:style w:type="paragraph" w:customStyle="1" w:styleId="Level6">
    <w:name w:val="Level 6"/>
    <w:basedOn w:val="Normal"/>
    <w:uiPriority w:val="99"/>
    <w:rsid w:val="00AA7115"/>
    <w:pPr>
      <w:numPr>
        <w:ilvl w:val="5"/>
        <w:numId w:val="25"/>
      </w:numPr>
      <w:spacing w:after="240"/>
      <w:jc w:val="both"/>
    </w:pPr>
    <w:rPr>
      <w:rFonts w:eastAsia="Times New Roman"/>
      <w:szCs w:val="20"/>
      <w:lang w:eastAsia="en-US"/>
    </w:rPr>
  </w:style>
  <w:style w:type="paragraph" w:customStyle="1" w:styleId="Level7">
    <w:name w:val="Level 7"/>
    <w:basedOn w:val="Normal"/>
    <w:uiPriority w:val="99"/>
    <w:rsid w:val="00AA7115"/>
    <w:pPr>
      <w:numPr>
        <w:ilvl w:val="6"/>
        <w:numId w:val="25"/>
      </w:numPr>
      <w:spacing w:after="240"/>
      <w:jc w:val="both"/>
    </w:pPr>
    <w:rPr>
      <w:rFonts w:eastAsia="Times New Roman"/>
      <w:szCs w:val="20"/>
      <w:lang w:eastAsia="en-US"/>
    </w:rPr>
  </w:style>
  <w:style w:type="paragraph" w:customStyle="1" w:styleId="Level8">
    <w:name w:val="Level 8"/>
    <w:basedOn w:val="Normal"/>
    <w:uiPriority w:val="99"/>
    <w:rsid w:val="00AA7115"/>
    <w:pPr>
      <w:numPr>
        <w:ilvl w:val="7"/>
        <w:numId w:val="25"/>
      </w:numPr>
      <w:spacing w:after="240"/>
      <w:jc w:val="both"/>
    </w:pPr>
    <w:rPr>
      <w:rFonts w:eastAsia="Times New Roman"/>
      <w:szCs w:val="20"/>
      <w:lang w:eastAsia="en-US"/>
    </w:rPr>
  </w:style>
  <w:style w:type="paragraph" w:customStyle="1" w:styleId="Level9">
    <w:name w:val="Level 9"/>
    <w:basedOn w:val="Normal"/>
    <w:uiPriority w:val="99"/>
    <w:rsid w:val="00AA7115"/>
    <w:pPr>
      <w:numPr>
        <w:ilvl w:val="8"/>
        <w:numId w:val="25"/>
      </w:numPr>
      <w:spacing w:after="240"/>
      <w:jc w:val="both"/>
    </w:pPr>
    <w:rPr>
      <w:rFonts w:eastAsia="Times New Roman"/>
      <w:szCs w:val="20"/>
      <w:lang w:eastAsia="en-US"/>
    </w:rPr>
  </w:style>
  <w:style w:type="paragraph" w:customStyle="1" w:styleId="ScheduleHeader">
    <w:name w:val="Schedule Header"/>
    <w:basedOn w:val="Normal"/>
    <w:next w:val="Normal"/>
    <w:uiPriority w:val="99"/>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uiPriority w:val="99"/>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rFonts w:eastAsia="Times New Roman"/>
      <w:sz w:val="24"/>
      <w:szCs w:val="20"/>
      <w:lang w:eastAsia="en-US"/>
    </w:rPr>
  </w:style>
  <w:style w:type="paragraph" w:customStyle="1" w:styleId="Body0">
    <w:name w:val="Body"/>
    <w:uiPriority w:val="99"/>
    <w:rsid w:val="00AA7115"/>
    <w:pPr>
      <w:tabs>
        <w:tab w:val="left" w:pos="360"/>
      </w:tabs>
    </w:pPr>
    <w:rPr>
      <w:rFonts w:ascii="Arial" w:hAnsi="Arial"/>
      <w:szCs w:val="20"/>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2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uiPriority w:val="99"/>
    <w:rsid w:val="00AA7115"/>
    <w:pPr>
      <w:keepNext/>
      <w:numPr>
        <w:ilvl w:val="3"/>
        <w:numId w:val="2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uiPriority w:val="99"/>
    <w:rsid w:val="00AA7115"/>
    <w:pPr>
      <w:keepNext/>
      <w:pageBreakBefore/>
      <w:numPr>
        <w:numId w:val="2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uiPriority w:val="99"/>
    <w:rsid w:val="00AA7115"/>
    <w:pPr>
      <w:keepNext/>
      <w:numPr>
        <w:ilvl w:val="1"/>
        <w:numId w:val="2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uiPriority w:val="99"/>
    <w:rsid w:val="00AA7115"/>
    <w:pPr>
      <w:numPr>
        <w:numId w:val="27"/>
      </w:numPr>
      <w:jc w:val="both"/>
    </w:pPr>
    <w:rPr>
      <w:rFonts w:eastAsia="Times New Roman"/>
      <w:b/>
      <w:szCs w:val="20"/>
      <w:lang w:eastAsia="en-US"/>
    </w:rPr>
  </w:style>
  <w:style w:type="paragraph" w:customStyle="1" w:styleId="01-Level2-BB">
    <w:name w:val="01-Level2-BB"/>
    <w:basedOn w:val="Normal"/>
    <w:next w:val="Normal"/>
    <w:uiPriority w:val="99"/>
    <w:rsid w:val="00AA7115"/>
    <w:pPr>
      <w:numPr>
        <w:ilvl w:val="1"/>
        <w:numId w:val="27"/>
      </w:numPr>
      <w:jc w:val="both"/>
    </w:pPr>
    <w:rPr>
      <w:rFonts w:eastAsia="Times New Roman"/>
      <w:szCs w:val="20"/>
      <w:lang w:eastAsia="en-US"/>
    </w:rPr>
  </w:style>
  <w:style w:type="paragraph" w:customStyle="1" w:styleId="01-Level3-BB">
    <w:name w:val="01-Level3-BB"/>
    <w:basedOn w:val="Normal"/>
    <w:next w:val="Normal"/>
    <w:uiPriority w:val="99"/>
    <w:rsid w:val="00AA7115"/>
    <w:pPr>
      <w:numPr>
        <w:ilvl w:val="2"/>
        <w:numId w:val="27"/>
      </w:numPr>
      <w:jc w:val="both"/>
    </w:pPr>
    <w:rPr>
      <w:rFonts w:eastAsia="Times New Roman"/>
      <w:szCs w:val="20"/>
      <w:lang w:eastAsia="en-US"/>
    </w:rPr>
  </w:style>
  <w:style w:type="paragraph" w:customStyle="1" w:styleId="01-Level4-BB">
    <w:name w:val="01-Level4-BB"/>
    <w:basedOn w:val="Normal"/>
    <w:next w:val="Normal"/>
    <w:uiPriority w:val="99"/>
    <w:rsid w:val="00AA7115"/>
    <w:pPr>
      <w:numPr>
        <w:ilvl w:val="3"/>
        <w:numId w:val="27"/>
      </w:numPr>
      <w:jc w:val="both"/>
    </w:pPr>
    <w:rPr>
      <w:rFonts w:eastAsia="Times New Roman"/>
      <w:szCs w:val="20"/>
      <w:lang w:eastAsia="en-US"/>
    </w:rPr>
  </w:style>
  <w:style w:type="paragraph" w:customStyle="1" w:styleId="01-Level5-BB">
    <w:name w:val="01-Level5-BB"/>
    <w:basedOn w:val="Normal"/>
    <w:next w:val="Normal"/>
    <w:uiPriority w:val="99"/>
    <w:rsid w:val="00AA7115"/>
    <w:pPr>
      <w:numPr>
        <w:ilvl w:val="4"/>
        <w:numId w:val="27"/>
      </w:numPr>
      <w:jc w:val="both"/>
    </w:pPr>
    <w:rPr>
      <w:rFonts w:eastAsia="Times New Roman"/>
      <w:szCs w:val="20"/>
      <w:lang w:eastAsia="en-US"/>
    </w:rPr>
  </w:style>
  <w:style w:type="paragraph" w:customStyle="1" w:styleId="00-Normal-BB">
    <w:name w:val="00-Normal-BB"/>
    <w:uiPriority w:val="99"/>
    <w:rsid w:val="00AA7115"/>
    <w:pPr>
      <w:jc w:val="both"/>
    </w:pPr>
    <w:rPr>
      <w:rFonts w:ascii="Arial" w:hAnsi="Arial"/>
      <w:szCs w:val="20"/>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28"/>
      </w:numPr>
    </w:pPr>
    <w:rPr>
      <w:rFonts w:eastAsia="Times New Roman"/>
      <w:sz w:val="24"/>
      <w:lang w:eastAsia="en-US"/>
    </w:rPr>
  </w:style>
  <w:style w:type="paragraph" w:customStyle="1" w:styleId="OutlineIndPara">
    <w:name w:val="Outline Ind Para"/>
    <w:basedOn w:val="Normal"/>
    <w:uiPriority w:val="99"/>
    <w:rsid w:val="00AA7115"/>
    <w:pPr>
      <w:spacing w:after="240"/>
      <w:ind w:left="851"/>
      <w:jc w:val="both"/>
    </w:pPr>
    <w:rPr>
      <w:rFonts w:eastAsia="Times New Roman"/>
      <w:szCs w:val="20"/>
      <w:lang w:eastAsia="en-US"/>
    </w:rPr>
  </w:style>
  <w:style w:type="paragraph" w:customStyle="1" w:styleId="AppSub">
    <w:name w:val="App Sub"/>
    <w:basedOn w:val="Normal"/>
    <w:next w:val="Normal"/>
    <w:uiPriority w:val="99"/>
    <w:rsid w:val="00AA7115"/>
    <w:pPr>
      <w:numPr>
        <w:numId w:val="2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szCs w:val="20"/>
    </w:rPr>
  </w:style>
  <w:style w:type="paragraph" w:customStyle="1" w:styleId="HeadA">
    <w:name w:val="Head A"/>
    <w:basedOn w:val="Heading1"/>
    <w:next w:val="Normal"/>
    <w:uiPriority w:val="99"/>
    <w:rsid w:val="00AA7115"/>
    <w:pPr>
      <w:numPr>
        <w:numId w:val="31"/>
      </w:numPr>
      <w:tabs>
        <w:tab w:val="num" w:pos="0"/>
        <w:tab w:val="num" w:pos="926"/>
      </w:tabs>
      <w:adjustRightInd/>
      <w:spacing w:after="120"/>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31"/>
      </w:numPr>
      <w:tabs>
        <w:tab w:val="num" w:pos="0"/>
        <w:tab w:val="left" w:pos="180"/>
        <w:tab w:val="num" w:pos="926"/>
      </w:tabs>
      <w:adjustRightInd/>
      <w:spacing w:after="120"/>
    </w:pPr>
    <w:rPr>
      <w:rFonts w:eastAsia="Times New Roman"/>
      <w:bCs/>
      <w:szCs w:val="26"/>
      <w:lang w:eastAsia="en-GB"/>
    </w:rPr>
  </w:style>
  <w:style w:type="paragraph" w:customStyle="1" w:styleId="HeadB">
    <w:name w:val="Head B"/>
    <w:basedOn w:val="Normal"/>
    <w:uiPriority w:val="99"/>
    <w:rsid w:val="00AA7115"/>
    <w:pPr>
      <w:numPr>
        <w:ilvl w:val="1"/>
        <w:numId w:val="3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uiPriority w:val="99"/>
    <w:locked/>
    <w:rsid w:val="00AA7115"/>
    <w:rPr>
      <w:rFonts w:ascii="Arial" w:hAnsi="Arial" w:cs="Arial"/>
    </w:rPr>
  </w:style>
  <w:style w:type="paragraph" w:customStyle="1" w:styleId="PQQbullet">
    <w:name w:val="PQQ bullet"/>
    <w:basedOn w:val="Normal"/>
    <w:link w:val="PQQbulletChar"/>
    <w:uiPriority w:val="99"/>
    <w:rsid w:val="00AA7115"/>
    <w:pPr>
      <w:numPr>
        <w:numId w:val="30"/>
      </w:numPr>
      <w:jc w:val="both"/>
    </w:pPr>
    <w:rPr>
      <w:rFonts w:eastAsia="Times New Roman" w:cs="Arial"/>
      <w:szCs w:val="22"/>
      <w:lang w:eastAsia="en-GB"/>
    </w:r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rPr>
      <w:rFonts w:eastAsia="Times New Roman" w:cs="Arial"/>
      <w:lang w:eastAsia="en-GB"/>
    </w:rPr>
  </w:style>
  <w:style w:type="paragraph" w:customStyle="1" w:styleId="htm01normal">
    <w:name w:val="htm01 normal"/>
    <w:basedOn w:val="Normal"/>
    <w:uiPriority w:val="99"/>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8159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psesourcing.cabinetoffice.gov.uk/sso/jsp/login.js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ot.buying@gps.gsi.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32EDA-3004-48F8-9FE7-D028420AB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0</TotalTime>
  <Pages>7</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Nick Beynon</cp:lastModifiedBy>
  <cp:revision>2</cp:revision>
  <cp:lastPrinted>2011-04-12T11:10:00Z</cp:lastPrinted>
  <dcterms:created xsi:type="dcterms:W3CDTF">2015-05-12T12:36:00Z</dcterms:created>
  <dcterms:modified xsi:type="dcterms:W3CDTF">2015-05-12T12:36:00Z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ies>
</file>