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10" w:type="dxa"/>
        <w:tblLook w:val="01E0" w:firstRow="1" w:lastRow="1" w:firstColumn="1" w:lastColumn="1" w:noHBand="0" w:noVBand="0"/>
      </w:tblPr>
      <w:tblGrid>
        <w:gridCol w:w="9044"/>
        <w:gridCol w:w="4366"/>
      </w:tblGrid>
      <w:tr w:rsidR="00ED67E0" w14:paraId="600F9B2C" w14:textId="77777777" w:rsidTr="00863451">
        <w:tc>
          <w:tcPr>
            <w:tcW w:w="9044" w:type="dxa"/>
          </w:tcPr>
          <w:p w14:paraId="64F908C5" w14:textId="77777777" w:rsidR="00ED67E0" w:rsidRDefault="00ED67E0" w:rsidP="000419AD">
            <w:pPr>
              <w:pStyle w:val="Header"/>
              <w:tabs>
                <w:tab w:val="clear" w:pos="4153"/>
                <w:tab w:val="clear" w:pos="8306"/>
                <w:tab w:val="left" w:pos="1185"/>
              </w:tabs>
            </w:pPr>
            <w:r>
              <w:tab/>
            </w:r>
          </w:p>
        </w:tc>
        <w:tc>
          <w:tcPr>
            <w:tcW w:w="4366" w:type="dxa"/>
          </w:tcPr>
          <w:p w14:paraId="40D254E5" w14:textId="77777777" w:rsidR="00ED67E0" w:rsidRDefault="00ED67E0" w:rsidP="000419AD">
            <w:pPr>
              <w:pStyle w:val="Header"/>
              <w:jc w:val="right"/>
            </w:pPr>
          </w:p>
        </w:tc>
      </w:tr>
      <w:tr w:rsidR="00ED67E0" w:rsidRPr="002465E9" w14:paraId="30D2E106" w14:textId="77777777" w:rsidTr="00863451">
        <w:tc>
          <w:tcPr>
            <w:tcW w:w="9044" w:type="dxa"/>
          </w:tcPr>
          <w:p w14:paraId="51C0D9D9" w14:textId="6B0DD588" w:rsidR="00ED67E0" w:rsidRDefault="00ED67E0" w:rsidP="000419AD">
            <w:pPr>
              <w:pStyle w:val="Header"/>
            </w:pPr>
          </w:p>
        </w:tc>
        <w:tc>
          <w:tcPr>
            <w:tcW w:w="4366" w:type="dxa"/>
          </w:tcPr>
          <w:p w14:paraId="6E724520" w14:textId="01AAB81E" w:rsidR="00ED67E0" w:rsidRDefault="00ED67E0" w:rsidP="00863451">
            <w:pPr>
              <w:pStyle w:val="Header"/>
              <w:ind w:left="34" w:firstLine="3294"/>
              <w:jc w:val="right"/>
            </w:pPr>
          </w:p>
        </w:tc>
      </w:tr>
      <w:tr w:rsidR="008441FE" w:rsidRPr="002465E9" w14:paraId="208520FD" w14:textId="77777777" w:rsidTr="00863451">
        <w:tc>
          <w:tcPr>
            <w:tcW w:w="9044" w:type="dxa"/>
          </w:tcPr>
          <w:p w14:paraId="41DE3203" w14:textId="77777777" w:rsidR="008441FE" w:rsidRDefault="008441FE" w:rsidP="000419AD">
            <w:pPr>
              <w:pStyle w:val="Header"/>
              <w:rPr>
                <w:noProof/>
                <w:lang w:eastAsia="en-GB"/>
              </w:rPr>
            </w:pPr>
          </w:p>
          <w:p w14:paraId="043179B5" w14:textId="77777777" w:rsidR="00863451" w:rsidRDefault="00863451" w:rsidP="000419AD">
            <w:pPr>
              <w:pStyle w:val="Header"/>
              <w:rPr>
                <w:noProof/>
                <w:lang w:eastAsia="en-GB"/>
              </w:rPr>
            </w:pPr>
          </w:p>
          <w:p w14:paraId="7916B558" w14:textId="77777777" w:rsidR="00863451" w:rsidRDefault="00863451" w:rsidP="000419AD">
            <w:pPr>
              <w:pStyle w:val="Header"/>
              <w:rPr>
                <w:noProof/>
                <w:lang w:eastAsia="en-GB"/>
              </w:rPr>
            </w:pPr>
          </w:p>
          <w:p w14:paraId="7737F1B1" w14:textId="77777777" w:rsidR="00863451" w:rsidRDefault="00863451" w:rsidP="000419AD">
            <w:pPr>
              <w:pStyle w:val="Header"/>
              <w:rPr>
                <w:noProof/>
                <w:lang w:eastAsia="en-GB"/>
              </w:rPr>
            </w:pPr>
          </w:p>
          <w:p w14:paraId="384015E7" w14:textId="77777777" w:rsidR="00863451" w:rsidRDefault="00863451" w:rsidP="000419AD">
            <w:pPr>
              <w:pStyle w:val="Header"/>
              <w:rPr>
                <w:noProof/>
                <w:lang w:eastAsia="en-GB"/>
              </w:rPr>
            </w:pPr>
          </w:p>
          <w:p w14:paraId="0D95097A" w14:textId="77777777" w:rsidR="00863451" w:rsidRDefault="00863451" w:rsidP="000419AD">
            <w:pPr>
              <w:pStyle w:val="Header"/>
              <w:rPr>
                <w:noProof/>
                <w:lang w:eastAsia="en-GB"/>
              </w:rPr>
            </w:pPr>
          </w:p>
          <w:p w14:paraId="29993688" w14:textId="77777777" w:rsidR="00863451" w:rsidRDefault="00863451" w:rsidP="000419AD">
            <w:pPr>
              <w:pStyle w:val="Header"/>
              <w:rPr>
                <w:noProof/>
                <w:lang w:eastAsia="en-GB"/>
              </w:rPr>
            </w:pPr>
          </w:p>
          <w:p w14:paraId="75CDD57F" w14:textId="2DDF3D04" w:rsidR="00863451" w:rsidRPr="00863451" w:rsidRDefault="00863451" w:rsidP="00863451">
            <w:pPr>
              <w:pStyle w:val="Header"/>
              <w:tabs>
                <w:tab w:val="clear" w:pos="4153"/>
              </w:tabs>
              <w:rPr>
                <w:b/>
                <w:noProof/>
                <w:sz w:val="48"/>
                <w:szCs w:val="48"/>
                <w:lang w:eastAsia="en-GB"/>
              </w:rPr>
            </w:pPr>
            <w:r w:rsidRPr="00863451">
              <w:rPr>
                <w:b/>
                <w:noProof/>
                <w:sz w:val="48"/>
                <w:szCs w:val="48"/>
                <w:lang w:eastAsia="en-GB"/>
              </w:rPr>
              <w:t xml:space="preserve">SPECIFICATION </w:t>
            </w:r>
          </w:p>
          <w:p w14:paraId="74845E06" w14:textId="77777777" w:rsidR="00863451" w:rsidRDefault="00863451" w:rsidP="000419AD">
            <w:pPr>
              <w:pStyle w:val="Header"/>
              <w:rPr>
                <w:noProof/>
                <w:lang w:eastAsia="en-GB"/>
              </w:rPr>
            </w:pPr>
          </w:p>
          <w:p w14:paraId="52F107C4" w14:textId="77777777" w:rsidR="00863451" w:rsidRDefault="00863451" w:rsidP="000419AD">
            <w:pPr>
              <w:pStyle w:val="Header"/>
              <w:rPr>
                <w:noProof/>
                <w:lang w:eastAsia="en-GB"/>
              </w:rPr>
            </w:pPr>
          </w:p>
          <w:p w14:paraId="5DBCECC4" w14:textId="77777777" w:rsidR="00863451" w:rsidRDefault="00863451" w:rsidP="000419AD">
            <w:pPr>
              <w:pStyle w:val="Header"/>
              <w:rPr>
                <w:noProof/>
                <w:lang w:eastAsia="en-GB"/>
              </w:rPr>
            </w:pPr>
          </w:p>
          <w:p w14:paraId="33D4156A" w14:textId="0594CBD9" w:rsidR="00863451" w:rsidRPr="00863451" w:rsidRDefault="00863451" w:rsidP="000419AD">
            <w:pPr>
              <w:pStyle w:val="Header"/>
              <w:rPr>
                <w:b/>
                <w:noProof/>
                <w:sz w:val="44"/>
                <w:szCs w:val="44"/>
                <w:lang w:eastAsia="en-GB"/>
              </w:rPr>
            </w:pPr>
            <w:r w:rsidRPr="00863451">
              <w:rPr>
                <w:b/>
                <w:noProof/>
                <w:sz w:val="44"/>
                <w:szCs w:val="44"/>
                <w:lang w:eastAsia="en-GB"/>
              </w:rPr>
              <w:t>INVITATION TO TENDER itt_30078</w:t>
            </w:r>
          </w:p>
          <w:p w14:paraId="03C3D38E" w14:textId="77777777" w:rsidR="00863451" w:rsidRDefault="00863451" w:rsidP="000419AD">
            <w:pPr>
              <w:pStyle w:val="Header"/>
              <w:rPr>
                <w:noProof/>
                <w:lang w:eastAsia="en-GB"/>
              </w:rPr>
            </w:pPr>
          </w:p>
          <w:p w14:paraId="0A97B0E7" w14:textId="77777777" w:rsidR="00863451" w:rsidRDefault="00863451" w:rsidP="000419AD">
            <w:pPr>
              <w:pStyle w:val="Header"/>
              <w:rPr>
                <w:noProof/>
                <w:lang w:eastAsia="en-GB"/>
              </w:rPr>
            </w:pPr>
          </w:p>
          <w:p w14:paraId="02FC4136" w14:textId="77777777" w:rsidR="00863451" w:rsidRDefault="00863451" w:rsidP="000419AD">
            <w:pPr>
              <w:pStyle w:val="Header"/>
              <w:rPr>
                <w:noProof/>
                <w:lang w:eastAsia="en-GB"/>
              </w:rPr>
            </w:pPr>
          </w:p>
          <w:p w14:paraId="225E67CC" w14:textId="77777777" w:rsidR="00863451" w:rsidRDefault="00863451" w:rsidP="000419AD">
            <w:pPr>
              <w:pStyle w:val="Header"/>
              <w:rPr>
                <w:noProof/>
                <w:lang w:eastAsia="en-GB"/>
              </w:rPr>
            </w:pPr>
          </w:p>
          <w:p w14:paraId="1AC0B2EA" w14:textId="1E369154" w:rsidR="00863451" w:rsidRPr="00863451" w:rsidRDefault="00863451" w:rsidP="000419AD">
            <w:pPr>
              <w:pStyle w:val="Header"/>
              <w:rPr>
                <w:noProof/>
                <w:sz w:val="40"/>
                <w:szCs w:val="40"/>
                <w:lang w:eastAsia="en-GB"/>
              </w:rPr>
            </w:pPr>
            <w:r w:rsidRPr="00863451">
              <w:rPr>
                <w:rFonts w:cs="Arial"/>
                <w:b/>
                <w:sz w:val="40"/>
                <w:szCs w:val="40"/>
              </w:rPr>
              <w:t>INFORMATION, ADVICE &amp; GUIDANCE (IAG)</w:t>
            </w:r>
          </w:p>
          <w:p w14:paraId="786A37E0" w14:textId="77777777" w:rsidR="00863451" w:rsidRDefault="00863451" w:rsidP="000419AD">
            <w:pPr>
              <w:pStyle w:val="Header"/>
              <w:rPr>
                <w:noProof/>
                <w:lang w:eastAsia="en-GB"/>
              </w:rPr>
            </w:pPr>
          </w:p>
          <w:p w14:paraId="1DEE81CA" w14:textId="77777777" w:rsidR="00863451" w:rsidRDefault="00863451" w:rsidP="000419AD">
            <w:pPr>
              <w:pStyle w:val="Header"/>
              <w:rPr>
                <w:noProof/>
                <w:lang w:eastAsia="en-GB"/>
              </w:rPr>
            </w:pPr>
          </w:p>
          <w:p w14:paraId="61F5EE22" w14:textId="77777777" w:rsidR="00863451" w:rsidRDefault="00863451" w:rsidP="000419AD">
            <w:pPr>
              <w:pStyle w:val="Header"/>
              <w:rPr>
                <w:noProof/>
                <w:lang w:eastAsia="en-GB"/>
              </w:rPr>
            </w:pPr>
          </w:p>
          <w:p w14:paraId="32BD80B1" w14:textId="77777777" w:rsidR="00863451" w:rsidRDefault="00863451" w:rsidP="000419AD">
            <w:pPr>
              <w:pStyle w:val="Header"/>
              <w:rPr>
                <w:noProof/>
                <w:lang w:eastAsia="en-GB"/>
              </w:rPr>
            </w:pPr>
          </w:p>
          <w:p w14:paraId="2AFEE72F" w14:textId="77777777" w:rsidR="00863451" w:rsidRDefault="00863451" w:rsidP="000419AD">
            <w:pPr>
              <w:pStyle w:val="Header"/>
              <w:rPr>
                <w:noProof/>
                <w:lang w:eastAsia="en-GB"/>
              </w:rPr>
            </w:pPr>
          </w:p>
          <w:p w14:paraId="0FF7CA99" w14:textId="77777777" w:rsidR="00863451" w:rsidRDefault="00863451" w:rsidP="000419AD">
            <w:pPr>
              <w:pStyle w:val="Header"/>
              <w:rPr>
                <w:noProof/>
                <w:lang w:eastAsia="en-GB"/>
              </w:rPr>
            </w:pPr>
          </w:p>
          <w:p w14:paraId="3023FEDD" w14:textId="77777777" w:rsidR="00863451" w:rsidRDefault="00863451" w:rsidP="000419AD">
            <w:pPr>
              <w:pStyle w:val="Header"/>
              <w:rPr>
                <w:noProof/>
                <w:lang w:eastAsia="en-GB"/>
              </w:rPr>
            </w:pPr>
          </w:p>
          <w:p w14:paraId="6FF52F5C" w14:textId="77777777" w:rsidR="00863451" w:rsidRDefault="00863451" w:rsidP="000419AD">
            <w:pPr>
              <w:pStyle w:val="Header"/>
              <w:rPr>
                <w:noProof/>
                <w:lang w:eastAsia="en-GB"/>
              </w:rPr>
            </w:pPr>
          </w:p>
          <w:p w14:paraId="2C26DCC7" w14:textId="353BC9EA" w:rsidR="00863451" w:rsidRPr="00863451" w:rsidRDefault="00863451" w:rsidP="000419AD">
            <w:pPr>
              <w:pStyle w:val="Header"/>
              <w:rPr>
                <w:b/>
                <w:noProof/>
                <w:sz w:val="44"/>
                <w:szCs w:val="44"/>
                <w:lang w:eastAsia="en-GB"/>
              </w:rPr>
            </w:pPr>
            <w:r w:rsidRPr="00863451">
              <w:rPr>
                <w:b/>
                <w:noProof/>
                <w:sz w:val="44"/>
                <w:szCs w:val="44"/>
                <w:lang w:eastAsia="en-GB"/>
              </w:rPr>
              <w:t>SOLENT LEP AREA</w:t>
            </w:r>
          </w:p>
          <w:p w14:paraId="69F0779C" w14:textId="77777777" w:rsidR="00863451" w:rsidRDefault="00863451" w:rsidP="000419AD">
            <w:pPr>
              <w:pStyle w:val="Header"/>
              <w:rPr>
                <w:noProof/>
                <w:lang w:eastAsia="en-GB"/>
              </w:rPr>
            </w:pPr>
          </w:p>
          <w:p w14:paraId="49299A27" w14:textId="77777777" w:rsidR="00863451" w:rsidRDefault="00863451" w:rsidP="000419AD">
            <w:pPr>
              <w:pStyle w:val="Header"/>
              <w:rPr>
                <w:noProof/>
                <w:lang w:eastAsia="en-GB"/>
              </w:rPr>
            </w:pPr>
          </w:p>
          <w:p w14:paraId="5C0B9505" w14:textId="77777777" w:rsidR="00863451" w:rsidRDefault="00863451" w:rsidP="000419AD">
            <w:pPr>
              <w:pStyle w:val="Header"/>
              <w:rPr>
                <w:noProof/>
                <w:lang w:eastAsia="en-GB"/>
              </w:rPr>
            </w:pPr>
          </w:p>
          <w:p w14:paraId="4360CC44" w14:textId="77777777" w:rsidR="00863451" w:rsidRDefault="00863451" w:rsidP="000419AD">
            <w:pPr>
              <w:pStyle w:val="Header"/>
              <w:rPr>
                <w:noProof/>
                <w:lang w:eastAsia="en-GB"/>
              </w:rPr>
            </w:pPr>
          </w:p>
          <w:p w14:paraId="7389124F" w14:textId="77777777" w:rsidR="00863451" w:rsidRDefault="00863451" w:rsidP="000419AD">
            <w:pPr>
              <w:pStyle w:val="Header"/>
              <w:rPr>
                <w:noProof/>
                <w:lang w:eastAsia="en-GB"/>
              </w:rPr>
            </w:pPr>
          </w:p>
          <w:p w14:paraId="6C905715" w14:textId="77777777" w:rsidR="00863451" w:rsidRDefault="00863451" w:rsidP="000419AD">
            <w:pPr>
              <w:pStyle w:val="Header"/>
              <w:rPr>
                <w:noProof/>
                <w:lang w:eastAsia="en-GB"/>
              </w:rPr>
            </w:pPr>
          </w:p>
          <w:p w14:paraId="7869C087" w14:textId="77777777" w:rsidR="00863451" w:rsidRDefault="00863451" w:rsidP="000419AD">
            <w:pPr>
              <w:pStyle w:val="Header"/>
              <w:rPr>
                <w:noProof/>
                <w:lang w:eastAsia="en-GB"/>
              </w:rPr>
            </w:pPr>
          </w:p>
          <w:p w14:paraId="0C0BFDA5" w14:textId="5D8F4894" w:rsidR="00863451" w:rsidRPr="00863451" w:rsidRDefault="00863451" w:rsidP="000419AD">
            <w:pPr>
              <w:pStyle w:val="Header"/>
              <w:rPr>
                <w:b/>
                <w:noProof/>
                <w:sz w:val="40"/>
                <w:szCs w:val="40"/>
                <w:lang w:eastAsia="en-GB"/>
              </w:rPr>
            </w:pPr>
            <w:r w:rsidRPr="00863451">
              <w:rPr>
                <w:b/>
                <w:noProof/>
                <w:sz w:val="40"/>
                <w:szCs w:val="40"/>
                <w:lang w:eastAsia="en-GB"/>
              </w:rPr>
              <w:t>DATE JUNE 2016</w:t>
            </w:r>
          </w:p>
          <w:p w14:paraId="430E6D7F" w14:textId="77777777" w:rsidR="00863451" w:rsidRDefault="00863451" w:rsidP="000419AD">
            <w:pPr>
              <w:pStyle w:val="Header"/>
              <w:rPr>
                <w:noProof/>
                <w:lang w:eastAsia="en-GB"/>
              </w:rPr>
            </w:pPr>
          </w:p>
          <w:p w14:paraId="1B8B70B7" w14:textId="77777777" w:rsidR="00863451" w:rsidRDefault="00863451" w:rsidP="000419AD">
            <w:pPr>
              <w:pStyle w:val="Header"/>
              <w:rPr>
                <w:noProof/>
                <w:lang w:eastAsia="en-GB"/>
              </w:rPr>
            </w:pPr>
          </w:p>
          <w:p w14:paraId="4F6FCC36" w14:textId="77777777" w:rsidR="00863451" w:rsidRDefault="00863451" w:rsidP="000419AD">
            <w:pPr>
              <w:pStyle w:val="Header"/>
              <w:rPr>
                <w:noProof/>
                <w:lang w:eastAsia="en-GB"/>
              </w:rPr>
            </w:pPr>
          </w:p>
          <w:p w14:paraId="0EFA0225" w14:textId="77777777" w:rsidR="00863451" w:rsidRDefault="00863451" w:rsidP="000419AD">
            <w:pPr>
              <w:pStyle w:val="Header"/>
              <w:rPr>
                <w:noProof/>
                <w:lang w:eastAsia="en-GB"/>
              </w:rPr>
            </w:pPr>
          </w:p>
          <w:p w14:paraId="283106B5" w14:textId="77777777" w:rsidR="00863451" w:rsidRDefault="00863451" w:rsidP="000419AD">
            <w:pPr>
              <w:pStyle w:val="Header"/>
              <w:rPr>
                <w:noProof/>
                <w:lang w:eastAsia="en-GB"/>
              </w:rPr>
            </w:pPr>
          </w:p>
          <w:p w14:paraId="7BDB093E" w14:textId="77777777" w:rsidR="00863451" w:rsidRDefault="00863451" w:rsidP="000419AD">
            <w:pPr>
              <w:pStyle w:val="Header"/>
              <w:rPr>
                <w:noProof/>
                <w:lang w:eastAsia="en-GB"/>
              </w:rPr>
            </w:pPr>
          </w:p>
          <w:p w14:paraId="1CFE9845" w14:textId="77777777" w:rsidR="00863451" w:rsidRDefault="00863451" w:rsidP="000419AD">
            <w:pPr>
              <w:pStyle w:val="Header"/>
              <w:rPr>
                <w:noProof/>
                <w:lang w:eastAsia="en-GB"/>
              </w:rPr>
            </w:pPr>
          </w:p>
          <w:p w14:paraId="6E245592" w14:textId="77777777" w:rsidR="00863451" w:rsidRDefault="00863451" w:rsidP="000419AD">
            <w:pPr>
              <w:pStyle w:val="Header"/>
              <w:rPr>
                <w:noProof/>
                <w:lang w:eastAsia="en-GB"/>
              </w:rPr>
            </w:pPr>
          </w:p>
          <w:p w14:paraId="02F3BF53" w14:textId="77777777" w:rsidR="00863451" w:rsidRDefault="00863451" w:rsidP="000419AD">
            <w:pPr>
              <w:pStyle w:val="Header"/>
              <w:rPr>
                <w:noProof/>
                <w:lang w:eastAsia="en-GB"/>
              </w:rPr>
            </w:pPr>
          </w:p>
          <w:p w14:paraId="5BFF7B3D" w14:textId="77777777" w:rsidR="00863451" w:rsidRDefault="00863451" w:rsidP="000419AD">
            <w:pPr>
              <w:pStyle w:val="Header"/>
              <w:rPr>
                <w:noProof/>
                <w:lang w:eastAsia="en-GB"/>
              </w:rPr>
            </w:pPr>
          </w:p>
          <w:p w14:paraId="7327B3D1" w14:textId="77777777" w:rsidR="00863451" w:rsidRDefault="00863451" w:rsidP="000419AD">
            <w:pPr>
              <w:pStyle w:val="Header"/>
              <w:rPr>
                <w:noProof/>
                <w:lang w:eastAsia="en-GB"/>
              </w:rPr>
            </w:pPr>
          </w:p>
          <w:p w14:paraId="552A55E8" w14:textId="77777777" w:rsidR="00863451" w:rsidRDefault="00863451" w:rsidP="000419AD">
            <w:pPr>
              <w:pStyle w:val="Header"/>
              <w:rPr>
                <w:noProof/>
                <w:lang w:eastAsia="en-GB"/>
              </w:rPr>
            </w:pPr>
          </w:p>
          <w:p w14:paraId="542E7E38" w14:textId="77777777" w:rsidR="00863451" w:rsidRDefault="00863451" w:rsidP="000419AD">
            <w:pPr>
              <w:pStyle w:val="Header"/>
              <w:rPr>
                <w:noProof/>
                <w:lang w:eastAsia="en-GB"/>
              </w:rPr>
            </w:pPr>
          </w:p>
          <w:p w14:paraId="16AD1B7D" w14:textId="77777777" w:rsidR="00863451" w:rsidRDefault="00863451" w:rsidP="000419AD">
            <w:pPr>
              <w:pStyle w:val="Header"/>
              <w:rPr>
                <w:noProof/>
                <w:lang w:eastAsia="en-GB"/>
              </w:rPr>
            </w:pPr>
          </w:p>
          <w:p w14:paraId="0A044888" w14:textId="77777777" w:rsidR="00863451" w:rsidRDefault="00863451" w:rsidP="000419AD">
            <w:pPr>
              <w:pStyle w:val="Header"/>
              <w:rPr>
                <w:noProof/>
                <w:lang w:eastAsia="en-GB"/>
              </w:rPr>
            </w:pPr>
          </w:p>
          <w:p w14:paraId="250F7B86" w14:textId="77777777" w:rsidR="00863451" w:rsidRDefault="00863451" w:rsidP="000419AD">
            <w:pPr>
              <w:pStyle w:val="Header"/>
              <w:rPr>
                <w:noProof/>
                <w:lang w:eastAsia="en-GB"/>
              </w:rPr>
            </w:pPr>
          </w:p>
        </w:tc>
        <w:tc>
          <w:tcPr>
            <w:tcW w:w="4366" w:type="dxa"/>
          </w:tcPr>
          <w:p w14:paraId="5E027D13" w14:textId="77777777" w:rsidR="008441FE" w:rsidRDefault="008441FE" w:rsidP="000419AD">
            <w:pPr>
              <w:pStyle w:val="Header"/>
              <w:jc w:val="right"/>
              <w:rPr>
                <w:noProof/>
                <w:lang w:eastAsia="en-GB"/>
              </w:rPr>
            </w:pPr>
          </w:p>
        </w:tc>
      </w:tr>
    </w:tbl>
    <w:p w14:paraId="2E4F50A5"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1E10775B" w14:textId="77777777" w:rsidTr="0046183D">
        <w:trPr>
          <w:trHeight w:val="597"/>
        </w:trPr>
        <w:tc>
          <w:tcPr>
            <w:tcW w:w="9088" w:type="dxa"/>
          </w:tcPr>
          <w:p w14:paraId="4442A471" w14:textId="77777777" w:rsidR="00965679" w:rsidRPr="00965679" w:rsidRDefault="0046183D" w:rsidP="00965679">
            <w:pPr>
              <w:pStyle w:val="BodyText"/>
              <w:tabs>
                <w:tab w:val="num" w:pos="1134"/>
              </w:tabs>
              <w:spacing w:after="0"/>
              <w:jc w:val="both"/>
              <w:rPr>
                <w:rFonts w:ascii="Arial" w:hAnsi="Arial" w:cs="Arial"/>
                <w:b/>
              </w:rPr>
            </w:pPr>
            <w:r w:rsidRPr="00965679">
              <w:rPr>
                <w:rFonts w:ascii="Arial" w:hAnsi="Arial" w:cs="Arial"/>
                <w:b/>
              </w:rPr>
              <w:t xml:space="preserve">INFORMATION, ADVICE &amp; GUIDANCE (IAG) </w:t>
            </w:r>
            <w:r w:rsidR="004C726D" w:rsidRPr="00965679">
              <w:rPr>
                <w:rFonts w:ascii="Arial" w:hAnsi="Arial" w:cs="Arial"/>
                <w:b/>
              </w:rPr>
              <w:t xml:space="preserve">SPECIFICATION </w:t>
            </w:r>
          </w:p>
          <w:p w14:paraId="31E44AA5" w14:textId="2E95FF9F" w:rsidR="00967429" w:rsidRPr="00965679" w:rsidRDefault="00406F3A" w:rsidP="00965679">
            <w:pPr>
              <w:pStyle w:val="BodyText"/>
              <w:tabs>
                <w:tab w:val="num" w:pos="1134"/>
              </w:tabs>
              <w:spacing w:after="0"/>
              <w:jc w:val="both"/>
              <w:rPr>
                <w:rFonts w:ascii="Arial" w:hAnsi="Arial" w:cs="Arial"/>
                <w:b/>
              </w:rPr>
            </w:pPr>
            <w:r w:rsidRPr="00965679">
              <w:rPr>
                <w:rFonts w:ascii="Arial" w:hAnsi="Arial" w:cs="Arial"/>
                <w:b/>
              </w:rPr>
              <w:t>Solent</w:t>
            </w:r>
            <w:r w:rsidR="00CD6C46" w:rsidRPr="00965679">
              <w:rPr>
                <w:rFonts w:ascii="Arial" w:hAnsi="Arial" w:cs="Arial"/>
                <w:b/>
              </w:rPr>
              <w:t xml:space="preserve"> Local Enterprise Partnership</w:t>
            </w:r>
            <w:r w:rsidR="0046183D" w:rsidRPr="00965679">
              <w:rPr>
                <w:rFonts w:ascii="Arial" w:hAnsi="Arial" w:cs="Arial"/>
                <w:b/>
              </w:rPr>
              <w:t xml:space="preserve"> </w:t>
            </w:r>
            <w:r w:rsidR="00965679" w:rsidRPr="00965679">
              <w:rPr>
                <w:rFonts w:ascii="Arial" w:hAnsi="Arial" w:cs="Arial"/>
                <w:b/>
              </w:rPr>
              <w:t>itt_30078</w:t>
            </w:r>
          </w:p>
        </w:tc>
      </w:tr>
      <w:tr w:rsidR="00967429" w14:paraId="019E5CEB" w14:textId="77777777" w:rsidTr="0046183D">
        <w:tc>
          <w:tcPr>
            <w:tcW w:w="9088" w:type="dxa"/>
            <w:shd w:val="clear" w:color="auto" w:fill="D9D9D9" w:themeFill="background1" w:themeFillShade="D9"/>
          </w:tcPr>
          <w:p w14:paraId="78BFA89C" w14:textId="77777777" w:rsidR="00967429" w:rsidRPr="00D27033" w:rsidRDefault="004C726D" w:rsidP="00D27033">
            <w:pPr>
              <w:rPr>
                <w:b/>
              </w:rPr>
            </w:pPr>
            <w:r w:rsidRPr="00D27033">
              <w:rPr>
                <w:b/>
              </w:rPr>
              <w:t>BACKGROUND</w:t>
            </w:r>
          </w:p>
          <w:p w14:paraId="6BB45E9B" w14:textId="77777777" w:rsidR="00D27033" w:rsidRPr="00FD3B0A" w:rsidRDefault="00D27033" w:rsidP="00D27033"/>
        </w:tc>
      </w:tr>
      <w:tr w:rsidR="00483E01" w:rsidRPr="00EF4406" w14:paraId="1FF39344" w14:textId="77777777" w:rsidTr="0046183D">
        <w:tc>
          <w:tcPr>
            <w:tcW w:w="9088" w:type="dxa"/>
          </w:tcPr>
          <w:p w14:paraId="335F598C" w14:textId="77777777" w:rsidR="00483E01" w:rsidRPr="002833D9" w:rsidRDefault="00483E01" w:rsidP="00483E01">
            <w:pPr>
              <w:tabs>
                <w:tab w:val="num" w:pos="900"/>
              </w:tabs>
              <w:autoSpaceDE w:val="0"/>
              <w:autoSpaceDN w:val="0"/>
              <w:adjustRightInd w:val="0"/>
              <w:rPr>
                <w:rFonts w:cs="Arial"/>
                <w:b/>
              </w:rPr>
            </w:pPr>
          </w:p>
          <w:p w14:paraId="6BFB0FD9" w14:textId="77777777" w:rsidR="00483E01" w:rsidRPr="002833D9" w:rsidRDefault="00483E01" w:rsidP="00483E01">
            <w:pPr>
              <w:tabs>
                <w:tab w:val="num" w:pos="900"/>
              </w:tabs>
              <w:autoSpaceDE w:val="0"/>
              <w:autoSpaceDN w:val="0"/>
              <w:adjustRightInd w:val="0"/>
              <w:rPr>
                <w:rFonts w:cs="Arial"/>
                <w:b/>
              </w:rPr>
            </w:pPr>
            <w:r w:rsidRPr="002833D9">
              <w:rPr>
                <w:rFonts w:cs="Arial"/>
                <w:b/>
              </w:rPr>
              <w:t>General</w:t>
            </w:r>
          </w:p>
          <w:p w14:paraId="199BE1D2" w14:textId="77777777" w:rsidR="00483E01" w:rsidRPr="002833D9" w:rsidRDefault="00483E01" w:rsidP="00483E01">
            <w:pPr>
              <w:tabs>
                <w:tab w:val="num" w:pos="900"/>
              </w:tabs>
              <w:autoSpaceDE w:val="0"/>
              <w:autoSpaceDN w:val="0"/>
              <w:adjustRightInd w:val="0"/>
              <w:rPr>
                <w:rFonts w:cs="Arial"/>
                <w:b/>
              </w:rPr>
            </w:pPr>
          </w:p>
          <w:p w14:paraId="0C32F967" w14:textId="77777777" w:rsidR="00483E01" w:rsidRPr="00E02CD1" w:rsidRDefault="00483E01" w:rsidP="00483E01">
            <w:pPr>
              <w:tabs>
                <w:tab w:val="num" w:pos="900"/>
              </w:tabs>
              <w:autoSpaceDE w:val="0"/>
              <w:autoSpaceDN w:val="0"/>
              <w:adjustRightInd w:val="0"/>
              <w:rPr>
                <w:rFonts w:cs="Arial"/>
              </w:rPr>
            </w:pPr>
            <w:r w:rsidRPr="00E02CD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A969C2B" w14:textId="77777777" w:rsidR="00483E01" w:rsidRPr="00E02CD1" w:rsidRDefault="00483E01" w:rsidP="00483E01">
            <w:pPr>
              <w:tabs>
                <w:tab w:val="num" w:pos="900"/>
              </w:tabs>
              <w:autoSpaceDE w:val="0"/>
              <w:autoSpaceDN w:val="0"/>
              <w:adjustRightInd w:val="0"/>
              <w:rPr>
                <w:rFonts w:cs="Arial"/>
              </w:rPr>
            </w:pPr>
          </w:p>
          <w:p w14:paraId="1EF1D67E" w14:textId="77777777" w:rsidR="00483E01" w:rsidRPr="00E02CD1" w:rsidRDefault="00483E01" w:rsidP="00483E01">
            <w:pPr>
              <w:rPr>
                <w:rFonts w:cs="Arial"/>
              </w:rPr>
            </w:pPr>
            <w:r w:rsidRPr="00E02CD1">
              <w:rPr>
                <w:rFonts w:cs="Arial"/>
              </w:rPr>
              <w:t>The SFA, acting as an Opt-In Organisation for the European Social Fund (ESF), is procuring education and training services to meet priorities identified by Local Enterprise Partnerships (LEP)</w:t>
            </w:r>
            <w:r w:rsidR="00B705D2" w:rsidRPr="00E02CD1">
              <w:t xml:space="preserve"> area European Structural and Investment Funds Sub–Committees.</w:t>
            </w:r>
            <w:r w:rsidRPr="00E02CD1">
              <w:rPr>
                <w:rFonts w:cs="Arial"/>
              </w:rPr>
              <w:t xml:space="preserve">  As an Opt-In Organisation the SFA provides match funding at Priority Axis level utilising sources of public funding as match for ESF funded activity.</w:t>
            </w:r>
          </w:p>
          <w:p w14:paraId="3EBE7471" w14:textId="77777777" w:rsidR="00483E01" w:rsidRPr="00E02CD1" w:rsidRDefault="00483E01" w:rsidP="00EA3A87">
            <w:pPr>
              <w:pStyle w:val="NormalWeb"/>
              <w:rPr>
                <w:rFonts w:cs="Arial"/>
              </w:rPr>
            </w:pPr>
            <w:r w:rsidRPr="00E02CD1">
              <w:rPr>
                <w:rFonts w:ascii="Arial" w:hAnsi="Arial" w:cs="Arial"/>
              </w:rPr>
              <w:t xml:space="preserve">This Invitation to Tender (ITT) supports ESF Investment </w:t>
            </w:r>
            <w:r w:rsidR="00CD6C46" w:rsidRPr="00E02CD1">
              <w:rPr>
                <w:rFonts w:ascii="Arial" w:hAnsi="Arial" w:cs="Arial"/>
              </w:rPr>
              <w:t>Priorit</w:t>
            </w:r>
            <w:r w:rsidR="00406F3A" w:rsidRPr="00E02CD1">
              <w:rPr>
                <w:rFonts w:ascii="Arial" w:hAnsi="Arial" w:cs="Arial"/>
              </w:rPr>
              <w:t>y</w:t>
            </w:r>
            <w:r w:rsidR="00CD6C46" w:rsidRPr="00E02CD1">
              <w:rPr>
                <w:rFonts w:ascii="Arial" w:hAnsi="Arial" w:cs="Arial"/>
              </w:rPr>
              <w:t xml:space="preserve"> 1.</w:t>
            </w:r>
            <w:r w:rsidR="00406F3A" w:rsidRPr="00E02CD1">
              <w:rPr>
                <w:rFonts w:ascii="Arial" w:hAnsi="Arial" w:cs="Arial"/>
              </w:rPr>
              <w:t>2</w:t>
            </w:r>
            <w:r w:rsidR="00CD6C46" w:rsidRPr="00E02CD1">
              <w:rPr>
                <w:rFonts w:ascii="Arial" w:hAnsi="Arial" w:cs="Arial"/>
              </w:rPr>
              <w:t xml:space="preserve"> - </w:t>
            </w:r>
            <w:r w:rsidR="00406F3A" w:rsidRPr="00E02CD1">
              <w:rPr>
                <w:rFonts w:ascii="Arial" w:hAnsi="Arial" w:cs="Arial"/>
              </w:rPr>
              <w:t>Sustainable</w:t>
            </w:r>
            <w:r w:rsidR="00CD6C46" w:rsidRPr="00E02CD1">
              <w:rPr>
                <w:rFonts w:ascii="Arial" w:hAnsi="Arial" w:cs="Arial"/>
              </w:rPr>
              <w:t xml:space="preserve"> In</w:t>
            </w:r>
            <w:r w:rsidR="00406F3A" w:rsidRPr="00E02CD1">
              <w:rPr>
                <w:rFonts w:ascii="Arial" w:hAnsi="Arial" w:cs="Arial"/>
              </w:rPr>
              <w:t xml:space="preserve">tegration of Young People </w:t>
            </w:r>
            <w:r w:rsidRPr="00E02CD1">
              <w:rPr>
                <w:rFonts w:ascii="Arial" w:hAnsi="Arial" w:cs="Arial"/>
              </w:rPr>
              <w:t>where the need has been identified both in the LEP area and European Structural and Investment Fund Strategies.</w:t>
            </w:r>
            <w:r w:rsidRPr="00E02CD1">
              <w:rPr>
                <w:rFonts w:cs="Arial"/>
              </w:rPr>
              <w:t xml:space="preserve">  </w:t>
            </w:r>
          </w:p>
          <w:p w14:paraId="2B85F6A2" w14:textId="77777777" w:rsidR="00483E01" w:rsidRPr="004F2122" w:rsidRDefault="00483E01" w:rsidP="00483E01">
            <w:pPr>
              <w:rPr>
                <w:rFonts w:cs="Arial"/>
              </w:rPr>
            </w:pPr>
            <w:r w:rsidRPr="00E02CD1">
              <w:rPr>
                <w:rFonts w:cs="Arial"/>
              </w:rPr>
              <w:t xml:space="preserve">The SFA is looking to procure an organisation to deliver </w:t>
            </w:r>
            <w:r w:rsidR="00EA3A87" w:rsidRPr="00E02CD1">
              <w:rPr>
                <w:rFonts w:cs="Arial"/>
              </w:rPr>
              <w:t>Information, Advice and Guidance (IAG) to young people in the LEP area</w:t>
            </w:r>
          </w:p>
          <w:p w14:paraId="4D5367B0" w14:textId="77777777" w:rsidR="00483E01" w:rsidRPr="002833D9" w:rsidRDefault="00483E01" w:rsidP="00483E01">
            <w:pPr>
              <w:rPr>
                <w:rFonts w:cs="Arial"/>
              </w:rPr>
            </w:pPr>
          </w:p>
          <w:p w14:paraId="13BDA5AE" w14:textId="77777777" w:rsidR="007A3B05" w:rsidRPr="004F2122" w:rsidRDefault="007A3B05" w:rsidP="004F2122">
            <w:pPr>
              <w:rPr>
                <w:rFonts w:cs="Arial"/>
                <w:lang w:eastAsia="en-GB"/>
              </w:rPr>
            </w:pPr>
            <w:r w:rsidRPr="00E02CD1">
              <w:rPr>
                <w:rFonts w:cs="Arial"/>
              </w:rPr>
              <w:t xml:space="preserve">The proposed activity will </w:t>
            </w:r>
            <w:r w:rsidR="000540AC" w:rsidRPr="00E02CD1">
              <w:rPr>
                <w:rFonts w:cs="Arial"/>
              </w:rPr>
              <w:t>aim</w:t>
            </w:r>
            <w:r w:rsidRPr="00E02CD1">
              <w:rPr>
                <w:rFonts w:cs="Arial"/>
              </w:rPr>
              <w:t xml:space="preserve"> to increase participation in the labour market and improve social inclusion and mobility. </w:t>
            </w:r>
            <w:r w:rsidR="000540AC" w:rsidRPr="00E02CD1">
              <w:rPr>
                <w:rFonts w:cs="Arial"/>
              </w:rPr>
              <w:t>In</w:t>
            </w:r>
            <w:r w:rsidRPr="00E02CD1">
              <w:rPr>
                <w:rFonts w:cs="Arial"/>
              </w:rPr>
              <w:t xml:space="preserve"> line with </w:t>
            </w:r>
            <w:r w:rsidR="000540AC" w:rsidRPr="00E02CD1">
              <w:rPr>
                <w:rFonts w:cs="Arial"/>
              </w:rPr>
              <w:t xml:space="preserve">relevant </w:t>
            </w:r>
            <w:r w:rsidRPr="00E02CD1">
              <w:rPr>
                <w:rFonts w:cs="Arial"/>
              </w:rPr>
              <w:t>thematic objective</w:t>
            </w:r>
            <w:r w:rsidR="000540AC" w:rsidRPr="00E02CD1">
              <w:rPr>
                <w:rFonts w:cs="Arial"/>
              </w:rPr>
              <w:t>s</w:t>
            </w:r>
            <w:r w:rsidRPr="00E02CD1">
              <w:rPr>
                <w:rFonts w:cs="Arial"/>
              </w:rPr>
              <w:t xml:space="preserve"> and investment </w:t>
            </w:r>
            <w:r w:rsidR="000540AC" w:rsidRPr="00E02CD1">
              <w:rPr>
                <w:rFonts w:cs="Arial"/>
              </w:rPr>
              <w:t>priorities</w:t>
            </w:r>
            <w:r w:rsidRPr="00E02CD1">
              <w:rPr>
                <w:rFonts w:cs="Arial"/>
              </w:rPr>
              <w:t xml:space="preserve">, the provision aims to increase the number of people in education, employment or training and </w:t>
            </w:r>
            <w:r w:rsidR="000540AC" w:rsidRPr="00E02CD1">
              <w:rPr>
                <w:rFonts w:cs="Arial"/>
              </w:rPr>
              <w:t xml:space="preserve">seeks to </w:t>
            </w:r>
            <w:r w:rsidRPr="00E02CD1">
              <w:rPr>
                <w:rFonts w:cs="Arial"/>
              </w:rPr>
              <w:t>reduce the number of young people who are NEET or at risk of becoming NEET.</w:t>
            </w:r>
            <w:r w:rsidRPr="007A3B05">
              <w:rPr>
                <w:rFonts w:cs="Arial"/>
              </w:rPr>
              <w:t xml:space="preserve"> </w:t>
            </w:r>
          </w:p>
          <w:p w14:paraId="6D89B669" w14:textId="77777777" w:rsidR="00233F3E" w:rsidRDefault="00233F3E" w:rsidP="00C45EC2">
            <w:pPr>
              <w:autoSpaceDE w:val="0"/>
              <w:autoSpaceDN w:val="0"/>
              <w:adjustRightInd w:val="0"/>
              <w:rPr>
                <w:rFonts w:cs="Arial"/>
                <w:b/>
              </w:rPr>
            </w:pPr>
          </w:p>
          <w:p w14:paraId="5727CECF" w14:textId="77777777" w:rsidR="00233F3E" w:rsidRDefault="007A3B05" w:rsidP="00C45EC2">
            <w:pPr>
              <w:autoSpaceDE w:val="0"/>
              <w:autoSpaceDN w:val="0"/>
              <w:adjustRightInd w:val="0"/>
              <w:rPr>
                <w:rFonts w:cs="Arial"/>
                <w:b/>
                <w:lang w:eastAsia="en-GB"/>
              </w:rPr>
            </w:pPr>
            <w:r w:rsidRPr="004F2122">
              <w:rPr>
                <w:rFonts w:cs="Arial"/>
                <w:b/>
              </w:rPr>
              <w:t>LEP Specific</w:t>
            </w:r>
          </w:p>
          <w:p w14:paraId="2D35ADFF" w14:textId="77777777" w:rsidR="00233F3E" w:rsidRDefault="00233F3E" w:rsidP="00C45EC2">
            <w:pPr>
              <w:autoSpaceDE w:val="0"/>
              <w:autoSpaceDN w:val="0"/>
              <w:adjustRightInd w:val="0"/>
              <w:rPr>
                <w:rFonts w:cs="Arial"/>
                <w:b/>
                <w:lang w:eastAsia="en-GB"/>
              </w:rPr>
            </w:pPr>
          </w:p>
          <w:p w14:paraId="7F60DE75" w14:textId="77777777" w:rsidR="001F606F" w:rsidRDefault="00233F3E" w:rsidP="00E02CD1">
            <w:pPr>
              <w:rPr>
                <w:rFonts w:cs="Arial"/>
              </w:rPr>
            </w:pPr>
            <w:r>
              <w:rPr>
                <w:rFonts w:cs="Arial"/>
                <w:szCs w:val="22"/>
              </w:rPr>
              <w:t xml:space="preserve">As stated in </w:t>
            </w:r>
            <w:r w:rsidR="00E02CD1">
              <w:rPr>
                <w:rFonts w:cs="Arial"/>
                <w:szCs w:val="22"/>
              </w:rPr>
              <w:t xml:space="preserve">the Solent </w:t>
            </w:r>
            <w:r>
              <w:rPr>
                <w:rFonts w:cs="Arial"/>
                <w:szCs w:val="22"/>
              </w:rPr>
              <w:t>EUSIF strategy, ESF for IAG activity will link to and complement activity being directly delivered through the Solent wide City Deal youth programme for p</w:t>
            </w:r>
            <w:r w:rsidRPr="00252707">
              <w:rPr>
                <w:rFonts w:cs="Arial"/>
                <w:szCs w:val="22"/>
              </w:rPr>
              <w:t>eople aged 1</w:t>
            </w:r>
            <w:r>
              <w:rPr>
                <w:rFonts w:cs="Arial"/>
                <w:szCs w:val="22"/>
              </w:rPr>
              <w:t>6</w:t>
            </w:r>
            <w:r w:rsidRPr="00252707">
              <w:rPr>
                <w:rFonts w:cs="Arial"/>
                <w:szCs w:val="22"/>
              </w:rPr>
              <w:t xml:space="preserve"> to 24 supported through </w:t>
            </w:r>
            <w:r w:rsidR="00E02CD1">
              <w:rPr>
                <w:rFonts w:cs="Arial"/>
                <w:szCs w:val="22"/>
              </w:rPr>
              <w:t xml:space="preserve">the </w:t>
            </w:r>
            <w:r w:rsidRPr="00252707">
              <w:rPr>
                <w:rFonts w:cs="Arial"/>
                <w:szCs w:val="22"/>
              </w:rPr>
              <w:t xml:space="preserve">City Deal </w:t>
            </w:r>
            <w:r>
              <w:rPr>
                <w:rFonts w:cs="Arial"/>
                <w:szCs w:val="22"/>
              </w:rPr>
              <w:t xml:space="preserve">programme of activity. This may be additional activity such as, sign-posting or referral depending on the action plan developed in respect of the individual. </w:t>
            </w:r>
          </w:p>
          <w:p w14:paraId="42433201" w14:textId="77777777" w:rsidR="002F2A4E" w:rsidRDefault="002F2A4E" w:rsidP="00E02CD1">
            <w:pPr>
              <w:rPr>
                <w:rFonts w:cs="Arial"/>
              </w:rPr>
            </w:pPr>
          </w:p>
          <w:p w14:paraId="26E221D0" w14:textId="77777777" w:rsidR="002F2A4E" w:rsidRDefault="002F2A4E" w:rsidP="002F2A4E">
            <w:pPr>
              <w:rPr>
                <w:rFonts w:cs="Arial"/>
              </w:rPr>
            </w:pPr>
            <w:r w:rsidRPr="004E1807">
              <w:rPr>
                <w:rFonts w:cs="Arial"/>
              </w:rPr>
              <w:t xml:space="preserve">Evidence suggests that too often young people are unaware of the diversity of jobs available in different sectors of the economy, which leads them to develop </w:t>
            </w:r>
            <w:r w:rsidRPr="004E1807">
              <w:rPr>
                <w:rFonts w:cs="Arial"/>
              </w:rPr>
              <w:lastRenderedPageBreak/>
              <w:t xml:space="preserve">aspirations that are neither determined by their own ability nor based on a comprehensive understanding of the types of jobs available. </w:t>
            </w:r>
          </w:p>
          <w:p w14:paraId="4C37ED0C" w14:textId="77777777" w:rsidR="002F2A4E" w:rsidRDefault="002F2A4E" w:rsidP="002F2A4E">
            <w:pPr>
              <w:rPr>
                <w:rFonts w:cs="Arial"/>
              </w:rPr>
            </w:pPr>
          </w:p>
          <w:p w14:paraId="188DBFF3" w14:textId="77777777" w:rsidR="002F2A4E" w:rsidRDefault="002F2A4E" w:rsidP="00E02CD1">
            <w:pPr>
              <w:rPr>
                <w:rFonts w:cs="Arial"/>
              </w:rPr>
            </w:pPr>
            <w:r w:rsidRPr="004E1807">
              <w:rPr>
                <w:rFonts w:cs="Arial"/>
              </w:rPr>
              <w:t>The evidence review as part of the Solent Skills Strategy highlighted significant skills mismatch where demand is not met by supply. This coupled with replacement demand such as in existing engineering sectors requires the future workforce to make better informed choices on the jobs available in their local economy.</w:t>
            </w:r>
          </w:p>
          <w:p w14:paraId="110997E9" w14:textId="77777777" w:rsidR="002F2A4E" w:rsidRDefault="002F2A4E" w:rsidP="00E02CD1">
            <w:pPr>
              <w:rPr>
                <w:rFonts w:cs="Arial"/>
              </w:rPr>
            </w:pPr>
          </w:p>
          <w:p w14:paraId="381575D3" w14:textId="77777777" w:rsidR="00406F3A" w:rsidRDefault="00406F3A" w:rsidP="00406F3A">
            <w:pPr>
              <w:rPr>
                <w:rFonts w:cs="Arial"/>
              </w:rPr>
            </w:pPr>
            <w:r w:rsidRPr="00233F3E">
              <w:rPr>
                <w:rFonts w:cs="Arial"/>
              </w:rPr>
              <w:t xml:space="preserve">The </w:t>
            </w:r>
            <w:r w:rsidR="002F2A4E" w:rsidRPr="00233F3E">
              <w:rPr>
                <w:rFonts w:cs="Arial"/>
              </w:rPr>
              <w:t>activit</w:t>
            </w:r>
            <w:r w:rsidR="002F2A4E">
              <w:rPr>
                <w:rFonts w:cs="Arial"/>
              </w:rPr>
              <w:t>ies</w:t>
            </w:r>
            <w:r w:rsidR="002F2A4E" w:rsidRPr="00233F3E">
              <w:rPr>
                <w:rFonts w:cs="Arial"/>
              </w:rPr>
              <w:t xml:space="preserve"> </w:t>
            </w:r>
            <w:r w:rsidRPr="00233F3E">
              <w:rPr>
                <w:rFonts w:cs="Arial"/>
              </w:rPr>
              <w:t>will be Solent wide and will focus on:</w:t>
            </w:r>
          </w:p>
          <w:p w14:paraId="2A55F1A0" w14:textId="77777777" w:rsidR="00233F3E" w:rsidRPr="00233F3E" w:rsidRDefault="00233F3E" w:rsidP="00406F3A">
            <w:pPr>
              <w:rPr>
                <w:rFonts w:cs="Arial"/>
              </w:rPr>
            </w:pPr>
          </w:p>
          <w:p w14:paraId="3E235606" w14:textId="77777777" w:rsidR="00406F3A" w:rsidRPr="00233F3E" w:rsidRDefault="00406F3A" w:rsidP="002F2A4E">
            <w:pPr>
              <w:pStyle w:val="ListParagraph"/>
              <w:ind w:left="360"/>
              <w:rPr>
                <w:rFonts w:cs="Arial"/>
              </w:rPr>
            </w:pPr>
            <w:r w:rsidRPr="00233F3E">
              <w:rPr>
                <w:rFonts w:cs="Arial"/>
              </w:rPr>
              <w:t xml:space="preserve">Improving young people’s understanding of the local labour market and the variety of job opportunities it offers, particularly in the Solent’s priority sectors. </w:t>
            </w:r>
          </w:p>
          <w:p w14:paraId="6CA80848" w14:textId="77777777" w:rsidR="00233F3E" w:rsidRPr="002F2A4E" w:rsidRDefault="00233F3E" w:rsidP="002F2A4E">
            <w:pPr>
              <w:pStyle w:val="ListParagraph"/>
              <w:ind w:left="360"/>
              <w:rPr>
                <w:rFonts w:cs="Arial"/>
              </w:rPr>
            </w:pPr>
          </w:p>
          <w:p w14:paraId="0552A5C6" w14:textId="77777777" w:rsidR="00406F3A" w:rsidRPr="002F2A4E" w:rsidRDefault="00406F3A" w:rsidP="002F2A4E">
            <w:pPr>
              <w:pStyle w:val="ListParagraph"/>
              <w:ind w:left="360"/>
              <w:rPr>
                <w:rFonts w:cs="Arial"/>
              </w:rPr>
            </w:pPr>
            <w:r w:rsidRPr="002F2A4E">
              <w:rPr>
                <w:rFonts w:cs="Arial"/>
              </w:rPr>
              <w:t>Provide support for young people aged 15 and 16 as they make learning and career choices and prepare to enter the labour market.</w:t>
            </w:r>
          </w:p>
          <w:p w14:paraId="4EAE5AE5" w14:textId="77777777" w:rsidR="00233F3E" w:rsidRPr="002F2A4E" w:rsidRDefault="00233F3E" w:rsidP="002F2A4E">
            <w:pPr>
              <w:pStyle w:val="ListParagraph"/>
              <w:ind w:left="360"/>
              <w:rPr>
                <w:rFonts w:cs="Arial"/>
              </w:rPr>
            </w:pPr>
          </w:p>
          <w:p w14:paraId="11E1E55A" w14:textId="77777777" w:rsidR="00406F3A" w:rsidRPr="002F2A4E" w:rsidRDefault="00406F3A" w:rsidP="002F2A4E">
            <w:pPr>
              <w:pStyle w:val="Bodycopy"/>
              <w:tabs>
                <w:tab w:val="clear" w:pos="432"/>
              </w:tabs>
              <w:spacing w:after="0" w:line="240" w:lineRule="auto"/>
              <w:ind w:left="360"/>
              <w:rPr>
                <w:rFonts w:ascii="Arial" w:hAnsi="Arial" w:cs="Arial"/>
                <w:sz w:val="24"/>
                <w:szCs w:val="24"/>
              </w:rPr>
            </w:pPr>
            <w:r w:rsidRPr="002F2A4E">
              <w:rPr>
                <w:rFonts w:ascii="Arial" w:hAnsi="Arial" w:cs="Arial"/>
                <w:sz w:val="24"/>
                <w:szCs w:val="24"/>
              </w:rPr>
              <w:t>Foster closer links between employers, schools and colleges.</w:t>
            </w:r>
          </w:p>
          <w:p w14:paraId="22285F3A" w14:textId="77777777" w:rsidR="00233F3E" w:rsidRPr="002F2A4E" w:rsidRDefault="00233F3E" w:rsidP="002F2A4E">
            <w:pPr>
              <w:pStyle w:val="Bodycopy"/>
              <w:tabs>
                <w:tab w:val="clear" w:pos="432"/>
              </w:tabs>
              <w:spacing w:after="0" w:line="240" w:lineRule="auto"/>
              <w:ind w:left="360"/>
              <w:rPr>
                <w:rFonts w:ascii="Arial" w:hAnsi="Arial" w:cs="Arial"/>
                <w:sz w:val="24"/>
                <w:szCs w:val="24"/>
              </w:rPr>
            </w:pPr>
          </w:p>
          <w:p w14:paraId="01D9EA06" w14:textId="77777777" w:rsidR="002F2A4E" w:rsidRPr="00935D43" w:rsidRDefault="00406F3A" w:rsidP="00935D43">
            <w:pPr>
              <w:pStyle w:val="Bodycopy"/>
              <w:ind w:firstLine="360"/>
              <w:rPr>
                <w:rFonts w:ascii="Arial" w:hAnsi="Arial" w:cs="Arial"/>
              </w:rPr>
            </w:pPr>
            <w:r w:rsidRPr="002F2A4E">
              <w:rPr>
                <w:rFonts w:ascii="Arial" w:hAnsi="Arial" w:cs="Arial"/>
                <w:sz w:val="24"/>
                <w:szCs w:val="24"/>
              </w:rPr>
              <w:t>Specialised support for young people at age 15/16</w:t>
            </w:r>
          </w:p>
        </w:tc>
      </w:tr>
      <w:tr w:rsidR="00483E01" w14:paraId="0511E779" w14:textId="77777777" w:rsidTr="0046183D">
        <w:tc>
          <w:tcPr>
            <w:tcW w:w="9088" w:type="dxa"/>
            <w:shd w:val="clear" w:color="auto" w:fill="D9D9D9" w:themeFill="background1" w:themeFillShade="D9"/>
          </w:tcPr>
          <w:p w14:paraId="5E655C30" w14:textId="77777777" w:rsidR="00483E01" w:rsidRPr="002833D9" w:rsidRDefault="00483E01" w:rsidP="00483E01">
            <w:pPr>
              <w:tabs>
                <w:tab w:val="num" w:pos="900"/>
              </w:tabs>
              <w:autoSpaceDE w:val="0"/>
              <w:autoSpaceDN w:val="0"/>
              <w:adjustRightInd w:val="0"/>
              <w:rPr>
                <w:rFonts w:cs="Arial"/>
                <w:b/>
              </w:rPr>
            </w:pPr>
            <w:r w:rsidRPr="002833D9">
              <w:rPr>
                <w:rFonts w:cs="Arial"/>
                <w:b/>
              </w:rPr>
              <w:lastRenderedPageBreak/>
              <w:t>DEFINITION OF TERMS</w:t>
            </w:r>
          </w:p>
          <w:p w14:paraId="718E8F07" w14:textId="77777777" w:rsidR="00483E01" w:rsidRPr="00C107CE" w:rsidRDefault="00483E01" w:rsidP="00483E01">
            <w:pPr>
              <w:tabs>
                <w:tab w:val="num" w:pos="900"/>
              </w:tabs>
              <w:autoSpaceDE w:val="0"/>
              <w:autoSpaceDN w:val="0"/>
              <w:adjustRightInd w:val="0"/>
              <w:rPr>
                <w:rFonts w:cs="Arial"/>
                <w:b/>
              </w:rPr>
            </w:pPr>
          </w:p>
        </w:tc>
      </w:tr>
      <w:tr w:rsidR="00483E01" w:rsidRPr="00EF4406" w14:paraId="757A6164" w14:textId="77777777" w:rsidTr="0046183D">
        <w:tc>
          <w:tcPr>
            <w:tcW w:w="9088" w:type="dxa"/>
          </w:tcPr>
          <w:p w14:paraId="1AE9BE0A" w14:textId="77777777" w:rsidR="00483E01" w:rsidRDefault="00483E01" w:rsidP="00483E01">
            <w:pPr>
              <w:rPr>
                <w:rFonts w:cs="Arial"/>
                <w:i/>
              </w:rPr>
            </w:pPr>
          </w:p>
          <w:p w14:paraId="142C3823" w14:textId="77777777" w:rsidR="00BD2876" w:rsidRPr="00E02CD1" w:rsidRDefault="00BD2876" w:rsidP="00483E01">
            <w:pPr>
              <w:ind w:left="360" w:hanging="360"/>
            </w:pPr>
            <w:r w:rsidRPr="00E02CD1">
              <w:rPr>
                <w:b/>
              </w:rPr>
              <w:t xml:space="preserve">At risk of becoming NEET: </w:t>
            </w:r>
            <w:r w:rsidR="00953E49" w:rsidRPr="00E02CD1">
              <w:rPr>
                <w:b/>
                <w:bCs/>
              </w:rPr>
              <w:t xml:space="preserve"> Young people </w:t>
            </w:r>
            <w:r w:rsidR="00953E49" w:rsidRPr="00E02CD1">
              <w:rPr>
                <w:rFonts w:cs="Arial"/>
              </w:rPr>
              <w:t>from age 15 who are at risk of becoming NEET from mainstream education.</w:t>
            </w:r>
          </w:p>
          <w:p w14:paraId="7F725A85" w14:textId="77777777" w:rsidR="00BD2876" w:rsidRPr="00E02CD1" w:rsidRDefault="00BD2876" w:rsidP="00483E01">
            <w:pPr>
              <w:ind w:left="360" w:hanging="360"/>
              <w:rPr>
                <w:b/>
              </w:rPr>
            </w:pPr>
          </w:p>
          <w:p w14:paraId="6107AF47" w14:textId="77777777" w:rsidR="00483E01" w:rsidRPr="00E02CD1" w:rsidRDefault="00483E01" w:rsidP="00483E01">
            <w:pPr>
              <w:ind w:left="360" w:hanging="360"/>
            </w:pPr>
            <w:r w:rsidRPr="00E02CD1">
              <w:rPr>
                <w:b/>
              </w:rPr>
              <w:t xml:space="preserve">Candidate: </w:t>
            </w:r>
            <w:r w:rsidRPr="00E02CD1">
              <w:t>means an organisation who has been invited to take part in this restricted procurement procedure</w:t>
            </w:r>
          </w:p>
          <w:p w14:paraId="7EDC2682" w14:textId="77777777" w:rsidR="00483E01" w:rsidRPr="00E02CD1" w:rsidRDefault="00483E01" w:rsidP="00483E01">
            <w:pPr>
              <w:ind w:left="360" w:hanging="360"/>
              <w:rPr>
                <w:b/>
              </w:rPr>
            </w:pPr>
          </w:p>
          <w:p w14:paraId="5EBE42C2" w14:textId="77777777" w:rsidR="00483E01" w:rsidRPr="00E02CD1" w:rsidRDefault="00483E01" w:rsidP="00483E01">
            <w:pPr>
              <w:ind w:left="360" w:hanging="360"/>
              <w:rPr>
                <w:b/>
              </w:rPr>
            </w:pPr>
            <w:r w:rsidRPr="00E02CD1">
              <w:rPr>
                <w:b/>
              </w:rPr>
              <w:t>Disability</w:t>
            </w:r>
            <w:r w:rsidRPr="00E02CD1">
              <w:t>: A person has a disability if they disclose a disability that limits their ability to work.</w:t>
            </w:r>
          </w:p>
          <w:p w14:paraId="4413FE4B" w14:textId="77777777" w:rsidR="00483E01" w:rsidRPr="006C64F5" w:rsidRDefault="00483E01" w:rsidP="00483E01">
            <w:pPr>
              <w:ind w:left="360" w:hanging="360"/>
              <w:rPr>
                <w:b/>
                <w:highlight w:val="yellow"/>
              </w:rPr>
            </w:pPr>
          </w:p>
          <w:p w14:paraId="4E0F59B6" w14:textId="77777777" w:rsidR="00483E01" w:rsidRPr="00E02CD1" w:rsidRDefault="00483E01" w:rsidP="00483E01">
            <w:pPr>
              <w:ind w:left="360" w:hanging="360"/>
            </w:pPr>
            <w:r w:rsidRPr="00E02CD1">
              <w:rPr>
                <w:b/>
              </w:rPr>
              <w:t>Eligibility:</w:t>
            </w:r>
            <w:r w:rsidRPr="00E02CD1">
              <w:t xml:space="preserve"> Only people who are eligible to work in UK are eligible for this programme.  Asylum seekers are not generally supported by ESF.</w:t>
            </w:r>
          </w:p>
          <w:p w14:paraId="3DF18C7C" w14:textId="77777777" w:rsidR="00483E01" w:rsidRPr="00E02CD1" w:rsidRDefault="00483E01" w:rsidP="00483E01">
            <w:pPr>
              <w:ind w:left="360" w:hanging="360"/>
            </w:pPr>
          </w:p>
          <w:p w14:paraId="76A74410" w14:textId="77777777" w:rsidR="00483E01" w:rsidRPr="00E02CD1" w:rsidRDefault="00483E01" w:rsidP="00483E01">
            <w:pPr>
              <w:autoSpaceDE w:val="0"/>
              <w:autoSpaceDN w:val="0"/>
              <w:adjustRightInd w:val="0"/>
              <w:ind w:left="360" w:hanging="360"/>
            </w:pPr>
            <w:r w:rsidRPr="00E02CD1">
              <w:rPr>
                <w:b/>
              </w:rPr>
              <w:t>Employed</w:t>
            </w:r>
            <w:r w:rsidRPr="00E02CD1">
              <w:t>: People are employed if they perform work for pay, profit or family gain. People are self-employed if they work in his/her own business for the purpose of earning a profit, even if they are not making a profit or are just setting up.</w:t>
            </w:r>
          </w:p>
          <w:p w14:paraId="09EB23E9" w14:textId="77777777" w:rsidR="00483E01" w:rsidRPr="00E02CD1" w:rsidRDefault="00483E01" w:rsidP="00483E01">
            <w:pPr>
              <w:autoSpaceDE w:val="0"/>
              <w:autoSpaceDN w:val="0"/>
              <w:adjustRightInd w:val="0"/>
              <w:ind w:left="360" w:hanging="360"/>
              <w:rPr>
                <w:color w:val="FF0000"/>
              </w:rPr>
            </w:pPr>
          </w:p>
          <w:p w14:paraId="1CCD4C22" w14:textId="77777777" w:rsidR="00D978A0" w:rsidRPr="003E0C7F" w:rsidRDefault="00D978A0" w:rsidP="00D978A0">
            <w:pPr>
              <w:autoSpaceDE w:val="0"/>
              <w:autoSpaceDN w:val="0"/>
              <w:adjustRightInd w:val="0"/>
              <w:ind w:left="360" w:hanging="360"/>
              <w:rPr>
                <w:b/>
              </w:rPr>
            </w:pPr>
            <w:r>
              <w:rPr>
                <w:b/>
              </w:rPr>
              <w:t xml:space="preserve">IAG: </w:t>
            </w:r>
            <w:r>
              <w:t>Information, advice and guidance service offered to participants.</w:t>
            </w:r>
            <w:r>
              <w:rPr>
                <w:b/>
              </w:rPr>
              <w:t xml:space="preserve"> </w:t>
            </w:r>
          </w:p>
          <w:p w14:paraId="0AEE6775" w14:textId="77777777" w:rsidR="00D978A0" w:rsidRDefault="00D978A0" w:rsidP="00D978A0">
            <w:pPr>
              <w:autoSpaceDE w:val="0"/>
              <w:autoSpaceDN w:val="0"/>
              <w:adjustRightInd w:val="0"/>
            </w:pPr>
          </w:p>
          <w:p w14:paraId="7703A255" w14:textId="77777777" w:rsidR="00D978A0" w:rsidRDefault="00D978A0" w:rsidP="00935D43">
            <w:pPr>
              <w:autoSpaceDE w:val="0"/>
              <w:autoSpaceDN w:val="0"/>
              <w:adjustRightInd w:val="0"/>
              <w:ind w:left="360" w:hanging="360"/>
            </w:pPr>
            <w:r w:rsidRPr="003E0C7F">
              <w:rPr>
                <w:b/>
              </w:rPr>
              <w:t>Inactive:</w:t>
            </w:r>
            <w:r>
              <w:t xml:space="preserve"> </w:t>
            </w:r>
            <w:r w:rsidRPr="003E0C7F">
              <w:t>Inactive are persons currently not part of the labour force (in the sense that they are not employed or unemployed according to the definitions provided).</w:t>
            </w:r>
          </w:p>
          <w:p w14:paraId="617784DF" w14:textId="77777777" w:rsidR="00935D43" w:rsidRDefault="00935D43" w:rsidP="00D978A0">
            <w:pPr>
              <w:autoSpaceDE w:val="0"/>
              <w:autoSpaceDN w:val="0"/>
              <w:adjustRightInd w:val="0"/>
            </w:pPr>
          </w:p>
          <w:p w14:paraId="413151BA" w14:textId="77777777" w:rsidR="00483E01" w:rsidRPr="00E02CD1" w:rsidRDefault="00483E01" w:rsidP="00483E01">
            <w:pPr>
              <w:autoSpaceDE w:val="0"/>
              <w:autoSpaceDN w:val="0"/>
              <w:adjustRightInd w:val="0"/>
              <w:ind w:left="360" w:hanging="360"/>
            </w:pPr>
            <w:r w:rsidRPr="00E02CD1">
              <w:rPr>
                <w:b/>
              </w:rPr>
              <w:lastRenderedPageBreak/>
              <w:t>Job Seeking:</w:t>
            </w:r>
            <w:r w:rsidRPr="00E02CD1">
              <w:t xml:space="preserve"> Where applicable, persons engaged in job seeking is understood to be persons usually without work and actively seeking work.</w:t>
            </w:r>
          </w:p>
          <w:p w14:paraId="1C1929EF" w14:textId="77777777" w:rsidR="00483E01" w:rsidRPr="00E02CD1" w:rsidRDefault="00483E01" w:rsidP="00483E01">
            <w:pPr>
              <w:autoSpaceDE w:val="0"/>
              <w:autoSpaceDN w:val="0"/>
              <w:adjustRightInd w:val="0"/>
              <w:ind w:left="360" w:hanging="360"/>
            </w:pPr>
          </w:p>
          <w:p w14:paraId="0C6A75BE" w14:textId="77777777" w:rsidR="00483E01" w:rsidRPr="00E02CD1" w:rsidRDefault="00483E01" w:rsidP="00483E01">
            <w:pPr>
              <w:autoSpaceDE w:val="0"/>
              <w:autoSpaceDN w:val="0"/>
              <w:adjustRightInd w:val="0"/>
              <w:ind w:left="360" w:hanging="360"/>
            </w:pPr>
            <w:r w:rsidRPr="00E02CD1">
              <w:rPr>
                <w:b/>
              </w:rPr>
              <w:t xml:space="preserve">Qualifications: </w:t>
            </w:r>
            <w:r w:rsidRPr="00E02CD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B33AB2D" w14:textId="77777777" w:rsidR="00483E01" w:rsidRPr="00E02CD1" w:rsidRDefault="00483E01" w:rsidP="00483E01">
            <w:pPr>
              <w:autoSpaceDE w:val="0"/>
              <w:autoSpaceDN w:val="0"/>
              <w:adjustRightInd w:val="0"/>
              <w:ind w:left="360" w:hanging="360"/>
            </w:pPr>
          </w:p>
          <w:p w14:paraId="383ABD2F" w14:textId="77777777" w:rsidR="00483E01" w:rsidRPr="00E02CD1" w:rsidRDefault="00483E01" w:rsidP="00483E01">
            <w:pPr>
              <w:autoSpaceDE w:val="0"/>
              <w:autoSpaceDN w:val="0"/>
              <w:adjustRightInd w:val="0"/>
              <w:ind w:left="360" w:hanging="360"/>
            </w:pPr>
            <w:r w:rsidRPr="00E02CD1">
              <w:t xml:space="preserve">     Regulated and non-regulated aims must be planned to be delivered within budget.</w:t>
            </w:r>
          </w:p>
          <w:p w14:paraId="407873D7" w14:textId="77777777" w:rsidR="00483E01" w:rsidRPr="00E02CD1" w:rsidRDefault="00483E01" w:rsidP="00483E01">
            <w:pPr>
              <w:autoSpaceDE w:val="0"/>
              <w:autoSpaceDN w:val="0"/>
              <w:adjustRightInd w:val="0"/>
              <w:ind w:left="360" w:hanging="360"/>
            </w:pPr>
          </w:p>
          <w:p w14:paraId="6800C8AF" w14:textId="77777777" w:rsidR="00483E01" w:rsidRPr="00E02CD1" w:rsidRDefault="00483E01" w:rsidP="00483E01">
            <w:pPr>
              <w:autoSpaceDE w:val="0"/>
              <w:autoSpaceDN w:val="0"/>
              <w:adjustRightInd w:val="0"/>
              <w:ind w:left="360" w:hanging="360"/>
            </w:pPr>
            <w:r w:rsidRPr="00E02CD1">
              <w:t xml:space="preserve">     Qualification rates are based on the published LARS rates at the start of the contract.</w:t>
            </w:r>
          </w:p>
          <w:p w14:paraId="011FC9A7" w14:textId="77777777" w:rsidR="00483E01" w:rsidRPr="00E02CD1" w:rsidRDefault="00483E01" w:rsidP="00483E01">
            <w:pPr>
              <w:autoSpaceDE w:val="0"/>
              <w:autoSpaceDN w:val="0"/>
              <w:adjustRightInd w:val="0"/>
              <w:ind w:left="360" w:hanging="360"/>
            </w:pPr>
          </w:p>
          <w:p w14:paraId="3B87CA9C" w14:textId="77777777" w:rsidR="00483E01" w:rsidRPr="00E02CD1" w:rsidRDefault="00483E01" w:rsidP="00483E01">
            <w:pPr>
              <w:autoSpaceDE w:val="0"/>
              <w:autoSpaceDN w:val="0"/>
              <w:adjustRightInd w:val="0"/>
              <w:ind w:left="360" w:hanging="360"/>
            </w:pPr>
            <w:r w:rsidRPr="00E02CD1">
              <w:rPr>
                <w:b/>
              </w:rPr>
              <w:t xml:space="preserve">Services:  </w:t>
            </w:r>
            <w:r w:rsidRPr="00E02CD1">
              <w:t>The provision of education, training or support delivered to individuals.</w:t>
            </w:r>
          </w:p>
          <w:p w14:paraId="63748C53" w14:textId="77777777" w:rsidR="00483E01" w:rsidRPr="00E02CD1" w:rsidRDefault="00483E01" w:rsidP="00483E01">
            <w:pPr>
              <w:autoSpaceDE w:val="0"/>
              <w:autoSpaceDN w:val="0"/>
              <w:adjustRightInd w:val="0"/>
              <w:ind w:left="360" w:hanging="360"/>
            </w:pPr>
          </w:p>
          <w:p w14:paraId="093846AA" w14:textId="77777777" w:rsidR="00483E01" w:rsidRPr="00E02CD1" w:rsidRDefault="00483E01" w:rsidP="00483E01">
            <w:pPr>
              <w:autoSpaceDE w:val="0"/>
              <w:autoSpaceDN w:val="0"/>
              <w:adjustRightInd w:val="0"/>
              <w:ind w:left="360" w:hanging="360"/>
              <w:rPr>
                <w:color w:val="FF0000"/>
              </w:rPr>
            </w:pPr>
            <w:r w:rsidRPr="00E02CD1">
              <w:rPr>
                <w:b/>
              </w:rPr>
              <w:t>Start Date:</w:t>
            </w:r>
            <w:r w:rsidRPr="00E02CD1">
              <w:t xml:space="preserve"> Employment status and age are determined on the date of starting on the Provision.</w:t>
            </w:r>
            <w:r w:rsidRPr="00E02CD1">
              <w:rPr>
                <w:b/>
              </w:rPr>
              <w:t xml:space="preserve"> </w:t>
            </w:r>
          </w:p>
          <w:p w14:paraId="4EFB9A8F" w14:textId="77777777" w:rsidR="00483E01" w:rsidRPr="00E02CD1" w:rsidRDefault="00483E01" w:rsidP="00483E01">
            <w:pPr>
              <w:autoSpaceDE w:val="0"/>
              <w:autoSpaceDN w:val="0"/>
              <w:adjustRightInd w:val="0"/>
              <w:ind w:left="360" w:hanging="360"/>
              <w:rPr>
                <w:color w:val="FF0000"/>
              </w:rPr>
            </w:pPr>
          </w:p>
          <w:p w14:paraId="25653FA2" w14:textId="77777777" w:rsidR="00483E01" w:rsidRPr="00E02CD1" w:rsidRDefault="00483E01" w:rsidP="00483E01">
            <w:pPr>
              <w:autoSpaceDE w:val="0"/>
              <w:autoSpaceDN w:val="0"/>
              <w:adjustRightInd w:val="0"/>
              <w:ind w:left="360" w:hanging="360"/>
              <w:rPr>
                <w:color w:val="FF0000"/>
              </w:rPr>
            </w:pPr>
            <w:r w:rsidRPr="00E02CD1">
              <w:rPr>
                <w:b/>
              </w:rPr>
              <w:t>Survey</w:t>
            </w:r>
            <w:r w:rsidRPr="00E02CD1">
              <w:t>: Where applicable, long term sustained outcomes over 6 months will be monitored separately.  Some ESF indicators will be collected by survey by the ESF Managing Authority directly from the participants.</w:t>
            </w:r>
          </w:p>
          <w:p w14:paraId="384701F8" w14:textId="77777777" w:rsidR="00483E01" w:rsidRPr="00E02CD1" w:rsidRDefault="00483E01" w:rsidP="00483E01">
            <w:pPr>
              <w:autoSpaceDE w:val="0"/>
              <w:autoSpaceDN w:val="0"/>
              <w:adjustRightInd w:val="0"/>
              <w:ind w:left="360" w:hanging="360"/>
              <w:rPr>
                <w:color w:val="FF0000"/>
              </w:rPr>
            </w:pPr>
          </w:p>
          <w:p w14:paraId="172351F3" w14:textId="77777777" w:rsidR="00483E01" w:rsidRPr="00025EF8" w:rsidRDefault="00483E01" w:rsidP="00483E01">
            <w:pPr>
              <w:autoSpaceDE w:val="0"/>
              <w:autoSpaceDN w:val="0"/>
              <w:adjustRightInd w:val="0"/>
              <w:ind w:left="360" w:hanging="360"/>
            </w:pPr>
            <w:r w:rsidRPr="00E02CD1">
              <w:rPr>
                <w:b/>
              </w:rPr>
              <w:t>Unemployed:</w:t>
            </w:r>
            <w:r w:rsidRPr="00E02CD1">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10B9C5D" w14:textId="77777777" w:rsidR="00483E01" w:rsidRPr="00590073" w:rsidRDefault="00483E01" w:rsidP="00483E01"/>
        </w:tc>
      </w:tr>
      <w:tr w:rsidR="00483E01" w:rsidRPr="00544738" w14:paraId="45D9F10E" w14:textId="77777777" w:rsidTr="0046183D">
        <w:tc>
          <w:tcPr>
            <w:tcW w:w="9088" w:type="dxa"/>
            <w:shd w:val="clear" w:color="auto" w:fill="D9D9D9" w:themeFill="background1" w:themeFillShade="D9"/>
          </w:tcPr>
          <w:p w14:paraId="72F72FB6" w14:textId="77777777" w:rsidR="00483E01" w:rsidRDefault="00483E01" w:rsidP="00483E01">
            <w:pPr>
              <w:autoSpaceDE w:val="0"/>
              <w:autoSpaceDN w:val="0"/>
              <w:adjustRightInd w:val="0"/>
              <w:rPr>
                <w:rFonts w:cs="Arial"/>
                <w:b/>
                <w:lang w:eastAsia="en-GB"/>
              </w:rPr>
            </w:pPr>
            <w:r w:rsidRPr="002833D9">
              <w:rPr>
                <w:rFonts w:cs="Arial"/>
                <w:b/>
                <w:lang w:eastAsia="en-GB"/>
              </w:rPr>
              <w:lastRenderedPageBreak/>
              <w:t>SERVICE REQUIREMENTS</w:t>
            </w:r>
          </w:p>
          <w:p w14:paraId="0FEE5906" w14:textId="77777777" w:rsidR="00D27033" w:rsidRPr="00C107CE" w:rsidRDefault="00D27033" w:rsidP="00483E01">
            <w:pPr>
              <w:autoSpaceDE w:val="0"/>
              <w:autoSpaceDN w:val="0"/>
              <w:adjustRightInd w:val="0"/>
              <w:rPr>
                <w:rFonts w:cs="Arial"/>
                <w:b/>
                <w:lang w:eastAsia="en-GB"/>
              </w:rPr>
            </w:pPr>
          </w:p>
        </w:tc>
      </w:tr>
      <w:tr w:rsidR="00483E01" w:rsidRPr="00544738" w14:paraId="7A269130" w14:textId="77777777" w:rsidTr="0046183D">
        <w:tc>
          <w:tcPr>
            <w:tcW w:w="9088" w:type="dxa"/>
          </w:tcPr>
          <w:p w14:paraId="55017090" w14:textId="77777777" w:rsidR="00483E01" w:rsidRDefault="00483E01" w:rsidP="00483E01">
            <w:pPr>
              <w:rPr>
                <w:rFonts w:cs="Arial"/>
                <w:b/>
              </w:rPr>
            </w:pPr>
          </w:p>
          <w:p w14:paraId="33483348" w14:textId="77777777" w:rsidR="00483E01" w:rsidRPr="002833D9" w:rsidRDefault="00483E01" w:rsidP="00483E01">
            <w:pPr>
              <w:rPr>
                <w:rFonts w:cs="Arial"/>
                <w:b/>
              </w:rPr>
            </w:pPr>
            <w:r w:rsidRPr="002833D9">
              <w:rPr>
                <w:rFonts w:cs="Arial"/>
                <w:b/>
              </w:rPr>
              <w:t xml:space="preserve">General </w:t>
            </w:r>
          </w:p>
          <w:p w14:paraId="73E42B5E" w14:textId="77777777" w:rsidR="00483E01" w:rsidRPr="002833D9" w:rsidRDefault="00483E01" w:rsidP="00483E01">
            <w:pPr>
              <w:rPr>
                <w:rFonts w:cs="Arial"/>
              </w:rPr>
            </w:pPr>
          </w:p>
          <w:p w14:paraId="1360A9AA" w14:textId="77777777" w:rsidR="00483E01" w:rsidRPr="00E02CD1" w:rsidRDefault="00483E01" w:rsidP="00483E01">
            <w:pPr>
              <w:rPr>
                <w:rFonts w:cs="Arial"/>
              </w:rPr>
            </w:pPr>
            <w:r w:rsidRPr="00E02CD1">
              <w:rPr>
                <w:rFonts w:cs="Arial"/>
              </w:rPr>
              <w:t xml:space="preserve">All activities must complement and avoid duplication with other provision, thereby adding value to Department for Work and Pensions/Big Lottery, Education Funding Agency, Skills Funding Agency, </w:t>
            </w:r>
            <w:r w:rsidR="00EC39E1" w:rsidRPr="00E02CD1">
              <w:rPr>
                <w:rFonts w:cs="Arial"/>
              </w:rPr>
              <w:t>Local Authority (LA)</w:t>
            </w:r>
            <w:r w:rsidRPr="00E02CD1">
              <w:rPr>
                <w:rFonts w:cs="Arial"/>
              </w:rPr>
              <w:t>,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E59A39D" w14:textId="77777777" w:rsidR="00E22704" w:rsidRPr="00E02CD1" w:rsidRDefault="00E22704" w:rsidP="00E91422">
            <w:pPr>
              <w:rPr>
                <w:rFonts w:cs="Arial"/>
              </w:rPr>
            </w:pPr>
          </w:p>
          <w:p w14:paraId="4FE6BB77" w14:textId="77777777" w:rsidR="00D978A0" w:rsidRPr="00D535E6" w:rsidRDefault="00D978A0" w:rsidP="00D978A0">
            <w:pPr>
              <w:rPr>
                <w:rFonts w:cs="Arial"/>
                <w:b/>
                <w:i/>
              </w:rPr>
            </w:pPr>
            <w:r w:rsidRPr="00D535E6">
              <w:rPr>
                <w:rFonts w:cs="Arial"/>
                <w:b/>
                <w:i/>
              </w:rPr>
              <w:t>Capacity and readiness to deliver</w:t>
            </w:r>
          </w:p>
          <w:p w14:paraId="61B2A0C4" w14:textId="77777777" w:rsidR="00D978A0" w:rsidRPr="00D535E6" w:rsidRDefault="00D978A0" w:rsidP="00D978A0">
            <w:pPr>
              <w:autoSpaceDE w:val="0"/>
              <w:autoSpaceDN w:val="0"/>
              <w:adjustRightInd w:val="0"/>
              <w:rPr>
                <w:rFonts w:cs="Arial"/>
              </w:rPr>
            </w:pPr>
            <w:r w:rsidRPr="00D535E6">
              <w:rPr>
                <w:rFonts w:cs="Arial"/>
              </w:rPr>
              <w:t>Candidates must have:</w:t>
            </w:r>
          </w:p>
          <w:p w14:paraId="1CCE658F" w14:textId="77777777" w:rsidR="00D978A0" w:rsidRPr="00D535E6" w:rsidRDefault="00D978A0" w:rsidP="00D978A0">
            <w:pPr>
              <w:pStyle w:val="ListParagraph"/>
              <w:numPr>
                <w:ilvl w:val="0"/>
                <w:numId w:val="8"/>
              </w:numPr>
              <w:autoSpaceDE w:val="0"/>
              <w:autoSpaceDN w:val="0"/>
              <w:adjustRightInd w:val="0"/>
              <w:ind w:left="313"/>
              <w:rPr>
                <w:rFonts w:cs="Arial"/>
                <w:strike/>
                <w:szCs w:val="22"/>
              </w:rPr>
            </w:pPr>
            <w:r w:rsidRPr="00D535E6">
              <w:rPr>
                <w:rFonts w:cs="Arial"/>
                <w:szCs w:val="22"/>
              </w:rPr>
              <w:lastRenderedPageBreak/>
              <w:t>The resources to offer locally tailored solutions and flexible delivery</w:t>
            </w:r>
            <w:r>
              <w:rPr>
                <w:rFonts w:cs="Arial"/>
                <w:szCs w:val="22"/>
              </w:rPr>
              <w:t xml:space="preserve"> </w:t>
            </w:r>
            <w:r w:rsidRPr="005A1D76">
              <w:rPr>
                <w:rFonts w:cs="Arial"/>
                <w:szCs w:val="22"/>
              </w:rPr>
              <w:t xml:space="preserve">to meet the skills and Apprenticeship priorities of employers and employees in the </w:t>
            </w:r>
            <w:r>
              <w:rPr>
                <w:rFonts w:cs="Arial"/>
                <w:szCs w:val="22"/>
              </w:rPr>
              <w:t xml:space="preserve">defined geographical area of delivery. If the LEP area also has a ‘transitional’  area defined in addition to the ‘more developed’ area, delivery locations will have to be available </w:t>
            </w:r>
            <w:r w:rsidRPr="002F4192">
              <w:rPr>
                <w:rFonts w:cs="Arial"/>
                <w:i/>
                <w:szCs w:val="22"/>
              </w:rPr>
              <w:t>in each locality</w:t>
            </w:r>
          </w:p>
          <w:p w14:paraId="351AD712" w14:textId="77777777" w:rsidR="00D978A0" w:rsidRPr="00D535E6" w:rsidRDefault="00D978A0" w:rsidP="00D978A0">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1B9A940" w14:textId="77777777" w:rsidR="00D978A0" w:rsidRPr="005A1D76" w:rsidRDefault="00D978A0" w:rsidP="00D978A0">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Pr>
                <w:rFonts w:cs="Arial"/>
                <w:lang w:eastAsia="en-GB"/>
              </w:rPr>
              <w:t>progression</w:t>
            </w:r>
          </w:p>
          <w:p w14:paraId="2A9EE2AE" w14:textId="77777777" w:rsidR="00D978A0" w:rsidRPr="002F4192" w:rsidRDefault="00D978A0" w:rsidP="00D978A0">
            <w:pPr>
              <w:rPr>
                <w:rFonts w:cs="Arial"/>
                <w:lang w:eastAsia="en-GB"/>
              </w:rPr>
            </w:pPr>
          </w:p>
          <w:p w14:paraId="2C6AEC4D" w14:textId="77777777" w:rsidR="00D978A0" w:rsidRPr="005A1D76" w:rsidRDefault="00D978A0" w:rsidP="00D978A0">
            <w:pPr>
              <w:rPr>
                <w:rFonts w:cs="Arial"/>
                <w:b/>
                <w:i/>
                <w:lang w:eastAsia="en-GB"/>
              </w:rPr>
            </w:pPr>
            <w:r w:rsidRPr="005A1D76">
              <w:rPr>
                <w:rFonts w:cs="Arial"/>
                <w:b/>
                <w:i/>
                <w:lang w:eastAsia="en-GB"/>
              </w:rPr>
              <w:t>Track record</w:t>
            </w:r>
          </w:p>
          <w:p w14:paraId="1CF81D91" w14:textId="77777777" w:rsidR="00D978A0" w:rsidRDefault="00D978A0" w:rsidP="00D978A0">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Pr>
                <w:rFonts w:cs="Arial"/>
                <w:szCs w:val="22"/>
              </w:rPr>
              <w:t xml:space="preserve">and size </w:t>
            </w:r>
            <w:r w:rsidRPr="005A1D76">
              <w:rPr>
                <w:rFonts w:cs="Arial"/>
                <w:szCs w:val="22"/>
              </w:rPr>
              <w:t>of programme</w:t>
            </w:r>
          </w:p>
          <w:p w14:paraId="7593041C" w14:textId="77777777" w:rsidR="00D978A0" w:rsidRPr="005A1D76" w:rsidRDefault="00D978A0" w:rsidP="00D978A0">
            <w:pPr>
              <w:rPr>
                <w:rFonts w:cs="Arial"/>
                <w:szCs w:val="22"/>
              </w:rPr>
            </w:pPr>
          </w:p>
          <w:p w14:paraId="2411AE78" w14:textId="77777777" w:rsidR="00D978A0" w:rsidRPr="00E43DDB" w:rsidRDefault="00D978A0" w:rsidP="00D978A0">
            <w:pPr>
              <w:rPr>
                <w:rFonts w:cs="Arial"/>
                <w:b/>
                <w:i/>
                <w:lang w:eastAsia="en-GB"/>
              </w:rPr>
            </w:pPr>
            <w:r w:rsidRPr="00E43DDB">
              <w:rPr>
                <w:rFonts w:cs="Arial"/>
                <w:b/>
                <w:i/>
                <w:lang w:eastAsia="en-GB"/>
              </w:rPr>
              <w:t>Information, Advice and Guidance</w:t>
            </w:r>
          </w:p>
          <w:p w14:paraId="555EF4A7" w14:textId="77777777" w:rsidR="00D978A0" w:rsidRPr="00E43DDB" w:rsidRDefault="00D978A0" w:rsidP="00D978A0">
            <w:pPr>
              <w:rPr>
                <w:rFonts w:cs="Arial"/>
                <w:lang w:eastAsia="en-GB"/>
              </w:rPr>
            </w:pPr>
            <w:r w:rsidRPr="00E43DDB">
              <w:rPr>
                <w:rFonts w:cs="Arial"/>
                <w:lang w:eastAsia="en-GB"/>
              </w:rPr>
              <w:t>Where the activity requires effective Information, Advice and Guidance successful</w:t>
            </w:r>
          </w:p>
          <w:p w14:paraId="36DC9A50" w14:textId="77777777" w:rsidR="00D978A0" w:rsidRPr="00E43DDB" w:rsidRDefault="00D978A0" w:rsidP="00D978A0">
            <w:pPr>
              <w:rPr>
                <w:rFonts w:cs="Arial"/>
                <w:lang w:eastAsia="en-GB"/>
              </w:rPr>
            </w:pPr>
            <w:r w:rsidRPr="00E43DDB">
              <w:rPr>
                <w:rFonts w:cs="Arial"/>
                <w:lang w:eastAsia="en-GB"/>
              </w:rPr>
              <w:t>applicants and/or subcontractors delivering this element will either hold or be</w:t>
            </w:r>
          </w:p>
          <w:p w14:paraId="4818BB44" w14:textId="77777777" w:rsidR="00D978A0" w:rsidRPr="00E43DDB" w:rsidRDefault="00D978A0" w:rsidP="00D978A0">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77D4EF20" w14:textId="77777777" w:rsidR="00D978A0" w:rsidRPr="00E43DDB" w:rsidRDefault="00D978A0" w:rsidP="00D978A0">
            <w:pPr>
              <w:rPr>
                <w:rFonts w:cs="Arial"/>
                <w:lang w:eastAsia="en-GB"/>
              </w:rPr>
            </w:pPr>
          </w:p>
          <w:p w14:paraId="3EE68D25" w14:textId="77777777" w:rsidR="00D978A0" w:rsidRPr="005A1D76" w:rsidRDefault="00D978A0" w:rsidP="00D978A0">
            <w:pPr>
              <w:rPr>
                <w:rFonts w:cs="Arial"/>
              </w:rPr>
            </w:pPr>
            <w:r w:rsidRPr="005A1D76">
              <w:rPr>
                <w:rFonts w:cs="Arial"/>
                <w:b/>
                <w:i/>
              </w:rPr>
              <w:t>Management and quality assurance</w:t>
            </w:r>
          </w:p>
          <w:p w14:paraId="2DC19B49" w14:textId="77777777" w:rsidR="00D978A0" w:rsidRPr="005A1D76" w:rsidRDefault="00D978A0" w:rsidP="00D978A0">
            <w:pPr>
              <w:rPr>
                <w:rFonts w:cs="Arial"/>
              </w:rPr>
            </w:pPr>
            <w:r w:rsidRPr="005A1D76">
              <w:rPr>
                <w:rFonts w:cs="Arial"/>
              </w:rPr>
              <w:t>Candidates will need to have effective management arrangements in place to ensure all of the req</w:t>
            </w:r>
            <w:r>
              <w:rPr>
                <w:rFonts w:cs="Arial"/>
              </w:rPr>
              <w:t>uirements of this specification are fulfilled</w:t>
            </w:r>
            <w:r w:rsidRPr="005A1D76">
              <w:rPr>
                <w:rFonts w:cs="Arial"/>
              </w:rPr>
              <w:t>.  The Services must be delivered to a high quality and successful tenderers will need to have in place quality assurance and improvement processes.</w:t>
            </w:r>
          </w:p>
          <w:p w14:paraId="776F0700" w14:textId="77777777" w:rsidR="00D978A0" w:rsidRPr="005A1D76" w:rsidRDefault="00D978A0" w:rsidP="00D978A0">
            <w:pPr>
              <w:rPr>
                <w:rFonts w:cs="Arial"/>
              </w:rPr>
            </w:pPr>
          </w:p>
          <w:p w14:paraId="796C6FC6" w14:textId="77777777" w:rsidR="00D978A0" w:rsidRPr="005A1D76" w:rsidRDefault="00D978A0" w:rsidP="00D978A0">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0090AF8" w14:textId="77777777" w:rsidR="00D978A0" w:rsidRPr="005A1D76" w:rsidRDefault="00D978A0" w:rsidP="00D978A0">
            <w:pPr>
              <w:rPr>
                <w:rFonts w:cs="Arial"/>
              </w:rPr>
            </w:pPr>
          </w:p>
          <w:p w14:paraId="05F6B8AB" w14:textId="77777777" w:rsidR="00D978A0" w:rsidRPr="005A1D76" w:rsidRDefault="00D978A0" w:rsidP="00D978A0">
            <w:pPr>
              <w:rPr>
                <w:rFonts w:cs="Arial"/>
              </w:rPr>
            </w:pPr>
            <w:r w:rsidRPr="005A1D76">
              <w:rPr>
                <w:rFonts w:cs="Arial"/>
                <w:b/>
                <w:i/>
              </w:rPr>
              <w:t>Partnership working</w:t>
            </w:r>
          </w:p>
          <w:p w14:paraId="6517332A" w14:textId="77777777" w:rsidR="00D978A0" w:rsidRPr="005A1D76" w:rsidRDefault="00D978A0" w:rsidP="00D978A0">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4612B131" w14:textId="77777777" w:rsidR="00D978A0" w:rsidRPr="005A1D76" w:rsidRDefault="00D978A0" w:rsidP="00D978A0">
            <w:pPr>
              <w:rPr>
                <w:rFonts w:cs="Arial"/>
              </w:rPr>
            </w:pPr>
          </w:p>
          <w:p w14:paraId="562483F5" w14:textId="77777777" w:rsidR="00D978A0" w:rsidRPr="005A1D76" w:rsidRDefault="00D978A0" w:rsidP="00D978A0">
            <w:pPr>
              <w:rPr>
                <w:rFonts w:cs="Arial"/>
              </w:rPr>
            </w:pPr>
            <w:r w:rsidRPr="005A1D76">
              <w:rPr>
                <w:rFonts w:cs="Arial"/>
              </w:rPr>
              <w:t xml:space="preserve">The Service must be able to respond to changing local needs and opportunities, as well as policy changes. </w:t>
            </w:r>
          </w:p>
          <w:p w14:paraId="51E74211" w14:textId="77777777" w:rsidR="00D978A0" w:rsidRPr="006C64F5" w:rsidRDefault="00D978A0" w:rsidP="00D978A0">
            <w:pPr>
              <w:rPr>
                <w:rFonts w:cs="Arial"/>
                <w:highlight w:val="yellow"/>
              </w:rPr>
            </w:pPr>
          </w:p>
          <w:p w14:paraId="2FDE6DE1" w14:textId="77777777" w:rsidR="00D978A0" w:rsidRDefault="00D978A0" w:rsidP="00D978A0">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032A1334" w14:textId="77777777" w:rsidR="00D978A0" w:rsidRDefault="00D978A0" w:rsidP="00D978A0">
            <w:pPr>
              <w:rPr>
                <w:rFonts w:cs="Arial"/>
              </w:rPr>
            </w:pPr>
            <w:r>
              <w:rPr>
                <w:rFonts w:cs="Arial"/>
              </w:rPr>
              <w:t xml:space="preserve">Where the Service works with Jobcentre Plus clients the Candidates will be required to co-operate </w:t>
            </w:r>
            <w:r w:rsidRPr="00372220">
              <w:rPr>
                <w:rFonts w:cs="Arial"/>
                <w:bCs/>
                <w:szCs w:val="22"/>
                <w:lang w:eastAsia="en-GB"/>
              </w:rPr>
              <w:t xml:space="preserve">effectively with Jobcentre Plus making them aware of </w:t>
            </w:r>
            <w:r w:rsidRPr="00372220">
              <w:rPr>
                <w:rFonts w:cs="Arial"/>
                <w:bCs/>
                <w:szCs w:val="22"/>
                <w:lang w:eastAsia="en-GB"/>
              </w:rPr>
              <w:lastRenderedPageBreak/>
              <w:t>candidates who fail to attend training and notifying them of any instances where individuals leave training due to starting work.</w:t>
            </w:r>
            <w:r>
              <w:rPr>
                <w:rFonts w:cs="Arial"/>
                <w:bCs/>
                <w:szCs w:val="22"/>
                <w:lang w:eastAsia="en-GB"/>
              </w:rPr>
              <w:t xml:space="preserve">  </w:t>
            </w:r>
            <w:r>
              <w:rPr>
                <w:rFonts w:cs="Arial"/>
              </w:rPr>
              <w:t xml:space="preserve">Candidates will be required to establish links with </w:t>
            </w:r>
            <w:r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02F69CB" w14:textId="77777777" w:rsidR="00D978A0" w:rsidRDefault="00D978A0" w:rsidP="00D978A0">
            <w:pPr>
              <w:rPr>
                <w:rFonts w:cs="Arial"/>
              </w:rPr>
            </w:pPr>
          </w:p>
          <w:p w14:paraId="35FA3131" w14:textId="77777777" w:rsidR="00D978A0" w:rsidRPr="00BC7F87" w:rsidRDefault="00D978A0" w:rsidP="00D978A0">
            <w:pPr>
              <w:rPr>
                <w:rFonts w:cs="Arial"/>
              </w:rPr>
            </w:pPr>
            <w:r w:rsidRPr="00BC7F87">
              <w:rPr>
                <w:rFonts w:cs="Arial"/>
                <w:b/>
                <w:i/>
              </w:rPr>
              <w:t>Market intelligence and local knowledge</w:t>
            </w:r>
          </w:p>
          <w:p w14:paraId="5A3E0839" w14:textId="77777777" w:rsidR="00D978A0" w:rsidRPr="00BC7F87" w:rsidRDefault="00D978A0" w:rsidP="00D978A0">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Pr>
                <w:rFonts w:cs="Arial"/>
              </w:rPr>
              <w:t xml:space="preserve"> intelligence. Candidates must be able to demonstrate a</w:t>
            </w:r>
            <w:r w:rsidRPr="00BC7F87">
              <w:rPr>
                <w:rFonts w:cs="Arial"/>
                <w:szCs w:val="22"/>
              </w:rPr>
              <w:t xml:space="preserve"> comprehensive understanding of the current employment market and the c</w:t>
            </w:r>
            <w:r w:rsidRPr="00BC7F87">
              <w:rPr>
                <w:rFonts w:cs="Arial"/>
              </w:rPr>
              <w:t>urrent and future social and economic indicators including labour market intelligence</w:t>
            </w:r>
            <w:r>
              <w:rPr>
                <w:rFonts w:cs="Arial"/>
              </w:rPr>
              <w:t xml:space="preserve"> for the geographical area being supported. Candidates must also have an understanding of local skills shortages and gaps and any existing skills support structures within the LEP area. </w:t>
            </w:r>
          </w:p>
          <w:p w14:paraId="18CE6414" w14:textId="77777777" w:rsidR="00D978A0" w:rsidRPr="00BC7F87" w:rsidRDefault="00D978A0" w:rsidP="00D978A0">
            <w:pPr>
              <w:rPr>
                <w:rFonts w:cs="Arial"/>
              </w:rPr>
            </w:pPr>
          </w:p>
          <w:p w14:paraId="40E1FFEC" w14:textId="77777777" w:rsidR="00D978A0" w:rsidRPr="00BC7F87" w:rsidRDefault="00D978A0" w:rsidP="00D978A0">
            <w:pPr>
              <w:pStyle w:val="letteredlist"/>
              <w:numPr>
                <w:ilvl w:val="0"/>
                <w:numId w:val="0"/>
              </w:numPr>
              <w:spacing w:after="0"/>
              <w:ind w:left="29"/>
              <w:rPr>
                <w:b/>
                <w:i/>
              </w:rPr>
            </w:pPr>
            <w:r w:rsidRPr="00BC7F87">
              <w:rPr>
                <w:b/>
                <w:i/>
              </w:rPr>
              <w:t>Management information and reporting</w:t>
            </w:r>
          </w:p>
          <w:p w14:paraId="3923E477" w14:textId="77777777" w:rsidR="00D978A0" w:rsidRPr="00BC7F87" w:rsidRDefault="00D978A0" w:rsidP="00D978A0">
            <w:pPr>
              <w:rPr>
                <w:rFonts w:cs="Arial"/>
              </w:rPr>
            </w:pPr>
            <w:r w:rsidRPr="00BC7F87">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31007A01" w14:textId="77777777" w:rsidR="00D978A0" w:rsidRPr="00BC7F87" w:rsidRDefault="00D978A0" w:rsidP="00D978A0">
            <w:pPr>
              <w:rPr>
                <w:rFonts w:cs="Arial"/>
              </w:rPr>
            </w:pPr>
          </w:p>
          <w:p w14:paraId="7A554ADB" w14:textId="77777777" w:rsidR="00D978A0" w:rsidRDefault="00D978A0" w:rsidP="00D978A0">
            <w:pPr>
              <w:rPr>
                <w:rFonts w:cs="Arial"/>
                <w:strike/>
              </w:rPr>
            </w:pPr>
            <w:r w:rsidRPr="00BC7F87">
              <w:rPr>
                <w:rFonts w:cs="Arial"/>
              </w:rPr>
              <w:t>Candidates will be required to share with LEPs and the Skills Funding Agency ongoing performance management data as well as additional intelligence to improve the effectiveness of projects in the LEP area in the future</w:t>
            </w:r>
            <w:r w:rsidRPr="00BC7F87">
              <w:rPr>
                <w:rFonts w:cs="Arial"/>
                <w:strike/>
              </w:rPr>
              <w:t xml:space="preserve"> </w:t>
            </w:r>
          </w:p>
          <w:p w14:paraId="3525B33D" w14:textId="77777777" w:rsidR="00D978A0" w:rsidRDefault="00D978A0" w:rsidP="00D978A0">
            <w:pPr>
              <w:rPr>
                <w:rFonts w:cs="Arial"/>
                <w:strike/>
              </w:rPr>
            </w:pPr>
          </w:p>
          <w:p w14:paraId="0259F26C" w14:textId="77777777" w:rsidR="00D978A0" w:rsidRDefault="00D978A0" w:rsidP="00D978A0">
            <w:pPr>
              <w:rPr>
                <w:rFonts w:cs="Arial"/>
                <w:b/>
              </w:rPr>
            </w:pPr>
            <w:r w:rsidRPr="00143BCC">
              <w:rPr>
                <w:rFonts w:cs="Arial"/>
                <w:b/>
              </w:rPr>
              <w:t>CAREERS EDUCATION INFORMATION ADVICE AND GUIDANCE (IAG</w:t>
            </w:r>
            <w:r w:rsidR="006C6FC2">
              <w:rPr>
                <w:rFonts w:cs="Arial"/>
                <w:b/>
              </w:rPr>
              <w:t>)</w:t>
            </w:r>
          </w:p>
          <w:p w14:paraId="4FB5C2BE" w14:textId="77777777" w:rsidR="00D978A0" w:rsidRPr="00143BCC" w:rsidRDefault="00D978A0" w:rsidP="00D978A0">
            <w:pPr>
              <w:rPr>
                <w:rFonts w:cs="Arial"/>
                <w:b/>
              </w:rPr>
            </w:pPr>
          </w:p>
          <w:p w14:paraId="0AFCE4FF" w14:textId="77777777" w:rsidR="00D978A0" w:rsidRDefault="00D978A0" w:rsidP="00D978A0">
            <w:pPr>
              <w:rPr>
                <w:rFonts w:cs="Arial"/>
              </w:rPr>
            </w:pPr>
            <w:r w:rsidRPr="00143BCC">
              <w:rPr>
                <w:rFonts w:cs="Arial"/>
              </w:rPr>
              <w:t xml:space="preserve">The Services must not duplicate the service delivered under the National Careers Service contract but must add value to those services.  </w:t>
            </w:r>
          </w:p>
          <w:p w14:paraId="22E9B952" w14:textId="77777777" w:rsidR="006C6FC2" w:rsidRDefault="006C6FC2" w:rsidP="00D978A0">
            <w:pPr>
              <w:rPr>
                <w:rFonts w:cs="Arial"/>
              </w:rPr>
            </w:pPr>
          </w:p>
          <w:p w14:paraId="7B77387B" w14:textId="77777777" w:rsidR="006C6FC2" w:rsidRDefault="006C6FC2" w:rsidP="006C6FC2">
            <w:pPr>
              <w:rPr>
                <w:rFonts w:cs="Arial"/>
              </w:rPr>
            </w:pPr>
            <w:r>
              <w:rPr>
                <w:rFonts w:cs="Arial"/>
              </w:rPr>
              <w:t xml:space="preserve">The aim of the Services is to improve the understanding 15-24 year olds </w:t>
            </w:r>
            <w:r w:rsidR="00D954AA">
              <w:rPr>
                <w:rFonts w:cs="Arial"/>
              </w:rPr>
              <w:t>of t</w:t>
            </w:r>
            <w:r>
              <w:rPr>
                <w:rFonts w:cs="Arial"/>
              </w:rPr>
              <w:t xml:space="preserve">he local labour market and the variety of employment, learning and education opportunities that exist within it and improve their understanding of the different progression pathways available to them. </w:t>
            </w:r>
          </w:p>
          <w:p w14:paraId="27BEC1A5" w14:textId="77777777" w:rsidR="006C6FC2" w:rsidRDefault="006C6FC2" w:rsidP="006C6FC2">
            <w:pPr>
              <w:rPr>
                <w:rFonts w:cs="Arial"/>
              </w:rPr>
            </w:pPr>
          </w:p>
          <w:p w14:paraId="5C178D43" w14:textId="77777777" w:rsidR="00D954AA" w:rsidRDefault="006C6FC2" w:rsidP="00D954AA">
            <w:pPr>
              <w:pStyle w:val="BodyText"/>
              <w:tabs>
                <w:tab w:val="left" w:pos="360"/>
              </w:tabs>
              <w:spacing w:after="0"/>
              <w:rPr>
                <w:rFonts w:ascii="Arial" w:hAnsi="Arial" w:cs="Arial"/>
                <w:szCs w:val="22"/>
              </w:rPr>
            </w:pPr>
            <w:r>
              <w:rPr>
                <w:rFonts w:ascii="Arial" w:hAnsi="Arial" w:cs="Arial"/>
                <w:szCs w:val="22"/>
              </w:rPr>
              <w:t xml:space="preserve">The Services must deliver both a generic IAG service to young people and specialist targeted provision.  </w:t>
            </w:r>
          </w:p>
          <w:p w14:paraId="0E9337A2" w14:textId="77777777" w:rsidR="00D954AA" w:rsidRDefault="00D954AA" w:rsidP="00D954AA">
            <w:pPr>
              <w:pStyle w:val="BodyText"/>
              <w:tabs>
                <w:tab w:val="left" w:pos="360"/>
              </w:tabs>
              <w:spacing w:after="0"/>
              <w:rPr>
                <w:rFonts w:ascii="Arial" w:hAnsi="Arial" w:cs="Arial"/>
                <w:szCs w:val="22"/>
              </w:rPr>
            </w:pPr>
          </w:p>
          <w:p w14:paraId="40C9F1BB" w14:textId="77777777" w:rsidR="006C6FC2" w:rsidRDefault="006C6FC2" w:rsidP="00D954AA">
            <w:pPr>
              <w:pStyle w:val="BodyText"/>
              <w:tabs>
                <w:tab w:val="left" w:pos="360"/>
              </w:tabs>
              <w:spacing w:after="0"/>
              <w:rPr>
                <w:rFonts w:ascii="Arial" w:hAnsi="Arial" w:cs="Arial"/>
                <w:szCs w:val="22"/>
              </w:rPr>
            </w:pPr>
            <w:r w:rsidRPr="003F03C0">
              <w:rPr>
                <w:rFonts w:ascii="Arial" w:hAnsi="Arial" w:cs="Arial"/>
                <w:szCs w:val="22"/>
              </w:rPr>
              <w:t>The</w:t>
            </w:r>
            <w:r w:rsidR="00D954AA">
              <w:rPr>
                <w:rFonts w:ascii="Arial" w:hAnsi="Arial" w:cs="Arial"/>
                <w:szCs w:val="22"/>
              </w:rPr>
              <w:t xml:space="preserve"> Services must </w:t>
            </w:r>
            <w:r>
              <w:rPr>
                <w:rFonts w:ascii="Arial" w:hAnsi="Arial" w:cs="Arial"/>
                <w:szCs w:val="22"/>
              </w:rPr>
              <w:t>provide a bespoke careers guidance service to young people to help them make an effective transition into employment, education or training.</w:t>
            </w:r>
          </w:p>
          <w:p w14:paraId="1E4B6F66" w14:textId="77777777" w:rsidR="00935D43" w:rsidRDefault="00935D43" w:rsidP="006C6FC2">
            <w:pPr>
              <w:pStyle w:val="BodyText"/>
              <w:tabs>
                <w:tab w:val="left" w:pos="360"/>
              </w:tabs>
              <w:rPr>
                <w:rFonts w:ascii="Arial" w:hAnsi="Arial" w:cs="Arial"/>
                <w:szCs w:val="22"/>
              </w:rPr>
            </w:pPr>
          </w:p>
          <w:p w14:paraId="4EFD5513" w14:textId="77777777" w:rsidR="006C6FC2" w:rsidRPr="003F03C0" w:rsidRDefault="006C6FC2" w:rsidP="006C6FC2">
            <w:pPr>
              <w:pStyle w:val="BodyText"/>
              <w:tabs>
                <w:tab w:val="left" w:pos="360"/>
              </w:tabs>
              <w:rPr>
                <w:rFonts w:ascii="Arial" w:hAnsi="Arial" w:cs="Arial"/>
                <w:szCs w:val="22"/>
              </w:rPr>
            </w:pPr>
            <w:r>
              <w:rPr>
                <w:rFonts w:ascii="Arial" w:hAnsi="Arial" w:cs="Arial"/>
                <w:szCs w:val="22"/>
              </w:rPr>
              <w:t>The  Serv</w:t>
            </w:r>
            <w:r w:rsidR="0011127D">
              <w:rPr>
                <w:rFonts w:ascii="Arial" w:hAnsi="Arial" w:cs="Arial"/>
                <w:szCs w:val="22"/>
              </w:rPr>
              <w:t>ices should be delivered to</w:t>
            </w:r>
            <w:r>
              <w:rPr>
                <w:rFonts w:ascii="Arial" w:hAnsi="Arial" w:cs="Arial"/>
                <w:szCs w:val="22"/>
              </w:rPr>
              <w:t>:</w:t>
            </w:r>
          </w:p>
          <w:p w14:paraId="67B59C82" w14:textId="77777777" w:rsidR="006C6FC2" w:rsidRPr="00F40B64" w:rsidRDefault="006C6FC2" w:rsidP="006C6FC2">
            <w:pPr>
              <w:pStyle w:val="ListParagraph"/>
              <w:numPr>
                <w:ilvl w:val="0"/>
                <w:numId w:val="9"/>
              </w:numPr>
              <w:rPr>
                <w:rFonts w:ascii="Arial Narrow" w:hAnsi="Arial Narrow"/>
                <w:szCs w:val="22"/>
              </w:rPr>
            </w:pPr>
            <w:r w:rsidRPr="00F40B64">
              <w:rPr>
                <w:rFonts w:cs="Arial"/>
                <w:szCs w:val="22"/>
              </w:rPr>
              <w:lastRenderedPageBreak/>
              <w:t xml:space="preserve">15 &amp; 16 year olds, who are unclear about their progression / pathways or are in danger of failing to make an effective transition from school to further learning </w:t>
            </w:r>
          </w:p>
          <w:p w14:paraId="3D420291" w14:textId="77777777" w:rsidR="00D954AA" w:rsidRDefault="006C6FC2" w:rsidP="00D954AA">
            <w:pPr>
              <w:pStyle w:val="ListParagraph"/>
              <w:numPr>
                <w:ilvl w:val="0"/>
                <w:numId w:val="9"/>
              </w:numPr>
              <w:tabs>
                <w:tab w:val="left" w:pos="360"/>
              </w:tabs>
              <w:spacing w:after="320"/>
              <w:rPr>
                <w:rFonts w:cs="Arial"/>
                <w:szCs w:val="22"/>
              </w:rPr>
            </w:pPr>
            <w:r w:rsidRPr="00F40B64">
              <w:rPr>
                <w:rFonts w:cs="Arial"/>
                <w:szCs w:val="22"/>
              </w:rPr>
              <w:t xml:space="preserve">Young people who, having initially progressed into further learning/work with learning, drop out (because they have selected the wrong course, for example) and become transitionally NEET. </w:t>
            </w:r>
          </w:p>
          <w:p w14:paraId="28693843" w14:textId="77777777" w:rsidR="006C6FC2" w:rsidRPr="00D954AA" w:rsidRDefault="006C6FC2" w:rsidP="00D954AA">
            <w:pPr>
              <w:pStyle w:val="ListParagraph"/>
              <w:numPr>
                <w:ilvl w:val="0"/>
                <w:numId w:val="9"/>
              </w:numPr>
              <w:tabs>
                <w:tab w:val="left" w:pos="360"/>
              </w:tabs>
              <w:spacing w:after="320"/>
              <w:rPr>
                <w:rFonts w:cs="Arial"/>
                <w:szCs w:val="22"/>
              </w:rPr>
            </w:pPr>
            <w:r w:rsidRPr="00D954AA">
              <w:rPr>
                <w:rFonts w:cs="Arial"/>
                <w:szCs w:val="22"/>
              </w:rPr>
              <w:t xml:space="preserve">People aged 16 to 24 supported through the Solent City Deal programme of </w:t>
            </w:r>
            <w:r w:rsidR="00D954AA">
              <w:rPr>
                <w:rFonts w:cs="Arial"/>
                <w:szCs w:val="22"/>
              </w:rPr>
              <w:t>a</w:t>
            </w:r>
            <w:r w:rsidRPr="00D954AA">
              <w:rPr>
                <w:rFonts w:cs="Arial"/>
                <w:szCs w:val="22"/>
              </w:rPr>
              <w:t>ctivity.</w:t>
            </w:r>
          </w:p>
          <w:p w14:paraId="67A03608" w14:textId="77777777" w:rsidR="00D978A0" w:rsidRPr="00143BCC" w:rsidRDefault="00D978A0" w:rsidP="00D978A0">
            <w:pPr>
              <w:rPr>
                <w:rFonts w:cs="Arial"/>
              </w:rPr>
            </w:pPr>
            <w:r w:rsidRPr="00143BCC">
              <w:rPr>
                <w:rFonts w:cs="Arial"/>
              </w:rPr>
              <w:t xml:space="preserve">The Services must provide continuing development and further dissemination of high quality information, advice and guidance regarding career pathways.  The Services must, provide high quality advice regarding career pathways in the LEP’s economic growth sectors.  The Services must be provided flexibly in order to respond to participants’ personal ambitions and the changing needs of the local economy. The Services must be made available to individuals, groups and areas which are disadvantaged. </w:t>
            </w:r>
          </w:p>
          <w:p w14:paraId="0845CCFE" w14:textId="77777777" w:rsidR="00D978A0" w:rsidRPr="00143BCC" w:rsidRDefault="00D978A0" w:rsidP="00D978A0">
            <w:pPr>
              <w:rPr>
                <w:rFonts w:cs="Arial"/>
              </w:rPr>
            </w:pPr>
          </w:p>
          <w:p w14:paraId="78D5D7F4" w14:textId="77777777" w:rsidR="00D978A0" w:rsidRPr="00143BCC" w:rsidRDefault="00D978A0" w:rsidP="00D978A0">
            <w:pPr>
              <w:autoSpaceDE w:val="0"/>
              <w:autoSpaceDN w:val="0"/>
              <w:adjustRightInd w:val="0"/>
              <w:rPr>
                <w:rFonts w:cs="Arial"/>
              </w:rPr>
            </w:pPr>
            <w:r w:rsidRPr="00143BCC">
              <w:rPr>
                <w:rFonts w:cs="Arial"/>
              </w:rPr>
              <w:t xml:space="preserve">The Services must be innovative in providing enhanced IAG to individuals who wish to progress but at present, lack the ability to understand any clear progression routes either within their current industry or a different one.  The Services must  also support activities which inspire participants into making better informed career choices at key transition points in their lives including by getting employers to work more closely with schools and colleges, preparing and inspiring the workforce of the future. </w:t>
            </w:r>
          </w:p>
          <w:p w14:paraId="3ECAA7DF" w14:textId="77777777" w:rsidR="00D978A0" w:rsidRPr="00143BCC" w:rsidRDefault="00D978A0" w:rsidP="00D978A0">
            <w:pPr>
              <w:rPr>
                <w:rFonts w:cs="Arial"/>
              </w:rPr>
            </w:pPr>
          </w:p>
          <w:p w14:paraId="7F96F624" w14:textId="77777777" w:rsidR="00D978A0" w:rsidRPr="00143BCC" w:rsidRDefault="00D978A0" w:rsidP="00D978A0">
            <w:pPr>
              <w:rPr>
                <w:rFonts w:cs="Arial"/>
              </w:rPr>
            </w:pPr>
            <w:r w:rsidRPr="00143BCC">
              <w:rPr>
                <w:rFonts w:cs="Arial"/>
              </w:rPr>
              <w:t>The Services must undertake activities to improve the perception of sectors that are experiencing recruitment difficulties and skills shortages.</w:t>
            </w:r>
          </w:p>
          <w:p w14:paraId="5D6DC501" w14:textId="77777777" w:rsidR="00D978A0" w:rsidRPr="00143BCC" w:rsidRDefault="00D978A0" w:rsidP="00D978A0">
            <w:pPr>
              <w:rPr>
                <w:rFonts w:cs="Arial"/>
              </w:rPr>
            </w:pPr>
          </w:p>
          <w:p w14:paraId="572B9001" w14:textId="77777777" w:rsidR="00D978A0" w:rsidRPr="00143BCC" w:rsidRDefault="00D978A0" w:rsidP="00D978A0">
            <w:pPr>
              <w:rPr>
                <w:rFonts w:cs="Arial"/>
              </w:rPr>
            </w:pPr>
            <w:r w:rsidRPr="00143BCC">
              <w:rPr>
                <w:rFonts w:cs="Arial"/>
              </w:rPr>
              <w:t xml:space="preserve">The Services must provide stakeholder programmes and </w:t>
            </w:r>
            <w:r w:rsidR="003F03C0">
              <w:rPr>
                <w:rFonts w:cs="Arial"/>
              </w:rPr>
              <w:t>t</w:t>
            </w:r>
            <w:r w:rsidRPr="00143BCC">
              <w:rPr>
                <w:rFonts w:cs="Arial"/>
              </w:rPr>
              <w:t>utor CPD that will drive greater links between education and employers, and expose participants and educators to careers in key growth sectors with an aim to increase the number of participants taking up further education and employment in those sectors. These costs will be integrated into the unit cost per individual.</w:t>
            </w:r>
          </w:p>
          <w:p w14:paraId="3D404BA2" w14:textId="77777777" w:rsidR="00D978A0" w:rsidRPr="00143BCC" w:rsidRDefault="00D978A0" w:rsidP="00D978A0">
            <w:pPr>
              <w:rPr>
                <w:rFonts w:cs="Arial"/>
              </w:rPr>
            </w:pPr>
          </w:p>
          <w:p w14:paraId="66A25473" w14:textId="77777777" w:rsidR="00D978A0" w:rsidRPr="00143BCC" w:rsidRDefault="00D978A0" w:rsidP="00D978A0">
            <w:pPr>
              <w:pStyle w:val="ListParagraph"/>
              <w:ind w:left="61"/>
              <w:rPr>
                <w:rFonts w:cs="Arial"/>
              </w:rPr>
            </w:pPr>
            <w:r w:rsidRPr="00143BCC">
              <w:rPr>
                <w:rFonts w:cs="Arial"/>
              </w:rPr>
              <w:t xml:space="preserve">The Services must support enhanced careers provision and better links with employers, building upon the work already undertaken by the National Careers Service.  The Services must provide an enhanced careers service to particular target groups and provide an enhanced Inspiration Agenda.  </w:t>
            </w:r>
          </w:p>
          <w:p w14:paraId="7C8EAE5E" w14:textId="77777777" w:rsidR="00D978A0" w:rsidRPr="00143BCC" w:rsidRDefault="00D978A0" w:rsidP="00D978A0">
            <w:pPr>
              <w:pStyle w:val="ListParagraph"/>
              <w:ind w:left="61"/>
              <w:rPr>
                <w:rFonts w:cs="Arial"/>
              </w:rPr>
            </w:pPr>
          </w:p>
          <w:p w14:paraId="08C45040" w14:textId="77777777" w:rsidR="00D978A0" w:rsidRPr="006002A9" w:rsidRDefault="00D978A0" w:rsidP="00D978A0">
            <w:pPr>
              <w:rPr>
                <w:rFonts w:cs="Arial"/>
                <w:highlight w:val="green"/>
              </w:rPr>
            </w:pPr>
            <w:r w:rsidRPr="00143BCC">
              <w:rPr>
                <w:rFonts w:cs="Arial"/>
              </w:rPr>
              <w:t>The Service provision must invest in building capacity in the community to increase access to and engagement with the careers advice.  The Services will provide enhanced careers provision for priority groups which seeks to progress individuals into non accredited training to address identified need, voluntary work, one to one coaching in voluntary or paid work</w:t>
            </w:r>
          </w:p>
          <w:p w14:paraId="6E4763B7" w14:textId="77777777" w:rsidR="000A132E" w:rsidRPr="00D954AA" w:rsidRDefault="000A132E" w:rsidP="00D954AA">
            <w:pPr>
              <w:tabs>
                <w:tab w:val="left" w:pos="454"/>
              </w:tabs>
              <w:rPr>
                <w:rFonts w:cs="Arial"/>
              </w:rPr>
            </w:pPr>
          </w:p>
          <w:p w14:paraId="43C953B9" w14:textId="77777777" w:rsidR="00191D3A" w:rsidRDefault="00E02CD1" w:rsidP="00191D3A">
            <w:pPr>
              <w:tabs>
                <w:tab w:val="left" w:pos="360"/>
              </w:tabs>
              <w:rPr>
                <w:rFonts w:cs="Arial"/>
              </w:rPr>
            </w:pPr>
            <w:r>
              <w:rPr>
                <w:rFonts w:cs="Arial"/>
              </w:rPr>
              <w:t>The</w:t>
            </w:r>
            <w:r w:rsidR="006C6FC2">
              <w:rPr>
                <w:rFonts w:cs="Arial"/>
              </w:rPr>
              <w:t xml:space="preserve"> Services must include</w:t>
            </w:r>
            <w:r w:rsidR="00191D3A">
              <w:rPr>
                <w:rFonts w:cs="Arial"/>
              </w:rPr>
              <w:t>:</w:t>
            </w:r>
          </w:p>
          <w:p w14:paraId="1D9DBDF2" w14:textId="77777777" w:rsidR="00935D43" w:rsidRDefault="00935D43" w:rsidP="00191D3A">
            <w:pPr>
              <w:tabs>
                <w:tab w:val="left" w:pos="360"/>
              </w:tabs>
              <w:rPr>
                <w:rFonts w:cs="Arial"/>
              </w:rPr>
            </w:pPr>
          </w:p>
          <w:p w14:paraId="478CA94E" w14:textId="77777777" w:rsidR="00191D3A" w:rsidRPr="00F40B64" w:rsidRDefault="00191D3A" w:rsidP="00E02CD1">
            <w:pPr>
              <w:pStyle w:val="ListParagraph"/>
              <w:numPr>
                <w:ilvl w:val="0"/>
                <w:numId w:val="11"/>
              </w:numPr>
              <w:tabs>
                <w:tab w:val="left" w:pos="360"/>
              </w:tabs>
              <w:rPr>
                <w:rFonts w:cs="Arial"/>
                <w:color w:val="2C2B2A"/>
                <w:szCs w:val="22"/>
                <w:lang w:val="en-US"/>
              </w:rPr>
            </w:pPr>
            <w:r w:rsidRPr="00F40B64">
              <w:rPr>
                <w:rFonts w:cs="Arial"/>
              </w:rPr>
              <w:lastRenderedPageBreak/>
              <w:t>personalised face-to-face guidance;</w:t>
            </w:r>
          </w:p>
          <w:p w14:paraId="7A47FE9B" w14:textId="77777777" w:rsidR="00191D3A" w:rsidRDefault="00191D3A" w:rsidP="00E02CD1">
            <w:pPr>
              <w:pStyle w:val="ListParagraph"/>
              <w:numPr>
                <w:ilvl w:val="0"/>
                <w:numId w:val="11"/>
              </w:numPr>
              <w:tabs>
                <w:tab w:val="left" w:pos="360"/>
              </w:tabs>
              <w:rPr>
                <w:rFonts w:cs="Arial"/>
                <w:color w:val="2C2B2A"/>
                <w:szCs w:val="22"/>
                <w:lang w:val="en-US"/>
              </w:rPr>
            </w:pPr>
            <w:r w:rsidRPr="00F40B64">
              <w:rPr>
                <w:rFonts w:cs="Arial"/>
                <w:szCs w:val="22"/>
              </w:rPr>
              <w:t>work tasters and trials;</w:t>
            </w:r>
            <w:r w:rsidRPr="00F40B64">
              <w:rPr>
                <w:rFonts w:cs="Arial"/>
                <w:color w:val="2C2B2A"/>
                <w:szCs w:val="22"/>
                <w:lang w:val="en-US"/>
              </w:rPr>
              <w:t>engaging in personal and social development activities;</w:t>
            </w:r>
          </w:p>
          <w:p w14:paraId="36FF8861" w14:textId="77777777" w:rsidR="00191D3A" w:rsidRDefault="00191D3A" w:rsidP="00E02CD1">
            <w:pPr>
              <w:pStyle w:val="ListParagraph"/>
              <w:numPr>
                <w:ilvl w:val="0"/>
                <w:numId w:val="11"/>
              </w:numPr>
              <w:tabs>
                <w:tab w:val="left" w:pos="360"/>
              </w:tabs>
              <w:rPr>
                <w:rFonts w:cs="Arial"/>
                <w:color w:val="2C2B2A"/>
                <w:szCs w:val="22"/>
                <w:lang w:val="en-US"/>
              </w:rPr>
            </w:pPr>
            <w:r w:rsidRPr="00F40B64">
              <w:rPr>
                <w:rFonts w:cs="Arial"/>
                <w:color w:val="2C2B2A"/>
                <w:szCs w:val="22"/>
                <w:lang w:val="en-US"/>
              </w:rPr>
              <w:t>taking part in chal</w:t>
            </w:r>
            <w:r>
              <w:rPr>
                <w:rFonts w:cs="Arial"/>
                <w:color w:val="2C2B2A"/>
                <w:szCs w:val="22"/>
                <w:lang w:val="en-US"/>
              </w:rPr>
              <w:t xml:space="preserve">lenging team-based activities; </w:t>
            </w:r>
          </w:p>
          <w:p w14:paraId="041FC5B0" w14:textId="77777777" w:rsidR="00191D3A" w:rsidRDefault="00191D3A" w:rsidP="00E02CD1">
            <w:pPr>
              <w:pStyle w:val="ListParagraph"/>
              <w:numPr>
                <w:ilvl w:val="0"/>
                <w:numId w:val="11"/>
              </w:numPr>
              <w:tabs>
                <w:tab w:val="left" w:pos="360"/>
              </w:tabs>
              <w:ind w:left="697" w:hanging="357"/>
              <w:rPr>
                <w:rFonts w:cs="Arial"/>
                <w:color w:val="2C2B2A"/>
                <w:szCs w:val="22"/>
                <w:lang w:val="en-US"/>
              </w:rPr>
            </w:pPr>
            <w:r w:rsidRPr="00F40B64">
              <w:rPr>
                <w:rFonts w:cs="Arial"/>
                <w:color w:val="2C2B2A"/>
                <w:szCs w:val="22"/>
                <w:lang w:val="en-US"/>
              </w:rPr>
              <w:t>improving key skills such as interview skills, customer service, raising awareness of the qualities needed by employers;</w:t>
            </w:r>
          </w:p>
          <w:p w14:paraId="51EF9940" w14:textId="77777777" w:rsidR="00191D3A" w:rsidRDefault="00191D3A" w:rsidP="00E02CD1">
            <w:pPr>
              <w:pStyle w:val="ListParagraph"/>
              <w:numPr>
                <w:ilvl w:val="0"/>
                <w:numId w:val="11"/>
              </w:numPr>
              <w:tabs>
                <w:tab w:val="left" w:pos="360"/>
              </w:tabs>
              <w:ind w:left="697" w:hanging="357"/>
              <w:rPr>
                <w:rFonts w:cs="Arial"/>
                <w:color w:val="2C2B2A"/>
                <w:szCs w:val="22"/>
                <w:lang w:val="en-US"/>
              </w:rPr>
            </w:pPr>
            <w:r w:rsidRPr="00F40B64">
              <w:rPr>
                <w:rFonts w:cs="Arial"/>
                <w:color w:val="2C2B2A"/>
                <w:szCs w:val="22"/>
                <w:lang w:val="en-US"/>
              </w:rPr>
              <w:t>accessing work and community volunteering experience; and</w:t>
            </w:r>
          </w:p>
          <w:p w14:paraId="6FD6FB72" w14:textId="77777777" w:rsidR="00191D3A" w:rsidRDefault="00191D3A" w:rsidP="00E02CD1">
            <w:pPr>
              <w:pStyle w:val="ListParagraph"/>
              <w:numPr>
                <w:ilvl w:val="0"/>
                <w:numId w:val="11"/>
              </w:numPr>
              <w:tabs>
                <w:tab w:val="left" w:pos="360"/>
              </w:tabs>
              <w:ind w:left="697" w:hanging="357"/>
              <w:rPr>
                <w:rFonts w:cs="Arial"/>
                <w:color w:val="2C2B2A"/>
                <w:szCs w:val="22"/>
                <w:lang w:val="en-US"/>
              </w:rPr>
            </w:pPr>
            <w:r>
              <w:rPr>
                <w:rFonts w:cs="Arial"/>
                <w:color w:val="2C2B2A"/>
                <w:szCs w:val="22"/>
                <w:lang w:val="en-US"/>
              </w:rPr>
              <w:t>O</w:t>
            </w:r>
            <w:r w:rsidRPr="00F40B64">
              <w:rPr>
                <w:rFonts w:cs="Arial"/>
                <w:color w:val="2C2B2A"/>
                <w:szCs w:val="22"/>
                <w:lang w:val="en-US"/>
              </w:rPr>
              <w:t xml:space="preserve">ngoing ‘key worker’ support to exit the </w:t>
            </w:r>
            <w:proofErr w:type="spellStart"/>
            <w:r w:rsidRPr="00F40B64">
              <w:rPr>
                <w:rFonts w:cs="Arial"/>
                <w:color w:val="2C2B2A"/>
                <w:szCs w:val="22"/>
                <w:lang w:val="en-US"/>
              </w:rPr>
              <w:t>programme</w:t>
            </w:r>
            <w:proofErr w:type="spellEnd"/>
            <w:r w:rsidRPr="00F40B64">
              <w:rPr>
                <w:rFonts w:cs="Arial"/>
                <w:color w:val="2C2B2A"/>
                <w:szCs w:val="22"/>
                <w:lang w:val="en-US"/>
              </w:rPr>
              <w:t xml:space="preserve"> into a higher level training course or work with training.</w:t>
            </w:r>
          </w:p>
          <w:p w14:paraId="25794465" w14:textId="77777777" w:rsidR="00233F3E" w:rsidRDefault="00233F3E" w:rsidP="002F2A4E">
            <w:pPr>
              <w:tabs>
                <w:tab w:val="left" w:pos="360"/>
              </w:tabs>
              <w:rPr>
                <w:rFonts w:cs="Arial"/>
                <w:color w:val="2C2B2A"/>
                <w:szCs w:val="22"/>
                <w:lang w:val="en-US"/>
              </w:rPr>
            </w:pPr>
          </w:p>
          <w:p w14:paraId="38419376" w14:textId="77777777" w:rsidR="00233F3E" w:rsidRDefault="00233F3E" w:rsidP="00D954AA">
            <w:pPr>
              <w:ind w:right="-82"/>
              <w:rPr>
                <w:rFonts w:cs="Arial"/>
              </w:rPr>
            </w:pPr>
            <w:r w:rsidRPr="00D954AA">
              <w:rPr>
                <w:rFonts w:cs="Arial"/>
              </w:rPr>
              <w:t xml:space="preserve">The </w:t>
            </w:r>
            <w:r w:rsidR="006C6FC2" w:rsidRPr="00D954AA">
              <w:rPr>
                <w:rFonts w:cs="Arial"/>
              </w:rPr>
              <w:t xml:space="preserve">Services should </w:t>
            </w:r>
            <w:r w:rsidR="00883B1B" w:rsidRPr="00D954AA">
              <w:rPr>
                <w:rFonts w:cs="Arial"/>
              </w:rPr>
              <w:t>support progressions</w:t>
            </w:r>
            <w:r w:rsidRPr="00D954AA">
              <w:rPr>
                <w:rFonts w:cs="Arial"/>
              </w:rPr>
              <w:t xml:space="preserve"> into one or several of the following  </w:t>
            </w:r>
            <w:r w:rsidR="003F03C0" w:rsidRPr="00D954AA">
              <w:rPr>
                <w:rFonts w:cs="Arial"/>
              </w:rPr>
              <w:t>(</w:t>
            </w:r>
            <w:r w:rsidRPr="00D954AA">
              <w:rPr>
                <w:rFonts w:cs="Arial"/>
              </w:rPr>
              <w:t xml:space="preserve">this list is neither exhaustive </w:t>
            </w:r>
            <w:r w:rsidR="00CD43DA" w:rsidRPr="00D954AA">
              <w:rPr>
                <w:rFonts w:cs="Arial"/>
              </w:rPr>
              <w:t>n</w:t>
            </w:r>
            <w:r w:rsidR="00935D43">
              <w:rPr>
                <w:rFonts w:cs="Arial"/>
              </w:rPr>
              <w:t>or exclusive):</w:t>
            </w:r>
          </w:p>
          <w:p w14:paraId="46C2D542" w14:textId="77777777" w:rsidR="00935D43" w:rsidRPr="00D954AA" w:rsidRDefault="00935D43" w:rsidP="00D954AA">
            <w:pPr>
              <w:ind w:right="-82"/>
              <w:rPr>
                <w:rFonts w:cs="Arial"/>
              </w:rPr>
            </w:pPr>
          </w:p>
          <w:p w14:paraId="3B7C1214" w14:textId="77777777" w:rsidR="00233F3E" w:rsidRDefault="00233F3E" w:rsidP="00E02CD1">
            <w:pPr>
              <w:pStyle w:val="ListParagraph"/>
              <w:numPr>
                <w:ilvl w:val="1"/>
                <w:numId w:val="13"/>
              </w:numPr>
              <w:ind w:right="-82"/>
              <w:rPr>
                <w:rFonts w:cs="Arial"/>
              </w:rPr>
            </w:pPr>
            <w:r>
              <w:rPr>
                <w:rFonts w:cs="Arial"/>
              </w:rPr>
              <w:t>Learning / training opportunities, including pathways to FE &amp; HE.</w:t>
            </w:r>
          </w:p>
          <w:p w14:paraId="21CE5F96" w14:textId="77777777" w:rsidR="00233F3E" w:rsidRPr="006E3619" w:rsidRDefault="00233F3E" w:rsidP="00E02CD1">
            <w:pPr>
              <w:pStyle w:val="ListParagraph"/>
              <w:numPr>
                <w:ilvl w:val="1"/>
                <w:numId w:val="13"/>
              </w:numPr>
              <w:ind w:right="-82"/>
              <w:rPr>
                <w:rFonts w:cs="Arial"/>
              </w:rPr>
            </w:pPr>
            <w:r w:rsidRPr="006E3619">
              <w:rPr>
                <w:rFonts w:cs="Arial"/>
              </w:rPr>
              <w:t xml:space="preserve">Pre-employment training &amp; / or Job readiness </w:t>
            </w:r>
          </w:p>
          <w:p w14:paraId="0535BA90" w14:textId="77777777" w:rsidR="00233F3E" w:rsidRDefault="00233F3E" w:rsidP="00E02CD1">
            <w:pPr>
              <w:pStyle w:val="ListParagraph"/>
              <w:numPr>
                <w:ilvl w:val="1"/>
                <w:numId w:val="13"/>
              </w:numPr>
              <w:ind w:right="-82"/>
              <w:rPr>
                <w:rFonts w:cs="Arial"/>
              </w:rPr>
            </w:pPr>
            <w:r>
              <w:rPr>
                <w:rFonts w:cs="Arial"/>
              </w:rPr>
              <w:t>Volunteering</w:t>
            </w:r>
          </w:p>
          <w:p w14:paraId="7942DB35" w14:textId="77777777" w:rsidR="00233F3E" w:rsidRDefault="00233F3E" w:rsidP="00E02CD1">
            <w:pPr>
              <w:pStyle w:val="ListParagraph"/>
              <w:numPr>
                <w:ilvl w:val="1"/>
                <w:numId w:val="13"/>
              </w:numPr>
              <w:ind w:right="-82"/>
              <w:rPr>
                <w:rFonts w:cs="Arial"/>
              </w:rPr>
            </w:pPr>
            <w:r>
              <w:rPr>
                <w:rFonts w:cs="Arial"/>
              </w:rPr>
              <w:t>Employment including apprenticeships</w:t>
            </w:r>
          </w:p>
          <w:p w14:paraId="14E0899A" w14:textId="77777777" w:rsidR="00191D3A" w:rsidRDefault="00191D3A" w:rsidP="00191D3A">
            <w:pPr>
              <w:pStyle w:val="ListParagraph"/>
              <w:tabs>
                <w:tab w:val="left" w:pos="360"/>
              </w:tabs>
              <w:ind w:left="697"/>
              <w:rPr>
                <w:rFonts w:cs="Arial"/>
                <w:color w:val="2C2B2A"/>
                <w:szCs w:val="22"/>
                <w:lang w:val="en-US"/>
              </w:rPr>
            </w:pPr>
          </w:p>
          <w:p w14:paraId="050B8A7A" w14:textId="77777777" w:rsidR="00CD43DA" w:rsidRDefault="00883B1B" w:rsidP="00191D3A">
            <w:pPr>
              <w:tabs>
                <w:tab w:val="left" w:pos="360"/>
              </w:tabs>
              <w:rPr>
                <w:rFonts w:cs="Arial"/>
                <w:color w:val="2C2B2A"/>
                <w:lang w:val="en-US"/>
              </w:rPr>
            </w:pPr>
            <w:r>
              <w:rPr>
                <w:rFonts w:cs="Arial"/>
                <w:color w:val="2C2B2A"/>
                <w:lang w:val="en-US"/>
              </w:rPr>
              <w:t xml:space="preserve">The </w:t>
            </w:r>
            <w:r w:rsidR="006C6FC2">
              <w:rPr>
                <w:rFonts w:cs="Arial"/>
                <w:color w:val="2C2B2A"/>
                <w:lang w:val="en-US"/>
              </w:rPr>
              <w:t xml:space="preserve"> Services must </w:t>
            </w:r>
            <w:r>
              <w:rPr>
                <w:rFonts w:cs="Arial"/>
                <w:color w:val="2C2B2A"/>
                <w:lang w:val="en-US"/>
              </w:rPr>
              <w:t xml:space="preserve"> provide a generic careers guidance service</w:t>
            </w:r>
            <w:r w:rsidR="009F4A07">
              <w:rPr>
                <w:rFonts w:cs="Arial"/>
                <w:color w:val="2C2B2A"/>
                <w:lang w:val="en-US"/>
              </w:rPr>
              <w:t xml:space="preserve"> for the client group targeted at</w:t>
            </w:r>
            <w:r w:rsidR="00D954AA">
              <w:rPr>
                <w:rFonts w:cs="Arial"/>
                <w:color w:val="2C2B2A"/>
                <w:lang w:val="en-US"/>
              </w:rPr>
              <w:t>:</w:t>
            </w:r>
          </w:p>
          <w:p w14:paraId="26CC2045" w14:textId="77777777" w:rsidR="00935D43" w:rsidRDefault="00935D43" w:rsidP="00191D3A">
            <w:pPr>
              <w:tabs>
                <w:tab w:val="left" w:pos="360"/>
              </w:tabs>
              <w:rPr>
                <w:rFonts w:cs="Arial"/>
                <w:color w:val="2C2B2A"/>
                <w:lang w:val="en-US"/>
              </w:rPr>
            </w:pPr>
          </w:p>
          <w:p w14:paraId="7FFEC883" w14:textId="77777777" w:rsidR="00191D3A" w:rsidRPr="00BB7F30" w:rsidRDefault="00191D3A" w:rsidP="00E02CD1">
            <w:pPr>
              <w:pStyle w:val="ListParagraph"/>
              <w:numPr>
                <w:ilvl w:val="0"/>
                <w:numId w:val="12"/>
              </w:numPr>
              <w:tabs>
                <w:tab w:val="left" w:pos="360"/>
              </w:tabs>
              <w:rPr>
                <w:rFonts w:cs="Arial"/>
              </w:rPr>
            </w:pPr>
            <w:r>
              <w:rPr>
                <w:rFonts w:cs="Arial"/>
              </w:rPr>
              <w:t>i</w:t>
            </w:r>
            <w:r w:rsidRPr="00BB7F30">
              <w:rPr>
                <w:rFonts w:cs="Arial"/>
              </w:rPr>
              <w:t>mprov</w:t>
            </w:r>
            <w:r w:rsidR="009F4A07">
              <w:rPr>
                <w:rFonts w:cs="Arial"/>
              </w:rPr>
              <w:t>ing</w:t>
            </w:r>
            <w:r w:rsidRPr="00BB7F30">
              <w:rPr>
                <w:rFonts w:cs="Arial"/>
              </w:rPr>
              <w:t xml:space="preserve"> young people’s </w:t>
            </w:r>
            <w:r>
              <w:rPr>
                <w:rFonts w:cs="Arial"/>
              </w:rPr>
              <w:t xml:space="preserve">(15-24yrs) </w:t>
            </w:r>
            <w:r w:rsidRPr="00BB7F30">
              <w:rPr>
                <w:rFonts w:cs="Arial"/>
              </w:rPr>
              <w:t xml:space="preserve">understanding of the local labour market and the variety of job opportunities it offers, particularly in the Solent’s priority sectors (marine, aerospace, and defence, advanced manufacturing, engineering, transport and logistics, digital &amp; creative and the visitor economy) </w:t>
            </w:r>
          </w:p>
          <w:p w14:paraId="6C5F346F" w14:textId="77777777" w:rsidR="00191D3A" w:rsidRPr="002F2A4E" w:rsidRDefault="00191D3A" w:rsidP="00191D3A">
            <w:pPr>
              <w:pStyle w:val="bulletpoint1"/>
              <w:spacing w:after="0" w:line="240" w:lineRule="auto"/>
              <w:rPr>
                <w:rFonts w:ascii="Arial" w:hAnsi="Arial" w:cs="Arial"/>
                <w:szCs w:val="22"/>
              </w:rPr>
            </w:pPr>
            <w:r w:rsidRPr="002F2A4E">
              <w:rPr>
                <w:rFonts w:ascii="Arial" w:hAnsi="Arial" w:cs="Arial"/>
                <w:sz w:val="24"/>
                <w:szCs w:val="24"/>
              </w:rPr>
              <w:t>support</w:t>
            </w:r>
            <w:r w:rsidR="009F4A07">
              <w:rPr>
                <w:rFonts w:ascii="Arial" w:hAnsi="Arial" w:cs="Arial"/>
                <w:sz w:val="24"/>
                <w:szCs w:val="24"/>
              </w:rPr>
              <w:t>ing</w:t>
            </w:r>
            <w:r w:rsidRPr="002F2A4E">
              <w:rPr>
                <w:rFonts w:ascii="Arial" w:hAnsi="Arial" w:cs="Arial"/>
                <w:sz w:val="24"/>
                <w:szCs w:val="24"/>
              </w:rPr>
              <w:t xml:space="preserve"> young people aged 15 and 16 as they make learning and career choices and prepare to enter the labour market </w:t>
            </w:r>
            <w:r w:rsidRPr="00CD43DA">
              <w:rPr>
                <w:rFonts w:ascii="Arial" w:hAnsi="Arial" w:cs="Arial"/>
                <w:szCs w:val="22"/>
              </w:rPr>
              <w:br/>
            </w:r>
          </w:p>
          <w:p w14:paraId="1B6B876E" w14:textId="77777777" w:rsidR="00191D3A" w:rsidRDefault="006C6FC2" w:rsidP="00191D3A">
            <w:pPr>
              <w:pStyle w:val="bulletpoint1"/>
              <w:numPr>
                <w:ilvl w:val="0"/>
                <w:numId w:val="0"/>
              </w:numPr>
              <w:spacing w:after="0" w:line="240" w:lineRule="auto"/>
              <w:rPr>
                <w:rFonts w:ascii="Arial" w:hAnsi="Arial" w:cs="Arial"/>
                <w:sz w:val="24"/>
                <w:szCs w:val="24"/>
              </w:rPr>
            </w:pPr>
            <w:r>
              <w:rPr>
                <w:rFonts w:ascii="Arial" w:hAnsi="Arial" w:cs="Arial"/>
                <w:sz w:val="24"/>
                <w:szCs w:val="24"/>
              </w:rPr>
              <w:t xml:space="preserve">Close links should be </w:t>
            </w:r>
            <w:r w:rsidR="00191D3A" w:rsidRPr="002F2A4E">
              <w:rPr>
                <w:rFonts w:ascii="Arial" w:hAnsi="Arial" w:cs="Arial"/>
                <w:sz w:val="24"/>
                <w:szCs w:val="24"/>
              </w:rPr>
              <w:t>foster</w:t>
            </w:r>
            <w:r>
              <w:rPr>
                <w:rFonts w:ascii="Arial" w:hAnsi="Arial" w:cs="Arial"/>
                <w:sz w:val="24"/>
                <w:szCs w:val="24"/>
              </w:rPr>
              <w:t xml:space="preserve">ed </w:t>
            </w:r>
            <w:r w:rsidR="00191D3A" w:rsidRPr="002F2A4E">
              <w:rPr>
                <w:rFonts w:ascii="Arial" w:hAnsi="Arial" w:cs="Arial"/>
                <w:sz w:val="24"/>
                <w:szCs w:val="24"/>
              </w:rPr>
              <w:t>between employers, schools and colleges through activities such as:</w:t>
            </w:r>
          </w:p>
          <w:p w14:paraId="0737393E" w14:textId="77777777" w:rsidR="00935D43" w:rsidRPr="002F2A4E" w:rsidRDefault="00935D43" w:rsidP="00191D3A">
            <w:pPr>
              <w:pStyle w:val="bulletpoint1"/>
              <w:numPr>
                <w:ilvl w:val="0"/>
                <w:numId w:val="0"/>
              </w:numPr>
              <w:spacing w:after="0" w:line="240" w:lineRule="auto"/>
              <w:rPr>
                <w:rFonts w:ascii="Arial" w:hAnsi="Arial" w:cs="Arial"/>
                <w:sz w:val="24"/>
                <w:szCs w:val="24"/>
              </w:rPr>
            </w:pPr>
          </w:p>
          <w:p w14:paraId="6C9BAE6D" w14:textId="77777777" w:rsidR="00191D3A" w:rsidRPr="002F2A4E" w:rsidRDefault="00191D3A" w:rsidP="00191D3A">
            <w:pPr>
              <w:pStyle w:val="bulletpoint1"/>
              <w:spacing w:after="0" w:line="240" w:lineRule="auto"/>
              <w:rPr>
                <w:rFonts w:ascii="Arial" w:hAnsi="Arial" w:cs="Arial"/>
                <w:color w:val="2C2B2A"/>
                <w:sz w:val="24"/>
                <w:szCs w:val="24"/>
                <w:lang w:val="en-US" w:eastAsia="en-US"/>
              </w:rPr>
            </w:pPr>
            <w:r w:rsidRPr="002F2A4E">
              <w:rPr>
                <w:rFonts w:ascii="Arial" w:hAnsi="Arial" w:cs="Arial"/>
                <w:sz w:val="24"/>
                <w:szCs w:val="24"/>
              </w:rPr>
              <w:t xml:space="preserve">getting more employers involved in the delivery of IAG; </w:t>
            </w:r>
          </w:p>
          <w:p w14:paraId="2B7F8090" w14:textId="77777777" w:rsidR="00191D3A" w:rsidRPr="002F2A4E" w:rsidRDefault="00191D3A" w:rsidP="00191D3A">
            <w:pPr>
              <w:pStyle w:val="bulletpoint1"/>
              <w:spacing w:after="0" w:line="240" w:lineRule="auto"/>
              <w:rPr>
                <w:rFonts w:ascii="Arial" w:hAnsi="Arial" w:cs="Arial"/>
                <w:sz w:val="24"/>
                <w:szCs w:val="24"/>
              </w:rPr>
            </w:pPr>
            <w:r w:rsidRPr="002F2A4E">
              <w:rPr>
                <w:rFonts w:ascii="Arial" w:hAnsi="Arial" w:cs="Arial"/>
                <w:sz w:val="24"/>
                <w:szCs w:val="24"/>
              </w:rPr>
              <w:t>extending the availability of careers workshops, workplace visits, year-group discussions or gender-based sessions focused on specific occupations and industries; and</w:t>
            </w:r>
          </w:p>
          <w:p w14:paraId="5573DC9E" w14:textId="77777777" w:rsidR="00191D3A" w:rsidRPr="002F2A4E" w:rsidRDefault="00191D3A" w:rsidP="00191D3A">
            <w:pPr>
              <w:pStyle w:val="bulletpoint1"/>
              <w:spacing w:after="0" w:line="240" w:lineRule="auto"/>
              <w:ind w:left="697" w:hanging="357"/>
              <w:rPr>
                <w:rFonts w:ascii="Arial" w:hAnsi="Arial" w:cs="Arial"/>
                <w:sz w:val="24"/>
                <w:szCs w:val="24"/>
              </w:rPr>
            </w:pPr>
            <w:r w:rsidRPr="002F2A4E">
              <w:rPr>
                <w:rFonts w:ascii="Arial" w:hAnsi="Arial" w:cs="Arial"/>
                <w:sz w:val="24"/>
                <w:szCs w:val="24"/>
              </w:rPr>
              <w:t>creating more opportunities for wor</w:t>
            </w:r>
            <w:r w:rsidR="00E02CD1">
              <w:rPr>
                <w:rFonts w:ascii="Arial" w:hAnsi="Arial" w:cs="Arial"/>
                <w:sz w:val="24"/>
                <w:szCs w:val="24"/>
              </w:rPr>
              <w:t>k experience</w:t>
            </w:r>
          </w:p>
          <w:p w14:paraId="58E37E1A" w14:textId="77777777" w:rsidR="00191D3A" w:rsidRPr="002F2A4E" w:rsidRDefault="00191D3A" w:rsidP="00191D3A">
            <w:pPr>
              <w:pStyle w:val="bulletpoint1"/>
              <w:numPr>
                <w:ilvl w:val="0"/>
                <w:numId w:val="0"/>
              </w:numPr>
              <w:spacing w:after="0" w:line="240" w:lineRule="auto"/>
              <w:ind w:left="697"/>
              <w:rPr>
                <w:rFonts w:ascii="Arial" w:hAnsi="Arial" w:cs="Arial"/>
                <w:sz w:val="24"/>
                <w:szCs w:val="24"/>
              </w:rPr>
            </w:pPr>
          </w:p>
          <w:p w14:paraId="2A698A15" w14:textId="77777777" w:rsidR="004F2122" w:rsidRDefault="006C6FC2" w:rsidP="00935D43">
            <w:pPr>
              <w:pStyle w:val="bulletpoint1"/>
              <w:numPr>
                <w:ilvl w:val="0"/>
                <w:numId w:val="0"/>
              </w:numPr>
              <w:spacing w:after="0" w:line="240" w:lineRule="auto"/>
              <w:rPr>
                <w:rFonts w:ascii="Arial" w:hAnsi="Arial" w:cs="Arial"/>
                <w:color w:val="2C2B2A"/>
                <w:sz w:val="24"/>
                <w:szCs w:val="24"/>
                <w:lang w:val="en-US" w:eastAsia="en-US"/>
              </w:rPr>
            </w:pPr>
            <w:r>
              <w:rPr>
                <w:rFonts w:ascii="Arial" w:hAnsi="Arial" w:cs="Arial"/>
                <w:color w:val="2C2B2A"/>
                <w:sz w:val="24"/>
                <w:szCs w:val="24"/>
                <w:lang w:val="en-US" w:eastAsia="en-US"/>
              </w:rPr>
              <w:t xml:space="preserve">The Services must </w:t>
            </w:r>
            <w:r w:rsidR="00EB7FAB" w:rsidRPr="00B62510">
              <w:rPr>
                <w:rFonts w:ascii="Arial" w:hAnsi="Arial" w:cs="Arial"/>
                <w:color w:val="2C2B2A"/>
                <w:sz w:val="24"/>
                <w:szCs w:val="24"/>
                <w:lang w:val="en-US" w:eastAsia="en-US"/>
              </w:rPr>
              <w:t>add value to the existing NCS provision and activity already taking place in schools</w:t>
            </w:r>
            <w:r w:rsidR="003F03C0">
              <w:rPr>
                <w:rFonts w:ascii="Arial" w:hAnsi="Arial" w:cs="Arial"/>
                <w:color w:val="2C2B2A"/>
                <w:sz w:val="24"/>
                <w:szCs w:val="24"/>
                <w:lang w:val="en-US" w:eastAsia="en-US"/>
              </w:rPr>
              <w:t>,</w:t>
            </w:r>
            <w:r w:rsidR="00EB7FAB" w:rsidRPr="00B62510">
              <w:rPr>
                <w:rFonts w:ascii="Arial" w:hAnsi="Arial" w:cs="Arial"/>
                <w:color w:val="2C2B2A"/>
                <w:sz w:val="24"/>
                <w:szCs w:val="24"/>
                <w:lang w:val="en-US" w:eastAsia="en-US"/>
              </w:rPr>
              <w:t xml:space="preserve"> which is delivered either in-house or via third party </w:t>
            </w:r>
            <w:r w:rsidR="00EB7FAB" w:rsidRPr="00B62510">
              <w:rPr>
                <w:rFonts w:ascii="Arial" w:hAnsi="Arial" w:cs="Arial"/>
                <w:color w:val="2C2B2A"/>
                <w:sz w:val="24"/>
                <w:szCs w:val="24"/>
                <w:lang w:eastAsia="en-US"/>
              </w:rPr>
              <w:t>organisations</w:t>
            </w:r>
            <w:r w:rsidR="00935D43">
              <w:rPr>
                <w:rFonts w:ascii="Arial" w:hAnsi="Arial" w:cs="Arial"/>
                <w:color w:val="2C2B2A"/>
                <w:sz w:val="24"/>
                <w:szCs w:val="24"/>
                <w:lang w:val="en-US" w:eastAsia="en-US"/>
              </w:rPr>
              <w:t>.</w:t>
            </w:r>
          </w:p>
          <w:p w14:paraId="2DE30AEA" w14:textId="77777777" w:rsidR="00935D43" w:rsidRPr="00935D43" w:rsidRDefault="00935D43" w:rsidP="00935D43">
            <w:pPr>
              <w:pStyle w:val="bulletpoint1"/>
              <w:numPr>
                <w:ilvl w:val="0"/>
                <w:numId w:val="0"/>
              </w:numPr>
              <w:spacing w:after="0" w:line="240" w:lineRule="auto"/>
              <w:rPr>
                <w:rFonts w:ascii="Arial" w:hAnsi="Arial" w:cs="Arial"/>
                <w:color w:val="2C2B2A"/>
                <w:sz w:val="24"/>
                <w:szCs w:val="24"/>
                <w:lang w:val="en-US" w:eastAsia="en-US"/>
              </w:rPr>
            </w:pPr>
          </w:p>
        </w:tc>
      </w:tr>
      <w:tr w:rsidR="00483E01" w:rsidRPr="00544738" w14:paraId="591CAF99" w14:textId="77777777" w:rsidTr="0046183D">
        <w:tc>
          <w:tcPr>
            <w:tcW w:w="9088" w:type="dxa"/>
            <w:shd w:val="clear" w:color="auto" w:fill="D9D9D9" w:themeFill="background1" w:themeFillShade="D9"/>
          </w:tcPr>
          <w:p w14:paraId="349CEB01" w14:textId="77777777" w:rsidR="00483E01" w:rsidRPr="00D27033" w:rsidRDefault="00483E01" w:rsidP="00D27033">
            <w:pPr>
              <w:rPr>
                <w:b/>
              </w:rPr>
            </w:pPr>
            <w:r w:rsidRPr="00D27033">
              <w:rPr>
                <w:b/>
              </w:rPr>
              <w:lastRenderedPageBreak/>
              <w:t>ELIGIBILITY</w:t>
            </w:r>
          </w:p>
          <w:p w14:paraId="02F055EA" w14:textId="77777777" w:rsidR="00D27033" w:rsidRPr="00544738" w:rsidRDefault="00D27033" w:rsidP="00D27033"/>
        </w:tc>
      </w:tr>
      <w:tr w:rsidR="00483E01" w:rsidRPr="00EF4406" w14:paraId="04B59329" w14:textId="77777777" w:rsidTr="0046183D">
        <w:tc>
          <w:tcPr>
            <w:tcW w:w="9088" w:type="dxa"/>
          </w:tcPr>
          <w:p w14:paraId="3C896643" w14:textId="77777777" w:rsidR="002F2A4E" w:rsidRDefault="002F2A4E" w:rsidP="00483E01">
            <w:pPr>
              <w:rPr>
                <w:rFonts w:cs="Arial"/>
                <w:b/>
                <w:u w:val="single"/>
              </w:rPr>
            </w:pPr>
          </w:p>
          <w:p w14:paraId="7E24F579" w14:textId="77777777" w:rsidR="0006502A" w:rsidRDefault="00483E01" w:rsidP="00483E01">
            <w:pPr>
              <w:rPr>
                <w:b/>
              </w:rPr>
            </w:pPr>
            <w:r>
              <w:rPr>
                <w:b/>
              </w:rPr>
              <w:lastRenderedPageBreak/>
              <w:t>General</w:t>
            </w:r>
          </w:p>
          <w:p w14:paraId="6AEA1AB1" w14:textId="77777777" w:rsidR="00D954AA" w:rsidRPr="00344FA1" w:rsidRDefault="00D954AA" w:rsidP="00483E01"/>
          <w:p w14:paraId="320EDC55" w14:textId="77777777" w:rsidR="00483E01" w:rsidRPr="002833D9" w:rsidRDefault="00483E01" w:rsidP="00483E01">
            <w:pPr>
              <w:rPr>
                <w:rFonts w:cs="Arial"/>
              </w:rPr>
            </w:pPr>
            <w:r w:rsidRPr="00E02CD1">
              <w:rPr>
                <w:rFonts w:cs="Arial"/>
              </w:rPr>
              <w:t>General eligibility requirements are set out in : the</w:t>
            </w:r>
            <w:r w:rsidRPr="00E02CD1">
              <w:t xml:space="preserve"> </w:t>
            </w:r>
            <w:r w:rsidRPr="00E02CD1">
              <w:rPr>
                <w:rFonts w:cs="Arial"/>
              </w:rPr>
              <w:t xml:space="preserve">European Social Fund Programme for England 2014-2020 National Eligibility Rules which can be found here: </w:t>
            </w:r>
            <w:hyperlink r:id="rId12" w:history="1">
              <w:r w:rsidRPr="00E02CD1">
                <w:rPr>
                  <w:rStyle w:val="Hyperlink"/>
                  <w:rFonts w:cs="Arial"/>
                  <w:sz w:val="24"/>
                  <w:szCs w:val="24"/>
                </w:rPr>
                <w:t>https://www.gov.uk/government/publications/european-structural-and-investment-funds-programme-guidance</w:t>
              </w:r>
            </w:hyperlink>
            <w:r>
              <w:rPr>
                <w:rFonts w:cs="Arial"/>
              </w:rPr>
              <w:t xml:space="preserve"> </w:t>
            </w:r>
          </w:p>
          <w:p w14:paraId="7F276F3C" w14:textId="77777777" w:rsidR="008E1C6A" w:rsidRDefault="008E1C6A" w:rsidP="00483E01">
            <w:pPr>
              <w:rPr>
                <w:rFonts w:cs="Arial"/>
              </w:rPr>
            </w:pPr>
          </w:p>
          <w:p w14:paraId="26E34024" w14:textId="77777777" w:rsidR="00483E01" w:rsidRPr="002833D9" w:rsidRDefault="00B62DD7" w:rsidP="00483E01">
            <w:pPr>
              <w:rPr>
                <w:rFonts w:cs="Arial"/>
              </w:rPr>
            </w:pPr>
            <w:r>
              <w:rPr>
                <w:rFonts w:cs="Arial"/>
              </w:rPr>
              <w:t xml:space="preserve">Please note LEP Specific requirements are subject to </w:t>
            </w:r>
            <w:r w:rsidR="00AC2E69">
              <w:rPr>
                <w:rFonts w:cs="Arial"/>
              </w:rPr>
              <w:t xml:space="preserve">the </w:t>
            </w:r>
            <w:r>
              <w:rPr>
                <w:rFonts w:cs="Arial"/>
              </w:rPr>
              <w:t>National Eligibility Rules</w:t>
            </w:r>
            <w:r w:rsidR="00A33B5E">
              <w:rPr>
                <w:rFonts w:cs="Arial"/>
              </w:rPr>
              <w:t xml:space="preserve"> detailed above</w:t>
            </w:r>
            <w:r>
              <w:rPr>
                <w:rFonts w:cs="Arial"/>
              </w:rPr>
              <w:t>.</w:t>
            </w:r>
          </w:p>
          <w:p w14:paraId="77207BEB" w14:textId="77777777" w:rsidR="00483E01" w:rsidRPr="002833D9" w:rsidRDefault="00483E01" w:rsidP="00483E01">
            <w:pPr>
              <w:rPr>
                <w:rFonts w:cs="Arial"/>
              </w:rPr>
            </w:pPr>
          </w:p>
          <w:p w14:paraId="343ED438" w14:textId="77777777" w:rsidR="00483E01" w:rsidRDefault="00483E01" w:rsidP="00483E01">
            <w:pPr>
              <w:autoSpaceDE w:val="0"/>
              <w:autoSpaceDN w:val="0"/>
              <w:adjustRightInd w:val="0"/>
              <w:rPr>
                <w:rFonts w:cs="Arial"/>
                <w:b/>
              </w:rPr>
            </w:pPr>
            <w:r>
              <w:rPr>
                <w:rFonts w:cs="Arial"/>
                <w:b/>
              </w:rPr>
              <w:t xml:space="preserve">LEP Specific </w:t>
            </w:r>
          </w:p>
          <w:p w14:paraId="696026E8" w14:textId="77777777" w:rsidR="00D954AA" w:rsidRPr="00F06A90" w:rsidRDefault="00D954AA" w:rsidP="00483E01">
            <w:pPr>
              <w:autoSpaceDE w:val="0"/>
              <w:autoSpaceDN w:val="0"/>
              <w:adjustRightInd w:val="0"/>
              <w:rPr>
                <w:rFonts w:cs="Arial"/>
                <w:b/>
              </w:rPr>
            </w:pPr>
          </w:p>
          <w:p w14:paraId="28C185D3" w14:textId="77777777" w:rsidR="002F2A4E" w:rsidRPr="00D954AA" w:rsidRDefault="002F2A4E" w:rsidP="002F2A4E">
            <w:pPr>
              <w:pStyle w:val="Bodycopy"/>
              <w:spacing w:after="0" w:line="240" w:lineRule="auto"/>
              <w:rPr>
                <w:rFonts w:ascii="Arial" w:hAnsi="Arial" w:cs="Arial"/>
                <w:sz w:val="24"/>
                <w:szCs w:val="24"/>
              </w:rPr>
            </w:pPr>
            <w:r w:rsidRPr="00D954AA">
              <w:rPr>
                <w:rFonts w:ascii="Arial" w:hAnsi="Arial" w:cs="Arial"/>
                <w:sz w:val="24"/>
                <w:szCs w:val="24"/>
              </w:rPr>
              <w:t xml:space="preserve">The generic activity will be available to all young people aged 15 to 24. </w:t>
            </w:r>
          </w:p>
          <w:p w14:paraId="2337A694" w14:textId="77777777" w:rsidR="002F2A4E" w:rsidRPr="00D954AA" w:rsidRDefault="002F2A4E" w:rsidP="002F2A4E">
            <w:pPr>
              <w:pStyle w:val="Bodycopy"/>
              <w:spacing w:after="0" w:line="240" w:lineRule="auto"/>
              <w:rPr>
                <w:rFonts w:ascii="Arial" w:hAnsi="Arial" w:cs="Arial"/>
                <w:sz w:val="24"/>
                <w:szCs w:val="24"/>
              </w:rPr>
            </w:pPr>
          </w:p>
          <w:p w14:paraId="28FE34B6" w14:textId="77777777" w:rsidR="002F2A4E" w:rsidRDefault="002F2A4E" w:rsidP="002F2A4E">
            <w:pPr>
              <w:pStyle w:val="Bodycopy"/>
              <w:spacing w:after="0" w:line="240" w:lineRule="auto"/>
              <w:rPr>
                <w:rFonts w:ascii="Arial" w:hAnsi="Arial" w:cs="Arial"/>
                <w:sz w:val="24"/>
                <w:szCs w:val="24"/>
              </w:rPr>
            </w:pPr>
            <w:r w:rsidRPr="00D954AA">
              <w:rPr>
                <w:rFonts w:ascii="Arial" w:hAnsi="Arial" w:cs="Arial"/>
                <w:sz w:val="24"/>
                <w:szCs w:val="24"/>
              </w:rPr>
              <w:t>In order to be eligible for the targeted activity , participants must fall under one or more of the following:</w:t>
            </w:r>
          </w:p>
          <w:p w14:paraId="3B3905C1" w14:textId="77777777" w:rsidR="00935D43" w:rsidRPr="00D954AA" w:rsidRDefault="00935D43" w:rsidP="002F2A4E">
            <w:pPr>
              <w:pStyle w:val="Bodycopy"/>
              <w:spacing w:after="0" w:line="240" w:lineRule="auto"/>
              <w:rPr>
                <w:rFonts w:ascii="Arial" w:hAnsi="Arial" w:cs="Arial"/>
                <w:sz w:val="24"/>
                <w:szCs w:val="24"/>
              </w:rPr>
            </w:pPr>
          </w:p>
          <w:p w14:paraId="159E9C93" w14:textId="77777777" w:rsidR="002F2A4E" w:rsidRPr="00D954AA" w:rsidRDefault="002F2A4E" w:rsidP="002F2A4E">
            <w:pPr>
              <w:pStyle w:val="bulletpoint1"/>
              <w:spacing w:after="0" w:line="240" w:lineRule="auto"/>
              <w:rPr>
                <w:rFonts w:ascii="Arial" w:hAnsi="Arial" w:cs="Arial"/>
                <w:sz w:val="24"/>
                <w:szCs w:val="24"/>
              </w:rPr>
            </w:pPr>
            <w:r w:rsidRPr="00D954AA">
              <w:rPr>
                <w:rFonts w:ascii="Arial" w:hAnsi="Arial" w:cs="Arial"/>
                <w:sz w:val="24"/>
                <w:szCs w:val="24"/>
              </w:rPr>
              <w:t>young people at age 15/16 who:</w:t>
            </w:r>
          </w:p>
          <w:p w14:paraId="00E9769E" w14:textId="77777777" w:rsidR="002F2A4E" w:rsidRPr="00D954AA" w:rsidRDefault="002F2A4E" w:rsidP="00E02CD1">
            <w:pPr>
              <w:pStyle w:val="ListParagraph"/>
              <w:numPr>
                <w:ilvl w:val="1"/>
                <w:numId w:val="14"/>
              </w:numPr>
              <w:ind w:left="1440"/>
              <w:contextualSpacing w:val="0"/>
              <w:rPr>
                <w:rFonts w:cs="Arial"/>
              </w:rPr>
            </w:pPr>
            <w:r w:rsidRPr="00D954AA">
              <w:rPr>
                <w:rFonts w:cs="Arial"/>
              </w:rPr>
              <w:t>are unclear about their progression pathway and/or</w:t>
            </w:r>
          </w:p>
          <w:p w14:paraId="17783C41" w14:textId="77777777" w:rsidR="002F2A4E" w:rsidRPr="00D954AA" w:rsidRDefault="002F2A4E" w:rsidP="00E02CD1">
            <w:pPr>
              <w:pStyle w:val="ListParagraph"/>
              <w:numPr>
                <w:ilvl w:val="1"/>
                <w:numId w:val="14"/>
              </w:numPr>
              <w:ind w:left="1440"/>
              <w:contextualSpacing w:val="0"/>
              <w:rPr>
                <w:rFonts w:cs="Arial"/>
              </w:rPr>
            </w:pPr>
            <w:r w:rsidRPr="00D954AA">
              <w:rPr>
                <w:rFonts w:cs="Arial"/>
              </w:rPr>
              <w:t xml:space="preserve">are in danger of failing to make an effective transition from school to further learning or work with training; </w:t>
            </w:r>
          </w:p>
          <w:p w14:paraId="7AAC4D92" w14:textId="77777777" w:rsidR="002F2A4E" w:rsidRPr="00D954AA" w:rsidRDefault="002F2A4E" w:rsidP="00E02CD1">
            <w:pPr>
              <w:pStyle w:val="ListParagraph"/>
              <w:numPr>
                <w:ilvl w:val="1"/>
                <w:numId w:val="14"/>
              </w:numPr>
              <w:ind w:left="697" w:hanging="357"/>
              <w:contextualSpacing w:val="0"/>
              <w:rPr>
                <w:rFonts w:cs="Arial"/>
              </w:rPr>
            </w:pPr>
            <w:r w:rsidRPr="00D954AA">
              <w:rPr>
                <w:rFonts w:cs="Arial"/>
              </w:rPr>
              <w:t xml:space="preserve">young people aged 16-24 who, having initially progressed into further learning/work with learning, drop out (because they have selected the wrong course, for example) and become transitionally NEET </w:t>
            </w:r>
          </w:p>
          <w:p w14:paraId="3F28DC14" w14:textId="77777777" w:rsidR="002F2A4E" w:rsidRPr="005C215D" w:rsidRDefault="002F2A4E" w:rsidP="00E02CD1">
            <w:pPr>
              <w:pStyle w:val="ListParagraph"/>
              <w:numPr>
                <w:ilvl w:val="1"/>
                <w:numId w:val="14"/>
              </w:numPr>
              <w:ind w:left="697" w:hanging="357"/>
              <w:contextualSpacing w:val="0"/>
              <w:rPr>
                <w:rFonts w:cs="Arial"/>
                <w:szCs w:val="22"/>
              </w:rPr>
            </w:pPr>
            <w:r w:rsidRPr="00D954AA">
              <w:rPr>
                <w:rFonts w:cs="Arial"/>
              </w:rPr>
              <w:t xml:space="preserve">people aged 16 to 24 supported through our City Deal programme of activity </w:t>
            </w:r>
          </w:p>
          <w:p w14:paraId="1D8FBB11" w14:textId="77777777" w:rsidR="00483E01" w:rsidRDefault="00483E01" w:rsidP="00483E01">
            <w:pPr>
              <w:autoSpaceDE w:val="0"/>
              <w:autoSpaceDN w:val="0"/>
              <w:adjustRightInd w:val="0"/>
              <w:rPr>
                <w:rFonts w:cs="Arial"/>
                <w:sz w:val="20"/>
                <w:szCs w:val="20"/>
              </w:rPr>
            </w:pPr>
          </w:p>
          <w:p w14:paraId="2E083FD0" w14:textId="77777777" w:rsidR="0096396B" w:rsidRPr="00B75993" w:rsidRDefault="0096396B" w:rsidP="0096396B">
            <w:pPr>
              <w:rPr>
                <w:rFonts w:ascii="Calibri" w:hAnsi="Calibri"/>
                <w:iCs/>
                <w:sz w:val="22"/>
                <w:szCs w:val="22"/>
              </w:rPr>
            </w:pPr>
            <w:r w:rsidRPr="00B75993">
              <w:rPr>
                <w:rFonts w:cs="Arial"/>
                <w:iCs/>
              </w:rPr>
              <w:t>In delivering the Services</w:t>
            </w:r>
            <w:r>
              <w:rPr>
                <w:rFonts w:cs="Arial"/>
                <w:iCs/>
              </w:rPr>
              <w:t>,</w:t>
            </w:r>
            <w:r w:rsidRPr="00B75993">
              <w:rPr>
                <w:rFonts w:cs="Arial"/>
                <w:iCs/>
              </w:rPr>
              <w:t xml:space="preserve"> the successful Candidate must take into account and support the targets for the following groups where this is consistent with the other Services requirements for addressing the needs of groups identified as priority and meeting the Services deliverables.</w:t>
            </w:r>
          </w:p>
          <w:p w14:paraId="0D84D0BA" w14:textId="77777777" w:rsidR="0096396B" w:rsidRDefault="0096396B" w:rsidP="00483E01">
            <w:pPr>
              <w:autoSpaceDE w:val="0"/>
              <w:autoSpaceDN w:val="0"/>
              <w:adjustRightInd w:val="0"/>
              <w:rPr>
                <w:rFonts w:cs="Arial"/>
                <w:sz w:val="20"/>
                <w:szCs w:val="20"/>
              </w:rPr>
            </w:pPr>
          </w:p>
          <w:p w14:paraId="3B4831F5" w14:textId="77777777" w:rsidR="002940EF" w:rsidRPr="002A3883" w:rsidRDefault="002940EF" w:rsidP="002940EF">
            <w:pPr>
              <w:rPr>
                <w:iCs/>
              </w:rPr>
            </w:pPr>
            <w:r w:rsidRPr="002A3883">
              <w:rPr>
                <w:rFonts w:cs="Arial"/>
                <w:iCs/>
              </w:rPr>
              <w:t>Ethnic groups                          min 20%</w:t>
            </w:r>
          </w:p>
          <w:p w14:paraId="5BB15B4B" w14:textId="77777777" w:rsidR="002940EF" w:rsidRPr="002A3883" w:rsidRDefault="002940EF" w:rsidP="002940EF">
            <w:pPr>
              <w:rPr>
                <w:iCs/>
              </w:rPr>
            </w:pPr>
            <w:r w:rsidRPr="002A3883">
              <w:rPr>
                <w:rFonts w:cs="Arial"/>
                <w:iCs/>
              </w:rPr>
              <w:t>Female                                    min 45%</w:t>
            </w:r>
          </w:p>
          <w:p w14:paraId="3E083D8A" w14:textId="77777777" w:rsidR="002940EF" w:rsidRPr="002A3883" w:rsidRDefault="002940EF" w:rsidP="002940EF">
            <w:pPr>
              <w:rPr>
                <w:iCs/>
              </w:rPr>
            </w:pPr>
            <w:r w:rsidRPr="002A3883">
              <w:rPr>
                <w:rFonts w:cs="Arial"/>
                <w:iCs/>
              </w:rPr>
              <w:t>Disability/health issues            min 10%</w:t>
            </w:r>
          </w:p>
          <w:p w14:paraId="5D2DA32F" w14:textId="77777777" w:rsidR="002940EF" w:rsidRPr="002A3883" w:rsidRDefault="002940EF" w:rsidP="002940EF">
            <w:pPr>
              <w:rPr>
                <w:iCs/>
              </w:rPr>
            </w:pPr>
            <w:r w:rsidRPr="002A3883">
              <w:rPr>
                <w:rFonts w:cs="Arial"/>
                <w:iCs/>
              </w:rPr>
              <w:t>Lone parents                           min 5%</w:t>
            </w:r>
          </w:p>
          <w:p w14:paraId="3ADA29ED" w14:textId="77777777" w:rsidR="002940EF" w:rsidRPr="002A3883" w:rsidRDefault="002940EF" w:rsidP="002940EF">
            <w:pPr>
              <w:rPr>
                <w:rFonts w:cs="Arial"/>
                <w:iCs/>
              </w:rPr>
            </w:pPr>
            <w:r w:rsidRPr="002A3883">
              <w:rPr>
                <w:rFonts w:cs="Arial"/>
                <w:iCs/>
              </w:rPr>
              <w:t>No basic skills                         min 18%</w:t>
            </w:r>
          </w:p>
          <w:p w14:paraId="5E87397F" w14:textId="77777777" w:rsidR="002F2A4E" w:rsidRPr="00344FA1" w:rsidRDefault="002F2A4E" w:rsidP="00E91422">
            <w:pPr>
              <w:autoSpaceDE w:val="0"/>
              <w:autoSpaceDN w:val="0"/>
              <w:adjustRightInd w:val="0"/>
              <w:rPr>
                <w:rFonts w:cs="Arial"/>
                <w:color w:val="000000"/>
              </w:rPr>
            </w:pPr>
          </w:p>
        </w:tc>
      </w:tr>
      <w:tr w:rsidR="00483E01" w:rsidRPr="00EF4406" w14:paraId="275D90BE" w14:textId="77777777" w:rsidTr="0046183D">
        <w:tc>
          <w:tcPr>
            <w:tcW w:w="9088" w:type="dxa"/>
            <w:shd w:val="clear" w:color="auto" w:fill="D9D9D9" w:themeFill="background1" w:themeFillShade="D9"/>
          </w:tcPr>
          <w:p w14:paraId="44DB2D16" w14:textId="77777777" w:rsidR="00483E01" w:rsidRPr="00A005EF" w:rsidRDefault="00483E01" w:rsidP="00483E01">
            <w:pPr>
              <w:spacing w:before="120" w:after="120"/>
              <w:rPr>
                <w:b/>
                <w:bCs/>
              </w:rPr>
            </w:pPr>
            <w:r w:rsidRPr="00A005EF">
              <w:rPr>
                <w:b/>
              </w:rPr>
              <w:lastRenderedPageBreak/>
              <w:t>GEOGRAPHY / AREA OF DELIVERY</w:t>
            </w:r>
          </w:p>
        </w:tc>
      </w:tr>
      <w:tr w:rsidR="00483E01" w:rsidRPr="0052695C" w14:paraId="594D59D6" w14:textId="77777777" w:rsidTr="0046183D">
        <w:trPr>
          <w:trHeight w:val="983"/>
        </w:trPr>
        <w:tc>
          <w:tcPr>
            <w:tcW w:w="9088" w:type="dxa"/>
          </w:tcPr>
          <w:p w14:paraId="4B868424" w14:textId="77777777" w:rsidR="00483E01" w:rsidRDefault="00483E01" w:rsidP="00483E01"/>
          <w:p w14:paraId="02883EFC" w14:textId="77777777" w:rsidR="00483E01" w:rsidRDefault="00483E01" w:rsidP="00483E01">
            <w:pPr>
              <w:rPr>
                <w:b/>
              </w:rPr>
            </w:pPr>
            <w:r>
              <w:rPr>
                <w:b/>
              </w:rPr>
              <w:t>LEP Specific</w:t>
            </w:r>
          </w:p>
          <w:p w14:paraId="3FE4FE39" w14:textId="77777777" w:rsidR="00935D43" w:rsidRDefault="00483E01" w:rsidP="00935D43">
            <w:pPr>
              <w:pStyle w:val="NormalWeb"/>
              <w:rPr>
                <w:rFonts w:ascii="Arial" w:hAnsi="Arial" w:cs="Arial"/>
              </w:rPr>
            </w:pPr>
            <w:r w:rsidRPr="00E02CD1">
              <w:rPr>
                <w:rFonts w:ascii="Arial" w:hAnsi="Arial" w:cs="Arial"/>
              </w:rPr>
              <w:t>The Service will be delivered within</w:t>
            </w:r>
            <w:r>
              <w:rPr>
                <w:rFonts w:cs="Arial"/>
              </w:rPr>
              <w:t xml:space="preserve"> </w:t>
            </w:r>
            <w:r w:rsidR="00D70A71">
              <w:rPr>
                <w:rFonts w:ascii="Arial" w:hAnsi="Arial" w:cs="Arial"/>
              </w:rPr>
              <w:t xml:space="preserve">the </w:t>
            </w:r>
            <w:r w:rsidR="00744CD5">
              <w:rPr>
                <w:rFonts w:ascii="Arial" w:hAnsi="Arial" w:cs="Arial"/>
              </w:rPr>
              <w:t>Solent</w:t>
            </w:r>
            <w:r w:rsidR="00D70A71">
              <w:rPr>
                <w:rFonts w:ascii="Arial" w:hAnsi="Arial" w:cs="Arial"/>
              </w:rPr>
              <w:t xml:space="preserve"> LEP area</w:t>
            </w:r>
            <w:r w:rsidR="00935D43">
              <w:rPr>
                <w:rFonts w:ascii="Arial" w:hAnsi="Arial" w:cs="Arial"/>
              </w:rPr>
              <w:t>.</w:t>
            </w:r>
          </w:p>
          <w:p w14:paraId="4EF99EC9" w14:textId="77777777" w:rsidR="00483E01" w:rsidRPr="00935D43" w:rsidRDefault="009B702B" w:rsidP="00935D43">
            <w:pPr>
              <w:pStyle w:val="NormalWeb"/>
              <w:rPr>
                <w:rFonts w:ascii="Arial" w:hAnsi="Arial" w:cs="Arial"/>
              </w:rPr>
            </w:pPr>
            <w:r>
              <w:t xml:space="preserve"> </w:t>
            </w:r>
          </w:p>
        </w:tc>
      </w:tr>
      <w:tr w:rsidR="00483E01" w:rsidRPr="00505117" w14:paraId="4852BCEF" w14:textId="77777777" w:rsidTr="0046183D">
        <w:trPr>
          <w:trHeight w:val="510"/>
        </w:trPr>
        <w:tc>
          <w:tcPr>
            <w:tcW w:w="9088" w:type="dxa"/>
            <w:shd w:val="clear" w:color="auto" w:fill="D9D9D9" w:themeFill="background1" w:themeFillShade="D9"/>
          </w:tcPr>
          <w:p w14:paraId="077C5843" w14:textId="77777777" w:rsidR="00483E01" w:rsidRPr="00A005EF" w:rsidRDefault="00483E01" w:rsidP="00483E01">
            <w:pPr>
              <w:spacing w:before="120" w:after="120"/>
              <w:rPr>
                <w:b/>
                <w:bCs/>
              </w:rPr>
            </w:pPr>
            <w:r w:rsidRPr="00A005EF">
              <w:rPr>
                <w:b/>
              </w:rPr>
              <w:lastRenderedPageBreak/>
              <w:t>FUNDING AND DELIVERABLES</w:t>
            </w:r>
          </w:p>
        </w:tc>
      </w:tr>
      <w:tr w:rsidR="00483E01" w:rsidRPr="00EF4406" w14:paraId="1FBA8E2B" w14:textId="77777777" w:rsidTr="0046183D">
        <w:trPr>
          <w:trHeight w:val="1408"/>
        </w:trPr>
        <w:tc>
          <w:tcPr>
            <w:tcW w:w="9088" w:type="dxa"/>
          </w:tcPr>
          <w:p w14:paraId="2926F850" w14:textId="77777777" w:rsidR="00483E01" w:rsidRDefault="00483E01" w:rsidP="00483E01">
            <w:pPr>
              <w:rPr>
                <w:rFonts w:cs="Arial"/>
              </w:rPr>
            </w:pPr>
          </w:p>
          <w:p w14:paraId="5710E695" w14:textId="77777777" w:rsidR="00483E01" w:rsidRPr="00E02CD1" w:rsidRDefault="00483E01" w:rsidP="002F2A4E">
            <w:pPr>
              <w:ind w:right="-82"/>
              <w:rPr>
                <w:rFonts w:cs="Arial"/>
              </w:rPr>
            </w:pPr>
            <w:r w:rsidRPr="00E02CD1">
              <w:rPr>
                <w:rFonts w:cs="Arial"/>
              </w:rPr>
              <w:t>Currently £</w:t>
            </w:r>
            <w:r w:rsidR="003327D0" w:rsidRPr="00E02CD1">
              <w:rPr>
                <w:rFonts w:cs="Arial"/>
              </w:rPr>
              <w:t>3</w:t>
            </w:r>
            <w:r w:rsidR="001E5BF8" w:rsidRPr="00E02CD1">
              <w:rPr>
                <w:rFonts w:cs="Arial"/>
              </w:rPr>
              <w:t>46,</w:t>
            </w:r>
            <w:r w:rsidR="00935D43">
              <w:rPr>
                <w:rFonts w:cs="Arial"/>
              </w:rPr>
              <w:t>75</w:t>
            </w:r>
            <w:r w:rsidR="00E02CD1">
              <w:rPr>
                <w:rFonts w:cs="Arial"/>
              </w:rPr>
              <w:t>0</w:t>
            </w:r>
            <w:r w:rsidRPr="00E02CD1">
              <w:rPr>
                <w:rFonts w:cs="Arial"/>
              </w:rPr>
              <w:t xml:space="preserve"> will be available for the period from </w:t>
            </w:r>
            <w:r w:rsidR="00935D43">
              <w:rPr>
                <w:rFonts w:cs="Arial"/>
              </w:rPr>
              <w:t>August</w:t>
            </w:r>
            <w:r w:rsidR="00E02CD1" w:rsidRPr="00E02CD1">
              <w:rPr>
                <w:rFonts w:cs="Arial"/>
              </w:rPr>
              <w:t xml:space="preserve"> </w:t>
            </w:r>
            <w:r w:rsidR="005D03F5" w:rsidRPr="00E02CD1">
              <w:rPr>
                <w:rFonts w:cs="Arial"/>
              </w:rPr>
              <w:t>201</w:t>
            </w:r>
            <w:r w:rsidR="00E02CD1" w:rsidRPr="00E02CD1">
              <w:rPr>
                <w:rFonts w:cs="Arial"/>
              </w:rPr>
              <w:t>6</w:t>
            </w:r>
            <w:r w:rsidRPr="00E02CD1">
              <w:rPr>
                <w:rFonts w:cs="Arial"/>
              </w:rPr>
              <w:t xml:space="preserve"> to </w:t>
            </w:r>
            <w:r w:rsidR="00E02CD1" w:rsidRPr="00E02CD1">
              <w:rPr>
                <w:rFonts w:cs="Arial"/>
              </w:rPr>
              <w:t xml:space="preserve">March </w:t>
            </w:r>
            <w:r w:rsidR="005D03F5" w:rsidRPr="00E02CD1">
              <w:rPr>
                <w:rFonts w:cs="Arial"/>
              </w:rPr>
              <w:t>2018</w:t>
            </w:r>
            <w:r w:rsidR="00D954AA">
              <w:rPr>
                <w:rFonts w:cs="Arial"/>
              </w:rPr>
              <w:t>.  T</w:t>
            </w:r>
            <w:r w:rsidRPr="00E02CD1">
              <w:rPr>
                <w:rFonts w:cs="Arial"/>
              </w:rPr>
              <w:t>his may be increased if additional funding becomes available.</w:t>
            </w:r>
          </w:p>
          <w:p w14:paraId="3E6AD3F2" w14:textId="77777777" w:rsidR="00483E01" w:rsidRDefault="00483E01" w:rsidP="00483E01">
            <w:pPr>
              <w:rPr>
                <w:b/>
              </w:rPr>
            </w:pPr>
          </w:p>
          <w:p w14:paraId="2351C162" w14:textId="77777777" w:rsidR="0096396B" w:rsidRDefault="0096396B" w:rsidP="0096396B">
            <w:pPr>
              <w:rPr>
                <w:rFonts w:cs="Arial"/>
              </w:rPr>
            </w:pPr>
            <w:r>
              <w:rPr>
                <w:rFonts w:cs="Arial"/>
              </w:rPr>
              <w:t xml:space="preserve">The tables below shows the initial planned outcomes, but performance management may change the volumes and mix during the life of the contract.  </w:t>
            </w:r>
          </w:p>
          <w:p w14:paraId="1274979C" w14:textId="77777777" w:rsidR="0096396B" w:rsidRPr="00E02CD1" w:rsidRDefault="0096396B" w:rsidP="00483E01">
            <w:pPr>
              <w:rPr>
                <w:b/>
              </w:rPr>
            </w:pPr>
          </w:p>
          <w:p w14:paraId="1DE8E855" w14:textId="77777777" w:rsidR="004544E2" w:rsidRDefault="00483E01" w:rsidP="000036E7">
            <w:pPr>
              <w:autoSpaceDE w:val="0"/>
              <w:autoSpaceDN w:val="0"/>
              <w:adjustRightInd w:val="0"/>
              <w:rPr>
                <w:rFonts w:cs="Arial"/>
              </w:rPr>
            </w:pPr>
            <w:r w:rsidRPr="00E02CD1">
              <w:rPr>
                <w:rFonts w:cs="Arial"/>
              </w:rPr>
              <w:t>The minimum service deliverables, values and volumes for which evidence must be provided are:</w:t>
            </w:r>
          </w:p>
          <w:p w14:paraId="0B25C240" w14:textId="77777777" w:rsidR="00D954AA" w:rsidRDefault="00D954AA" w:rsidP="000036E7">
            <w:pPr>
              <w:autoSpaceDE w:val="0"/>
              <w:autoSpaceDN w:val="0"/>
              <w:adjustRightInd w:val="0"/>
              <w:rPr>
                <w:rFonts w:cs="Arial"/>
              </w:rPr>
            </w:pPr>
          </w:p>
          <w:tbl>
            <w:tblPr>
              <w:tblW w:w="8529" w:type="dxa"/>
              <w:tblLayout w:type="fixed"/>
              <w:tblLook w:val="04A0" w:firstRow="1" w:lastRow="0" w:firstColumn="1" w:lastColumn="0" w:noHBand="0" w:noVBand="1"/>
            </w:tblPr>
            <w:tblGrid>
              <w:gridCol w:w="3993"/>
              <w:gridCol w:w="1276"/>
              <w:gridCol w:w="1843"/>
              <w:gridCol w:w="1417"/>
            </w:tblGrid>
            <w:tr w:rsidR="00D954AA" w:rsidRPr="00D954AA" w14:paraId="203EF4FA" w14:textId="77777777" w:rsidTr="00D954AA">
              <w:trPr>
                <w:trHeight w:val="636"/>
              </w:trPr>
              <w:tc>
                <w:tcPr>
                  <w:tcW w:w="399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299BBA9" w14:textId="77777777" w:rsidR="00D954AA" w:rsidRPr="00D954AA" w:rsidRDefault="00D954AA" w:rsidP="00D954AA">
                  <w:pPr>
                    <w:rPr>
                      <w:rFonts w:cs="Arial"/>
                      <w:b/>
                      <w:bCs/>
                      <w:color w:val="000000"/>
                      <w:sz w:val="20"/>
                      <w:szCs w:val="20"/>
                      <w:lang w:eastAsia="en-GB"/>
                    </w:rPr>
                  </w:pPr>
                  <w:r w:rsidRPr="00D954AA">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EC114E5" w14:textId="77777777" w:rsidR="00D954AA" w:rsidRPr="00D954AA" w:rsidRDefault="00D954AA" w:rsidP="00D954AA">
                  <w:pPr>
                    <w:jc w:val="center"/>
                    <w:rPr>
                      <w:rFonts w:cs="Arial"/>
                      <w:b/>
                      <w:bCs/>
                      <w:color w:val="000000"/>
                      <w:sz w:val="20"/>
                      <w:szCs w:val="20"/>
                      <w:lang w:eastAsia="en-GB"/>
                    </w:rPr>
                  </w:pPr>
                  <w:r w:rsidRPr="00D954AA">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04B4824" w14:textId="77777777" w:rsidR="00D954AA" w:rsidRPr="00D954AA" w:rsidRDefault="00D954AA" w:rsidP="00D954AA">
                  <w:pPr>
                    <w:jc w:val="center"/>
                    <w:rPr>
                      <w:rFonts w:cs="Arial"/>
                      <w:b/>
                      <w:bCs/>
                      <w:color w:val="000000"/>
                      <w:sz w:val="20"/>
                      <w:szCs w:val="20"/>
                      <w:lang w:eastAsia="en-GB"/>
                    </w:rPr>
                  </w:pPr>
                  <w:r w:rsidRPr="00D954AA">
                    <w:rPr>
                      <w:rFonts w:cs="Arial"/>
                      <w:b/>
                      <w:bCs/>
                      <w:color w:val="000000"/>
                      <w:sz w:val="20"/>
                      <w:szCs w:val="20"/>
                      <w:lang w:eastAsia="en-GB"/>
                    </w:rPr>
                    <w:t>Unit Cost Total Value Average per Intervention</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31B7AB4" w14:textId="77777777" w:rsidR="00D954AA" w:rsidRPr="00D954AA" w:rsidRDefault="00D954AA" w:rsidP="00D954AA">
                  <w:pPr>
                    <w:jc w:val="center"/>
                    <w:rPr>
                      <w:rFonts w:cs="Arial"/>
                      <w:b/>
                      <w:bCs/>
                      <w:color w:val="000000"/>
                      <w:sz w:val="20"/>
                      <w:szCs w:val="20"/>
                      <w:lang w:eastAsia="en-GB"/>
                    </w:rPr>
                  </w:pPr>
                  <w:r w:rsidRPr="00D954AA">
                    <w:rPr>
                      <w:rFonts w:cs="Arial"/>
                      <w:b/>
                      <w:bCs/>
                      <w:color w:val="000000"/>
                      <w:sz w:val="20"/>
                      <w:szCs w:val="20"/>
                      <w:lang w:eastAsia="en-GB"/>
                    </w:rPr>
                    <w:t>£</w:t>
                  </w:r>
                </w:p>
              </w:tc>
            </w:tr>
            <w:tr w:rsidR="00D954AA" w:rsidRPr="00D954AA" w14:paraId="3F0270F4" w14:textId="77777777" w:rsidTr="00D954AA">
              <w:trPr>
                <w:trHeight w:val="557"/>
              </w:trPr>
              <w:tc>
                <w:tcPr>
                  <w:tcW w:w="39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48ED65"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AC7F59C"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250</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264B2B"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£215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C1EA73B"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£53,750</w:t>
                  </w:r>
                </w:p>
              </w:tc>
            </w:tr>
            <w:tr w:rsidR="00D954AA" w:rsidRPr="00D954AA" w14:paraId="00C3C35C" w14:textId="77777777" w:rsidTr="00D954AA">
              <w:trPr>
                <w:trHeight w:val="557"/>
              </w:trPr>
              <w:tc>
                <w:tcPr>
                  <w:tcW w:w="399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BB4177B"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5B788" w14:textId="77777777" w:rsidR="00D954AA" w:rsidRPr="00D954AA" w:rsidRDefault="00D954AA" w:rsidP="00D954AA">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E9AD2" w14:textId="77777777" w:rsidR="00D954AA" w:rsidRPr="00D954AA" w:rsidRDefault="00D954AA" w:rsidP="00D954AA">
                  <w:pPr>
                    <w:jc w:val="center"/>
                    <w:rPr>
                      <w:rFonts w:cs="Arial"/>
                      <w:color w:val="000000"/>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64FE4"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£112,500</w:t>
                  </w:r>
                </w:p>
              </w:tc>
            </w:tr>
            <w:tr w:rsidR="00D954AA" w:rsidRPr="00D954AA" w14:paraId="719B8045" w14:textId="77777777" w:rsidTr="00D954AA">
              <w:trPr>
                <w:trHeight w:val="564"/>
              </w:trPr>
              <w:tc>
                <w:tcPr>
                  <w:tcW w:w="39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12A589E"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968816" w14:textId="77777777" w:rsidR="00D954AA" w:rsidRPr="00D954AA" w:rsidRDefault="00D954AA" w:rsidP="00D954AA">
                  <w:pPr>
                    <w:jc w:val="center"/>
                    <w:rPr>
                      <w:rFonts w:cs="Arial"/>
                      <w:sz w:val="20"/>
                      <w:szCs w:val="20"/>
                      <w:lang w:eastAsia="en-GB"/>
                    </w:rPr>
                  </w:pPr>
                  <w:r w:rsidRPr="00D954AA">
                    <w:rPr>
                      <w:rFonts w:cs="Arial"/>
                      <w:sz w:val="20"/>
                      <w:szCs w:val="20"/>
                      <w:lang w:eastAsia="en-GB"/>
                    </w:rPr>
                    <w:t>50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EF5530"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£800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DA3D7D2"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£40,000</w:t>
                  </w:r>
                </w:p>
              </w:tc>
            </w:tr>
            <w:tr w:rsidR="00D954AA" w:rsidRPr="00D954AA" w14:paraId="6F78D4B9" w14:textId="77777777" w:rsidTr="00D954AA">
              <w:trPr>
                <w:trHeight w:val="558"/>
              </w:trPr>
              <w:tc>
                <w:tcPr>
                  <w:tcW w:w="399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94CBA7"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5B7C8"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86613"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A865"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£60,000</w:t>
                  </w:r>
                </w:p>
              </w:tc>
            </w:tr>
            <w:tr w:rsidR="00D954AA" w:rsidRPr="00D954AA" w14:paraId="1D4E48AE" w14:textId="77777777" w:rsidTr="00D954AA">
              <w:trPr>
                <w:trHeight w:val="552"/>
              </w:trPr>
              <w:tc>
                <w:tcPr>
                  <w:tcW w:w="39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985B997"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PG03 Progression Education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2D9D69" w14:textId="77777777" w:rsidR="00D954AA" w:rsidRPr="00D954AA" w:rsidRDefault="00D954AA" w:rsidP="00D954AA">
                  <w:pPr>
                    <w:jc w:val="center"/>
                    <w:rPr>
                      <w:rFonts w:cs="Arial"/>
                      <w:sz w:val="20"/>
                      <w:szCs w:val="20"/>
                      <w:lang w:eastAsia="en-GB"/>
                    </w:rPr>
                  </w:pPr>
                  <w:r w:rsidRPr="00D954AA">
                    <w:rPr>
                      <w:rFonts w:cs="Arial"/>
                      <w:sz w:val="20"/>
                      <w:szCs w:val="20"/>
                      <w:lang w:eastAsia="en-GB"/>
                    </w:rPr>
                    <w:t>50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2FCB0E3"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£400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1AFC4F"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£20,000</w:t>
                  </w:r>
                </w:p>
              </w:tc>
            </w:tr>
            <w:tr w:rsidR="00D954AA" w:rsidRPr="00D954AA" w14:paraId="73C1AFAE" w14:textId="77777777" w:rsidTr="00D954AA">
              <w:trPr>
                <w:trHeight w:val="551"/>
              </w:trPr>
              <w:tc>
                <w:tcPr>
                  <w:tcW w:w="3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F46F6DA"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PG05 Progression Traineeship (EDU)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8F983" w14:textId="77777777" w:rsidR="00D954AA" w:rsidRPr="00D954AA" w:rsidRDefault="00D954AA" w:rsidP="00D954AA">
                  <w:pPr>
                    <w:jc w:val="center"/>
                    <w:rPr>
                      <w:rFonts w:cs="Arial"/>
                      <w:sz w:val="20"/>
                      <w:szCs w:val="20"/>
                      <w:lang w:eastAsia="en-GB"/>
                    </w:rPr>
                  </w:pPr>
                  <w:r w:rsidRPr="00D954AA">
                    <w:rPr>
                      <w:rFonts w:cs="Arial"/>
                      <w:sz w:val="20"/>
                      <w:szCs w:val="20"/>
                      <w:lang w:eastAsia="en-GB"/>
                    </w:rPr>
                    <w:t>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8FB24"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8B23"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£20,000</w:t>
                  </w:r>
                </w:p>
              </w:tc>
            </w:tr>
            <w:tr w:rsidR="00D954AA" w:rsidRPr="00D954AA" w14:paraId="5DF2DAFC" w14:textId="77777777" w:rsidTr="00D954AA">
              <w:trPr>
                <w:trHeight w:val="545"/>
              </w:trPr>
              <w:tc>
                <w:tcPr>
                  <w:tcW w:w="3993"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87D8AB0"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PG02 Progression Unpaid Employment (VOL)</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33E721B" w14:textId="77777777" w:rsidR="00D954AA" w:rsidRPr="00D954AA" w:rsidRDefault="00D954AA" w:rsidP="00D954AA">
                  <w:pPr>
                    <w:jc w:val="center"/>
                    <w:rPr>
                      <w:rFonts w:cs="Arial"/>
                      <w:sz w:val="20"/>
                      <w:szCs w:val="20"/>
                      <w:lang w:eastAsia="en-GB"/>
                    </w:rPr>
                  </w:pPr>
                  <w:r w:rsidRPr="00D954AA">
                    <w:rPr>
                      <w:rFonts w:cs="Arial"/>
                      <w:sz w:val="20"/>
                      <w:szCs w:val="20"/>
                      <w:lang w:eastAsia="en-GB"/>
                    </w:rPr>
                    <w:t>50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AC4C6C"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£100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FCCA89"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£5,000</w:t>
                  </w:r>
                </w:p>
              </w:tc>
            </w:tr>
            <w:tr w:rsidR="00D954AA" w:rsidRPr="00D954AA" w14:paraId="6B6B273C" w14:textId="77777777" w:rsidTr="00D954AA">
              <w:trPr>
                <w:trHeight w:val="568"/>
              </w:trPr>
              <w:tc>
                <w:tcPr>
                  <w:tcW w:w="399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8C7E0FE"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SD01 Employer led sessions in schools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F5C3F" w14:textId="77777777" w:rsidR="00D954AA" w:rsidRPr="00D954AA" w:rsidRDefault="00D954AA" w:rsidP="00D954AA">
                  <w:pPr>
                    <w:jc w:val="center"/>
                    <w:rPr>
                      <w:rFonts w:cs="Arial"/>
                      <w:sz w:val="20"/>
                      <w:szCs w:val="20"/>
                      <w:lang w:eastAsia="en-GB"/>
                    </w:rPr>
                  </w:pPr>
                  <w:r w:rsidRPr="00D954AA">
                    <w:rPr>
                      <w:rFonts w:cs="Arial"/>
                      <w:sz w:val="20"/>
                      <w:szCs w:val="20"/>
                      <w:lang w:eastAsia="en-GB"/>
                    </w:rPr>
                    <w:t>71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ACE9"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402E"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£35,500</w:t>
                  </w:r>
                </w:p>
              </w:tc>
            </w:tr>
            <w:tr w:rsidR="00D954AA" w:rsidRPr="00D954AA" w14:paraId="54A512AD" w14:textId="77777777" w:rsidTr="00D954AA">
              <w:trPr>
                <w:trHeight w:val="450"/>
              </w:trPr>
              <w:tc>
                <w:tcPr>
                  <w:tcW w:w="39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8CD12D3" w14:textId="77777777" w:rsidR="00D954AA" w:rsidRPr="00D954AA" w:rsidRDefault="00D954AA" w:rsidP="00D954AA">
                  <w:pPr>
                    <w:rPr>
                      <w:rFonts w:cs="Arial"/>
                      <w:color w:val="000000"/>
                      <w:sz w:val="20"/>
                      <w:szCs w:val="20"/>
                      <w:lang w:eastAsia="en-GB"/>
                    </w:rPr>
                  </w:pPr>
                  <w:r w:rsidRPr="00D954AA">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57DD07" w14:textId="77777777" w:rsidR="00D954AA" w:rsidRPr="00D954AA" w:rsidRDefault="00D954AA" w:rsidP="00D954AA">
                  <w:pPr>
                    <w:jc w:val="center"/>
                    <w:rPr>
                      <w:rFonts w:cs="Arial"/>
                      <w:sz w:val="20"/>
                      <w:szCs w:val="20"/>
                      <w:lang w:eastAsia="en-GB"/>
                    </w:rPr>
                  </w:pPr>
                  <w:r w:rsidRPr="00D954AA">
                    <w:rPr>
                      <w:rFonts w:cs="Arial"/>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72E1C"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340B679" w14:textId="77777777" w:rsidR="00D954AA" w:rsidRPr="00D954AA" w:rsidRDefault="00D954AA" w:rsidP="00D954AA">
                  <w:pPr>
                    <w:jc w:val="center"/>
                    <w:rPr>
                      <w:rFonts w:cs="Arial"/>
                      <w:color w:val="000000"/>
                      <w:sz w:val="20"/>
                      <w:szCs w:val="20"/>
                      <w:lang w:eastAsia="en-GB"/>
                    </w:rPr>
                  </w:pPr>
                  <w:r w:rsidRPr="00D954AA">
                    <w:rPr>
                      <w:rFonts w:cs="Arial"/>
                      <w:color w:val="000000"/>
                      <w:sz w:val="20"/>
                      <w:szCs w:val="20"/>
                      <w:lang w:eastAsia="en-GB"/>
                    </w:rPr>
                    <w:t>£346,750</w:t>
                  </w:r>
                </w:p>
              </w:tc>
            </w:tr>
          </w:tbl>
          <w:p w14:paraId="5BCA6511" w14:textId="77777777" w:rsidR="00D954AA" w:rsidRDefault="00D954AA" w:rsidP="000036E7">
            <w:pPr>
              <w:autoSpaceDE w:val="0"/>
              <w:autoSpaceDN w:val="0"/>
              <w:adjustRightInd w:val="0"/>
              <w:rPr>
                <w:rFonts w:cs="Arial"/>
              </w:rPr>
            </w:pPr>
          </w:p>
          <w:p w14:paraId="7E941E6E" w14:textId="77777777" w:rsidR="00D954AA" w:rsidRDefault="00D954AA" w:rsidP="000036E7">
            <w:pPr>
              <w:autoSpaceDE w:val="0"/>
              <w:autoSpaceDN w:val="0"/>
              <w:adjustRightInd w:val="0"/>
              <w:rPr>
                <w:rFonts w:cs="Arial"/>
              </w:rPr>
            </w:pPr>
          </w:p>
          <w:p w14:paraId="13605953" w14:textId="77777777" w:rsidR="00D954AA" w:rsidRDefault="00D954AA" w:rsidP="000036E7">
            <w:pPr>
              <w:autoSpaceDE w:val="0"/>
              <w:autoSpaceDN w:val="0"/>
              <w:adjustRightInd w:val="0"/>
              <w:rPr>
                <w:rFonts w:cs="Arial"/>
              </w:rPr>
            </w:pPr>
          </w:p>
          <w:p w14:paraId="724F8643" w14:textId="77777777" w:rsidR="00D954AA" w:rsidRDefault="00D954AA" w:rsidP="000036E7">
            <w:pPr>
              <w:autoSpaceDE w:val="0"/>
              <w:autoSpaceDN w:val="0"/>
              <w:adjustRightInd w:val="0"/>
              <w:rPr>
                <w:rFonts w:cs="Arial"/>
              </w:rPr>
            </w:pPr>
          </w:p>
          <w:p w14:paraId="6FDEB29F" w14:textId="77777777" w:rsidR="00D954AA" w:rsidRDefault="00D954AA" w:rsidP="000036E7">
            <w:pPr>
              <w:autoSpaceDE w:val="0"/>
              <w:autoSpaceDN w:val="0"/>
              <w:adjustRightInd w:val="0"/>
              <w:rPr>
                <w:rFonts w:cs="Arial"/>
                <w:b/>
              </w:rPr>
            </w:pPr>
          </w:p>
          <w:p w14:paraId="4D776862" w14:textId="77777777" w:rsidR="004544E2" w:rsidRDefault="004544E2" w:rsidP="002F2A4E">
            <w:pPr>
              <w:rPr>
                <w:rFonts w:cs="Arial"/>
                <w:b/>
              </w:rPr>
            </w:pPr>
          </w:p>
          <w:p w14:paraId="78EC63B8" w14:textId="77777777" w:rsidR="004544E2" w:rsidRPr="00DB2FA1" w:rsidRDefault="004544E2" w:rsidP="002F2A4E">
            <w:pPr>
              <w:rPr>
                <w:rFonts w:cs="Arial"/>
                <w:b/>
              </w:rPr>
            </w:pPr>
          </w:p>
        </w:tc>
      </w:tr>
    </w:tbl>
    <w:p w14:paraId="52ECD911" w14:textId="77777777" w:rsidR="00A005EF" w:rsidRDefault="00A005EF" w:rsidP="00717265">
      <w:bookmarkStart w:id="0" w:name="_GoBack"/>
      <w:bookmarkEnd w:id="0"/>
    </w:p>
    <w:sectPr w:rsidR="00A005EF" w:rsidSect="00BD4035">
      <w:headerReference w:type="default" r:id="rId13"/>
      <w:footerReference w:type="default" r:id="rId14"/>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56BC3" w14:textId="77777777" w:rsidR="002D248A" w:rsidRDefault="002D248A">
      <w:r>
        <w:separator/>
      </w:r>
    </w:p>
  </w:endnote>
  <w:endnote w:type="continuationSeparator" w:id="0">
    <w:p w14:paraId="605A7D73" w14:textId="77777777" w:rsidR="002D248A" w:rsidRDefault="002D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0C52C73" w14:textId="77777777" w:rsidR="008441FE" w:rsidRDefault="008441FE">
        <w:pPr>
          <w:pStyle w:val="Footer"/>
          <w:jc w:val="right"/>
        </w:pPr>
        <w:r>
          <w:fldChar w:fldCharType="begin"/>
        </w:r>
        <w:r>
          <w:instrText xml:space="preserve"> PAGE   \* MERGEFORMAT </w:instrText>
        </w:r>
        <w:r>
          <w:fldChar w:fldCharType="separate"/>
        </w:r>
        <w:r w:rsidR="00717265">
          <w:rPr>
            <w:noProof/>
          </w:rPr>
          <w:t>10</w:t>
        </w:r>
        <w:r>
          <w:rPr>
            <w:noProof/>
          </w:rPr>
          <w:fldChar w:fldCharType="end"/>
        </w:r>
      </w:p>
    </w:sdtContent>
  </w:sdt>
  <w:p w14:paraId="4747057B" w14:textId="77777777" w:rsidR="008441FE" w:rsidRDefault="00844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3729E" w14:textId="77777777" w:rsidR="002D248A" w:rsidRDefault="002D248A">
      <w:r>
        <w:separator/>
      </w:r>
    </w:p>
  </w:footnote>
  <w:footnote w:type="continuationSeparator" w:id="0">
    <w:p w14:paraId="1FD60FF0" w14:textId="77777777" w:rsidR="002D248A" w:rsidRDefault="002D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C1240" w14:textId="706752B3" w:rsidR="00EA3A87" w:rsidRDefault="002D248A">
    <w:pPr>
      <w:pStyle w:val="Header"/>
    </w:pPr>
    <w:sdt>
      <w:sdtPr>
        <w:id w:val="1206606804"/>
        <w:docPartObj>
          <w:docPartGallery w:val="Watermarks"/>
          <w:docPartUnique/>
        </w:docPartObj>
      </w:sdtPr>
      <w:sdtEndPr/>
      <w:sdtContent>
        <w:r>
          <w:rPr>
            <w:noProof/>
            <w:lang w:val="en-US"/>
          </w:rPr>
          <w:pict w14:anchorId="4C12A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63451" w:rsidRPr="00863451">
      <w:rPr>
        <w:noProof/>
        <w:lang w:eastAsia="en-GB"/>
      </w:rPr>
      <w:t xml:space="preserve"> </w:t>
    </w:r>
    <w:r w:rsidR="00863451">
      <w:rPr>
        <w:noProof/>
        <w:lang w:eastAsia="en-GB"/>
      </w:rPr>
      <w:drawing>
        <wp:inline distT="0" distB="0" distL="0" distR="0" wp14:anchorId="0B9BD47C" wp14:editId="74335596">
          <wp:extent cx="1809750" cy="1085850"/>
          <wp:effectExtent l="19050" t="0" r="0" b="0"/>
          <wp:docPr id="2"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sidR="00863451">
      <w:tab/>
    </w:r>
    <w:r w:rsidR="00863451">
      <w:tab/>
    </w:r>
    <w:r w:rsidR="00863451" w:rsidRPr="00863451">
      <w:rPr>
        <w:noProof/>
        <w:lang w:eastAsia="en-GB"/>
      </w:rPr>
      <w:t xml:space="preserve"> </w:t>
    </w:r>
    <w:r w:rsidR="00863451">
      <w:rPr>
        <w:noProof/>
        <w:lang w:eastAsia="en-GB"/>
      </w:rPr>
      <w:drawing>
        <wp:inline distT="0" distB="0" distL="0" distR="0" wp14:anchorId="6383F205" wp14:editId="57E8851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41A08BE"/>
    <w:multiLevelType w:val="multilevel"/>
    <w:tmpl w:val="2BA48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B0168CE"/>
    <w:multiLevelType w:val="hybridMultilevel"/>
    <w:tmpl w:val="D44C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F261EB1"/>
    <w:multiLevelType w:val="hybridMultilevel"/>
    <w:tmpl w:val="78D87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C083E"/>
    <w:multiLevelType w:val="hybridMultilevel"/>
    <w:tmpl w:val="12D834F0"/>
    <w:lvl w:ilvl="0" w:tplc="08090001">
      <w:start w:val="1"/>
      <w:numFmt w:val="bullet"/>
      <w:lvlText w:val=""/>
      <w:lvlJc w:val="left"/>
      <w:pPr>
        <w:ind w:left="-1000" w:hanging="360"/>
      </w:pPr>
      <w:rPr>
        <w:rFonts w:ascii="Symbol" w:hAnsi="Symbol" w:hint="default"/>
      </w:rPr>
    </w:lvl>
    <w:lvl w:ilvl="1" w:tplc="1ECCEC8A">
      <w:numFmt w:val="bullet"/>
      <w:lvlText w:val="•"/>
      <w:lvlJc w:val="left"/>
      <w:pPr>
        <w:ind w:left="-280" w:hanging="360"/>
      </w:pPr>
      <w:rPr>
        <w:rFonts w:ascii="HelveticaNeue" w:eastAsia="Times New Roman" w:hAnsi="HelveticaNeue" w:cs="HelveticaNeue" w:hint="default"/>
      </w:rPr>
    </w:lvl>
    <w:lvl w:ilvl="2" w:tplc="08090005" w:tentative="1">
      <w:start w:val="1"/>
      <w:numFmt w:val="bullet"/>
      <w:lvlText w:val=""/>
      <w:lvlJc w:val="left"/>
      <w:pPr>
        <w:ind w:left="440" w:hanging="360"/>
      </w:pPr>
      <w:rPr>
        <w:rFonts w:ascii="Wingdings" w:hAnsi="Wingdings" w:hint="default"/>
      </w:rPr>
    </w:lvl>
    <w:lvl w:ilvl="3" w:tplc="08090001" w:tentative="1">
      <w:start w:val="1"/>
      <w:numFmt w:val="bullet"/>
      <w:lvlText w:val=""/>
      <w:lvlJc w:val="left"/>
      <w:pPr>
        <w:ind w:left="1160" w:hanging="360"/>
      </w:pPr>
      <w:rPr>
        <w:rFonts w:ascii="Symbol" w:hAnsi="Symbol" w:hint="default"/>
      </w:rPr>
    </w:lvl>
    <w:lvl w:ilvl="4" w:tplc="08090003" w:tentative="1">
      <w:start w:val="1"/>
      <w:numFmt w:val="bullet"/>
      <w:lvlText w:val="o"/>
      <w:lvlJc w:val="left"/>
      <w:pPr>
        <w:ind w:left="1880" w:hanging="360"/>
      </w:pPr>
      <w:rPr>
        <w:rFonts w:ascii="Courier New" w:hAnsi="Courier New" w:cs="Courier New" w:hint="default"/>
      </w:rPr>
    </w:lvl>
    <w:lvl w:ilvl="5" w:tplc="08090005" w:tentative="1">
      <w:start w:val="1"/>
      <w:numFmt w:val="bullet"/>
      <w:lvlText w:val=""/>
      <w:lvlJc w:val="left"/>
      <w:pPr>
        <w:ind w:left="2600" w:hanging="360"/>
      </w:pPr>
      <w:rPr>
        <w:rFonts w:ascii="Wingdings" w:hAnsi="Wingdings" w:hint="default"/>
      </w:rPr>
    </w:lvl>
    <w:lvl w:ilvl="6" w:tplc="08090001" w:tentative="1">
      <w:start w:val="1"/>
      <w:numFmt w:val="bullet"/>
      <w:lvlText w:val=""/>
      <w:lvlJc w:val="left"/>
      <w:pPr>
        <w:ind w:left="3320" w:hanging="360"/>
      </w:pPr>
      <w:rPr>
        <w:rFonts w:ascii="Symbol" w:hAnsi="Symbol" w:hint="default"/>
      </w:rPr>
    </w:lvl>
    <w:lvl w:ilvl="7" w:tplc="08090003" w:tentative="1">
      <w:start w:val="1"/>
      <w:numFmt w:val="bullet"/>
      <w:lvlText w:val="o"/>
      <w:lvlJc w:val="left"/>
      <w:pPr>
        <w:ind w:left="4040" w:hanging="360"/>
      </w:pPr>
      <w:rPr>
        <w:rFonts w:ascii="Courier New" w:hAnsi="Courier New" w:cs="Courier New" w:hint="default"/>
      </w:rPr>
    </w:lvl>
    <w:lvl w:ilvl="8" w:tplc="08090005" w:tentative="1">
      <w:start w:val="1"/>
      <w:numFmt w:val="bullet"/>
      <w:lvlText w:val=""/>
      <w:lvlJc w:val="left"/>
      <w:pPr>
        <w:ind w:left="4760" w:hanging="360"/>
      </w:pPr>
      <w:rPr>
        <w:rFonts w:ascii="Wingdings" w:hAnsi="Wingdings" w:hint="default"/>
      </w:rPr>
    </w:lvl>
  </w:abstractNum>
  <w:abstractNum w:abstractNumId="9" w15:restartNumberingAfterBreak="0">
    <w:nsid w:val="265B3785"/>
    <w:multiLevelType w:val="hybridMultilevel"/>
    <w:tmpl w:val="6D28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5C6798"/>
    <w:multiLevelType w:val="hybridMultilevel"/>
    <w:tmpl w:val="EB0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840446"/>
    <w:multiLevelType w:val="hybridMultilevel"/>
    <w:tmpl w:val="9C308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C47665"/>
    <w:multiLevelType w:val="hybridMultilevel"/>
    <w:tmpl w:val="911A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6"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15"/>
  </w:num>
  <w:num w:numId="4">
    <w:abstractNumId w:val="15"/>
  </w:num>
  <w:num w:numId="5">
    <w:abstractNumId w:val="4"/>
  </w:num>
  <w:num w:numId="6">
    <w:abstractNumId w:val="0"/>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10"/>
  </w:num>
  <w:num w:numId="11">
    <w:abstractNumId w:val="14"/>
  </w:num>
  <w:num w:numId="12">
    <w:abstractNumId w:val="9"/>
  </w:num>
  <w:num w:numId="13">
    <w:abstractNumId w:val="7"/>
  </w:num>
  <w:num w:numId="14">
    <w:abstractNumId w:val="8"/>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 w:numId="23">
    <w:abstractNumId w:val="1"/>
  </w:num>
  <w:num w:numId="2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6E7"/>
    <w:rsid w:val="0000772D"/>
    <w:rsid w:val="000102C7"/>
    <w:rsid w:val="00014B4D"/>
    <w:rsid w:val="000241A5"/>
    <w:rsid w:val="00025309"/>
    <w:rsid w:val="00025EF8"/>
    <w:rsid w:val="000262AC"/>
    <w:rsid w:val="000304B2"/>
    <w:rsid w:val="00033BE9"/>
    <w:rsid w:val="000419AD"/>
    <w:rsid w:val="000426C3"/>
    <w:rsid w:val="00044B29"/>
    <w:rsid w:val="000457C3"/>
    <w:rsid w:val="00045DF4"/>
    <w:rsid w:val="000540AC"/>
    <w:rsid w:val="00055B31"/>
    <w:rsid w:val="00061405"/>
    <w:rsid w:val="000616F5"/>
    <w:rsid w:val="0006502A"/>
    <w:rsid w:val="0006724D"/>
    <w:rsid w:val="0007093F"/>
    <w:rsid w:val="000730F1"/>
    <w:rsid w:val="000935EF"/>
    <w:rsid w:val="000A0728"/>
    <w:rsid w:val="000A132E"/>
    <w:rsid w:val="000A5C48"/>
    <w:rsid w:val="000A6802"/>
    <w:rsid w:val="000B0550"/>
    <w:rsid w:val="000B07A1"/>
    <w:rsid w:val="000B41E7"/>
    <w:rsid w:val="000B44ED"/>
    <w:rsid w:val="000B46CA"/>
    <w:rsid w:val="000B4E0D"/>
    <w:rsid w:val="000C1CF5"/>
    <w:rsid w:val="000C7A51"/>
    <w:rsid w:val="000D0395"/>
    <w:rsid w:val="000D0A86"/>
    <w:rsid w:val="000D3936"/>
    <w:rsid w:val="000D51DE"/>
    <w:rsid w:val="000E4725"/>
    <w:rsid w:val="000F0F49"/>
    <w:rsid w:val="000F1295"/>
    <w:rsid w:val="000F1BF3"/>
    <w:rsid w:val="00101C79"/>
    <w:rsid w:val="00105A7C"/>
    <w:rsid w:val="00110113"/>
    <w:rsid w:val="0011127D"/>
    <w:rsid w:val="0012138E"/>
    <w:rsid w:val="00131443"/>
    <w:rsid w:val="0013204A"/>
    <w:rsid w:val="0013333E"/>
    <w:rsid w:val="00133A11"/>
    <w:rsid w:val="00137737"/>
    <w:rsid w:val="00143A7D"/>
    <w:rsid w:val="0014799D"/>
    <w:rsid w:val="0015011A"/>
    <w:rsid w:val="001535BC"/>
    <w:rsid w:val="00162C79"/>
    <w:rsid w:val="00171CCB"/>
    <w:rsid w:val="0017418C"/>
    <w:rsid w:val="00174E73"/>
    <w:rsid w:val="001750E4"/>
    <w:rsid w:val="001919CB"/>
    <w:rsid w:val="00191D3A"/>
    <w:rsid w:val="00191EFE"/>
    <w:rsid w:val="00194CEF"/>
    <w:rsid w:val="001A0525"/>
    <w:rsid w:val="001A4B42"/>
    <w:rsid w:val="001B180A"/>
    <w:rsid w:val="001C0F4B"/>
    <w:rsid w:val="001C6BE0"/>
    <w:rsid w:val="001D1AC8"/>
    <w:rsid w:val="001E04A4"/>
    <w:rsid w:val="001E1416"/>
    <w:rsid w:val="001E23AA"/>
    <w:rsid w:val="001E3703"/>
    <w:rsid w:val="001E45D5"/>
    <w:rsid w:val="001E48F1"/>
    <w:rsid w:val="001E4DC7"/>
    <w:rsid w:val="001E5188"/>
    <w:rsid w:val="001E5BF8"/>
    <w:rsid w:val="001E6A24"/>
    <w:rsid w:val="001F0385"/>
    <w:rsid w:val="001F0B0E"/>
    <w:rsid w:val="001F0D61"/>
    <w:rsid w:val="001F0E6A"/>
    <w:rsid w:val="001F606F"/>
    <w:rsid w:val="001F683C"/>
    <w:rsid w:val="001F687D"/>
    <w:rsid w:val="001F7495"/>
    <w:rsid w:val="00200BC6"/>
    <w:rsid w:val="0020278B"/>
    <w:rsid w:val="0021080C"/>
    <w:rsid w:val="002201C3"/>
    <w:rsid w:val="00226225"/>
    <w:rsid w:val="00230104"/>
    <w:rsid w:val="002325E4"/>
    <w:rsid w:val="00233F3E"/>
    <w:rsid w:val="00234B05"/>
    <w:rsid w:val="002369B8"/>
    <w:rsid w:val="00236EB2"/>
    <w:rsid w:val="00241C14"/>
    <w:rsid w:val="00244732"/>
    <w:rsid w:val="00252D5F"/>
    <w:rsid w:val="0025417A"/>
    <w:rsid w:val="00254DC6"/>
    <w:rsid w:val="00261A57"/>
    <w:rsid w:val="002636A8"/>
    <w:rsid w:val="00274F72"/>
    <w:rsid w:val="00275DF2"/>
    <w:rsid w:val="002833D9"/>
    <w:rsid w:val="002940EF"/>
    <w:rsid w:val="00294130"/>
    <w:rsid w:val="00294FCA"/>
    <w:rsid w:val="002A10EA"/>
    <w:rsid w:val="002A4103"/>
    <w:rsid w:val="002A445B"/>
    <w:rsid w:val="002A5E6B"/>
    <w:rsid w:val="002B2730"/>
    <w:rsid w:val="002B2B9C"/>
    <w:rsid w:val="002C3DD0"/>
    <w:rsid w:val="002C62CF"/>
    <w:rsid w:val="002C72A2"/>
    <w:rsid w:val="002D248A"/>
    <w:rsid w:val="002D7D91"/>
    <w:rsid w:val="002E25F4"/>
    <w:rsid w:val="002E3B40"/>
    <w:rsid w:val="002E53B9"/>
    <w:rsid w:val="002F258B"/>
    <w:rsid w:val="002F2910"/>
    <w:rsid w:val="002F2A4E"/>
    <w:rsid w:val="002F70E9"/>
    <w:rsid w:val="00301CA8"/>
    <w:rsid w:val="003035E8"/>
    <w:rsid w:val="00303609"/>
    <w:rsid w:val="00303EFB"/>
    <w:rsid w:val="003045E2"/>
    <w:rsid w:val="003065C6"/>
    <w:rsid w:val="00307FC5"/>
    <w:rsid w:val="00311561"/>
    <w:rsid w:val="003146D9"/>
    <w:rsid w:val="00320393"/>
    <w:rsid w:val="00325BC2"/>
    <w:rsid w:val="00325EB2"/>
    <w:rsid w:val="003327D0"/>
    <w:rsid w:val="00332E13"/>
    <w:rsid w:val="003372BE"/>
    <w:rsid w:val="003412EB"/>
    <w:rsid w:val="003436BF"/>
    <w:rsid w:val="00344FA1"/>
    <w:rsid w:val="0035514D"/>
    <w:rsid w:val="00363111"/>
    <w:rsid w:val="00365815"/>
    <w:rsid w:val="003678BE"/>
    <w:rsid w:val="00370ADD"/>
    <w:rsid w:val="003711BA"/>
    <w:rsid w:val="003712A1"/>
    <w:rsid w:val="00372BC6"/>
    <w:rsid w:val="003815F3"/>
    <w:rsid w:val="003817E6"/>
    <w:rsid w:val="00384AE2"/>
    <w:rsid w:val="00391879"/>
    <w:rsid w:val="003A3761"/>
    <w:rsid w:val="003A457D"/>
    <w:rsid w:val="003A4747"/>
    <w:rsid w:val="003A4BF6"/>
    <w:rsid w:val="003A703E"/>
    <w:rsid w:val="003B6ACC"/>
    <w:rsid w:val="003B6D47"/>
    <w:rsid w:val="003C03FF"/>
    <w:rsid w:val="003C070A"/>
    <w:rsid w:val="003C218D"/>
    <w:rsid w:val="003C3FC1"/>
    <w:rsid w:val="003D1506"/>
    <w:rsid w:val="003D5D97"/>
    <w:rsid w:val="003E3DEA"/>
    <w:rsid w:val="003E657D"/>
    <w:rsid w:val="003F03C0"/>
    <w:rsid w:val="003F20A9"/>
    <w:rsid w:val="003F57F0"/>
    <w:rsid w:val="004050CC"/>
    <w:rsid w:val="00406F3A"/>
    <w:rsid w:val="0041542B"/>
    <w:rsid w:val="00415AB1"/>
    <w:rsid w:val="00416BE3"/>
    <w:rsid w:val="004241A1"/>
    <w:rsid w:val="00424D9A"/>
    <w:rsid w:val="004404D5"/>
    <w:rsid w:val="0044066C"/>
    <w:rsid w:val="00442DA3"/>
    <w:rsid w:val="00444DB8"/>
    <w:rsid w:val="00447E3D"/>
    <w:rsid w:val="00454193"/>
    <w:rsid w:val="004544E2"/>
    <w:rsid w:val="00457BC3"/>
    <w:rsid w:val="0046183D"/>
    <w:rsid w:val="00464787"/>
    <w:rsid w:val="00470B3B"/>
    <w:rsid w:val="00475879"/>
    <w:rsid w:val="00483E01"/>
    <w:rsid w:val="00490916"/>
    <w:rsid w:val="004A152C"/>
    <w:rsid w:val="004B7AFB"/>
    <w:rsid w:val="004C5399"/>
    <w:rsid w:val="004C58E9"/>
    <w:rsid w:val="004C726D"/>
    <w:rsid w:val="004D0F6D"/>
    <w:rsid w:val="004D1EA6"/>
    <w:rsid w:val="004D7820"/>
    <w:rsid w:val="004F2122"/>
    <w:rsid w:val="005005F6"/>
    <w:rsid w:val="005024C4"/>
    <w:rsid w:val="0050287E"/>
    <w:rsid w:val="005076B7"/>
    <w:rsid w:val="0051414C"/>
    <w:rsid w:val="00515602"/>
    <w:rsid w:val="0051654C"/>
    <w:rsid w:val="00517252"/>
    <w:rsid w:val="0051790D"/>
    <w:rsid w:val="0052301F"/>
    <w:rsid w:val="0052417A"/>
    <w:rsid w:val="00525050"/>
    <w:rsid w:val="00527247"/>
    <w:rsid w:val="00532143"/>
    <w:rsid w:val="005325A3"/>
    <w:rsid w:val="00532771"/>
    <w:rsid w:val="00533590"/>
    <w:rsid w:val="005524A7"/>
    <w:rsid w:val="00552885"/>
    <w:rsid w:val="005530E1"/>
    <w:rsid w:val="00553CAC"/>
    <w:rsid w:val="0055442A"/>
    <w:rsid w:val="005574E2"/>
    <w:rsid w:val="00570163"/>
    <w:rsid w:val="0057560E"/>
    <w:rsid w:val="00575A04"/>
    <w:rsid w:val="00581451"/>
    <w:rsid w:val="00581C17"/>
    <w:rsid w:val="00583C0F"/>
    <w:rsid w:val="005844BD"/>
    <w:rsid w:val="00584D89"/>
    <w:rsid w:val="00584F79"/>
    <w:rsid w:val="00587150"/>
    <w:rsid w:val="00590073"/>
    <w:rsid w:val="00596FF4"/>
    <w:rsid w:val="005A233C"/>
    <w:rsid w:val="005B3498"/>
    <w:rsid w:val="005B4B9E"/>
    <w:rsid w:val="005C04A2"/>
    <w:rsid w:val="005C0949"/>
    <w:rsid w:val="005C27B0"/>
    <w:rsid w:val="005C350D"/>
    <w:rsid w:val="005C5996"/>
    <w:rsid w:val="005C74C2"/>
    <w:rsid w:val="005D03F5"/>
    <w:rsid w:val="005D2D1A"/>
    <w:rsid w:val="005D2FF1"/>
    <w:rsid w:val="005D3214"/>
    <w:rsid w:val="005D3E38"/>
    <w:rsid w:val="005D77FE"/>
    <w:rsid w:val="005E0E16"/>
    <w:rsid w:val="005E1FA1"/>
    <w:rsid w:val="005E317E"/>
    <w:rsid w:val="005E37D8"/>
    <w:rsid w:val="005E3A1D"/>
    <w:rsid w:val="005F7620"/>
    <w:rsid w:val="00601F38"/>
    <w:rsid w:val="006037D3"/>
    <w:rsid w:val="00607A17"/>
    <w:rsid w:val="006106F1"/>
    <w:rsid w:val="006157F9"/>
    <w:rsid w:val="006179EB"/>
    <w:rsid w:val="00622E87"/>
    <w:rsid w:val="006254BD"/>
    <w:rsid w:val="006321E9"/>
    <w:rsid w:val="00655E68"/>
    <w:rsid w:val="00661C54"/>
    <w:rsid w:val="006701D5"/>
    <w:rsid w:val="0067125E"/>
    <w:rsid w:val="00673325"/>
    <w:rsid w:val="0067402A"/>
    <w:rsid w:val="00676633"/>
    <w:rsid w:val="00680408"/>
    <w:rsid w:val="00683123"/>
    <w:rsid w:val="00683FE3"/>
    <w:rsid w:val="0068445E"/>
    <w:rsid w:val="00685FB5"/>
    <w:rsid w:val="00697265"/>
    <w:rsid w:val="006A0BD6"/>
    <w:rsid w:val="006A1D27"/>
    <w:rsid w:val="006A4FD3"/>
    <w:rsid w:val="006B2902"/>
    <w:rsid w:val="006B627F"/>
    <w:rsid w:val="006B7267"/>
    <w:rsid w:val="006C00C2"/>
    <w:rsid w:val="006C5495"/>
    <w:rsid w:val="006C64F5"/>
    <w:rsid w:val="006C6FC2"/>
    <w:rsid w:val="006D5858"/>
    <w:rsid w:val="006E31CF"/>
    <w:rsid w:val="006E4F4C"/>
    <w:rsid w:val="006E56A6"/>
    <w:rsid w:val="006E6DED"/>
    <w:rsid w:val="006E7CEE"/>
    <w:rsid w:val="006F2ABD"/>
    <w:rsid w:val="006F33C3"/>
    <w:rsid w:val="006F3B81"/>
    <w:rsid w:val="006F520C"/>
    <w:rsid w:val="0070487E"/>
    <w:rsid w:val="0070702A"/>
    <w:rsid w:val="007167C9"/>
    <w:rsid w:val="00717265"/>
    <w:rsid w:val="0072012D"/>
    <w:rsid w:val="00721D14"/>
    <w:rsid w:val="007221B7"/>
    <w:rsid w:val="00733C44"/>
    <w:rsid w:val="007362B9"/>
    <w:rsid w:val="00736E23"/>
    <w:rsid w:val="00740BBC"/>
    <w:rsid w:val="00741E70"/>
    <w:rsid w:val="00744CD5"/>
    <w:rsid w:val="007544F0"/>
    <w:rsid w:val="00755E41"/>
    <w:rsid w:val="007562D6"/>
    <w:rsid w:val="00757D21"/>
    <w:rsid w:val="0076010B"/>
    <w:rsid w:val="007654E6"/>
    <w:rsid w:val="00765616"/>
    <w:rsid w:val="00772BBA"/>
    <w:rsid w:val="00775DDD"/>
    <w:rsid w:val="007779B8"/>
    <w:rsid w:val="00780C7F"/>
    <w:rsid w:val="00787807"/>
    <w:rsid w:val="0079278A"/>
    <w:rsid w:val="00794051"/>
    <w:rsid w:val="00794997"/>
    <w:rsid w:val="00795FB8"/>
    <w:rsid w:val="007977E5"/>
    <w:rsid w:val="007A1505"/>
    <w:rsid w:val="007A38DA"/>
    <w:rsid w:val="007A3B05"/>
    <w:rsid w:val="007A3B66"/>
    <w:rsid w:val="007A4CDA"/>
    <w:rsid w:val="007A63F7"/>
    <w:rsid w:val="007B65BF"/>
    <w:rsid w:val="007C1168"/>
    <w:rsid w:val="007C1C00"/>
    <w:rsid w:val="007C294F"/>
    <w:rsid w:val="007C2B80"/>
    <w:rsid w:val="007D184B"/>
    <w:rsid w:val="007E2F31"/>
    <w:rsid w:val="007E5629"/>
    <w:rsid w:val="007E7731"/>
    <w:rsid w:val="007F24CB"/>
    <w:rsid w:val="007F51F2"/>
    <w:rsid w:val="007F575A"/>
    <w:rsid w:val="007F61A6"/>
    <w:rsid w:val="00806C56"/>
    <w:rsid w:val="00812EC6"/>
    <w:rsid w:val="008139C0"/>
    <w:rsid w:val="00830195"/>
    <w:rsid w:val="00842078"/>
    <w:rsid w:val="008441FE"/>
    <w:rsid w:val="008528DA"/>
    <w:rsid w:val="00857A06"/>
    <w:rsid w:val="0086257F"/>
    <w:rsid w:val="00863451"/>
    <w:rsid w:val="00865DD0"/>
    <w:rsid w:val="00866F8D"/>
    <w:rsid w:val="008751AB"/>
    <w:rsid w:val="00883B1B"/>
    <w:rsid w:val="00887CC4"/>
    <w:rsid w:val="008914FB"/>
    <w:rsid w:val="00891C05"/>
    <w:rsid w:val="00892D58"/>
    <w:rsid w:val="00893B59"/>
    <w:rsid w:val="008A7576"/>
    <w:rsid w:val="008A7BFE"/>
    <w:rsid w:val="008B0638"/>
    <w:rsid w:val="008B301A"/>
    <w:rsid w:val="008B3265"/>
    <w:rsid w:val="008C74BF"/>
    <w:rsid w:val="008D41F4"/>
    <w:rsid w:val="008D685F"/>
    <w:rsid w:val="008E0CA3"/>
    <w:rsid w:val="008E1C6A"/>
    <w:rsid w:val="008E2EBC"/>
    <w:rsid w:val="008E6320"/>
    <w:rsid w:val="008F797E"/>
    <w:rsid w:val="00900D0A"/>
    <w:rsid w:val="0090511E"/>
    <w:rsid w:val="00906ED1"/>
    <w:rsid w:val="00911515"/>
    <w:rsid w:val="009116BD"/>
    <w:rsid w:val="00911A56"/>
    <w:rsid w:val="00912377"/>
    <w:rsid w:val="00914BB9"/>
    <w:rsid w:val="00914DF9"/>
    <w:rsid w:val="0092540E"/>
    <w:rsid w:val="00935D43"/>
    <w:rsid w:val="00936137"/>
    <w:rsid w:val="00945E4C"/>
    <w:rsid w:val="00946A67"/>
    <w:rsid w:val="00953C01"/>
    <w:rsid w:val="00953E49"/>
    <w:rsid w:val="009552C2"/>
    <w:rsid w:val="009612F7"/>
    <w:rsid w:val="0096396B"/>
    <w:rsid w:val="00965679"/>
    <w:rsid w:val="00965A85"/>
    <w:rsid w:val="00967429"/>
    <w:rsid w:val="00970BD8"/>
    <w:rsid w:val="00975D7E"/>
    <w:rsid w:val="009840A5"/>
    <w:rsid w:val="009907A3"/>
    <w:rsid w:val="009924E0"/>
    <w:rsid w:val="009945CA"/>
    <w:rsid w:val="009A48CE"/>
    <w:rsid w:val="009B2E7E"/>
    <w:rsid w:val="009B666D"/>
    <w:rsid w:val="009B702B"/>
    <w:rsid w:val="009C1A29"/>
    <w:rsid w:val="009D12A3"/>
    <w:rsid w:val="009D12C5"/>
    <w:rsid w:val="009D13EE"/>
    <w:rsid w:val="009D327E"/>
    <w:rsid w:val="009D3D53"/>
    <w:rsid w:val="009D55C8"/>
    <w:rsid w:val="009E20A3"/>
    <w:rsid w:val="009F1166"/>
    <w:rsid w:val="009F4A07"/>
    <w:rsid w:val="009F51A8"/>
    <w:rsid w:val="00A005EF"/>
    <w:rsid w:val="00A06583"/>
    <w:rsid w:val="00A077AE"/>
    <w:rsid w:val="00A11AEC"/>
    <w:rsid w:val="00A1567A"/>
    <w:rsid w:val="00A205A2"/>
    <w:rsid w:val="00A228E4"/>
    <w:rsid w:val="00A3031B"/>
    <w:rsid w:val="00A31AB9"/>
    <w:rsid w:val="00A33B5E"/>
    <w:rsid w:val="00A402FE"/>
    <w:rsid w:val="00A4045A"/>
    <w:rsid w:val="00A406BC"/>
    <w:rsid w:val="00A477D1"/>
    <w:rsid w:val="00A524B5"/>
    <w:rsid w:val="00A5462B"/>
    <w:rsid w:val="00A563BB"/>
    <w:rsid w:val="00A605B5"/>
    <w:rsid w:val="00A62B87"/>
    <w:rsid w:val="00A6430E"/>
    <w:rsid w:val="00A668E8"/>
    <w:rsid w:val="00A75B1D"/>
    <w:rsid w:val="00A76A58"/>
    <w:rsid w:val="00A7708F"/>
    <w:rsid w:val="00A813F8"/>
    <w:rsid w:val="00A818CD"/>
    <w:rsid w:val="00A857B7"/>
    <w:rsid w:val="00A926B4"/>
    <w:rsid w:val="00A933DA"/>
    <w:rsid w:val="00A93F46"/>
    <w:rsid w:val="00AA0653"/>
    <w:rsid w:val="00AA35C7"/>
    <w:rsid w:val="00AA3E5C"/>
    <w:rsid w:val="00AA5676"/>
    <w:rsid w:val="00AB18D4"/>
    <w:rsid w:val="00AB276E"/>
    <w:rsid w:val="00AB5F90"/>
    <w:rsid w:val="00AC2E69"/>
    <w:rsid w:val="00AD6D2B"/>
    <w:rsid w:val="00AE01E8"/>
    <w:rsid w:val="00AF3545"/>
    <w:rsid w:val="00AF6AC9"/>
    <w:rsid w:val="00B013CD"/>
    <w:rsid w:val="00B048EE"/>
    <w:rsid w:val="00B05C27"/>
    <w:rsid w:val="00B06A9F"/>
    <w:rsid w:val="00B13229"/>
    <w:rsid w:val="00B21ED4"/>
    <w:rsid w:val="00B24D65"/>
    <w:rsid w:val="00B37256"/>
    <w:rsid w:val="00B505CF"/>
    <w:rsid w:val="00B52D80"/>
    <w:rsid w:val="00B5677B"/>
    <w:rsid w:val="00B56C5A"/>
    <w:rsid w:val="00B62DD7"/>
    <w:rsid w:val="00B64855"/>
    <w:rsid w:val="00B650A9"/>
    <w:rsid w:val="00B6696F"/>
    <w:rsid w:val="00B66CC6"/>
    <w:rsid w:val="00B705D2"/>
    <w:rsid w:val="00B70FB2"/>
    <w:rsid w:val="00B84BED"/>
    <w:rsid w:val="00B87752"/>
    <w:rsid w:val="00BA120C"/>
    <w:rsid w:val="00BA1865"/>
    <w:rsid w:val="00BB06DA"/>
    <w:rsid w:val="00BB6A21"/>
    <w:rsid w:val="00BC07D7"/>
    <w:rsid w:val="00BC357A"/>
    <w:rsid w:val="00BC3D6D"/>
    <w:rsid w:val="00BD16C9"/>
    <w:rsid w:val="00BD2876"/>
    <w:rsid w:val="00BD4035"/>
    <w:rsid w:val="00BD660A"/>
    <w:rsid w:val="00BD78CA"/>
    <w:rsid w:val="00BD7FA4"/>
    <w:rsid w:val="00BE4001"/>
    <w:rsid w:val="00C00A3A"/>
    <w:rsid w:val="00C0243B"/>
    <w:rsid w:val="00C07DEC"/>
    <w:rsid w:val="00C1049A"/>
    <w:rsid w:val="00C107CE"/>
    <w:rsid w:val="00C14DC6"/>
    <w:rsid w:val="00C20DCE"/>
    <w:rsid w:val="00C22B53"/>
    <w:rsid w:val="00C25E90"/>
    <w:rsid w:val="00C3030B"/>
    <w:rsid w:val="00C34EC6"/>
    <w:rsid w:val="00C3568C"/>
    <w:rsid w:val="00C4536B"/>
    <w:rsid w:val="00C45EC2"/>
    <w:rsid w:val="00C47F4E"/>
    <w:rsid w:val="00C6044B"/>
    <w:rsid w:val="00C60796"/>
    <w:rsid w:val="00C6219F"/>
    <w:rsid w:val="00C641E9"/>
    <w:rsid w:val="00C644F5"/>
    <w:rsid w:val="00C7039E"/>
    <w:rsid w:val="00C8302D"/>
    <w:rsid w:val="00C84708"/>
    <w:rsid w:val="00C879AC"/>
    <w:rsid w:val="00C91AFA"/>
    <w:rsid w:val="00C921EB"/>
    <w:rsid w:val="00C92574"/>
    <w:rsid w:val="00CA6D69"/>
    <w:rsid w:val="00CB31EE"/>
    <w:rsid w:val="00CB5445"/>
    <w:rsid w:val="00CB5BEB"/>
    <w:rsid w:val="00CB61CE"/>
    <w:rsid w:val="00CB6BB7"/>
    <w:rsid w:val="00CC1802"/>
    <w:rsid w:val="00CD43DA"/>
    <w:rsid w:val="00CD6C46"/>
    <w:rsid w:val="00CE03BD"/>
    <w:rsid w:val="00CE298D"/>
    <w:rsid w:val="00CE397D"/>
    <w:rsid w:val="00CE6114"/>
    <w:rsid w:val="00CF61F2"/>
    <w:rsid w:val="00D20E70"/>
    <w:rsid w:val="00D27033"/>
    <w:rsid w:val="00D334F3"/>
    <w:rsid w:val="00D4190D"/>
    <w:rsid w:val="00D4509F"/>
    <w:rsid w:val="00D46211"/>
    <w:rsid w:val="00D6167E"/>
    <w:rsid w:val="00D67580"/>
    <w:rsid w:val="00D70054"/>
    <w:rsid w:val="00D70A71"/>
    <w:rsid w:val="00D75418"/>
    <w:rsid w:val="00D76FA8"/>
    <w:rsid w:val="00D90744"/>
    <w:rsid w:val="00D92E9F"/>
    <w:rsid w:val="00D934F2"/>
    <w:rsid w:val="00D954AA"/>
    <w:rsid w:val="00D978A0"/>
    <w:rsid w:val="00DA3E5E"/>
    <w:rsid w:val="00DA7651"/>
    <w:rsid w:val="00DB2FA1"/>
    <w:rsid w:val="00DB5C0F"/>
    <w:rsid w:val="00DC5127"/>
    <w:rsid w:val="00DC7B87"/>
    <w:rsid w:val="00DD44CA"/>
    <w:rsid w:val="00DD47E2"/>
    <w:rsid w:val="00DD6338"/>
    <w:rsid w:val="00DE1B57"/>
    <w:rsid w:val="00DE4672"/>
    <w:rsid w:val="00DF4569"/>
    <w:rsid w:val="00DF4F49"/>
    <w:rsid w:val="00DF61FC"/>
    <w:rsid w:val="00E02CD1"/>
    <w:rsid w:val="00E076C0"/>
    <w:rsid w:val="00E11599"/>
    <w:rsid w:val="00E21F98"/>
    <w:rsid w:val="00E22704"/>
    <w:rsid w:val="00E275C2"/>
    <w:rsid w:val="00E44261"/>
    <w:rsid w:val="00E55D00"/>
    <w:rsid w:val="00E56D8F"/>
    <w:rsid w:val="00E627AE"/>
    <w:rsid w:val="00E74099"/>
    <w:rsid w:val="00E751A1"/>
    <w:rsid w:val="00E838E3"/>
    <w:rsid w:val="00E84720"/>
    <w:rsid w:val="00E84811"/>
    <w:rsid w:val="00E91422"/>
    <w:rsid w:val="00E93E97"/>
    <w:rsid w:val="00EA242B"/>
    <w:rsid w:val="00EA24F3"/>
    <w:rsid w:val="00EA3A87"/>
    <w:rsid w:val="00EA61ED"/>
    <w:rsid w:val="00EB0715"/>
    <w:rsid w:val="00EB1337"/>
    <w:rsid w:val="00EB6E31"/>
    <w:rsid w:val="00EB7FAB"/>
    <w:rsid w:val="00EC1414"/>
    <w:rsid w:val="00EC2AFC"/>
    <w:rsid w:val="00EC39E1"/>
    <w:rsid w:val="00EC4E21"/>
    <w:rsid w:val="00EC5F1C"/>
    <w:rsid w:val="00EC6570"/>
    <w:rsid w:val="00EC7783"/>
    <w:rsid w:val="00ED156A"/>
    <w:rsid w:val="00ED2171"/>
    <w:rsid w:val="00ED67E0"/>
    <w:rsid w:val="00EE3F01"/>
    <w:rsid w:val="00EE6303"/>
    <w:rsid w:val="00F06A90"/>
    <w:rsid w:val="00F10244"/>
    <w:rsid w:val="00F10E04"/>
    <w:rsid w:val="00F118A0"/>
    <w:rsid w:val="00F11CC0"/>
    <w:rsid w:val="00F177EB"/>
    <w:rsid w:val="00F20CFE"/>
    <w:rsid w:val="00F20E79"/>
    <w:rsid w:val="00F2255D"/>
    <w:rsid w:val="00F22D1A"/>
    <w:rsid w:val="00F351EC"/>
    <w:rsid w:val="00F3689D"/>
    <w:rsid w:val="00F41B74"/>
    <w:rsid w:val="00F45857"/>
    <w:rsid w:val="00F523D2"/>
    <w:rsid w:val="00F5711C"/>
    <w:rsid w:val="00F714BF"/>
    <w:rsid w:val="00F72938"/>
    <w:rsid w:val="00F80AE9"/>
    <w:rsid w:val="00F847AF"/>
    <w:rsid w:val="00F87D3E"/>
    <w:rsid w:val="00F9192C"/>
    <w:rsid w:val="00FA346F"/>
    <w:rsid w:val="00FA3868"/>
    <w:rsid w:val="00FB60C4"/>
    <w:rsid w:val="00FC0576"/>
    <w:rsid w:val="00FD0099"/>
    <w:rsid w:val="00FD05D4"/>
    <w:rsid w:val="00FD3B0A"/>
    <w:rsid w:val="00FD4ABD"/>
    <w:rsid w:val="00FE5872"/>
    <w:rsid w:val="00FE66CC"/>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667C48"/>
  <w15:docId w15:val="{FE32EDE8-E21D-4054-9521-E02372CF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6567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6183D"/>
    <w:pPr>
      <w:spacing w:before="100" w:beforeAutospacing="1" w:after="100" w:afterAutospacing="1"/>
    </w:pPr>
    <w:rPr>
      <w:rFonts w:ascii="Times New Roman" w:hAnsi="Times New Roman"/>
      <w:lang w:eastAsia="en-GB"/>
    </w:rPr>
  </w:style>
  <w:style w:type="paragraph" w:customStyle="1" w:styleId="Bodycopy">
    <w:name w:val="Body copy"/>
    <w:basedOn w:val="ListParagraph"/>
    <w:qFormat/>
    <w:rsid w:val="00406F3A"/>
    <w:pPr>
      <w:tabs>
        <w:tab w:val="num" w:pos="432"/>
      </w:tabs>
      <w:spacing w:after="320" w:line="300" w:lineRule="exact"/>
      <w:ind w:left="0"/>
      <w:contextualSpacing w:val="0"/>
    </w:pPr>
    <w:rPr>
      <w:rFonts w:ascii="Arial Narrow" w:eastAsia="Calibri" w:hAnsi="Arial Narrow"/>
      <w:sz w:val="22"/>
      <w:szCs w:val="22"/>
    </w:rPr>
  </w:style>
  <w:style w:type="paragraph" w:customStyle="1" w:styleId="bulletpoint1">
    <w:name w:val="bullet point1"/>
    <w:basedOn w:val="Normal"/>
    <w:qFormat/>
    <w:rsid w:val="00191D3A"/>
    <w:pPr>
      <w:numPr>
        <w:numId w:val="10"/>
      </w:numPr>
      <w:tabs>
        <w:tab w:val="right" w:pos="7371"/>
      </w:tabs>
      <w:spacing w:after="120" w:line="320" w:lineRule="exact"/>
    </w:pPr>
    <w:rPr>
      <w:rFonts w:ascii="Arial Narrow" w:hAnsi="Arial Narrow"/>
      <w:sz w:val="22"/>
      <w:szCs w:val="20"/>
      <w:lang w:eastAsia="en-GB"/>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978A0"/>
    <w:rPr>
      <w:rFonts w:ascii="Arial" w:hAnsi="Arial"/>
      <w:sz w:val="24"/>
      <w:szCs w:val="24"/>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65679"/>
    <w:rPr>
      <w:rFonts w:ascii="Arial" w:hAnsi="Arial"/>
      <w:sz w:val="22"/>
      <w:lang w:eastAsia="en-US"/>
    </w:rPr>
  </w:style>
  <w:style w:type="table" w:customStyle="1" w:styleId="TableGrid1">
    <w:name w:val="Table Grid1"/>
    <w:basedOn w:val="TableNormal"/>
    <w:next w:val="TableGrid"/>
    <w:uiPriority w:val="39"/>
    <w:rsid w:val="00965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858">
      <w:bodyDiv w:val="1"/>
      <w:marLeft w:val="0"/>
      <w:marRight w:val="0"/>
      <w:marTop w:val="0"/>
      <w:marBottom w:val="0"/>
      <w:divBdr>
        <w:top w:val="none" w:sz="0" w:space="0" w:color="auto"/>
        <w:left w:val="none" w:sz="0" w:space="0" w:color="auto"/>
        <w:bottom w:val="none" w:sz="0" w:space="0" w:color="auto"/>
        <w:right w:val="none" w:sz="0" w:space="0" w:color="auto"/>
      </w:divBdr>
    </w:div>
    <w:div w:id="156461584">
      <w:bodyDiv w:val="1"/>
      <w:marLeft w:val="0"/>
      <w:marRight w:val="0"/>
      <w:marTop w:val="0"/>
      <w:marBottom w:val="0"/>
      <w:divBdr>
        <w:top w:val="none" w:sz="0" w:space="0" w:color="auto"/>
        <w:left w:val="none" w:sz="0" w:space="0" w:color="auto"/>
        <w:bottom w:val="none" w:sz="0" w:space="0" w:color="auto"/>
        <w:right w:val="none" w:sz="0" w:space="0" w:color="auto"/>
      </w:divBdr>
    </w:div>
    <w:div w:id="27171556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287129845">
      <w:bodyDiv w:val="1"/>
      <w:marLeft w:val="0"/>
      <w:marRight w:val="0"/>
      <w:marTop w:val="0"/>
      <w:marBottom w:val="0"/>
      <w:divBdr>
        <w:top w:val="none" w:sz="0" w:space="0" w:color="auto"/>
        <w:left w:val="none" w:sz="0" w:space="0" w:color="auto"/>
        <w:bottom w:val="none" w:sz="0" w:space="0" w:color="auto"/>
        <w:right w:val="none" w:sz="0" w:space="0" w:color="auto"/>
      </w:divBdr>
    </w:div>
    <w:div w:id="534268610">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31142417">
      <w:bodyDiv w:val="1"/>
      <w:marLeft w:val="0"/>
      <w:marRight w:val="0"/>
      <w:marTop w:val="0"/>
      <w:marBottom w:val="0"/>
      <w:divBdr>
        <w:top w:val="none" w:sz="0" w:space="0" w:color="auto"/>
        <w:left w:val="none" w:sz="0" w:space="0" w:color="auto"/>
        <w:bottom w:val="none" w:sz="0" w:space="0" w:color="auto"/>
        <w:right w:val="none" w:sz="0" w:space="0" w:color="auto"/>
      </w:divBdr>
    </w:div>
    <w:div w:id="1030574084">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198080246">
      <w:bodyDiv w:val="1"/>
      <w:marLeft w:val="0"/>
      <w:marRight w:val="0"/>
      <w:marTop w:val="0"/>
      <w:marBottom w:val="0"/>
      <w:divBdr>
        <w:top w:val="none" w:sz="0" w:space="0" w:color="auto"/>
        <w:left w:val="none" w:sz="0" w:space="0" w:color="auto"/>
        <w:bottom w:val="none" w:sz="0" w:space="0" w:color="auto"/>
        <w:right w:val="none" w:sz="0" w:space="0" w:color="auto"/>
      </w:divBdr>
    </w:div>
    <w:div w:id="1543441701">
      <w:bodyDiv w:val="1"/>
      <w:marLeft w:val="0"/>
      <w:marRight w:val="0"/>
      <w:marTop w:val="0"/>
      <w:marBottom w:val="0"/>
      <w:divBdr>
        <w:top w:val="none" w:sz="0" w:space="0" w:color="auto"/>
        <w:left w:val="none" w:sz="0" w:space="0" w:color="auto"/>
        <w:bottom w:val="none" w:sz="0" w:space="0" w:color="auto"/>
        <w:right w:val="none" w:sz="0" w:space="0" w:color="auto"/>
      </w:divBdr>
    </w:div>
    <w:div w:id="1562054991">
      <w:bodyDiv w:val="1"/>
      <w:marLeft w:val="0"/>
      <w:marRight w:val="0"/>
      <w:marTop w:val="0"/>
      <w:marBottom w:val="0"/>
      <w:divBdr>
        <w:top w:val="none" w:sz="0" w:space="0" w:color="auto"/>
        <w:left w:val="none" w:sz="0" w:space="0" w:color="auto"/>
        <w:bottom w:val="none" w:sz="0" w:space="0" w:color="auto"/>
        <w:right w:val="none" w:sz="0" w:space="0" w:color="auto"/>
      </w:divBdr>
    </w:div>
    <w:div w:id="1776363853">
      <w:bodyDiv w:val="1"/>
      <w:marLeft w:val="0"/>
      <w:marRight w:val="0"/>
      <w:marTop w:val="0"/>
      <w:marBottom w:val="0"/>
      <w:divBdr>
        <w:top w:val="none" w:sz="0" w:space="0" w:color="auto"/>
        <w:left w:val="none" w:sz="0" w:space="0" w:color="auto"/>
        <w:bottom w:val="none" w:sz="0" w:space="0" w:color="auto"/>
        <w:right w:val="none" w:sz="0" w:space="0" w:color="auto"/>
      </w:divBdr>
    </w:div>
    <w:div w:id="19130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617B2E1-0DDA-466A-A04C-BE538F93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D51EDC-9F43-4B13-81D0-14328F78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3</cp:revision>
  <cp:lastPrinted>2015-07-29T10:00:00Z</cp:lastPrinted>
  <dcterms:created xsi:type="dcterms:W3CDTF">2016-06-03T07:55:00Z</dcterms:created>
  <dcterms:modified xsi:type="dcterms:W3CDTF">2016-06-03T07:57:00Z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