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FE" w:rsidRDefault="00EA75FE" w:rsidP="004756B7">
      <w:pPr>
        <w:pStyle w:val="CoverTitle3"/>
        <w:jc w:val="center"/>
        <w:rPr>
          <w:color w:val="004E2E"/>
          <w:sz w:val="48"/>
          <w:szCs w:val="48"/>
        </w:rPr>
      </w:pPr>
    </w:p>
    <w:p w:rsidR="00EA75FE" w:rsidRDefault="00EA75FE" w:rsidP="004756B7">
      <w:pPr>
        <w:pStyle w:val="CoverTitle3"/>
        <w:jc w:val="center"/>
        <w:rPr>
          <w:color w:val="004E2E"/>
          <w:sz w:val="48"/>
          <w:szCs w:val="48"/>
        </w:rPr>
      </w:pPr>
    </w:p>
    <w:p w:rsidR="00EA75FE" w:rsidRDefault="00EA75FE" w:rsidP="004756B7">
      <w:pPr>
        <w:pStyle w:val="CoverTitle3"/>
        <w:jc w:val="center"/>
        <w:rPr>
          <w:color w:val="004E2E"/>
          <w:sz w:val="48"/>
          <w:szCs w:val="48"/>
        </w:rPr>
      </w:pPr>
    </w:p>
    <w:p w:rsidR="00EA75FE" w:rsidRDefault="00EA75FE" w:rsidP="004756B7">
      <w:pPr>
        <w:pStyle w:val="CoverTitle3"/>
        <w:jc w:val="center"/>
        <w:rPr>
          <w:color w:val="004E2E"/>
          <w:sz w:val="48"/>
          <w:szCs w:val="48"/>
        </w:rPr>
      </w:pPr>
    </w:p>
    <w:p w:rsidR="00EA75FE" w:rsidRDefault="00EA75FE" w:rsidP="004756B7">
      <w:pPr>
        <w:pStyle w:val="CoverTitle3"/>
        <w:jc w:val="center"/>
        <w:rPr>
          <w:color w:val="004E2E"/>
          <w:sz w:val="48"/>
          <w:szCs w:val="48"/>
        </w:rPr>
      </w:pPr>
    </w:p>
    <w:p w:rsidR="000B058B" w:rsidRPr="00C969D0" w:rsidRDefault="00573C08" w:rsidP="004756B7">
      <w:pPr>
        <w:pStyle w:val="CoverTitle3"/>
        <w:jc w:val="center"/>
        <w:rPr>
          <w:color w:val="006600"/>
          <w:sz w:val="48"/>
        </w:rPr>
      </w:pPr>
      <w:r w:rsidRPr="00573C08">
        <w:rPr>
          <w:color w:val="004E2E"/>
          <w:sz w:val="48"/>
          <w:szCs w:val="48"/>
        </w:rPr>
        <w:t>Invitation to Tender for</w:t>
      </w:r>
    </w:p>
    <w:p w:rsidR="000B058B" w:rsidRPr="00C969D0" w:rsidRDefault="000B058B" w:rsidP="000B058B">
      <w:pPr>
        <w:pStyle w:val="CoverTitle3"/>
        <w:jc w:val="center"/>
        <w:rPr>
          <w:color w:val="006600"/>
          <w:sz w:val="48"/>
        </w:rPr>
      </w:pPr>
      <w:r w:rsidRPr="00C969D0">
        <w:rPr>
          <w:color w:val="006600"/>
          <w:sz w:val="48"/>
        </w:rPr>
        <w:t xml:space="preserve">Framework for </w:t>
      </w:r>
      <w:r>
        <w:rPr>
          <w:color w:val="006600"/>
          <w:sz w:val="48"/>
        </w:rPr>
        <w:t xml:space="preserve">Tariffing and Surveying </w:t>
      </w:r>
      <w:r w:rsidRPr="00C969D0">
        <w:rPr>
          <w:color w:val="006600"/>
          <w:sz w:val="48"/>
        </w:rPr>
        <w:t>Operations in Yorkshire Forest District</w:t>
      </w:r>
    </w:p>
    <w:p w:rsidR="00782D72" w:rsidRDefault="00782D72" w:rsidP="000215D1">
      <w:pPr>
        <w:pStyle w:val="FCGBBodyText"/>
        <w:spacing w:line="240" w:lineRule="auto"/>
        <w:jc w:val="center"/>
        <w:rPr>
          <w:color w:val="365F91"/>
          <w:sz w:val="48"/>
          <w:szCs w:val="48"/>
        </w:rPr>
      </w:pPr>
    </w:p>
    <w:p w:rsidR="000215D1" w:rsidRPr="00573C08" w:rsidRDefault="000215D1" w:rsidP="00573C08">
      <w:pPr>
        <w:pStyle w:val="FCGBBodyText"/>
        <w:spacing w:line="240" w:lineRule="auto"/>
        <w:rPr>
          <w:sz w:val="48"/>
          <w:szCs w:val="48"/>
        </w:rPr>
      </w:pPr>
    </w:p>
    <w:p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EA75FE" w:rsidRPr="00EA75FE">
        <w:rPr>
          <w:sz w:val="36"/>
          <w:szCs w:val="36"/>
        </w:rPr>
        <w:t>FEE/0615</w:t>
      </w:r>
    </w:p>
    <w:p w:rsidR="000215D1" w:rsidRDefault="000215D1" w:rsidP="000215D1"/>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EA75FE" w:rsidRDefault="00EA75FE">
      <w:pPr>
        <w:spacing w:line="240" w:lineRule="auto"/>
      </w:pPr>
      <w:r>
        <w:br w:type="page"/>
      </w: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0403CC" w:rsidRPr="000403CC" w:rsidRDefault="000403CC" w:rsidP="000403CC">
      <w:r w:rsidRPr="000403CC">
        <w:t xml:space="preserve">We will be awarding a framework agreement for Tariffing and Surveying within the Yorkshire District. </w:t>
      </w:r>
    </w:p>
    <w:p w:rsidR="000403CC" w:rsidRPr="000403CC" w:rsidRDefault="000403CC" w:rsidP="000403CC"/>
    <w:p w:rsidR="000403CC" w:rsidRDefault="000403CC" w:rsidP="000403CC">
      <w:pPr>
        <w:jc w:val="both"/>
      </w:pPr>
      <w:r w:rsidRPr="000403CC">
        <w:t xml:space="preserve">The </w:t>
      </w:r>
      <w:r w:rsidR="00C06CCF">
        <w:t>framework</w:t>
      </w:r>
      <w:r w:rsidRPr="000403CC">
        <w:t xml:space="preserve"> area is within Yorkshire Forest District</w:t>
      </w:r>
      <w:r w:rsidR="00C06CCF">
        <w:t xml:space="preserve"> (YFD)</w:t>
      </w:r>
      <w:r w:rsidRPr="000403CC">
        <w:t xml:space="preserve"> area consisting of the North Riding Beat, York Beat and Cleveland Beat (see map at Appendix 1)</w:t>
      </w:r>
      <w:r w:rsidR="00EA75FE">
        <w:t>.</w:t>
      </w:r>
    </w:p>
    <w:p w:rsidR="00360BE7" w:rsidRPr="000403CC" w:rsidRDefault="00360BE7" w:rsidP="000403CC">
      <w:pPr>
        <w:jc w:val="both"/>
      </w:pPr>
    </w:p>
    <w:p w:rsidR="000403CC" w:rsidRDefault="000403CC" w:rsidP="000403CC">
      <w:r w:rsidRPr="000403CC">
        <w:t xml:space="preserve">Our intention is to award this framework agreement for a period of 4 years. A break </w:t>
      </w:r>
      <w:r w:rsidRPr="00B228B4">
        <w:t>point is available at the end of year 2 at which time we will decide on whether the framework will continue.  The decision on whether to use the break point will be at our discretion and we will</w:t>
      </w:r>
      <w:r w:rsidRPr="00005948">
        <w:t xml:space="preserve"> base it on the following factors: performance, affordability and budget availability.</w:t>
      </w:r>
      <w:r w:rsidR="00B0267D">
        <w:t xml:space="preserve"> </w:t>
      </w:r>
    </w:p>
    <w:p w:rsidR="00F76E7E" w:rsidRDefault="00F76E7E" w:rsidP="000403CC"/>
    <w:p w:rsidR="000403CC" w:rsidRPr="000403CC" w:rsidRDefault="000403CC" w:rsidP="000403CC">
      <w:r w:rsidRPr="00C9060F">
        <w:t>The total value of this</w:t>
      </w:r>
      <w:r w:rsidRPr="000403CC">
        <w:t xml:space="preserve"> framework agreement over the entire period, including any extension options (if detailed above), will be in the region of £</w:t>
      </w:r>
      <w:r w:rsidR="0018697B">
        <w:t>6</w:t>
      </w:r>
      <w:r w:rsidR="00A82698">
        <w:t>5</w:t>
      </w:r>
      <w:r w:rsidR="00C06CCF">
        <w:t>,000</w:t>
      </w:r>
      <w:r w:rsidRPr="000403CC">
        <w:t>.</w:t>
      </w:r>
      <w:r w:rsidR="00EA75FE">
        <w:t xml:space="preserve"> </w:t>
      </w:r>
    </w:p>
    <w:p w:rsidR="000403CC" w:rsidRPr="00B228B4" w:rsidRDefault="000403CC" w:rsidP="000403CC"/>
    <w:p w:rsidR="000403CC" w:rsidRPr="00C9060F" w:rsidRDefault="000403CC" w:rsidP="000403CC">
      <w:r w:rsidRPr="00005948">
        <w:t>A framework is an agreement with one or several providers.  It sets out the general terms and conditions under which we can make specific purchases as and when we need them.  The formal contract is formed when the customer places a call-off order against the framework as</w:t>
      </w:r>
      <w:r w:rsidRPr="00C9060F">
        <w:t xml:space="preserve">king for specific delivery of goods, services or works.  A bidder can receive a call-off order directly, or we may ask them to take part in a mini-competition with the other bidders on the framework. </w:t>
      </w:r>
    </w:p>
    <w:p w:rsidR="000403CC" w:rsidRDefault="000403CC" w:rsidP="000403CC">
      <w:pPr>
        <w:jc w:val="both"/>
        <w:rPr>
          <w:bCs/>
        </w:rPr>
      </w:pPr>
    </w:p>
    <w:p w:rsidR="00C74B3D" w:rsidRDefault="00C74B3D" w:rsidP="000403CC">
      <w:pPr>
        <w:jc w:val="both"/>
        <w:rPr>
          <w:bCs/>
        </w:rPr>
      </w:pPr>
      <w:r>
        <w:rPr>
          <w:bCs/>
        </w:rPr>
        <w:t>This particular Framework Agreement will operate as follows:</w:t>
      </w:r>
    </w:p>
    <w:p w:rsidR="00C74B3D" w:rsidRPr="00C74B3D" w:rsidRDefault="00C74B3D" w:rsidP="00C74B3D">
      <w:pPr>
        <w:jc w:val="both"/>
        <w:rPr>
          <w:bCs/>
        </w:rPr>
      </w:pPr>
      <w:r>
        <w:t>When work is required it will be allocated as a “</w:t>
      </w:r>
      <w:r w:rsidR="0000554B">
        <w:t>Call Off</w:t>
      </w:r>
      <w:r>
        <w:t>” to the appropriate Framework contractor using one of the following methods:</w:t>
      </w:r>
    </w:p>
    <w:p w:rsidR="00C74B3D" w:rsidRPr="00B228B4" w:rsidRDefault="00C74B3D" w:rsidP="00C74B3D">
      <w:pPr>
        <w:rPr>
          <w:rFonts w:cs="Arial"/>
          <w:szCs w:val="24"/>
        </w:rPr>
      </w:pPr>
    </w:p>
    <w:p w:rsidR="00C74B3D" w:rsidRPr="00C74B3D" w:rsidRDefault="00C74B3D" w:rsidP="00C74B3D">
      <w:pPr>
        <w:pStyle w:val="ListParagraph"/>
        <w:numPr>
          <w:ilvl w:val="0"/>
          <w:numId w:val="19"/>
        </w:numPr>
        <w:rPr>
          <w:b/>
        </w:rPr>
      </w:pPr>
      <w:r w:rsidRPr="00C74B3D">
        <w:rPr>
          <w:b/>
          <w:u w:val="single"/>
        </w:rPr>
        <w:lastRenderedPageBreak/>
        <w:t>For Direct Award:</w:t>
      </w:r>
      <w:r w:rsidRPr="00C74B3D">
        <w:rPr>
          <w:b/>
        </w:rPr>
        <w:t xml:space="preserve"> </w:t>
      </w:r>
    </w:p>
    <w:p w:rsidR="00C74B3D" w:rsidRPr="00C9060F" w:rsidRDefault="00C74B3D" w:rsidP="00C74B3D">
      <w:pPr>
        <w:pStyle w:val="ListParagraph"/>
        <w:numPr>
          <w:ilvl w:val="0"/>
          <w:numId w:val="13"/>
        </w:numPr>
      </w:pPr>
      <w:r w:rsidRPr="00C9060F">
        <w:t xml:space="preserve">The contractors will be ranked on the basis of their overall tender returns. </w:t>
      </w:r>
    </w:p>
    <w:p w:rsidR="00C74B3D" w:rsidRPr="00C9060F" w:rsidRDefault="00C74B3D" w:rsidP="00C74B3D">
      <w:pPr>
        <w:pStyle w:val="ListParagraph"/>
        <w:numPr>
          <w:ilvl w:val="0"/>
          <w:numId w:val="13"/>
        </w:numPr>
      </w:pPr>
      <w:r w:rsidRPr="00C9060F">
        <w:t>When work is required, the contractor in first place will be contacted by the Contract Manager and expected to undertake the work in accordance with the prices and specification agreed under the framework.</w:t>
      </w:r>
    </w:p>
    <w:p w:rsidR="00C74B3D" w:rsidRPr="00C9060F" w:rsidRDefault="00C74B3D" w:rsidP="00C74B3D">
      <w:pPr>
        <w:pStyle w:val="ListParagraph"/>
        <w:numPr>
          <w:ilvl w:val="0"/>
          <w:numId w:val="13"/>
        </w:numPr>
      </w:pPr>
      <w:r w:rsidRPr="00C9060F">
        <w:t xml:space="preserve">Where the first place contractor lacks the capacity to undertake work the work will be offered to the next placed contractor that has sufficient resources to undertake the work.   </w:t>
      </w:r>
    </w:p>
    <w:p w:rsidR="00C74B3D" w:rsidRDefault="00C74B3D" w:rsidP="00C74B3D">
      <w:pPr>
        <w:pStyle w:val="ListParagraph"/>
        <w:numPr>
          <w:ilvl w:val="0"/>
          <w:numId w:val="13"/>
        </w:numPr>
      </w:pPr>
      <w:r w:rsidRPr="000B058B">
        <w:t xml:space="preserve">The Forestry Commission will use the information in the contractors’ tenders regarding their resources </w:t>
      </w:r>
      <w:r w:rsidRPr="00A83FF0">
        <w:t xml:space="preserve">plus the amount of ongoing work a contractor has when deciding if they have capacity to undertake the new work required.  </w:t>
      </w:r>
    </w:p>
    <w:p w:rsidR="00C74B3D" w:rsidRDefault="00C74B3D" w:rsidP="00C74B3D">
      <w:pPr>
        <w:pStyle w:val="ListParagraph"/>
        <w:ind w:left="1080"/>
      </w:pPr>
    </w:p>
    <w:p w:rsidR="00C74B3D" w:rsidRPr="00C74B3D" w:rsidRDefault="00C74B3D" w:rsidP="00C74B3D">
      <w:pPr>
        <w:pStyle w:val="ListParagraph"/>
        <w:numPr>
          <w:ilvl w:val="0"/>
          <w:numId w:val="19"/>
        </w:numPr>
        <w:rPr>
          <w:b/>
          <w:u w:val="single"/>
        </w:rPr>
      </w:pPr>
      <w:r w:rsidRPr="00C74B3D">
        <w:rPr>
          <w:b/>
          <w:u w:val="single"/>
        </w:rPr>
        <w:t>Mini-Competition</w:t>
      </w:r>
      <w:r>
        <w:rPr>
          <w:b/>
          <w:u w:val="single"/>
        </w:rPr>
        <w:t>:</w:t>
      </w:r>
    </w:p>
    <w:p w:rsidR="00C74B3D" w:rsidRPr="00A83FF0" w:rsidRDefault="00C74B3D" w:rsidP="00C74B3D">
      <w:pPr>
        <w:pStyle w:val="ListParagraph"/>
        <w:numPr>
          <w:ilvl w:val="0"/>
          <w:numId w:val="14"/>
        </w:numPr>
      </w:pPr>
      <w:r w:rsidRPr="00A83FF0">
        <w:t xml:space="preserve">Where work is required and the framework conditions and prices need to be further refined to provide value for money, all contractors on the relevant lot will be asked to take part in a mini-competition.  </w:t>
      </w:r>
    </w:p>
    <w:p w:rsidR="00C74B3D" w:rsidRPr="00A83FF0" w:rsidRDefault="00C74B3D" w:rsidP="00C74B3D">
      <w:pPr>
        <w:pStyle w:val="ListParagraph"/>
        <w:numPr>
          <w:ilvl w:val="0"/>
          <w:numId w:val="14"/>
        </w:numPr>
      </w:pPr>
      <w:r w:rsidRPr="00A83FF0">
        <w:t xml:space="preserve">Contractors will be invited to attend a site visit and will be provided with specification.  </w:t>
      </w:r>
    </w:p>
    <w:p w:rsidR="00C74B3D" w:rsidRPr="00A83FF0" w:rsidRDefault="00C74B3D" w:rsidP="00C74B3D">
      <w:pPr>
        <w:pStyle w:val="ListParagraph"/>
        <w:numPr>
          <w:ilvl w:val="0"/>
          <w:numId w:val="14"/>
        </w:numPr>
      </w:pPr>
      <w:r w:rsidRPr="00A83FF0">
        <w:t>Contractors will be asked to submit a written quote by a specified deadline.</w:t>
      </w:r>
    </w:p>
    <w:p w:rsidR="00C74B3D" w:rsidRPr="00A83FF0" w:rsidRDefault="00C74B3D" w:rsidP="00C74B3D">
      <w:pPr>
        <w:pStyle w:val="ListParagraph"/>
        <w:numPr>
          <w:ilvl w:val="0"/>
          <w:numId w:val="14"/>
        </w:numPr>
      </w:pPr>
      <w:r w:rsidRPr="00A83FF0">
        <w:t xml:space="preserve">All quotes received by the deadline will be evaluated based on pricing and delivery.  </w:t>
      </w:r>
    </w:p>
    <w:p w:rsidR="00C74B3D" w:rsidRPr="00A83FF0" w:rsidRDefault="00C74B3D" w:rsidP="00C74B3D">
      <w:pPr>
        <w:rPr>
          <w:rFonts w:cs="Arial"/>
          <w:szCs w:val="24"/>
        </w:rPr>
      </w:pPr>
    </w:p>
    <w:p w:rsidR="00C74B3D" w:rsidRDefault="00C74B3D" w:rsidP="00C74B3D">
      <w:pPr>
        <w:rPr>
          <w:rFonts w:cs="Arial"/>
          <w:szCs w:val="24"/>
        </w:rPr>
      </w:pPr>
      <w:r w:rsidRPr="000403CC">
        <w:rPr>
          <w:rFonts w:cs="Arial"/>
          <w:szCs w:val="24"/>
        </w:rPr>
        <w:t>The Forestry Commission gives no guarantee as to the volumes of work that will be offered under this framework as the Forestry Commission is not bound to offer any work under this framework. As and when work is required throughout the agreement period, call off orders will be placed using the method detailed above, specifying the work that is required. Maps and information will be supplied at the time of the call off providing detailed information and the location.</w:t>
      </w:r>
    </w:p>
    <w:p w:rsidR="007C1726" w:rsidRPr="000403CC" w:rsidRDefault="007C1726" w:rsidP="00C74B3D">
      <w:pPr>
        <w:rPr>
          <w:rFonts w:cs="Arial"/>
          <w:szCs w:val="24"/>
        </w:rPr>
      </w:pPr>
    </w:p>
    <w:p w:rsidR="00EA75FE" w:rsidRDefault="00EA75FE" w:rsidP="00EA75FE">
      <w:r>
        <w:t>The framework agreement is for work across the entire Yorkshire Forest District. We intend to have up to 5 contractors on this framework,</w:t>
      </w:r>
      <w:r w:rsidR="00C74B3D" w:rsidDel="00C74B3D">
        <w:t xml:space="preserve"> </w:t>
      </w:r>
      <w:r w:rsidR="00C74B3D">
        <w:t>although we reserve the right to take a more appropriate number if necessary.</w:t>
      </w:r>
    </w:p>
    <w:p w:rsidR="0000554B" w:rsidRDefault="0000554B" w:rsidP="00EA75FE"/>
    <w:p w:rsidR="0000554B" w:rsidRPr="00005948" w:rsidRDefault="0000554B" w:rsidP="0000554B">
      <w:r>
        <w:t>When a call off is made, The FC will provide maps (see Appendix 2) and plotting forms (see appendix 3) The contractor will supply all other materials and equipment, such as paint and measuring equipment, including a means for each marker to establish a consistent, accurate breast height of 1.3m.</w:t>
      </w:r>
    </w:p>
    <w:p w:rsidR="0000554B" w:rsidRPr="000403CC" w:rsidRDefault="0000554B" w:rsidP="0000554B"/>
    <w:p w:rsidR="0000554B" w:rsidRPr="000403CC" w:rsidRDefault="0000554B" w:rsidP="0000554B">
      <w:r w:rsidRPr="000403CC">
        <w:t>Adherence to these specifications is mandatory; failure to adhere may result in reassessment of your suitability to deliver.</w:t>
      </w:r>
    </w:p>
    <w:p w:rsidR="0000554B" w:rsidRDefault="0000554B" w:rsidP="00EA75FE"/>
    <w:p w:rsidR="00EA75FE" w:rsidRDefault="00EA75FE" w:rsidP="00C74B3D">
      <w:pPr>
        <w:rPr>
          <w:bCs/>
        </w:rPr>
      </w:pPr>
    </w:p>
    <w:p w:rsidR="00C74B3D" w:rsidRPr="00C74B3D" w:rsidRDefault="00C74B3D" w:rsidP="00C74B3D">
      <w:pPr>
        <w:rPr>
          <w:b/>
          <w:u w:val="single"/>
        </w:rPr>
      </w:pPr>
      <w:r w:rsidRPr="00C74B3D">
        <w:rPr>
          <w:b/>
          <w:u w:val="single"/>
        </w:rPr>
        <w:lastRenderedPageBreak/>
        <w:t>Background Information</w:t>
      </w:r>
    </w:p>
    <w:p w:rsidR="0000554B" w:rsidRPr="0000554B" w:rsidRDefault="0000554B" w:rsidP="000403CC"/>
    <w:p w:rsidR="000403CC" w:rsidRPr="00C74B3D" w:rsidRDefault="000403CC" w:rsidP="000403CC">
      <w:pPr>
        <w:rPr>
          <w:b/>
          <w:u w:val="single"/>
        </w:rPr>
      </w:pPr>
      <w:r w:rsidRPr="00C74B3D">
        <w:rPr>
          <w:b/>
          <w:u w:val="single"/>
        </w:rPr>
        <w:t>Specific Requirements</w:t>
      </w:r>
    </w:p>
    <w:p w:rsidR="000403CC" w:rsidRPr="000403CC" w:rsidRDefault="000403CC" w:rsidP="000403CC">
      <w:pPr>
        <w:rPr>
          <w:u w:val="single"/>
        </w:rPr>
      </w:pPr>
    </w:p>
    <w:p w:rsidR="00EA75FE" w:rsidRDefault="00EA75FE" w:rsidP="00EA75FE">
      <w:r>
        <w:t>The primary area of work is timber measurement, however from</w:t>
      </w:r>
      <w:r w:rsidRPr="000403CC">
        <w:t xml:space="preserve"> time to time there may be a requirement to carry out additional survey works, for example - pre-survey site assessments</w:t>
      </w:r>
      <w:r>
        <w:t xml:space="preserve"> (e.g. stratification)</w:t>
      </w:r>
      <w:r w:rsidRPr="000403CC">
        <w:t>, stocking density, rhododendron surveys. Additional works may necessitate the use of new technologies, and will be at the districts discretion. The district reserves the right to run mini-</w:t>
      </w:r>
      <w:r>
        <w:t>competitions</w:t>
      </w:r>
      <w:r w:rsidRPr="000403CC">
        <w:t>.</w:t>
      </w:r>
    </w:p>
    <w:p w:rsidR="00EA75FE" w:rsidRDefault="00EA75FE" w:rsidP="00EA75FE"/>
    <w:p w:rsidR="00ED45BB" w:rsidRDefault="00ED45BB" w:rsidP="00ED45BB">
      <w:r w:rsidRPr="00192EFE">
        <w:t>We</w:t>
      </w:r>
      <w:r>
        <w:t xml:space="preserve"> will</w:t>
      </w:r>
      <w:r w:rsidRPr="00192EFE">
        <w:t xml:space="preserve"> require </w:t>
      </w:r>
      <w:r w:rsidR="00DE19D4">
        <w:t xml:space="preserve">timber measurement </w:t>
      </w:r>
      <w:r w:rsidRPr="00192EFE">
        <w:t>survey work</w:t>
      </w:r>
      <w:r>
        <w:t xml:space="preserve"> to be undertaken</w:t>
      </w:r>
      <w:r w:rsidRPr="00192EFE">
        <w:t xml:space="preserve"> in accordance with the Forest Mensuration Handbook 2013 (Blue Handbook). </w:t>
      </w:r>
    </w:p>
    <w:p w:rsidR="00ED45BB" w:rsidRDefault="00ED45BB" w:rsidP="00ED45BB"/>
    <w:p w:rsidR="008B78CD" w:rsidRDefault="00ED45BB" w:rsidP="008B78CD">
      <w:r>
        <w:t>The successful contractor(s) will be required</w:t>
      </w:r>
      <w:r w:rsidRPr="00192EFE">
        <w:t xml:space="preserve"> to collect data </w:t>
      </w:r>
      <w:r>
        <w:t xml:space="preserve">for each sub-compartment </w:t>
      </w:r>
      <w:r w:rsidRPr="00192EFE">
        <w:t>and pr</w:t>
      </w:r>
      <w:r>
        <w:t xml:space="preserve">esent the results on a provided </w:t>
      </w:r>
      <w:r w:rsidRPr="00192EFE">
        <w:t>work summary sheet</w:t>
      </w:r>
      <w:r>
        <w:t>:</w:t>
      </w:r>
      <w:r w:rsidR="008B78CD">
        <w:t xml:space="preserve"> Please see </w:t>
      </w:r>
      <w:r w:rsidR="008B78CD" w:rsidRPr="00614ACC">
        <w:rPr>
          <w:i/>
        </w:rPr>
        <w:t xml:space="preserve">Appendix </w:t>
      </w:r>
      <w:r w:rsidR="008B78CD">
        <w:rPr>
          <w:i/>
        </w:rPr>
        <w:t>3</w:t>
      </w:r>
      <w:r w:rsidR="008B78CD">
        <w:t xml:space="preserve"> for an example. </w:t>
      </w:r>
    </w:p>
    <w:p w:rsidR="00ED45BB" w:rsidRDefault="00ED45BB" w:rsidP="00ED45BB"/>
    <w:p w:rsidR="000403CC" w:rsidRPr="000403CC" w:rsidRDefault="000403CC" w:rsidP="000403CC"/>
    <w:p w:rsidR="000403CC" w:rsidRPr="005E0C75" w:rsidRDefault="000403CC" w:rsidP="000403CC">
      <w:pPr>
        <w:rPr>
          <w:b/>
          <w:u w:val="single"/>
          <w:lang w:val="en-US"/>
        </w:rPr>
      </w:pPr>
      <w:r w:rsidRPr="005E0C75">
        <w:rPr>
          <w:b/>
          <w:u w:val="single"/>
          <w:lang w:val="en-US"/>
        </w:rPr>
        <w:t>PART 1</w:t>
      </w:r>
      <w:r w:rsidR="005E0C75">
        <w:rPr>
          <w:b/>
          <w:u w:val="single"/>
          <w:lang w:val="en-US"/>
        </w:rPr>
        <w:t>:</w:t>
      </w:r>
      <w:r w:rsidRPr="005E0C75">
        <w:rPr>
          <w:b/>
          <w:u w:val="single"/>
          <w:lang w:val="en-US"/>
        </w:rPr>
        <w:t xml:space="preserve"> Basal area survey, Top Height and Volume Plotting</w:t>
      </w:r>
    </w:p>
    <w:p w:rsidR="000403CC" w:rsidRPr="000403CC" w:rsidRDefault="000403CC" w:rsidP="000403CC">
      <w:pPr>
        <w:rPr>
          <w:lang w:val="en-US"/>
        </w:rPr>
      </w:pPr>
      <w:r w:rsidRPr="000403CC">
        <w:rPr>
          <w:noProof/>
          <w:lang w:eastAsia="en-GB"/>
        </w:rPr>
        <mc:AlternateContent>
          <mc:Choice Requires="wps">
            <w:drawing>
              <wp:anchor distT="0" distB="0" distL="114300" distR="114300" simplePos="0" relativeHeight="251663360" behindDoc="0" locked="0" layoutInCell="1" allowOverlap="1" wp14:anchorId="52A45B46" wp14:editId="064E5E1B">
                <wp:simplePos x="0" y="0"/>
                <wp:positionH relativeFrom="column">
                  <wp:posOffset>488950</wp:posOffset>
                </wp:positionH>
                <wp:positionV relativeFrom="paragraph">
                  <wp:posOffset>235585</wp:posOffset>
                </wp:positionV>
                <wp:extent cx="3733800" cy="27432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743200"/>
                        </a:xfrm>
                        <a:prstGeom prst="rect">
                          <a:avLst/>
                        </a:prstGeom>
                        <a:solidFill>
                          <a:srgbClr val="FFFFFF"/>
                        </a:solidFill>
                        <a:ln w="9525">
                          <a:solidFill>
                            <a:srgbClr val="000000"/>
                          </a:solidFill>
                          <a:miter lim="800000"/>
                          <a:headEnd/>
                          <a:tailEnd/>
                        </a:ln>
                      </wps:spPr>
                      <wps:txbx>
                        <w:txbxContent>
                          <w:p w:rsidR="00C06CCF" w:rsidRPr="0001721C" w:rsidRDefault="00C06CCF" w:rsidP="000403CC">
                            <w:r w:rsidRPr="0001721C">
                              <w:t>It is essential that procedures and conventions outlined in F</w:t>
                            </w:r>
                            <w:r>
                              <w:t>orest Mensuration, a Handbook for P</w:t>
                            </w:r>
                            <w:r w:rsidRPr="0001721C">
                              <w:t>ractitioners, Forestry Commission (2006) are followed.</w:t>
                            </w:r>
                          </w:p>
                          <w:p w:rsidR="00C06CCF" w:rsidRPr="0001721C" w:rsidRDefault="00C06CCF" w:rsidP="000403CC">
                            <w:r w:rsidRPr="0001721C">
                              <w:t>In particular, reference should be made to the following sections:</w:t>
                            </w:r>
                          </w:p>
                          <w:p w:rsidR="00C06CCF" w:rsidRPr="0001721C" w:rsidRDefault="00C06CCF" w:rsidP="000403CC">
                            <w:r w:rsidRPr="0001721C">
                              <w:t>2.3 Plot sizes on p32</w:t>
                            </w:r>
                          </w:p>
                          <w:p w:rsidR="00C06CCF" w:rsidRPr="0001721C" w:rsidRDefault="00C06CCF" w:rsidP="000403CC">
                            <w:r w:rsidRPr="0001721C">
                              <w:t>3.1 Diameter on pp 36 to 38</w:t>
                            </w:r>
                          </w:p>
                          <w:p w:rsidR="00C06CCF" w:rsidRPr="0001721C" w:rsidRDefault="00C06CCF" w:rsidP="000403CC">
                            <w:r w:rsidRPr="0001721C">
                              <w:t>3.2 Basal area by relascope on pp 39 to 42</w:t>
                            </w:r>
                          </w:p>
                          <w:p w:rsidR="00C06CCF" w:rsidRPr="0001721C" w:rsidRDefault="00C06CCF" w:rsidP="000403CC">
                            <w:r w:rsidRPr="0001721C">
                              <w:t>3.3 Top Height on pp 47 to 52</w:t>
                            </w:r>
                          </w:p>
                          <w:p w:rsidR="00C06CCF" w:rsidRPr="0001721C" w:rsidRDefault="00C06CCF" w:rsidP="000403CC">
                            <w:r w:rsidRPr="0001721C">
                              <w:t>4.3 Abbreviated tariffing procedures on pp88 to 103</w:t>
                            </w:r>
                          </w:p>
                          <w:p w:rsidR="00C06CCF" w:rsidRPr="0001721C" w:rsidRDefault="00C06CCF" w:rsidP="000403CC"/>
                        </w:txbxContent>
                      </wps:txbx>
                      <wps:bodyPr rot="0" vert="horz" wrap="square" lIns="101600" tIns="45720" rIns="1016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5pt;margin-top:18.55pt;width:294pt;height:3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">
                <v:textbox inset="8pt,,8pt">
                  <w:txbxContent>
                    <w:p w:rsidR="00C06CCF" w:rsidRPr="0001721C" w:rsidRDefault="00C06CCF" w:rsidP="000403CC">
                      <w:r w:rsidRPr="0001721C">
                        <w:t>It is essential that procedures and conventions outlined in F</w:t>
                      </w:r>
                      <w:r>
                        <w:t>orest Mensuration, a Handbook for P</w:t>
                      </w:r>
                      <w:r w:rsidRPr="0001721C">
                        <w:t>ractitioners, Forestry Commission (2006) are followed.</w:t>
                      </w:r>
                    </w:p>
                    <w:p w:rsidR="00C06CCF" w:rsidRPr="0001721C" w:rsidRDefault="00C06CCF" w:rsidP="000403CC">
                      <w:r w:rsidRPr="0001721C">
                        <w:t>In particular, reference should be made to the following sections:</w:t>
                      </w:r>
                    </w:p>
                    <w:p w:rsidR="00C06CCF" w:rsidRPr="0001721C" w:rsidRDefault="00C06CCF" w:rsidP="000403CC">
                      <w:r w:rsidRPr="0001721C">
                        <w:t>2.3 Plot sizes on p32</w:t>
                      </w:r>
                    </w:p>
                    <w:p w:rsidR="00C06CCF" w:rsidRPr="0001721C" w:rsidRDefault="00C06CCF" w:rsidP="000403CC">
                      <w:r w:rsidRPr="0001721C">
                        <w:t>3.1 Diameter on pp 36 to 38</w:t>
                      </w:r>
                    </w:p>
                    <w:p w:rsidR="00C06CCF" w:rsidRPr="0001721C" w:rsidRDefault="00C06CCF" w:rsidP="000403CC">
                      <w:r w:rsidRPr="0001721C">
                        <w:t xml:space="preserve">3.2 Basal area by </w:t>
                      </w:r>
                      <w:proofErr w:type="spellStart"/>
                      <w:r w:rsidRPr="0001721C">
                        <w:t>relascope</w:t>
                      </w:r>
                      <w:proofErr w:type="spellEnd"/>
                      <w:r w:rsidRPr="0001721C">
                        <w:t xml:space="preserve"> on pp 39 to 42</w:t>
                      </w:r>
                    </w:p>
                    <w:p w:rsidR="00C06CCF" w:rsidRPr="0001721C" w:rsidRDefault="00C06CCF" w:rsidP="000403CC">
                      <w:r w:rsidRPr="0001721C">
                        <w:t>3.3 Top Height on pp 47 to 52</w:t>
                      </w:r>
                    </w:p>
                    <w:p w:rsidR="00C06CCF" w:rsidRPr="0001721C" w:rsidRDefault="00C06CCF" w:rsidP="000403CC">
                      <w:r w:rsidRPr="0001721C">
                        <w:t>4.3 Abbreviated tariffing procedures on pp88 to 103</w:t>
                      </w:r>
                    </w:p>
                    <w:p w:rsidR="00C06CCF" w:rsidRPr="0001721C" w:rsidRDefault="00C06CCF" w:rsidP="000403CC"/>
                  </w:txbxContent>
                </v:textbox>
                <w10:wrap type="square"/>
              </v:shape>
            </w:pict>
          </mc:Fallback>
        </mc:AlternateContent>
      </w:r>
    </w:p>
    <w:p w:rsidR="000403CC" w:rsidRPr="000403CC" w:rsidRDefault="000403CC" w:rsidP="000403CC">
      <w:pPr>
        <w:rPr>
          <w:lang w:val="en-US"/>
        </w:rPr>
      </w:pPr>
    </w:p>
    <w:p w:rsidR="000403CC" w:rsidRPr="000403CC" w:rsidRDefault="000403CC" w:rsidP="000403CC">
      <w:pPr>
        <w:rPr>
          <w:lang w:val="en-US"/>
        </w:rPr>
      </w:pPr>
    </w:p>
    <w:p w:rsidR="000403CC" w:rsidRPr="00B228B4" w:rsidRDefault="000403CC" w:rsidP="000403CC">
      <w:pPr>
        <w:rPr>
          <w:lang w:val="en-US"/>
        </w:rPr>
      </w:pPr>
    </w:p>
    <w:p w:rsidR="000403CC" w:rsidRPr="00005948" w:rsidRDefault="000403CC" w:rsidP="000403CC">
      <w:pPr>
        <w:rPr>
          <w:lang w:val="en-US"/>
        </w:rPr>
      </w:pPr>
    </w:p>
    <w:p w:rsidR="000403CC" w:rsidRPr="00005948" w:rsidRDefault="000403CC" w:rsidP="000403CC">
      <w:pPr>
        <w:rPr>
          <w:lang w:val="en-US"/>
        </w:rPr>
      </w:pPr>
    </w:p>
    <w:p w:rsidR="000403CC" w:rsidRPr="00C9060F" w:rsidRDefault="000403CC" w:rsidP="000403CC">
      <w:pPr>
        <w:rPr>
          <w:lang w:val="en-US"/>
        </w:rPr>
      </w:pPr>
    </w:p>
    <w:p w:rsidR="000403CC" w:rsidRPr="00C9060F" w:rsidRDefault="000403CC" w:rsidP="000403CC">
      <w:pPr>
        <w:rPr>
          <w:lang w:val="en-US"/>
        </w:rPr>
      </w:pPr>
    </w:p>
    <w:p w:rsidR="000403CC" w:rsidRPr="00C9060F" w:rsidRDefault="000403CC" w:rsidP="000403CC">
      <w:pPr>
        <w:rPr>
          <w:b/>
          <w:lang w:val="en-US"/>
        </w:rPr>
      </w:pPr>
    </w:p>
    <w:p w:rsidR="000403CC" w:rsidRPr="000B058B" w:rsidRDefault="000403CC" w:rsidP="000403CC">
      <w:pPr>
        <w:rPr>
          <w:b/>
          <w:lang w:val="en-US"/>
        </w:rPr>
      </w:pPr>
    </w:p>
    <w:p w:rsidR="000403CC" w:rsidRPr="000403CC" w:rsidRDefault="000403CC" w:rsidP="000403CC">
      <w:pPr>
        <w:rPr>
          <w:b/>
          <w:lang w:val="en-US"/>
        </w:rPr>
      </w:pPr>
    </w:p>
    <w:p w:rsidR="000403CC" w:rsidRPr="000403CC" w:rsidRDefault="000403CC" w:rsidP="000403CC">
      <w:pPr>
        <w:rPr>
          <w:b/>
          <w:lang w:val="en-US"/>
        </w:rPr>
      </w:pPr>
    </w:p>
    <w:p w:rsidR="000403CC" w:rsidRPr="000403CC" w:rsidRDefault="000403CC" w:rsidP="000403CC">
      <w:pPr>
        <w:rPr>
          <w:b/>
          <w:lang w:val="en-US"/>
        </w:rPr>
      </w:pPr>
    </w:p>
    <w:p w:rsidR="000403CC" w:rsidRPr="000403CC" w:rsidRDefault="000403CC" w:rsidP="000403CC">
      <w:pPr>
        <w:rPr>
          <w:b/>
          <w:lang w:val="en-US"/>
        </w:rPr>
      </w:pPr>
    </w:p>
    <w:p w:rsidR="000403CC" w:rsidRPr="000403CC" w:rsidRDefault="000403CC" w:rsidP="000403CC">
      <w:pPr>
        <w:rPr>
          <w:b/>
          <w:lang w:val="en-US"/>
        </w:rPr>
      </w:pPr>
    </w:p>
    <w:p w:rsidR="000403CC" w:rsidRPr="000403CC" w:rsidRDefault="000403CC" w:rsidP="000403CC">
      <w:pPr>
        <w:rPr>
          <w:b/>
          <w:lang w:val="en-US"/>
        </w:rPr>
      </w:pPr>
    </w:p>
    <w:p w:rsidR="000403CC" w:rsidRPr="000403CC" w:rsidRDefault="000403CC" w:rsidP="000403CC">
      <w:pPr>
        <w:rPr>
          <w:b/>
          <w:lang w:val="en-US"/>
        </w:rPr>
      </w:pPr>
    </w:p>
    <w:p w:rsidR="000403CC" w:rsidRPr="000403CC" w:rsidRDefault="000403CC" w:rsidP="000403CC">
      <w:pPr>
        <w:rPr>
          <w:b/>
          <w:lang w:val="en-US"/>
        </w:rPr>
      </w:pPr>
      <w:r w:rsidRPr="000403CC">
        <w:rPr>
          <w:b/>
          <w:lang w:val="en-US"/>
        </w:rPr>
        <w:t>A. Survey basal area (BA) and top height (TH) to be measured and recorded on FC form provided (see Appendix 3).</w:t>
      </w:r>
    </w:p>
    <w:p w:rsidR="000403CC" w:rsidRPr="000403CC" w:rsidRDefault="000403CC" w:rsidP="000403CC">
      <w:pPr>
        <w:rPr>
          <w:lang w:val="en-US"/>
        </w:rPr>
      </w:pPr>
    </w:p>
    <w:p w:rsidR="000403CC" w:rsidRPr="000403CC" w:rsidRDefault="000403CC" w:rsidP="000403CC">
      <w:pPr>
        <w:rPr>
          <w:lang w:val="en-US"/>
        </w:rPr>
      </w:pPr>
      <w:r w:rsidRPr="000403CC">
        <w:rPr>
          <w:lang w:val="en-US"/>
        </w:rPr>
        <w:t>1.</w:t>
      </w:r>
      <w:r w:rsidRPr="000403CC">
        <w:rPr>
          <w:lang w:val="en-US"/>
        </w:rPr>
        <w:tab/>
        <w:t>Identify sample points</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14"/>
        <w:rPr>
          <w:lang w:val="en-US"/>
        </w:rPr>
      </w:pPr>
      <w:r w:rsidRPr="00A83FF0">
        <w:rPr>
          <w:lang w:val="en-US"/>
        </w:rPr>
        <w:t xml:space="preserve">A number of sample points should be selected, preferably systematically or with a point sampling grid on a map, throughout the area to be assessed. </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14"/>
        <w:rPr>
          <w:lang w:val="en-US"/>
        </w:rPr>
      </w:pPr>
      <w:r w:rsidRPr="00A83FF0">
        <w:rPr>
          <w:lang w:val="en-US"/>
        </w:rPr>
        <w:t>The following table gives an approximation of the number of plots required:</w:t>
      </w:r>
    </w:p>
    <w:p w:rsidR="000403CC" w:rsidRPr="00A83FF0" w:rsidRDefault="000403CC" w:rsidP="000403CC">
      <w:pPr>
        <w:rPr>
          <w:lang w:val="en-US"/>
        </w:rPr>
      </w:pPr>
    </w:p>
    <w:tbl>
      <w:tblPr>
        <w:tblW w:w="0" w:type="auto"/>
        <w:tblInd w:w="1314" w:type="dxa"/>
        <w:tblCellMar>
          <w:left w:w="180" w:type="dxa"/>
          <w:right w:w="180" w:type="dxa"/>
        </w:tblCellMar>
        <w:tblLook w:val="0000" w:firstRow="0" w:lastRow="0" w:firstColumn="0" w:lastColumn="0" w:noHBand="0" w:noVBand="0"/>
      </w:tblPr>
      <w:tblGrid>
        <w:gridCol w:w="1686"/>
        <w:gridCol w:w="3000"/>
        <w:gridCol w:w="3000"/>
      </w:tblGrid>
      <w:tr w:rsidR="000403CC" w:rsidRPr="000403CC" w:rsidTr="005E0C75">
        <w:trPr>
          <w:trHeight w:val="340"/>
        </w:trPr>
        <w:tc>
          <w:tcPr>
            <w:tcW w:w="1686" w:type="dxa"/>
            <w:tcBorders>
              <w:top w:val="single" w:sz="8" w:space="0" w:color="666666"/>
              <w:left w:val="single" w:sz="8" w:space="0" w:color="666666"/>
              <w:bottom w:val="single" w:sz="8" w:space="0" w:color="666666"/>
              <w:right w:val="nil"/>
            </w:tcBorders>
          </w:tcPr>
          <w:p w:rsidR="000403CC" w:rsidRPr="000403CC" w:rsidRDefault="000403CC" w:rsidP="000403CC">
            <w:pPr>
              <w:jc w:val="center"/>
              <w:rPr>
                <w:b/>
                <w:bCs/>
                <w:lang w:val="en-US"/>
              </w:rPr>
            </w:pPr>
            <w:r w:rsidRPr="000403CC">
              <w:rPr>
                <w:b/>
                <w:bCs/>
                <w:lang w:val="en-US"/>
              </w:rPr>
              <w:t>Area (ha)</w:t>
            </w:r>
          </w:p>
        </w:tc>
        <w:tc>
          <w:tcPr>
            <w:tcW w:w="3000" w:type="dxa"/>
            <w:tcBorders>
              <w:top w:val="single" w:sz="8" w:space="0" w:color="666666"/>
              <w:left w:val="single" w:sz="8" w:space="0" w:color="666666"/>
              <w:bottom w:val="single" w:sz="8" w:space="0" w:color="666666"/>
              <w:right w:val="nil"/>
            </w:tcBorders>
          </w:tcPr>
          <w:p w:rsidR="000403CC" w:rsidRPr="000403CC" w:rsidRDefault="000403CC" w:rsidP="000403CC">
            <w:pPr>
              <w:jc w:val="center"/>
              <w:rPr>
                <w:b/>
                <w:bCs/>
                <w:lang w:val="en-US"/>
              </w:rPr>
            </w:pPr>
            <w:r w:rsidRPr="000403CC">
              <w:rPr>
                <w:b/>
                <w:bCs/>
                <w:lang w:val="en-US"/>
              </w:rPr>
              <w:t>Uniform stand</w:t>
            </w:r>
          </w:p>
        </w:tc>
        <w:tc>
          <w:tcPr>
            <w:tcW w:w="3000" w:type="dxa"/>
            <w:tcBorders>
              <w:top w:val="single" w:sz="8" w:space="0" w:color="666666"/>
              <w:left w:val="single" w:sz="8" w:space="0" w:color="666666"/>
              <w:bottom w:val="single" w:sz="8" w:space="0" w:color="666666"/>
              <w:right w:val="single" w:sz="8" w:space="0" w:color="666666"/>
            </w:tcBorders>
          </w:tcPr>
          <w:p w:rsidR="000403CC" w:rsidRPr="000403CC" w:rsidRDefault="000403CC" w:rsidP="000403CC">
            <w:pPr>
              <w:jc w:val="center"/>
              <w:rPr>
                <w:b/>
                <w:bCs/>
                <w:lang w:val="en-US"/>
              </w:rPr>
            </w:pPr>
            <w:r w:rsidRPr="000403CC">
              <w:rPr>
                <w:b/>
                <w:bCs/>
                <w:lang w:val="en-US"/>
              </w:rPr>
              <w:t>Variable stand</w:t>
            </w:r>
          </w:p>
        </w:tc>
      </w:tr>
      <w:tr w:rsidR="000403CC" w:rsidRPr="000403CC" w:rsidTr="005E0C75">
        <w:trPr>
          <w:trHeight w:val="289"/>
        </w:trPr>
        <w:tc>
          <w:tcPr>
            <w:tcW w:w="1686" w:type="dxa"/>
            <w:tcBorders>
              <w:top w:val="single" w:sz="8" w:space="0" w:color="666666"/>
              <w:left w:val="single" w:sz="8" w:space="0" w:color="666666"/>
              <w:bottom w:val="nil"/>
              <w:right w:val="nil"/>
            </w:tcBorders>
          </w:tcPr>
          <w:p w:rsidR="000403CC" w:rsidRPr="000403CC" w:rsidRDefault="000403CC" w:rsidP="000403CC">
            <w:pPr>
              <w:jc w:val="center"/>
              <w:rPr>
                <w:b/>
                <w:bCs/>
                <w:lang w:val="en-US"/>
              </w:rPr>
            </w:pPr>
            <w:r w:rsidRPr="000403CC">
              <w:rPr>
                <w:lang w:val="en-US"/>
              </w:rPr>
              <w:t>0.5 - 2</w:t>
            </w:r>
          </w:p>
        </w:tc>
        <w:tc>
          <w:tcPr>
            <w:tcW w:w="3000" w:type="dxa"/>
            <w:tcBorders>
              <w:top w:val="single" w:sz="8" w:space="0" w:color="666666"/>
              <w:left w:val="single" w:sz="8" w:space="0" w:color="666666"/>
              <w:bottom w:val="nil"/>
              <w:right w:val="nil"/>
            </w:tcBorders>
          </w:tcPr>
          <w:p w:rsidR="000403CC" w:rsidRPr="000403CC" w:rsidRDefault="000403CC" w:rsidP="000403CC">
            <w:pPr>
              <w:jc w:val="center"/>
              <w:rPr>
                <w:b/>
                <w:bCs/>
                <w:lang w:val="en-US"/>
              </w:rPr>
            </w:pPr>
            <w:r w:rsidRPr="000403CC">
              <w:rPr>
                <w:lang w:val="en-US"/>
              </w:rPr>
              <w:t>12</w:t>
            </w:r>
          </w:p>
        </w:tc>
        <w:tc>
          <w:tcPr>
            <w:tcW w:w="3000" w:type="dxa"/>
            <w:tcBorders>
              <w:top w:val="single" w:sz="8" w:space="0" w:color="666666"/>
              <w:left w:val="single" w:sz="8" w:space="0" w:color="666666"/>
              <w:bottom w:val="nil"/>
              <w:right w:val="single" w:sz="8" w:space="0" w:color="666666"/>
            </w:tcBorders>
          </w:tcPr>
          <w:p w:rsidR="000403CC" w:rsidRPr="000403CC" w:rsidRDefault="000403CC" w:rsidP="000403CC">
            <w:pPr>
              <w:jc w:val="center"/>
              <w:rPr>
                <w:b/>
                <w:bCs/>
                <w:lang w:val="en-US"/>
              </w:rPr>
            </w:pPr>
            <w:r w:rsidRPr="000403CC">
              <w:rPr>
                <w:lang w:val="en-US"/>
              </w:rPr>
              <w:t>16</w:t>
            </w:r>
          </w:p>
        </w:tc>
      </w:tr>
      <w:tr w:rsidR="000403CC" w:rsidRPr="000403CC" w:rsidTr="005E0C75">
        <w:trPr>
          <w:trHeight w:val="270"/>
        </w:trPr>
        <w:tc>
          <w:tcPr>
            <w:tcW w:w="1686" w:type="dxa"/>
            <w:tcBorders>
              <w:top w:val="nil"/>
              <w:left w:val="single" w:sz="8" w:space="0" w:color="666666"/>
              <w:bottom w:val="nil"/>
              <w:right w:val="nil"/>
            </w:tcBorders>
          </w:tcPr>
          <w:p w:rsidR="000403CC" w:rsidRPr="000403CC" w:rsidRDefault="000403CC" w:rsidP="000403CC">
            <w:pPr>
              <w:jc w:val="center"/>
              <w:rPr>
                <w:b/>
                <w:bCs/>
                <w:lang w:val="en-US"/>
              </w:rPr>
            </w:pPr>
            <w:r w:rsidRPr="000403CC">
              <w:rPr>
                <w:lang w:val="en-US"/>
              </w:rPr>
              <w:t>2 - 10</w:t>
            </w:r>
          </w:p>
        </w:tc>
        <w:tc>
          <w:tcPr>
            <w:tcW w:w="3000" w:type="dxa"/>
            <w:tcBorders>
              <w:top w:val="nil"/>
              <w:left w:val="single" w:sz="8" w:space="0" w:color="666666"/>
              <w:bottom w:val="nil"/>
              <w:right w:val="nil"/>
            </w:tcBorders>
          </w:tcPr>
          <w:p w:rsidR="000403CC" w:rsidRPr="000403CC" w:rsidRDefault="000403CC" w:rsidP="000403CC">
            <w:pPr>
              <w:jc w:val="center"/>
              <w:rPr>
                <w:b/>
                <w:bCs/>
                <w:lang w:val="en-US"/>
              </w:rPr>
            </w:pPr>
            <w:r w:rsidRPr="000403CC">
              <w:rPr>
                <w:lang w:val="en-US"/>
              </w:rPr>
              <w:t>16</w:t>
            </w:r>
          </w:p>
        </w:tc>
        <w:tc>
          <w:tcPr>
            <w:tcW w:w="3000" w:type="dxa"/>
            <w:tcBorders>
              <w:top w:val="nil"/>
              <w:left w:val="single" w:sz="8" w:space="0" w:color="666666"/>
              <w:bottom w:val="nil"/>
              <w:right w:val="single" w:sz="8" w:space="0" w:color="666666"/>
            </w:tcBorders>
          </w:tcPr>
          <w:p w:rsidR="000403CC" w:rsidRPr="000403CC" w:rsidRDefault="000403CC" w:rsidP="000403CC">
            <w:pPr>
              <w:jc w:val="center"/>
              <w:rPr>
                <w:b/>
                <w:bCs/>
                <w:lang w:val="en-US"/>
              </w:rPr>
            </w:pPr>
            <w:r w:rsidRPr="000403CC">
              <w:rPr>
                <w:lang w:val="en-US"/>
              </w:rPr>
              <w:t>24</w:t>
            </w:r>
          </w:p>
        </w:tc>
      </w:tr>
      <w:tr w:rsidR="000403CC" w:rsidRPr="000403CC" w:rsidTr="005E0C75">
        <w:trPr>
          <w:trHeight w:val="280"/>
        </w:trPr>
        <w:tc>
          <w:tcPr>
            <w:tcW w:w="1686" w:type="dxa"/>
            <w:tcBorders>
              <w:top w:val="nil"/>
              <w:left w:val="single" w:sz="8" w:space="0" w:color="666666"/>
              <w:bottom w:val="single" w:sz="8" w:space="0" w:color="666666"/>
              <w:right w:val="nil"/>
            </w:tcBorders>
          </w:tcPr>
          <w:p w:rsidR="000403CC" w:rsidRPr="000403CC" w:rsidRDefault="000403CC" w:rsidP="000403CC">
            <w:pPr>
              <w:jc w:val="center"/>
              <w:rPr>
                <w:b/>
                <w:bCs/>
                <w:lang w:val="en-US"/>
              </w:rPr>
            </w:pPr>
            <w:r w:rsidRPr="000403CC">
              <w:rPr>
                <w:lang w:val="en-US"/>
              </w:rPr>
              <w:t>Over 10</w:t>
            </w:r>
          </w:p>
        </w:tc>
        <w:tc>
          <w:tcPr>
            <w:tcW w:w="3000" w:type="dxa"/>
            <w:tcBorders>
              <w:top w:val="nil"/>
              <w:left w:val="single" w:sz="8" w:space="0" w:color="666666"/>
              <w:bottom w:val="single" w:sz="8" w:space="0" w:color="666666"/>
              <w:right w:val="nil"/>
            </w:tcBorders>
          </w:tcPr>
          <w:p w:rsidR="000403CC" w:rsidRPr="000403CC" w:rsidRDefault="000403CC" w:rsidP="000403CC">
            <w:pPr>
              <w:jc w:val="center"/>
              <w:rPr>
                <w:b/>
                <w:bCs/>
                <w:lang w:val="en-US"/>
              </w:rPr>
            </w:pPr>
            <w:r w:rsidRPr="000403CC">
              <w:rPr>
                <w:lang w:val="en-US"/>
              </w:rPr>
              <w:t>20</w:t>
            </w:r>
          </w:p>
        </w:tc>
        <w:tc>
          <w:tcPr>
            <w:tcW w:w="3000" w:type="dxa"/>
            <w:tcBorders>
              <w:top w:val="nil"/>
              <w:left w:val="single" w:sz="8" w:space="0" w:color="666666"/>
              <w:bottom w:val="single" w:sz="8" w:space="0" w:color="666666"/>
              <w:right w:val="single" w:sz="8" w:space="0" w:color="666666"/>
            </w:tcBorders>
          </w:tcPr>
          <w:p w:rsidR="000403CC" w:rsidRPr="000403CC" w:rsidRDefault="000403CC" w:rsidP="000403CC">
            <w:pPr>
              <w:jc w:val="center"/>
              <w:rPr>
                <w:b/>
                <w:bCs/>
                <w:lang w:val="en-US"/>
              </w:rPr>
            </w:pPr>
            <w:r w:rsidRPr="000403CC">
              <w:rPr>
                <w:lang w:val="en-US"/>
              </w:rPr>
              <w:t>32</w:t>
            </w:r>
          </w:p>
        </w:tc>
      </w:tr>
    </w:tbl>
    <w:p w:rsidR="000403CC" w:rsidRPr="005E0C75" w:rsidRDefault="000403CC" w:rsidP="005E0C75">
      <w:pPr>
        <w:ind w:left="720" w:firstLine="720"/>
        <w:rPr>
          <w:sz w:val="20"/>
          <w:lang w:val="en-US"/>
        </w:rPr>
      </w:pPr>
      <w:r w:rsidRPr="005E0C75">
        <w:rPr>
          <w:sz w:val="20"/>
          <w:lang w:val="en-US"/>
        </w:rPr>
        <w:t>Table 1: Number of sample points required for a basal area survey.</w:t>
      </w:r>
    </w:p>
    <w:p w:rsidR="000403CC" w:rsidRPr="000403CC" w:rsidRDefault="000403CC" w:rsidP="000403CC">
      <w:pPr>
        <w:rPr>
          <w:lang w:val="en-US"/>
        </w:rPr>
      </w:pP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Each point should be a minimum distance from the edge of the stand (see P40) and should be chosen to give equal weight to each component part of the stand. For example, where the stand is composed of row mixtures each part of the mix must be sampled.  </w:t>
      </w:r>
    </w:p>
    <w:p w:rsidR="000403CC" w:rsidRPr="00A83FF0" w:rsidRDefault="000403CC" w:rsidP="000403CC">
      <w:pPr>
        <w:rPr>
          <w:lang w:val="en-US"/>
        </w:rPr>
      </w:pPr>
    </w:p>
    <w:p w:rsidR="000403CC" w:rsidRPr="00A83FF0" w:rsidRDefault="000403CC" w:rsidP="000403CC">
      <w:pPr>
        <w:rPr>
          <w:lang w:val="en-US"/>
        </w:rPr>
      </w:pPr>
      <w:r w:rsidRPr="00A83FF0">
        <w:rPr>
          <w:lang w:val="en-US"/>
        </w:rPr>
        <w:t>2.</w:t>
      </w:r>
      <w:r w:rsidRPr="00A83FF0">
        <w:rPr>
          <w:lang w:val="en-US"/>
        </w:rPr>
        <w:tab/>
        <w:t>Carry out relascope sweeps</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A relascope sweep needs to be made at each point (p41). </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There are two main types of relascope: a T-gauge and a glass or plastic prism. Either is acceptable but accuracy will require to be verified by FC. </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Only trees of greater than 7cm diameter at breast height (</w:t>
      </w:r>
      <w:r w:rsidR="00B06221" w:rsidRPr="00A83FF0">
        <w:rPr>
          <w:lang w:val="en-US"/>
        </w:rPr>
        <w:t>DBH</w:t>
      </w:r>
      <w:r w:rsidRPr="00A83FF0">
        <w:rPr>
          <w:lang w:val="en-US"/>
        </w:rPr>
        <w:t>) are included in the count. Conventions for deciding which trees are ‘in’ and which are not must be followed (refer to pp 41 – 42).</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Basal area per hectare is a product of the relascope factor and the number of trees counted. For example, where the factor is two and 18 trees are counted, the basal area is 36 m2 per ha. </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If the sampling point is on sloping ground then a correction factor should be applied (p 33).</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The basal area per hectare of the stand is the mean of the BA estimated at each sampling point.</w:t>
      </w:r>
    </w:p>
    <w:p w:rsidR="000403CC" w:rsidRPr="00A83FF0" w:rsidRDefault="000403CC" w:rsidP="000403CC">
      <w:pPr>
        <w:rPr>
          <w:lang w:val="en-US"/>
        </w:rPr>
      </w:pPr>
    </w:p>
    <w:p w:rsidR="000403CC" w:rsidRPr="000403CC" w:rsidRDefault="000403CC" w:rsidP="005E0C75">
      <w:pPr>
        <w:ind w:left="709" w:hanging="709"/>
        <w:rPr>
          <w:lang w:val="en-US"/>
        </w:rPr>
      </w:pPr>
      <w:r w:rsidRPr="000403CC">
        <w:rPr>
          <w:lang w:val="en-US"/>
        </w:rPr>
        <w:t>3.</w:t>
      </w:r>
      <w:r w:rsidRPr="000403CC">
        <w:rPr>
          <w:lang w:val="en-US"/>
        </w:rPr>
        <w:tab/>
        <w:t>Top height (TH) should be assessed as per instructions in the handbook. This will involve the use of vertex, hypsometer or clinometer to measure height to tip for conifers and timber height for broadleaf trees. The number of top height trees must be as per the following table:</w:t>
      </w:r>
    </w:p>
    <w:tbl>
      <w:tblPr>
        <w:tblpPr w:leftFromText="180" w:rightFromText="180" w:vertAnchor="text" w:horzAnchor="margin" w:tblpXSpec="right" w:tblpY="176"/>
        <w:tblW w:w="0" w:type="auto"/>
        <w:tblCellMar>
          <w:left w:w="180" w:type="dxa"/>
          <w:right w:w="180" w:type="dxa"/>
        </w:tblCellMar>
        <w:tblLook w:val="0000" w:firstRow="0" w:lastRow="0" w:firstColumn="0" w:lastColumn="0" w:noHBand="0" w:noVBand="0"/>
      </w:tblPr>
      <w:tblGrid>
        <w:gridCol w:w="3000"/>
        <w:gridCol w:w="3000"/>
        <w:gridCol w:w="3000"/>
      </w:tblGrid>
      <w:tr w:rsidR="005E0C75" w:rsidRPr="000403CC" w:rsidTr="005E0C75">
        <w:trPr>
          <w:trHeight w:val="330"/>
        </w:trPr>
        <w:tc>
          <w:tcPr>
            <w:tcW w:w="3000" w:type="dxa"/>
            <w:tcBorders>
              <w:top w:val="nil"/>
              <w:left w:val="nil"/>
              <w:bottom w:val="single" w:sz="8" w:space="0" w:color="666666"/>
              <w:right w:val="nil"/>
            </w:tcBorders>
          </w:tcPr>
          <w:p w:rsidR="005E0C75" w:rsidRPr="000403CC" w:rsidRDefault="005E0C75" w:rsidP="005E0C75">
            <w:pPr>
              <w:jc w:val="center"/>
              <w:rPr>
                <w:b/>
                <w:bCs/>
                <w:lang w:val="en-US"/>
              </w:rPr>
            </w:pPr>
            <w:r w:rsidRPr="000403CC">
              <w:rPr>
                <w:b/>
                <w:bCs/>
                <w:lang w:val="en-US"/>
              </w:rPr>
              <w:t>Area (ha)</w:t>
            </w:r>
          </w:p>
        </w:tc>
        <w:tc>
          <w:tcPr>
            <w:tcW w:w="3000" w:type="dxa"/>
            <w:tcBorders>
              <w:top w:val="nil"/>
              <w:left w:val="nil"/>
              <w:bottom w:val="single" w:sz="8" w:space="0" w:color="666666"/>
              <w:right w:val="nil"/>
            </w:tcBorders>
          </w:tcPr>
          <w:p w:rsidR="005E0C75" w:rsidRPr="000403CC" w:rsidRDefault="005E0C75" w:rsidP="005E0C75">
            <w:pPr>
              <w:jc w:val="center"/>
              <w:rPr>
                <w:b/>
                <w:bCs/>
                <w:lang w:val="en-US"/>
              </w:rPr>
            </w:pPr>
            <w:r w:rsidRPr="000403CC">
              <w:rPr>
                <w:b/>
                <w:bCs/>
                <w:lang w:val="en-US"/>
              </w:rPr>
              <w:t>Uniform crop</w:t>
            </w:r>
          </w:p>
        </w:tc>
        <w:tc>
          <w:tcPr>
            <w:tcW w:w="3000" w:type="dxa"/>
            <w:tcBorders>
              <w:top w:val="nil"/>
              <w:left w:val="nil"/>
              <w:bottom w:val="single" w:sz="8" w:space="0" w:color="666666"/>
              <w:right w:val="nil"/>
            </w:tcBorders>
          </w:tcPr>
          <w:p w:rsidR="005E0C75" w:rsidRPr="000403CC" w:rsidRDefault="005E0C75" w:rsidP="005E0C75">
            <w:pPr>
              <w:jc w:val="center"/>
              <w:rPr>
                <w:b/>
                <w:bCs/>
                <w:lang w:val="en-US"/>
              </w:rPr>
            </w:pPr>
            <w:r w:rsidRPr="000403CC">
              <w:rPr>
                <w:b/>
                <w:bCs/>
                <w:lang w:val="en-US"/>
              </w:rPr>
              <w:t>Variable crop</w:t>
            </w:r>
          </w:p>
        </w:tc>
      </w:tr>
      <w:tr w:rsidR="005E0C75" w:rsidRPr="000403CC" w:rsidTr="005E0C75">
        <w:trPr>
          <w:trHeight w:val="309"/>
        </w:trPr>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0.5 - 2.0</w:t>
            </w:r>
          </w:p>
        </w:tc>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6</w:t>
            </w:r>
          </w:p>
        </w:tc>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8</w:t>
            </w:r>
          </w:p>
        </w:tc>
      </w:tr>
      <w:tr w:rsidR="005E0C75" w:rsidRPr="000403CC" w:rsidTr="005E0C75">
        <w:trPr>
          <w:trHeight w:val="320"/>
        </w:trPr>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2.0 - 10.0</w:t>
            </w:r>
          </w:p>
        </w:tc>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8</w:t>
            </w:r>
          </w:p>
        </w:tc>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12</w:t>
            </w:r>
          </w:p>
        </w:tc>
      </w:tr>
      <w:tr w:rsidR="005E0C75" w:rsidRPr="000403CC" w:rsidTr="005E0C75">
        <w:trPr>
          <w:trHeight w:val="309"/>
        </w:trPr>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Over 10</w:t>
            </w:r>
          </w:p>
        </w:tc>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10</w:t>
            </w:r>
          </w:p>
        </w:tc>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16</w:t>
            </w:r>
          </w:p>
        </w:tc>
      </w:tr>
    </w:tbl>
    <w:p w:rsidR="000403CC" w:rsidRPr="000403CC" w:rsidRDefault="000403CC" w:rsidP="000403CC">
      <w:pPr>
        <w:rPr>
          <w:lang w:val="en-US"/>
        </w:rPr>
      </w:pPr>
    </w:p>
    <w:p w:rsidR="000403CC" w:rsidRPr="000403CC" w:rsidRDefault="000403CC" w:rsidP="000403CC">
      <w:pPr>
        <w:rPr>
          <w:lang w:val="en-US"/>
        </w:rPr>
      </w:pPr>
      <w:r w:rsidRPr="000403CC">
        <w:rPr>
          <w:lang w:val="en-US"/>
        </w:rPr>
        <w:t xml:space="preserve"> </w:t>
      </w:r>
    </w:p>
    <w:p w:rsidR="005E0C75" w:rsidRDefault="005E0C75" w:rsidP="000403CC">
      <w:pPr>
        <w:rPr>
          <w:lang w:val="en-US"/>
        </w:rPr>
      </w:pPr>
    </w:p>
    <w:p w:rsidR="005E0C75" w:rsidRDefault="005E0C75" w:rsidP="000403CC">
      <w:pPr>
        <w:rPr>
          <w:lang w:val="en-US"/>
        </w:rPr>
      </w:pPr>
    </w:p>
    <w:p w:rsidR="005E0C75" w:rsidRDefault="005E0C75" w:rsidP="000403CC">
      <w:pPr>
        <w:rPr>
          <w:lang w:val="en-US"/>
        </w:rPr>
      </w:pPr>
    </w:p>
    <w:p w:rsidR="005E0C75" w:rsidRDefault="005E0C75" w:rsidP="000403CC">
      <w:pPr>
        <w:rPr>
          <w:lang w:val="en-US"/>
        </w:rPr>
      </w:pPr>
    </w:p>
    <w:p w:rsidR="000403CC" w:rsidRPr="005E0C75" w:rsidRDefault="000403CC" w:rsidP="005E0C75">
      <w:pPr>
        <w:ind w:left="1080"/>
        <w:rPr>
          <w:sz w:val="18"/>
          <w:lang w:val="en-US"/>
        </w:rPr>
      </w:pPr>
      <w:r w:rsidRPr="005E0C75">
        <w:rPr>
          <w:sz w:val="18"/>
          <w:lang w:val="en-US"/>
        </w:rPr>
        <w:t xml:space="preserve">Table 3: Number of plots required to estimate top height and to sample stand </w:t>
      </w:r>
      <w:r w:rsidR="00B06221" w:rsidRPr="005E0C75">
        <w:rPr>
          <w:sz w:val="18"/>
          <w:lang w:val="en-US"/>
        </w:rPr>
        <w:t>DBH</w:t>
      </w:r>
      <w:r w:rsidRPr="005E0C75">
        <w:rPr>
          <w:sz w:val="18"/>
          <w:lang w:val="en-US"/>
        </w:rPr>
        <w:t xml:space="preserve"> for volume estimate plotting (B6 plots).</w:t>
      </w:r>
    </w:p>
    <w:p w:rsidR="000403CC" w:rsidRPr="000403CC" w:rsidRDefault="000403CC" w:rsidP="000403CC">
      <w:pPr>
        <w:rPr>
          <w:lang w:val="en-US"/>
        </w:rPr>
      </w:pP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In practice, when assessing BA every second relascope point should be used as a sampling point for top height. The largest </w:t>
      </w:r>
      <w:r w:rsidR="00B06221" w:rsidRPr="00A83FF0">
        <w:rPr>
          <w:lang w:val="en-US"/>
        </w:rPr>
        <w:t xml:space="preserve">DBH </w:t>
      </w:r>
      <w:r w:rsidRPr="00A83FF0">
        <w:rPr>
          <w:lang w:val="en-US"/>
        </w:rPr>
        <w:t xml:space="preserve">tree within 5.6m distance from this point should be measured for top height. In practice this should be the tree that appears to be of largest </w:t>
      </w:r>
      <w:r w:rsidR="00B06221" w:rsidRPr="00A83FF0">
        <w:rPr>
          <w:lang w:val="en-US"/>
        </w:rPr>
        <w:t xml:space="preserve">DBH </w:t>
      </w:r>
      <w:r w:rsidRPr="00A83FF0">
        <w:rPr>
          <w:lang w:val="en-US"/>
        </w:rPr>
        <w:t>with six paces of the sample point.</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lastRenderedPageBreak/>
        <w:t>Stand top height is the arithmetic mean of the sample plots.</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The top height tree is to be marked as follows :-</w:t>
      </w:r>
    </w:p>
    <w:p w:rsidR="005E0C75" w:rsidRDefault="005E0C75" w:rsidP="000403CC">
      <w:pPr>
        <w:rPr>
          <w:lang w:val="en-US"/>
        </w:rPr>
      </w:pPr>
    </w:p>
    <w:p w:rsidR="000403CC" w:rsidRPr="000403CC" w:rsidRDefault="000403CC" w:rsidP="005E0C75">
      <w:pPr>
        <w:ind w:left="1134"/>
        <w:rPr>
          <w:lang w:val="en-US"/>
        </w:rPr>
      </w:pPr>
      <w:r w:rsidRPr="00A83FF0">
        <w:rPr>
          <w:lang w:val="en-US"/>
        </w:rPr>
        <w:t>DBH to be marked with tree marking paint around the full circumference of the tree, using a band not exceeding 2cm in width. The tree is then to have</w:t>
      </w:r>
      <w:r w:rsidRPr="000403CC">
        <w:rPr>
          <w:lang w:val="en-US"/>
        </w:rPr>
        <w:t xml:space="preserve"> the initials TH plus the corresponding number (e.g. TH1) marked in tree marking paint above the </w:t>
      </w:r>
      <w:r w:rsidR="00B06221" w:rsidRPr="000403CC">
        <w:rPr>
          <w:lang w:val="en-US"/>
        </w:rPr>
        <w:t>DBH</w:t>
      </w:r>
      <w:r w:rsidRPr="000403CC">
        <w:rPr>
          <w:lang w:val="en-US"/>
        </w:rPr>
        <w:t xml:space="preserve"> line</w:t>
      </w:r>
      <w:r w:rsidR="00B06221">
        <w:rPr>
          <w:lang w:val="en-US"/>
        </w:rPr>
        <w:t>.</w:t>
      </w:r>
    </w:p>
    <w:p w:rsidR="000403CC" w:rsidRPr="000403CC" w:rsidRDefault="000403CC" w:rsidP="000403CC">
      <w:pPr>
        <w:widowControl w:val="0"/>
        <w:overflowPunct w:val="0"/>
        <w:autoSpaceDE w:val="0"/>
        <w:autoSpaceDN w:val="0"/>
        <w:adjustRightInd w:val="0"/>
        <w:spacing w:line="240" w:lineRule="auto"/>
        <w:rPr>
          <w:lang w:val="en-US"/>
        </w:rPr>
      </w:pPr>
    </w:p>
    <w:p w:rsidR="000403CC" w:rsidRPr="000403CC" w:rsidRDefault="000403CC" w:rsidP="000403CC">
      <w:pPr>
        <w:rPr>
          <w:lang w:val="en-US"/>
        </w:rPr>
      </w:pPr>
      <w:r w:rsidRPr="000403CC">
        <w:rPr>
          <w:lang w:val="en-US"/>
        </w:rPr>
        <w:t>4.</w:t>
      </w:r>
      <w:r w:rsidRPr="000403CC">
        <w:rPr>
          <w:lang w:val="en-US"/>
        </w:rPr>
        <w:tab/>
        <w:t xml:space="preserve"> Survey stand features to allow net area calculation.</w:t>
      </w:r>
    </w:p>
    <w:p w:rsidR="000403CC" w:rsidRPr="000403CC" w:rsidRDefault="000403CC" w:rsidP="000403CC">
      <w:pPr>
        <w:rPr>
          <w:lang w:val="en-US"/>
        </w:rPr>
      </w:pPr>
    </w:p>
    <w:p w:rsidR="000403CC" w:rsidRPr="000403CC" w:rsidRDefault="000403CC" w:rsidP="000403CC">
      <w:pPr>
        <w:rPr>
          <w:lang w:val="en-US"/>
        </w:rPr>
      </w:pPr>
      <w:r w:rsidRPr="000403CC">
        <w:rPr>
          <w:lang w:val="en-US"/>
        </w:rPr>
        <w:t>An assessment must be made of the stand or stands of trees for species components, open areas, and other constraining features. These should be recorded on 1: 10000 stock maps.</w:t>
      </w:r>
    </w:p>
    <w:p w:rsidR="000403CC" w:rsidRPr="000403CC" w:rsidRDefault="000403CC" w:rsidP="000403CC">
      <w:pPr>
        <w:rPr>
          <w:lang w:val="en-US"/>
        </w:rPr>
      </w:pPr>
    </w:p>
    <w:p w:rsidR="000403CC" w:rsidRPr="000403CC" w:rsidRDefault="000403CC" w:rsidP="000403CC">
      <w:pPr>
        <w:rPr>
          <w:b/>
          <w:lang w:val="en-US"/>
        </w:rPr>
      </w:pPr>
      <w:r w:rsidRPr="000403CC">
        <w:rPr>
          <w:b/>
          <w:lang w:val="en-US"/>
        </w:rPr>
        <w:t>B. Volume Plotting (B6 plots) to be measured and recorded on FC form provided (s</w:t>
      </w:r>
      <w:r w:rsidR="0018697B">
        <w:rPr>
          <w:b/>
          <w:lang w:val="en-US"/>
        </w:rPr>
        <w:t>ee Appendix 3</w:t>
      </w:r>
      <w:r w:rsidRPr="000403CC">
        <w:rPr>
          <w:b/>
          <w:lang w:val="en-US"/>
        </w:rPr>
        <w:t>).</w:t>
      </w:r>
    </w:p>
    <w:p w:rsidR="000403CC" w:rsidRPr="000403CC" w:rsidRDefault="000403CC" w:rsidP="000403CC">
      <w:pPr>
        <w:rPr>
          <w:lang w:val="en-US"/>
        </w:rPr>
      </w:pPr>
    </w:p>
    <w:p w:rsidR="000403CC" w:rsidRDefault="000403CC" w:rsidP="000403CC">
      <w:pPr>
        <w:rPr>
          <w:lang w:val="en-US"/>
        </w:rPr>
      </w:pPr>
      <w:r w:rsidRPr="000403CC">
        <w:rPr>
          <w:lang w:val="en-US"/>
        </w:rPr>
        <w:t>1.</w:t>
      </w:r>
      <w:r w:rsidRPr="000403CC">
        <w:rPr>
          <w:lang w:val="en-US"/>
        </w:rPr>
        <w:tab/>
        <w:t>Identify plots</w:t>
      </w:r>
      <w:r w:rsidR="005E0C75">
        <w:rPr>
          <w:lang w:val="en-US"/>
        </w:rPr>
        <w:t>:</w:t>
      </w:r>
    </w:p>
    <w:p w:rsidR="005E0C75" w:rsidRPr="000403CC" w:rsidRDefault="005E0C75" w:rsidP="000403CC">
      <w:pPr>
        <w:rPr>
          <w:lang w:val="en-US"/>
        </w:rPr>
      </w:pP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Use the following to calculate how many sample points are required. </w:t>
      </w:r>
    </w:p>
    <w:p w:rsidR="000403CC" w:rsidRPr="00A83FF0" w:rsidRDefault="000403CC" w:rsidP="000403CC">
      <w:pPr>
        <w:widowControl w:val="0"/>
        <w:overflowPunct w:val="0"/>
        <w:autoSpaceDE w:val="0"/>
        <w:autoSpaceDN w:val="0"/>
        <w:adjustRightInd w:val="0"/>
        <w:spacing w:line="240" w:lineRule="auto"/>
        <w:rPr>
          <w:lang w:val="en-US"/>
        </w:rPr>
      </w:pPr>
    </w:p>
    <w:p w:rsidR="000403CC" w:rsidRPr="000403CC" w:rsidRDefault="000403CC" w:rsidP="000403CC">
      <w:pPr>
        <w:widowControl w:val="0"/>
        <w:overflowPunct w:val="0"/>
        <w:autoSpaceDE w:val="0"/>
        <w:autoSpaceDN w:val="0"/>
        <w:adjustRightInd w:val="0"/>
        <w:spacing w:line="240" w:lineRule="auto"/>
        <w:rPr>
          <w:lang w:val="en-US"/>
        </w:rPr>
      </w:pPr>
    </w:p>
    <w:tbl>
      <w:tblPr>
        <w:tblW w:w="0" w:type="auto"/>
        <w:tblInd w:w="1314" w:type="dxa"/>
        <w:tblCellMar>
          <w:left w:w="180" w:type="dxa"/>
          <w:right w:w="180" w:type="dxa"/>
        </w:tblCellMar>
        <w:tblLook w:val="0000" w:firstRow="0" w:lastRow="0" w:firstColumn="0" w:lastColumn="0" w:noHBand="0" w:noVBand="0"/>
      </w:tblPr>
      <w:tblGrid>
        <w:gridCol w:w="1686"/>
        <w:gridCol w:w="3000"/>
        <w:gridCol w:w="3000"/>
      </w:tblGrid>
      <w:tr w:rsidR="000403CC" w:rsidRPr="000403CC" w:rsidTr="005E0C75">
        <w:trPr>
          <w:trHeight w:val="330"/>
        </w:trPr>
        <w:tc>
          <w:tcPr>
            <w:tcW w:w="1686" w:type="dxa"/>
            <w:tcBorders>
              <w:top w:val="nil"/>
              <w:left w:val="nil"/>
              <w:bottom w:val="single" w:sz="8" w:space="0" w:color="666666"/>
              <w:right w:val="nil"/>
            </w:tcBorders>
          </w:tcPr>
          <w:p w:rsidR="000403CC" w:rsidRPr="000403CC" w:rsidRDefault="000403CC" w:rsidP="000403CC">
            <w:pPr>
              <w:jc w:val="center"/>
              <w:rPr>
                <w:b/>
                <w:bCs/>
                <w:lang w:val="en-US"/>
              </w:rPr>
            </w:pPr>
            <w:r w:rsidRPr="000403CC">
              <w:rPr>
                <w:b/>
                <w:bCs/>
                <w:lang w:val="en-US"/>
              </w:rPr>
              <w:t>Area (ha)</w:t>
            </w:r>
          </w:p>
        </w:tc>
        <w:tc>
          <w:tcPr>
            <w:tcW w:w="3000" w:type="dxa"/>
            <w:tcBorders>
              <w:top w:val="nil"/>
              <w:left w:val="nil"/>
              <w:bottom w:val="single" w:sz="8" w:space="0" w:color="666666"/>
              <w:right w:val="nil"/>
            </w:tcBorders>
          </w:tcPr>
          <w:p w:rsidR="000403CC" w:rsidRPr="000403CC" w:rsidRDefault="000403CC" w:rsidP="000403CC">
            <w:pPr>
              <w:jc w:val="center"/>
              <w:rPr>
                <w:b/>
                <w:bCs/>
                <w:lang w:val="en-US"/>
              </w:rPr>
            </w:pPr>
            <w:r w:rsidRPr="000403CC">
              <w:rPr>
                <w:b/>
                <w:bCs/>
                <w:lang w:val="en-US"/>
              </w:rPr>
              <w:t>Uniform crop</w:t>
            </w:r>
          </w:p>
        </w:tc>
        <w:tc>
          <w:tcPr>
            <w:tcW w:w="3000" w:type="dxa"/>
            <w:tcBorders>
              <w:top w:val="nil"/>
              <w:left w:val="nil"/>
              <w:bottom w:val="single" w:sz="8" w:space="0" w:color="666666"/>
              <w:right w:val="nil"/>
            </w:tcBorders>
          </w:tcPr>
          <w:p w:rsidR="000403CC" w:rsidRPr="000403CC" w:rsidRDefault="000403CC" w:rsidP="000403CC">
            <w:pPr>
              <w:jc w:val="center"/>
              <w:rPr>
                <w:b/>
                <w:bCs/>
                <w:lang w:val="en-US"/>
              </w:rPr>
            </w:pPr>
            <w:r w:rsidRPr="000403CC">
              <w:rPr>
                <w:b/>
                <w:bCs/>
                <w:lang w:val="en-US"/>
              </w:rPr>
              <w:t>Variable crop</w:t>
            </w:r>
          </w:p>
        </w:tc>
      </w:tr>
      <w:tr w:rsidR="000403CC" w:rsidRPr="000403CC" w:rsidTr="005E0C75">
        <w:trPr>
          <w:trHeight w:val="309"/>
        </w:trPr>
        <w:tc>
          <w:tcPr>
            <w:tcW w:w="1686"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0.5 - 2.0</w:t>
            </w:r>
          </w:p>
        </w:tc>
        <w:tc>
          <w:tcPr>
            <w:tcW w:w="30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6</w:t>
            </w:r>
          </w:p>
        </w:tc>
        <w:tc>
          <w:tcPr>
            <w:tcW w:w="30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8</w:t>
            </w:r>
          </w:p>
        </w:tc>
      </w:tr>
      <w:tr w:rsidR="000403CC" w:rsidRPr="000403CC" w:rsidTr="005E0C75">
        <w:trPr>
          <w:trHeight w:val="320"/>
        </w:trPr>
        <w:tc>
          <w:tcPr>
            <w:tcW w:w="1686"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2.0 - 10.0</w:t>
            </w:r>
          </w:p>
        </w:tc>
        <w:tc>
          <w:tcPr>
            <w:tcW w:w="30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8</w:t>
            </w:r>
          </w:p>
        </w:tc>
        <w:tc>
          <w:tcPr>
            <w:tcW w:w="30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12</w:t>
            </w:r>
          </w:p>
        </w:tc>
      </w:tr>
      <w:tr w:rsidR="000403CC" w:rsidRPr="000403CC" w:rsidTr="005E0C75">
        <w:trPr>
          <w:trHeight w:val="309"/>
        </w:trPr>
        <w:tc>
          <w:tcPr>
            <w:tcW w:w="1686"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Over 10</w:t>
            </w:r>
          </w:p>
        </w:tc>
        <w:tc>
          <w:tcPr>
            <w:tcW w:w="30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10</w:t>
            </w:r>
          </w:p>
        </w:tc>
        <w:tc>
          <w:tcPr>
            <w:tcW w:w="30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16</w:t>
            </w:r>
          </w:p>
        </w:tc>
      </w:tr>
    </w:tbl>
    <w:p w:rsidR="000403CC" w:rsidRPr="000403CC" w:rsidRDefault="000403CC" w:rsidP="000403CC">
      <w:pPr>
        <w:widowControl w:val="0"/>
        <w:overflowPunct w:val="0"/>
        <w:autoSpaceDE w:val="0"/>
        <w:autoSpaceDN w:val="0"/>
        <w:adjustRightInd w:val="0"/>
        <w:spacing w:line="240" w:lineRule="auto"/>
        <w:rPr>
          <w:lang w:val="en-US"/>
        </w:rPr>
      </w:pPr>
    </w:p>
    <w:p w:rsidR="000403CC" w:rsidRPr="00A83FF0"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These should be systematically located throughout the stand to equally represent all parts of the stand and recorded on a map.</w:t>
      </w:r>
    </w:p>
    <w:p w:rsidR="000403CC" w:rsidRPr="00A83FF0"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Each point will form the centre of a sample plot, within which stand stocking, </w:t>
      </w:r>
      <w:r w:rsidR="00B06221" w:rsidRPr="00A83FF0">
        <w:rPr>
          <w:lang w:val="en-US"/>
        </w:rPr>
        <w:t>DBH</w:t>
      </w:r>
      <w:r w:rsidRPr="00A83FF0">
        <w:rPr>
          <w:lang w:val="en-US"/>
        </w:rPr>
        <w:t xml:space="preserve"> and top height will be measured. The plots must be located to avoid edges of stands.</w:t>
      </w:r>
    </w:p>
    <w:p w:rsidR="000403CC" w:rsidRPr="00A83FF0"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Plot size should be selected to provide between 7 and 20 trees with </w:t>
      </w:r>
      <w:r w:rsidR="00B06221" w:rsidRPr="00A83FF0">
        <w:rPr>
          <w:lang w:val="en-US"/>
        </w:rPr>
        <w:t xml:space="preserve">DBH </w:t>
      </w:r>
      <w:r w:rsidRPr="00A83FF0">
        <w:rPr>
          <w:lang w:val="en-US"/>
        </w:rPr>
        <w:t>greater than 10cm of each species in the stand. With two species in a mixed stand, use a 0.02 ha plot. With three species in the mixture, use a 0.05 ha plot.</w:t>
      </w:r>
    </w:p>
    <w:p w:rsidR="000403CC" w:rsidRPr="00A83FF0"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For circular plots the following table indicates required plot radii. Square plots may be more appropriate in younger crops where the planting pattern dominates. Where a tree falls on the boundary of the plot, it is counted as measurable, if by subjective assessment, more than half of the width of the stem falls within the plot.  </w:t>
      </w:r>
    </w:p>
    <w:p w:rsidR="000403CC" w:rsidRPr="00A83FF0" w:rsidRDefault="000403CC" w:rsidP="000403CC">
      <w:pPr>
        <w:rPr>
          <w:lang w:val="en-US"/>
        </w:rPr>
      </w:pPr>
    </w:p>
    <w:tbl>
      <w:tblPr>
        <w:tblW w:w="0" w:type="auto"/>
        <w:tblInd w:w="1314" w:type="dxa"/>
        <w:tblCellMar>
          <w:left w:w="180" w:type="dxa"/>
          <w:right w:w="180" w:type="dxa"/>
        </w:tblCellMar>
        <w:tblLook w:val="0000" w:firstRow="0" w:lastRow="0" w:firstColumn="0" w:lastColumn="0" w:noHBand="0" w:noVBand="0"/>
      </w:tblPr>
      <w:tblGrid>
        <w:gridCol w:w="3186"/>
        <w:gridCol w:w="4500"/>
      </w:tblGrid>
      <w:tr w:rsidR="000403CC" w:rsidRPr="000403CC" w:rsidTr="000B4B86">
        <w:trPr>
          <w:trHeight w:val="330"/>
        </w:trPr>
        <w:tc>
          <w:tcPr>
            <w:tcW w:w="3186" w:type="dxa"/>
            <w:tcBorders>
              <w:top w:val="nil"/>
              <w:left w:val="nil"/>
              <w:bottom w:val="single" w:sz="8" w:space="0" w:color="666666"/>
              <w:right w:val="nil"/>
            </w:tcBorders>
          </w:tcPr>
          <w:p w:rsidR="000403CC" w:rsidRPr="000403CC" w:rsidRDefault="000403CC" w:rsidP="000403CC">
            <w:pPr>
              <w:jc w:val="center"/>
              <w:rPr>
                <w:b/>
                <w:bCs/>
                <w:lang w:val="en-US"/>
              </w:rPr>
            </w:pPr>
            <w:r w:rsidRPr="000403CC">
              <w:rPr>
                <w:b/>
                <w:bCs/>
                <w:lang w:val="en-US"/>
              </w:rPr>
              <w:t>Area (ha)</w:t>
            </w:r>
          </w:p>
        </w:tc>
        <w:tc>
          <w:tcPr>
            <w:tcW w:w="4500" w:type="dxa"/>
            <w:tcBorders>
              <w:top w:val="nil"/>
              <w:left w:val="nil"/>
              <w:bottom w:val="single" w:sz="8" w:space="0" w:color="666666"/>
              <w:right w:val="nil"/>
            </w:tcBorders>
          </w:tcPr>
          <w:p w:rsidR="000403CC" w:rsidRPr="000403CC" w:rsidRDefault="000403CC" w:rsidP="000403CC">
            <w:pPr>
              <w:jc w:val="center"/>
              <w:rPr>
                <w:b/>
                <w:bCs/>
                <w:lang w:val="en-US"/>
              </w:rPr>
            </w:pPr>
            <w:r w:rsidRPr="000403CC">
              <w:rPr>
                <w:b/>
                <w:bCs/>
                <w:lang w:val="en-US"/>
              </w:rPr>
              <w:t>Plot radius (m)</w:t>
            </w:r>
          </w:p>
        </w:tc>
      </w:tr>
      <w:tr w:rsidR="000403CC" w:rsidRPr="000403CC" w:rsidTr="000B4B86">
        <w:trPr>
          <w:trHeight w:val="309"/>
        </w:trPr>
        <w:tc>
          <w:tcPr>
            <w:tcW w:w="3186"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0.01</w:t>
            </w:r>
          </w:p>
        </w:tc>
        <w:tc>
          <w:tcPr>
            <w:tcW w:w="45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5.6</w:t>
            </w:r>
          </w:p>
        </w:tc>
      </w:tr>
      <w:tr w:rsidR="000403CC" w:rsidRPr="000403CC" w:rsidTr="000B4B86">
        <w:trPr>
          <w:trHeight w:val="309"/>
        </w:trPr>
        <w:tc>
          <w:tcPr>
            <w:tcW w:w="3186"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lastRenderedPageBreak/>
              <w:t>0.02</w:t>
            </w:r>
          </w:p>
        </w:tc>
        <w:tc>
          <w:tcPr>
            <w:tcW w:w="45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8</w:t>
            </w:r>
          </w:p>
        </w:tc>
      </w:tr>
      <w:tr w:rsidR="000403CC" w:rsidRPr="000403CC" w:rsidTr="000B4B86">
        <w:trPr>
          <w:trHeight w:val="309"/>
        </w:trPr>
        <w:tc>
          <w:tcPr>
            <w:tcW w:w="3186"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0.05</w:t>
            </w:r>
          </w:p>
        </w:tc>
        <w:tc>
          <w:tcPr>
            <w:tcW w:w="45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12.6</w:t>
            </w:r>
          </w:p>
        </w:tc>
      </w:tr>
    </w:tbl>
    <w:p w:rsidR="000403CC" w:rsidRPr="000B4B86" w:rsidRDefault="000403CC" w:rsidP="000B4B86">
      <w:pPr>
        <w:ind w:left="720" w:firstLine="720"/>
        <w:rPr>
          <w:sz w:val="20"/>
          <w:lang w:val="en-US"/>
        </w:rPr>
      </w:pPr>
      <w:r w:rsidRPr="000B4B86">
        <w:rPr>
          <w:sz w:val="20"/>
          <w:lang w:val="en-US"/>
        </w:rPr>
        <w:t>Table 4: Radius of circular plots in metres for B6 plot sizes.</w:t>
      </w:r>
    </w:p>
    <w:p w:rsidR="000403CC" w:rsidRPr="000403CC" w:rsidRDefault="000403CC" w:rsidP="000403CC">
      <w:pPr>
        <w:rPr>
          <w:lang w:val="en-US"/>
        </w:rPr>
      </w:pPr>
    </w:p>
    <w:p w:rsidR="000403CC" w:rsidRPr="00A83FF0"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Once plot centres are selected, these and the plot perimeter must be marked with paint.</w:t>
      </w:r>
    </w:p>
    <w:p w:rsidR="000403CC" w:rsidRPr="00A83FF0" w:rsidRDefault="000403CC" w:rsidP="000403CC">
      <w:pPr>
        <w:rPr>
          <w:lang w:val="en-US"/>
        </w:rPr>
      </w:pPr>
    </w:p>
    <w:p w:rsidR="000403CC" w:rsidRPr="000403CC" w:rsidRDefault="000403CC" w:rsidP="000403CC">
      <w:pPr>
        <w:rPr>
          <w:lang w:val="en-US"/>
        </w:rPr>
      </w:pPr>
      <w:r w:rsidRPr="000403CC">
        <w:rPr>
          <w:lang w:val="en-US"/>
        </w:rPr>
        <w:t>2.</w:t>
      </w:r>
      <w:r w:rsidRPr="000403CC">
        <w:rPr>
          <w:lang w:val="en-US"/>
        </w:rPr>
        <w:tab/>
      </w:r>
      <w:r w:rsidR="00ED45BB" w:rsidRPr="000403CC">
        <w:rPr>
          <w:lang w:val="en-US"/>
        </w:rPr>
        <w:t xml:space="preserve">DBH </w:t>
      </w:r>
      <w:r w:rsidRPr="000403CC">
        <w:rPr>
          <w:lang w:val="en-US"/>
        </w:rPr>
        <w:t>and top height measurements</w:t>
      </w:r>
      <w:r w:rsidR="000B4B86">
        <w:rPr>
          <w:lang w:val="en-US"/>
        </w:rPr>
        <w:t>:</w:t>
      </w:r>
    </w:p>
    <w:p w:rsidR="000403CC" w:rsidRPr="000403CC" w:rsidRDefault="000403CC" w:rsidP="000403CC">
      <w:pPr>
        <w:ind w:left="360"/>
        <w:rPr>
          <w:lang w:val="en-US"/>
        </w:rPr>
      </w:pPr>
    </w:p>
    <w:p w:rsidR="000403CC" w:rsidRPr="00A83FF0"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The </w:t>
      </w:r>
      <w:r w:rsidR="00ED45BB" w:rsidRPr="00A83FF0">
        <w:rPr>
          <w:lang w:val="en-US"/>
        </w:rPr>
        <w:t xml:space="preserve">DBH </w:t>
      </w:r>
      <w:r w:rsidRPr="00A83FF0">
        <w:rPr>
          <w:lang w:val="en-US"/>
        </w:rPr>
        <w:t xml:space="preserve">of all trees of greater than 7cm must be recorded on plot sheets provided. The number of trees in each </w:t>
      </w:r>
      <w:r w:rsidR="00ED45BB" w:rsidRPr="00A83FF0">
        <w:rPr>
          <w:lang w:val="en-US"/>
        </w:rPr>
        <w:t xml:space="preserve">DBH </w:t>
      </w:r>
      <w:r w:rsidRPr="00A83FF0">
        <w:rPr>
          <w:lang w:val="en-US"/>
        </w:rPr>
        <w:t>class must be summed on the sheet.</w:t>
      </w:r>
    </w:p>
    <w:p w:rsidR="000403CC" w:rsidRPr="00A83FF0"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The </w:t>
      </w:r>
      <w:r w:rsidR="00B06221" w:rsidRPr="00A83FF0">
        <w:rPr>
          <w:lang w:val="en-US"/>
        </w:rPr>
        <w:t xml:space="preserve">DBH </w:t>
      </w:r>
      <w:r w:rsidRPr="00A83FF0">
        <w:rPr>
          <w:lang w:val="en-US"/>
        </w:rPr>
        <w:t>point should be marked on each tree measured using tree marking paint with a line, with a length of approximately ¼ of the circumference of the tree and not exceeding 2cm in width</w:t>
      </w:r>
    </w:p>
    <w:p w:rsidR="000403CC" w:rsidRPr="00A83FF0"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The tree of largest </w:t>
      </w:r>
      <w:r w:rsidR="00B06221" w:rsidRPr="00A83FF0">
        <w:rPr>
          <w:lang w:val="en-US"/>
        </w:rPr>
        <w:t xml:space="preserve">DBH </w:t>
      </w:r>
      <w:r w:rsidRPr="00A83FF0">
        <w:rPr>
          <w:lang w:val="en-US"/>
        </w:rPr>
        <w:t>in each plot must be measured for top height. The stand top height is the arithmetic mean of these height measures. This must be calculated and recorded on the sheet.</w:t>
      </w:r>
    </w:p>
    <w:p w:rsidR="000403CC"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The top height tree is to be marked as follows :-</w:t>
      </w:r>
    </w:p>
    <w:p w:rsidR="000B4B86" w:rsidRPr="00A83FF0" w:rsidRDefault="000B4B86" w:rsidP="000B4B86">
      <w:pPr>
        <w:widowControl w:val="0"/>
        <w:overflowPunct w:val="0"/>
        <w:autoSpaceDE w:val="0"/>
        <w:autoSpaceDN w:val="0"/>
        <w:adjustRightInd w:val="0"/>
        <w:spacing w:line="240" w:lineRule="auto"/>
        <w:ind w:left="1134"/>
        <w:rPr>
          <w:lang w:val="en-US"/>
        </w:rPr>
      </w:pPr>
    </w:p>
    <w:p w:rsidR="000403CC" w:rsidRDefault="000403CC" w:rsidP="000B4B86">
      <w:pPr>
        <w:ind w:left="1134"/>
        <w:rPr>
          <w:lang w:val="en-US"/>
        </w:rPr>
      </w:pPr>
      <w:r w:rsidRPr="00A83FF0">
        <w:rPr>
          <w:lang w:val="en-US"/>
        </w:rPr>
        <w:t>DB</w:t>
      </w:r>
      <w:r w:rsidRPr="000403CC">
        <w:rPr>
          <w:lang w:val="en-US"/>
        </w:rPr>
        <w:t xml:space="preserve">H to be marked with tree marking paint around the full circumference of the tree, using a band not exceeding 2cm in width. The tree is then to have the initials TH plus the corresponding number (e.g. TH1) marked in tree marking paint above the </w:t>
      </w:r>
      <w:r w:rsidR="00B06221" w:rsidRPr="000403CC">
        <w:rPr>
          <w:lang w:val="en-US"/>
        </w:rPr>
        <w:t xml:space="preserve">DBH </w:t>
      </w:r>
      <w:r w:rsidRPr="000403CC">
        <w:rPr>
          <w:lang w:val="en-US"/>
        </w:rPr>
        <w:t>line.</w:t>
      </w:r>
    </w:p>
    <w:p w:rsidR="000B4B86" w:rsidRPr="000403CC" w:rsidRDefault="000B4B86" w:rsidP="000B4B86">
      <w:pPr>
        <w:ind w:left="1134"/>
        <w:rPr>
          <w:lang w:val="en-US"/>
        </w:rPr>
      </w:pPr>
    </w:p>
    <w:p w:rsidR="000403CC" w:rsidRDefault="000403CC" w:rsidP="000403CC">
      <w:pPr>
        <w:rPr>
          <w:lang w:val="en-US"/>
        </w:rPr>
      </w:pPr>
      <w:r w:rsidRPr="000403CC">
        <w:rPr>
          <w:lang w:val="en-US"/>
        </w:rPr>
        <w:t>3.</w:t>
      </w:r>
      <w:r w:rsidRPr="000403CC">
        <w:rPr>
          <w:lang w:val="en-US"/>
        </w:rPr>
        <w:tab/>
        <w:t xml:space="preserve"> Survey stand feature</w:t>
      </w:r>
      <w:r w:rsidR="000B4B86">
        <w:rPr>
          <w:lang w:val="en-US"/>
        </w:rPr>
        <w:t>s to allow net area calculation:</w:t>
      </w:r>
    </w:p>
    <w:p w:rsidR="000B4B86" w:rsidRPr="000403CC" w:rsidRDefault="000B4B86" w:rsidP="000403CC">
      <w:pPr>
        <w:rPr>
          <w:lang w:val="en-US"/>
        </w:rPr>
      </w:pPr>
    </w:p>
    <w:p w:rsidR="000403CC" w:rsidRPr="000403CC" w:rsidRDefault="000403CC" w:rsidP="000403CC">
      <w:pPr>
        <w:rPr>
          <w:lang w:val="en-US"/>
        </w:rPr>
      </w:pPr>
      <w:r w:rsidRPr="000403CC">
        <w:rPr>
          <w:lang w:val="en-US"/>
        </w:rPr>
        <w:t>An assessment must be made of the stand or stands of trees for species components, open areas, and other constraining features. These should be recorded on 1: 10000 stock maps</w:t>
      </w:r>
    </w:p>
    <w:p w:rsidR="000403CC" w:rsidRPr="000403CC" w:rsidRDefault="000403CC" w:rsidP="000403CC">
      <w:pPr>
        <w:rPr>
          <w:lang w:val="en-US"/>
        </w:rPr>
      </w:pPr>
    </w:p>
    <w:p w:rsidR="000403CC" w:rsidRDefault="000403CC" w:rsidP="000403CC">
      <w:pPr>
        <w:rPr>
          <w:b/>
          <w:lang w:val="en-US"/>
        </w:rPr>
      </w:pPr>
      <w:r w:rsidRPr="000403CC">
        <w:rPr>
          <w:b/>
          <w:lang w:val="en-US"/>
        </w:rPr>
        <w:t>C. Volume plotting by Abbreviated tariffing to be measured and recorded on FC form provided (see Appendix 4).</w:t>
      </w:r>
    </w:p>
    <w:p w:rsidR="000B4B86" w:rsidRPr="000403CC" w:rsidRDefault="000B4B86" w:rsidP="000403CC">
      <w:pPr>
        <w:rPr>
          <w:b/>
          <w:lang w:val="en-US"/>
        </w:rPr>
      </w:pPr>
    </w:p>
    <w:p w:rsidR="000403CC" w:rsidRPr="000403CC" w:rsidRDefault="000403CC" w:rsidP="000403CC">
      <w:pPr>
        <w:rPr>
          <w:lang w:val="en-US"/>
        </w:rPr>
      </w:pPr>
      <w:r w:rsidRPr="000403CC">
        <w:rPr>
          <w:lang w:val="en-US"/>
        </w:rPr>
        <w:t>When assessing a stand for volume by using plots (section B</w:t>
      </w:r>
      <w:r w:rsidR="000B4B86">
        <w:rPr>
          <w:lang w:val="en-US"/>
        </w:rPr>
        <w:t xml:space="preserve"> above</w:t>
      </w:r>
      <w:r w:rsidRPr="000403CC">
        <w:rPr>
          <w:lang w:val="en-US"/>
        </w:rPr>
        <w:t>), on occasion there may be sections of the crop that are too small and plots cannot be used to provide an accurate assessment of volume.</w:t>
      </w:r>
    </w:p>
    <w:p w:rsidR="000403CC" w:rsidRPr="000403CC" w:rsidRDefault="000403CC" w:rsidP="000403CC">
      <w:r w:rsidRPr="000403CC">
        <w:rPr>
          <w:lang w:val="en-US"/>
        </w:rPr>
        <w:t xml:space="preserve">For these scenarios, volume assessment will be by tree count and use of an appropriate girth sample fraction, using the procedures as specified in the </w:t>
      </w:r>
      <w:r w:rsidRPr="000403CC">
        <w:t>Forest Mensuration, a handbook for practitioners, Forestry Commission (2006) on pp88 to 103.</w:t>
      </w:r>
    </w:p>
    <w:p w:rsidR="000403CC" w:rsidRPr="000403CC" w:rsidRDefault="000403CC" w:rsidP="000403CC">
      <w:r w:rsidRPr="000403CC">
        <w:t xml:space="preserve">Procedures for </w:t>
      </w:r>
      <w:r w:rsidR="00B06221" w:rsidRPr="000403CC">
        <w:t xml:space="preserve">DBH </w:t>
      </w:r>
      <w:r w:rsidRPr="000403CC">
        <w:t>measurement and Top height assessment are as specified in section B above (Volume plotting)</w:t>
      </w:r>
      <w:r w:rsidR="00ED45BB">
        <w:t>.</w:t>
      </w:r>
      <w:r w:rsidRPr="000403CC">
        <w:t xml:space="preserve"> </w:t>
      </w:r>
    </w:p>
    <w:p w:rsidR="000403CC" w:rsidRDefault="000403CC" w:rsidP="000403CC"/>
    <w:p w:rsidR="00ED45BB" w:rsidRPr="000403CC" w:rsidRDefault="00ED45BB" w:rsidP="000403CC"/>
    <w:p w:rsidR="000B4B86" w:rsidRPr="00C06CCF" w:rsidRDefault="000B4B86" w:rsidP="000403CC">
      <w:pPr>
        <w:rPr>
          <w:rFonts w:cs="Arial"/>
          <w:b/>
          <w:szCs w:val="24"/>
          <w:u w:val="single"/>
        </w:rPr>
      </w:pPr>
      <w:r w:rsidRPr="00C06CCF">
        <w:rPr>
          <w:rFonts w:cs="Arial"/>
          <w:b/>
          <w:szCs w:val="24"/>
          <w:u w:val="single"/>
        </w:rPr>
        <w:t>Contract Management</w:t>
      </w:r>
    </w:p>
    <w:p w:rsidR="000B4B86" w:rsidRPr="00005948" w:rsidRDefault="000B4B86" w:rsidP="000B4B86">
      <w:r>
        <w:t>When a call off is made, The FC will provide maps (see Appendix 2) and plotting forms (see appendix 3) The contractor will supply all other materials and equipment, such as paint and measuring equipment, including a means for each marker to establish a consistent, accurate breast height of 1.3m.</w:t>
      </w:r>
    </w:p>
    <w:p w:rsidR="000B4B86" w:rsidRDefault="000B4B86" w:rsidP="000B4B86"/>
    <w:p w:rsidR="008B78CD" w:rsidRPr="000403CC" w:rsidRDefault="008B78CD" w:rsidP="000B4B86">
      <w:r>
        <w:t xml:space="preserve">Performance against specified requirements will be reviewed throughout. </w:t>
      </w:r>
    </w:p>
    <w:p w:rsidR="000B4B86" w:rsidRPr="000403CC" w:rsidRDefault="000B4B86" w:rsidP="000B4B86">
      <w:r w:rsidRPr="000403CC">
        <w:t>Adherence to these specifications is mandatory; failure to adhere may result in reassessment of your suitability to deliver.</w:t>
      </w:r>
    </w:p>
    <w:p w:rsidR="000B4B86" w:rsidRPr="000B4B86" w:rsidRDefault="000B4B86" w:rsidP="000403CC">
      <w:pPr>
        <w:rPr>
          <w:rFonts w:cs="Arial"/>
          <w:szCs w:val="24"/>
          <w:u w:val="single"/>
        </w:rPr>
      </w:pPr>
    </w:p>
    <w:p w:rsidR="000403CC" w:rsidRPr="000403CC" w:rsidRDefault="000403CC" w:rsidP="000403CC">
      <w:pPr>
        <w:rPr>
          <w:rFonts w:cs="Arial"/>
          <w:b/>
          <w:szCs w:val="24"/>
        </w:rPr>
      </w:pPr>
      <w:r w:rsidRPr="000403CC">
        <w:rPr>
          <w:rFonts w:cs="Arial"/>
          <w:b/>
          <w:szCs w:val="24"/>
        </w:rPr>
        <w:t>Failure to agree to undertake work once contacted will be treated as poor performance and may result in relegation to a lower position in the framework ranking.</w:t>
      </w:r>
    </w:p>
    <w:p w:rsidR="000403CC" w:rsidRPr="000403CC" w:rsidRDefault="000403CC" w:rsidP="000403CC">
      <w:pPr>
        <w:rPr>
          <w:rFonts w:cs="Arial"/>
          <w:szCs w:val="24"/>
        </w:rPr>
      </w:pPr>
    </w:p>
    <w:p w:rsidR="000403CC" w:rsidRPr="00C9060F" w:rsidRDefault="000403CC" w:rsidP="003100B3">
      <w:r w:rsidRPr="000403CC">
        <w:t xml:space="preserve">Tender prices submitted will hold for the first two years. Contractors on the framework will have an </w:t>
      </w:r>
      <w:r w:rsidRPr="00B228B4">
        <w:t xml:space="preserve">opportunity to provide their revised prices for years three and four at the end of year two </w:t>
      </w:r>
      <w:r w:rsidRPr="00005948">
        <w:rPr>
          <w:rFonts w:cs="Arial"/>
          <w:szCs w:val="24"/>
        </w:rPr>
        <w:t xml:space="preserve">where there is evidence of cost increases to the contractor due to current economic conditions.  </w:t>
      </w:r>
      <w:r w:rsidRPr="00C9060F">
        <w:rPr>
          <w:rFonts w:cs="Arial"/>
          <w:b/>
          <w:szCs w:val="24"/>
        </w:rPr>
        <w:t>Any price increases will have to be agreed in writing with the Contract Manager</w:t>
      </w:r>
      <w:r w:rsidRPr="00C9060F">
        <w:rPr>
          <w:rFonts w:cs="Arial"/>
          <w:szCs w:val="24"/>
        </w:rPr>
        <w:t xml:space="preserve">.  </w:t>
      </w:r>
    </w:p>
    <w:p w:rsidR="000403CC" w:rsidRPr="000B058B" w:rsidRDefault="000403CC" w:rsidP="000403CC">
      <w:pPr>
        <w:rPr>
          <w:b/>
        </w:rPr>
      </w:pPr>
    </w:p>
    <w:p w:rsidR="000403CC" w:rsidRPr="00C06CCF" w:rsidRDefault="000403CC" w:rsidP="000403CC">
      <w:pPr>
        <w:spacing w:before="120" w:line="240" w:lineRule="atLeast"/>
        <w:rPr>
          <w:rFonts w:cs="Arial"/>
          <w:b/>
          <w:szCs w:val="24"/>
          <w:u w:val="single"/>
        </w:rPr>
      </w:pPr>
      <w:r w:rsidRPr="00C06CCF">
        <w:rPr>
          <w:rFonts w:cs="Arial"/>
          <w:b/>
          <w:szCs w:val="24"/>
          <w:u w:val="single"/>
        </w:rPr>
        <w:t>Health &amp; Safety</w:t>
      </w:r>
    </w:p>
    <w:p w:rsidR="000403CC" w:rsidRPr="000403CC" w:rsidRDefault="000403CC" w:rsidP="000403CC">
      <w:pPr>
        <w:spacing w:before="120"/>
        <w:rPr>
          <w:rFonts w:cs="Arial"/>
          <w:szCs w:val="24"/>
        </w:rPr>
      </w:pPr>
      <w:r w:rsidRPr="000403CC">
        <w:rPr>
          <w:rFonts w:cs="Arial"/>
          <w:szCs w:val="24"/>
        </w:rPr>
        <w:t>Comprehensive risk assessments will be required for all operations to address all the major hazards associated with the sites and work involved. The contractor is responsible for producing a site specific risk assessment for each task and giving a copy to the FC on request. The contractor is also responsible for having an emergency action plan in place that is relevant to the site and operators.</w:t>
      </w:r>
    </w:p>
    <w:p w:rsidR="000403CC" w:rsidRPr="000403CC" w:rsidRDefault="000403CC" w:rsidP="000403CC">
      <w:pPr>
        <w:spacing w:before="120" w:after="120" w:line="240" w:lineRule="auto"/>
        <w:jc w:val="both"/>
        <w:rPr>
          <w:rFonts w:cs="Arial"/>
        </w:rPr>
      </w:pPr>
      <w:r w:rsidRPr="000403CC">
        <w:rPr>
          <w:rFonts w:cs="Arial"/>
          <w:szCs w:val="24"/>
        </w:rPr>
        <w:t xml:space="preserve">Formal pre-commencement meetings will be required for larger or more hazardous operations in order to agree a site specific risk assessment that identifies appropriate controls, and also record the responsibilities of those on site associated with the operation. </w:t>
      </w:r>
      <w:r w:rsidRPr="000403CC">
        <w:rPr>
          <w:rFonts w:cs="Arial"/>
        </w:rPr>
        <w:t>All certification and training records will have been obtained as part of the pre-commencement process.</w:t>
      </w:r>
    </w:p>
    <w:p w:rsidR="000403CC" w:rsidRPr="000403CC" w:rsidRDefault="000403CC" w:rsidP="000403CC">
      <w:pPr>
        <w:spacing w:before="120"/>
        <w:rPr>
          <w:rFonts w:cs="Arial"/>
          <w:szCs w:val="24"/>
        </w:rPr>
      </w:pPr>
      <w:r w:rsidRPr="000403CC">
        <w:rPr>
          <w:rFonts w:cs="Arial"/>
          <w:szCs w:val="24"/>
        </w:rPr>
        <w:t xml:space="preserve">The contract holder will be responsible for supplying and displaying warning signs on obvious approaches to the work site.  The contract holder will also be responsible for displaying any information signs regarding the work if supplied by the Forestry Commission.  All signs will be removed from the work site by the contract holder when it is safe for members of the public to access the site. </w:t>
      </w:r>
    </w:p>
    <w:p w:rsidR="000403CC" w:rsidRPr="000403CC" w:rsidRDefault="000403CC" w:rsidP="000403CC">
      <w:pPr>
        <w:widowControl w:val="0"/>
        <w:spacing w:before="120"/>
        <w:rPr>
          <w:rFonts w:cs="Arial"/>
          <w:szCs w:val="24"/>
        </w:rPr>
      </w:pPr>
      <w:r w:rsidRPr="000403CC">
        <w:rPr>
          <w:rFonts w:cs="Arial"/>
          <w:szCs w:val="24"/>
        </w:rPr>
        <w:t>All work carried out under this contract must comply with the following:</w:t>
      </w:r>
    </w:p>
    <w:p w:rsidR="000403CC" w:rsidRPr="000403CC" w:rsidRDefault="000403CC" w:rsidP="00A83FF0">
      <w:pPr>
        <w:numPr>
          <w:ilvl w:val="0"/>
          <w:numId w:val="11"/>
        </w:numPr>
        <w:spacing w:before="120"/>
        <w:outlineLvl w:val="0"/>
        <w:rPr>
          <w:rFonts w:cs="Arial"/>
        </w:rPr>
      </w:pPr>
      <w:r w:rsidRPr="000403CC">
        <w:rPr>
          <w:rFonts w:cs="Arial"/>
          <w:szCs w:val="24"/>
        </w:rPr>
        <w:t>Correct PPE must be worn at all times for the operation being carried out.</w:t>
      </w:r>
    </w:p>
    <w:p w:rsidR="000403CC" w:rsidRPr="00005948" w:rsidRDefault="000403CC" w:rsidP="00A83FF0">
      <w:pPr>
        <w:numPr>
          <w:ilvl w:val="0"/>
          <w:numId w:val="11"/>
        </w:numPr>
        <w:spacing w:before="120"/>
        <w:outlineLvl w:val="0"/>
        <w:rPr>
          <w:rFonts w:cs="Arial"/>
        </w:rPr>
      </w:pPr>
      <w:r w:rsidRPr="000403CC">
        <w:rPr>
          <w:rFonts w:cs="Arial"/>
          <w:szCs w:val="24"/>
        </w:rPr>
        <w:lastRenderedPageBreak/>
        <w:t>Contractors must comply with the new</w:t>
      </w:r>
      <w:r w:rsidRPr="000403CC">
        <w:rPr>
          <w:rFonts w:cs="Arial"/>
          <w:b/>
          <w:szCs w:val="24"/>
        </w:rPr>
        <w:t xml:space="preserve"> First Aid at Work Policy</w:t>
      </w:r>
      <w:r w:rsidRPr="000403CC">
        <w:rPr>
          <w:rFonts w:cs="Arial"/>
          <w:szCs w:val="24"/>
        </w:rPr>
        <w:t xml:space="preserve"> which came into effect on January 2012. </w:t>
      </w:r>
      <w:r w:rsidRPr="00B228B4">
        <w:t xml:space="preserve">At least two operators will be trained in Emergency First Aid at Work + F, unless lone working in which case that operator must be trained.  </w:t>
      </w:r>
    </w:p>
    <w:p w:rsidR="000403CC" w:rsidRPr="00C9060F" w:rsidRDefault="000403CC" w:rsidP="00A83FF0">
      <w:pPr>
        <w:numPr>
          <w:ilvl w:val="0"/>
          <w:numId w:val="11"/>
        </w:numPr>
        <w:spacing w:before="120"/>
        <w:outlineLvl w:val="0"/>
        <w:rPr>
          <w:rFonts w:cs="Arial"/>
        </w:rPr>
      </w:pPr>
      <w:r w:rsidRPr="00005948">
        <w:rPr>
          <w:rFonts w:cs="Arial"/>
        </w:rPr>
        <w:t>If lone working is required, t</w:t>
      </w:r>
      <w:r w:rsidRPr="00C9060F">
        <w:rPr>
          <w:bCs/>
        </w:rPr>
        <w:t>he contractor must adopt a robust, FAIL-TO-SAFE lone working procedure. The FC must be informed when the contractor is intending to come onto site, but the FC cannot provide a lone-working system to the contractor.  The FC has a no lone working policy relating to the use of chainsaws.</w:t>
      </w:r>
    </w:p>
    <w:p w:rsidR="000403CC" w:rsidRPr="000403CC" w:rsidRDefault="000403CC" w:rsidP="009D4AD2">
      <w:pPr>
        <w:widowControl w:val="0"/>
        <w:numPr>
          <w:ilvl w:val="0"/>
          <w:numId w:val="12"/>
        </w:numPr>
        <w:spacing w:before="120"/>
        <w:rPr>
          <w:rFonts w:cs="Arial"/>
          <w:szCs w:val="24"/>
        </w:rPr>
      </w:pPr>
      <w:r w:rsidRPr="000403CC">
        <w:rPr>
          <w:rFonts w:cs="Arial"/>
          <w:szCs w:val="24"/>
        </w:rPr>
        <w:t>Relevant FISA Guides for the operations are as follows and are available online (</w:t>
      </w:r>
      <w:hyperlink r:id="rId10" w:history="1">
        <w:r w:rsidRPr="000403CC">
          <w:rPr>
            <w:rFonts w:cs="Arial"/>
            <w:szCs w:val="24"/>
            <w:u w:val="single"/>
          </w:rPr>
          <w:t>http://www.ukfisa.com/safety-information/safety-library/fisa-safety-guides.html</w:t>
        </w:r>
      </w:hyperlink>
      <w:r w:rsidRPr="000403CC">
        <w:rPr>
          <w:rFonts w:cs="Arial"/>
          <w:szCs w:val="24"/>
        </w:rPr>
        <w:t>) and from the District Office on request:</w:t>
      </w:r>
    </w:p>
    <w:p w:rsidR="000403CC" w:rsidRPr="000403CC" w:rsidRDefault="000403CC" w:rsidP="00C06CCF">
      <w:pPr>
        <w:numPr>
          <w:ilvl w:val="0"/>
          <w:numId w:val="12"/>
        </w:numPr>
        <w:spacing w:before="120"/>
        <w:ind w:left="714" w:hanging="5"/>
      </w:pPr>
      <w:r w:rsidRPr="000403CC">
        <w:t>FISA 802 Emergency Planning</w:t>
      </w:r>
    </w:p>
    <w:p w:rsidR="000403CC" w:rsidRPr="00B228B4" w:rsidRDefault="000403CC" w:rsidP="00C06CCF">
      <w:pPr>
        <w:numPr>
          <w:ilvl w:val="0"/>
          <w:numId w:val="12"/>
        </w:numPr>
        <w:spacing w:before="120"/>
        <w:ind w:left="714" w:hanging="5"/>
      </w:pPr>
      <w:r w:rsidRPr="00B228B4">
        <w:t>FISA 803 Firefighting</w:t>
      </w:r>
    </w:p>
    <w:p w:rsidR="000403CC" w:rsidRPr="00005948" w:rsidRDefault="000403CC" w:rsidP="00C06CCF">
      <w:pPr>
        <w:numPr>
          <w:ilvl w:val="0"/>
          <w:numId w:val="12"/>
        </w:numPr>
        <w:spacing w:before="120"/>
        <w:ind w:left="714" w:hanging="5"/>
      </w:pPr>
      <w:r w:rsidRPr="00005948">
        <w:t>FISA 804 Electricity at work: Forestry</w:t>
      </w:r>
    </w:p>
    <w:p w:rsidR="000403CC" w:rsidRPr="00005948" w:rsidRDefault="000403CC" w:rsidP="00C06CCF">
      <w:pPr>
        <w:numPr>
          <w:ilvl w:val="0"/>
          <w:numId w:val="12"/>
        </w:numPr>
        <w:spacing w:before="120"/>
        <w:ind w:left="714" w:hanging="5"/>
      </w:pPr>
      <w:r w:rsidRPr="00005948">
        <w:t>FISA 805 Training and certification</w:t>
      </w:r>
    </w:p>
    <w:p w:rsidR="000403CC" w:rsidRPr="000403CC" w:rsidRDefault="000403CC" w:rsidP="000403CC">
      <w:pPr>
        <w:spacing w:before="120"/>
        <w:ind w:left="360"/>
        <w:rPr>
          <w:rFonts w:cs="Arial"/>
          <w:szCs w:val="24"/>
        </w:rPr>
      </w:pPr>
      <w:r w:rsidRPr="000403CC">
        <w:rPr>
          <w:rFonts w:cs="Arial"/>
          <w:szCs w:val="24"/>
        </w:rPr>
        <w:t>FC staff may on occasion ask for the contract holder to produce evidence that these guidelines are being followed e.g. FISA checklists</w:t>
      </w:r>
      <w:r w:rsidR="00BD18F3">
        <w:rPr>
          <w:rFonts w:cs="Arial"/>
          <w:szCs w:val="24"/>
        </w:rPr>
        <w:t>.</w:t>
      </w:r>
    </w:p>
    <w:p w:rsidR="00BD18F3" w:rsidRDefault="00BD18F3" w:rsidP="000403CC">
      <w:pPr>
        <w:spacing w:before="120" w:line="240" w:lineRule="auto"/>
        <w:rPr>
          <w:b/>
          <w:szCs w:val="24"/>
        </w:rPr>
      </w:pPr>
    </w:p>
    <w:p w:rsidR="000403CC" w:rsidRPr="00B228B4" w:rsidRDefault="000403CC" w:rsidP="000403CC">
      <w:pPr>
        <w:spacing w:before="120" w:line="240" w:lineRule="auto"/>
        <w:rPr>
          <w:b/>
          <w:szCs w:val="24"/>
        </w:rPr>
      </w:pPr>
      <w:r w:rsidRPr="00B228B4">
        <w:rPr>
          <w:b/>
          <w:szCs w:val="24"/>
        </w:rPr>
        <w:t>Forestry Commission Guidelines</w:t>
      </w:r>
    </w:p>
    <w:p w:rsidR="000403CC" w:rsidRPr="00005948" w:rsidRDefault="000403CC" w:rsidP="000403CC">
      <w:pPr>
        <w:spacing w:before="120" w:line="240" w:lineRule="auto"/>
        <w:rPr>
          <w:szCs w:val="24"/>
        </w:rPr>
      </w:pPr>
      <w:r w:rsidRPr="00005948">
        <w:rPr>
          <w:szCs w:val="24"/>
        </w:rPr>
        <w:t>The Forestry Commission Guidelines; Forest and Soil Conservation, Forest Nature Conservation, Forests &amp; Archaeology and Forest &amp; Water Guidelines to be adhered to at all times.</w:t>
      </w:r>
    </w:p>
    <w:p w:rsidR="000403CC" w:rsidRPr="000403CC" w:rsidRDefault="0032240C" w:rsidP="000403CC">
      <w:pPr>
        <w:spacing w:before="120" w:line="240" w:lineRule="auto"/>
        <w:rPr>
          <w:szCs w:val="24"/>
        </w:rPr>
      </w:pPr>
      <w:hyperlink r:id="rId11" w:history="1">
        <w:r w:rsidR="000403CC" w:rsidRPr="000403CC">
          <w:rPr>
            <w:szCs w:val="24"/>
            <w:u w:val="single"/>
          </w:rPr>
          <w:t>http://www.forestry.gov.uk/fr/INFD-623H2G</w:t>
        </w:r>
      </w:hyperlink>
      <w:r w:rsidR="000403CC" w:rsidRPr="000403CC">
        <w:rPr>
          <w:szCs w:val="24"/>
        </w:rPr>
        <w:t xml:space="preserve"> </w:t>
      </w:r>
    </w:p>
    <w:p w:rsidR="000403CC" w:rsidRPr="000403CC" w:rsidRDefault="0032240C" w:rsidP="000403CC">
      <w:pPr>
        <w:spacing w:before="120" w:line="240" w:lineRule="auto"/>
        <w:rPr>
          <w:szCs w:val="24"/>
        </w:rPr>
      </w:pPr>
      <w:hyperlink r:id="rId12" w:history="1">
        <w:r w:rsidR="007C1726" w:rsidRPr="00DF26AD">
          <w:rPr>
            <w:rStyle w:val="Hyperlink"/>
            <w:rFonts w:ascii="Arial" w:hAnsi="Arial" w:cs="Arial"/>
            <w:iCs/>
            <w:sz w:val="24"/>
            <w:szCs w:val="24"/>
            <w:lang w:eastAsia="en-GB"/>
          </w:rPr>
          <w:t>http://www.forestry.gov.uk/pdf/FCGL001.pdf/$FILE/FCGL001.pdf</w:t>
        </w:r>
      </w:hyperlink>
      <w:r w:rsidR="007C1726">
        <w:rPr>
          <w:rFonts w:ascii="Arial" w:hAnsi="Arial" w:cs="Arial"/>
          <w:iCs/>
          <w:sz w:val="24"/>
          <w:szCs w:val="24"/>
          <w:lang w:eastAsia="en-GB"/>
        </w:rPr>
        <w:t xml:space="preserve"> </w:t>
      </w:r>
      <w:r w:rsidR="000403CC" w:rsidRPr="000403CC">
        <w:rPr>
          <w:rFonts w:ascii="Arial" w:hAnsi="Arial" w:cs="Arial"/>
          <w:i/>
          <w:iCs/>
          <w:sz w:val="24"/>
          <w:szCs w:val="24"/>
          <w:lang w:eastAsia="en-GB"/>
        </w:rPr>
        <w:t xml:space="preserve"> </w:t>
      </w:r>
    </w:p>
    <w:p w:rsidR="000403CC" w:rsidRPr="000403CC" w:rsidRDefault="0032240C" w:rsidP="000403CC">
      <w:pPr>
        <w:spacing w:before="120" w:line="240" w:lineRule="auto"/>
        <w:rPr>
          <w:szCs w:val="24"/>
        </w:rPr>
      </w:pPr>
      <w:hyperlink r:id="rId13" w:history="1">
        <w:r w:rsidR="000403CC" w:rsidRPr="000403CC">
          <w:rPr>
            <w:szCs w:val="24"/>
            <w:u w:val="single"/>
          </w:rPr>
          <w:t>http://www.forestry.gov.uk/fr/INFD-5W2FZT</w:t>
        </w:r>
      </w:hyperlink>
      <w:r w:rsidR="000403CC" w:rsidRPr="000403CC">
        <w:rPr>
          <w:szCs w:val="24"/>
        </w:rPr>
        <w:t xml:space="preserve"> </w:t>
      </w:r>
    </w:p>
    <w:p w:rsidR="000403CC" w:rsidRPr="000403CC" w:rsidRDefault="0032240C" w:rsidP="000403CC">
      <w:pPr>
        <w:spacing w:before="120" w:line="240" w:lineRule="auto"/>
        <w:rPr>
          <w:szCs w:val="24"/>
        </w:rPr>
      </w:pPr>
      <w:hyperlink r:id="rId14" w:history="1">
        <w:r w:rsidR="000403CC" w:rsidRPr="000403CC">
          <w:rPr>
            <w:szCs w:val="24"/>
            <w:u w:val="single"/>
          </w:rPr>
          <w:t>http://www.forestry.gov.uk/forestry/INFD-8BVGX9</w:t>
        </w:r>
      </w:hyperlink>
      <w:r w:rsidR="000403CC" w:rsidRPr="000403CC">
        <w:rPr>
          <w:szCs w:val="24"/>
        </w:rPr>
        <w:t xml:space="preserve"> </w:t>
      </w:r>
    </w:p>
    <w:p w:rsidR="000403CC" w:rsidRPr="000403CC" w:rsidRDefault="000403CC" w:rsidP="000403CC">
      <w:pPr>
        <w:spacing w:before="120"/>
        <w:rPr>
          <w:rFonts w:cs="Arial"/>
        </w:rPr>
      </w:pPr>
    </w:p>
    <w:p w:rsidR="000403CC" w:rsidRPr="00B228B4" w:rsidRDefault="000403CC" w:rsidP="000403CC">
      <w:pPr>
        <w:spacing w:before="120"/>
        <w:rPr>
          <w:rFonts w:cs="Arial"/>
          <w:b/>
          <w:szCs w:val="24"/>
        </w:rPr>
      </w:pPr>
      <w:r w:rsidRPr="00B228B4">
        <w:rPr>
          <w:rFonts w:cs="Arial"/>
          <w:b/>
          <w:szCs w:val="24"/>
        </w:rPr>
        <w:t>Pollution:</w:t>
      </w:r>
    </w:p>
    <w:p w:rsidR="000403CC" w:rsidRPr="000B058B" w:rsidRDefault="000403CC" w:rsidP="000403CC">
      <w:pPr>
        <w:spacing w:before="120" w:after="120" w:line="240" w:lineRule="auto"/>
        <w:rPr>
          <w:rFonts w:cs="Arial"/>
        </w:rPr>
      </w:pPr>
      <w:r w:rsidRPr="00005948">
        <w:rPr>
          <w:rFonts w:cs="Arial"/>
        </w:rPr>
        <w:t xml:space="preserve">Where any machinery or fuel is taken on site a pollution control kit will be maintained on site that is suitable for the control of any spillage from the machine or its fuelling.  Any spillage must be reported to the District Office. </w:t>
      </w:r>
      <w:r w:rsidRPr="00C9060F">
        <w:t xml:space="preserve">Any spill with potential to pollute a watercourse must also be notified to the Environment Agency 0800 80 70 60. </w:t>
      </w:r>
      <w:r w:rsidRPr="00C9060F">
        <w:rPr>
          <w:rFonts w:cs="Arial"/>
          <w:szCs w:val="20"/>
        </w:rPr>
        <w:t xml:space="preserve">Costs associated with control and/or removal of contamination will be charged to the contract holder. </w:t>
      </w:r>
    </w:p>
    <w:p w:rsidR="000403CC" w:rsidRPr="000403CC" w:rsidRDefault="000403CC" w:rsidP="000403CC">
      <w:pPr>
        <w:spacing w:line="260" w:lineRule="exact"/>
      </w:pPr>
    </w:p>
    <w:p w:rsidR="000403CC" w:rsidRPr="000403CC" w:rsidRDefault="000403CC" w:rsidP="000403CC">
      <w:pPr>
        <w:spacing w:line="260" w:lineRule="exact"/>
        <w:rPr>
          <w:bCs/>
        </w:rPr>
      </w:pPr>
      <w:r w:rsidRPr="000403CC">
        <w:rPr>
          <w:rFonts w:cs="Arial"/>
        </w:rPr>
        <w:t>Diesel, Petroleum, Oils, Lubricants and/or Chemicals must be stored and transported in suitable bunded containers, which are tamper</w:t>
      </w:r>
      <w:r w:rsidRPr="000403CC">
        <w:rPr>
          <w:rFonts w:cs="Arial"/>
          <w:szCs w:val="20"/>
        </w:rPr>
        <w:t xml:space="preserve"> proof and/or kept securely in a vehicle. </w:t>
      </w:r>
      <w:r w:rsidRPr="000403CC">
        <w:rPr>
          <w:rFonts w:cs="Arial"/>
        </w:rPr>
        <w:lastRenderedPageBreak/>
        <w:t xml:space="preserve">The contractor will be responsible for the safe disposal of contaminated materials as hazardous waste - in line with current legislation. </w:t>
      </w:r>
    </w:p>
    <w:p w:rsidR="000403CC" w:rsidRPr="000403CC" w:rsidRDefault="000403CC" w:rsidP="000403CC">
      <w:pPr>
        <w:spacing w:line="260" w:lineRule="exact"/>
        <w:rPr>
          <w:bCs/>
        </w:rPr>
      </w:pPr>
    </w:p>
    <w:p w:rsidR="000403CC" w:rsidRPr="000403CC" w:rsidRDefault="000403CC" w:rsidP="000403CC">
      <w:pPr>
        <w:spacing w:before="120"/>
        <w:rPr>
          <w:rFonts w:cs="Arial"/>
          <w:b/>
          <w:szCs w:val="20"/>
        </w:rPr>
      </w:pPr>
      <w:r w:rsidRPr="000403CC">
        <w:rPr>
          <w:rFonts w:cs="Arial"/>
          <w:b/>
          <w:szCs w:val="20"/>
        </w:rPr>
        <w:t>Conservation:</w:t>
      </w:r>
    </w:p>
    <w:p w:rsidR="000403CC" w:rsidRPr="000403CC" w:rsidRDefault="000403CC" w:rsidP="000403CC">
      <w:pPr>
        <w:spacing w:before="120" w:after="120" w:line="240" w:lineRule="auto"/>
        <w:rPr>
          <w:rFonts w:cs="Arial"/>
        </w:rPr>
      </w:pPr>
      <w:r w:rsidRPr="000403CC">
        <w:rPr>
          <w:rFonts w:cs="Arial"/>
          <w:szCs w:val="20"/>
        </w:rPr>
        <w:t xml:space="preserve">Known environmental constraints will be mapped. Such constraints might include: European Protected Species (principally, otter, dormouse, bats); badgers; Schedule 1 birds, archaeological sites. The contractor must comply with all requests made by the FC in relation to these constraints. The contractor should be vigilant at all times and if signs of protected species are found during the course of work, then the FC must be informed. </w:t>
      </w:r>
    </w:p>
    <w:p w:rsidR="000403CC" w:rsidRPr="000403CC" w:rsidRDefault="000403CC" w:rsidP="000403CC">
      <w:pPr>
        <w:spacing w:before="120"/>
        <w:rPr>
          <w:rFonts w:cs="Arial"/>
          <w:szCs w:val="20"/>
        </w:rPr>
      </w:pPr>
      <w:r w:rsidRPr="000403CC">
        <w:rPr>
          <w:rFonts w:cs="Arial"/>
          <w:szCs w:val="20"/>
        </w:rPr>
        <w:t>All bird nests and animal burrows etc. should be avoided. The contractor should also be vigilant to the possible presence of wasp nests etc. during the summer months. The contractor must also be considerate when identifying positions to drive posts into the ground. Posts must not be driven through the major roots of veteran or feature trees (Trees of Special Interest) on any site. If TSI pose a significant constraint on a site, then appropriate alternative solutions will be discussed and agreed during the pre-commencement meeting.</w:t>
      </w:r>
    </w:p>
    <w:p w:rsidR="000403CC" w:rsidRPr="000403CC" w:rsidRDefault="000403CC" w:rsidP="000403CC">
      <w:pPr>
        <w:rPr>
          <w:b/>
        </w:rPr>
      </w:pPr>
    </w:p>
    <w:p w:rsidR="000403CC" w:rsidRPr="000403CC" w:rsidRDefault="000403CC" w:rsidP="000403CC">
      <w:pPr>
        <w:rPr>
          <w:b/>
        </w:rPr>
      </w:pPr>
      <w:r w:rsidRPr="000403CC">
        <w:rPr>
          <w:b/>
        </w:rPr>
        <w:t xml:space="preserve">Biosecurity: </w:t>
      </w:r>
    </w:p>
    <w:p w:rsidR="000403CC" w:rsidRPr="000403CC" w:rsidRDefault="000403CC" w:rsidP="000403CC"/>
    <w:p w:rsidR="000403CC" w:rsidRPr="000403CC" w:rsidRDefault="000403CC" w:rsidP="000403CC">
      <w:r w:rsidRPr="00B228B4">
        <w:t>To protect the Public Forest Estate and to minimise the risk of introducing or spreading harmful pests and diseases, biosecurity measures appropriat</w:t>
      </w:r>
      <w:r w:rsidRPr="00005948">
        <w:t xml:space="preserve">e to the level of risk at the location of work, are expected to be undertaken.  For more information and guidance, please visit </w:t>
      </w:r>
      <w:hyperlink r:id="rId15" w:history="1">
        <w:r w:rsidRPr="000403CC">
          <w:rPr>
            <w:rStyle w:val="Hyperlink"/>
            <w:color w:val="auto"/>
          </w:rPr>
          <w:t>www.forestry.gov.uk/england-keepitclean</w:t>
        </w:r>
      </w:hyperlink>
      <w:r w:rsidRPr="000403CC">
        <w:t>.</w:t>
      </w:r>
    </w:p>
    <w:p w:rsidR="000403CC" w:rsidRPr="000403CC" w:rsidRDefault="000403CC" w:rsidP="000403CC">
      <w:pPr>
        <w:spacing w:before="120"/>
        <w:rPr>
          <w:rFonts w:cs="Arial"/>
          <w:szCs w:val="20"/>
        </w:rPr>
      </w:pPr>
    </w:p>
    <w:p w:rsidR="000403CC" w:rsidRPr="00B228B4" w:rsidRDefault="000403CC" w:rsidP="000403CC">
      <w:pPr>
        <w:spacing w:before="120"/>
        <w:rPr>
          <w:rFonts w:cs="Arial"/>
        </w:rPr>
      </w:pPr>
      <w:r w:rsidRPr="00B228B4">
        <w:rPr>
          <w:rFonts w:cs="Arial"/>
          <w:b/>
        </w:rPr>
        <w:t>Archaeology</w:t>
      </w:r>
    </w:p>
    <w:p w:rsidR="000403CC" w:rsidRDefault="000403CC" w:rsidP="000403CC">
      <w:pPr>
        <w:spacing w:before="120"/>
        <w:rPr>
          <w:rFonts w:cs="Arial"/>
        </w:rPr>
      </w:pPr>
      <w:r w:rsidRPr="00005948">
        <w:rPr>
          <w:rFonts w:cs="Arial"/>
        </w:rPr>
        <w:t>Any site specific issues will be discussed with the contractor during a pre-commencement meeting on site.</w:t>
      </w:r>
    </w:p>
    <w:p w:rsidR="004F2800" w:rsidRPr="00005948" w:rsidRDefault="004F2800" w:rsidP="000403CC">
      <w:pPr>
        <w:spacing w:before="120"/>
        <w:rPr>
          <w:rFonts w:cs="Arial"/>
        </w:rPr>
      </w:pPr>
    </w:p>
    <w:p w:rsidR="000403CC" w:rsidRPr="000403CC" w:rsidRDefault="000403CC" w:rsidP="000403CC">
      <w:pPr>
        <w:spacing w:before="120"/>
        <w:rPr>
          <w:b/>
          <w:lang w:eastAsia="en-GB"/>
        </w:rPr>
      </w:pPr>
      <w:r w:rsidRPr="000403CC">
        <w:rPr>
          <w:b/>
          <w:lang w:eastAsia="en-GB"/>
        </w:rPr>
        <w:t>Sustainability</w:t>
      </w:r>
    </w:p>
    <w:p w:rsidR="000403CC" w:rsidRPr="000403CC" w:rsidRDefault="000403CC" w:rsidP="004F2800">
      <w:pPr>
        <w:spacing w:before="120"/>
      </w:pPr>
      <w:r w:rsidRPr="000403CC">
        <w:rPr>
          <w:rFonts w:cs="Arial"/>
          <w:szCs w:val="20"/>
        </w:rPr>
        <w:t xml:space="preserve">This contract will be carried out in accordance with the Forestry Commission’s policy of reducing the environmental impact of operations on its land over time. Tenders will be assessed on the measures a prospective contractor would take to </w:t>
      </w:r>
      <w:r w:rsidRPr="000403CC">
        <w:rPr>
          <w:rFonts w:cs="Arial"/>
          <w:szCs w:val="20"/>
          <w:u w:val="single"/>
        </w:rPr>
        <w:t>minimise the impact of their own actions</w:t>
      </w:r>
      <w:r w:rsidRPr="000403CC">
        <w:rPr>
          <w:rFonts w:cs="Arial"/>
          <w:szCs w:val="20"/>
        </w:rPr>
        <w:t xml:space="preserve"> on the environment in the course of undertaking this contract.   Contractors </w:t>
      </w:r>
      <w:r w:rsidRPr="000403CC">
        <w:t xml:space="preserve">should familiarise themselves with our Environment Policy (available using the following link: </w:t>
      </w:r>
      <w:hyperlink r:id="rId16" w:history="1">
        <w:r w:rsidRPr="000403CC">
          <w:rPr>
            <w:rStyle w:val="Hyperlink"/>
            <w:color w:val="auto"/>
          </w:rPr>
          <w:t>http://www.forestry.gov.uk/forestry/infd-6z2jzm</w:t>
        </w:r>
      </w:hyperlink>
      <w:r w:rsidRPr="000403CC">
        <w:t xml:space="preserve">) and work with us to deliver these aims.  </w:t>
      </w:r>
    </w:p>
    <w:p w:rsidR="000403CC" w:rsidRPr="00005948" w:rsidRDefault="000403CC" w:rsidP="000403CC">
      <w:pPr>
        <w:spacing w:before="120"/>
        <w:rPr>
          <w:rFonts w:cs="Arial"/>
          <w:szCs w:val="20"/>
        </w:rPr>
      </w:pPr>
      <w:r w:rsidRPr="00B228B4">
        <w:rPr>
          <w:rFonts w:cs="Arial"/>
          <w:szCs w:val="20"/>
        </w:rPr>
        <w:t xml:space="preserve">There will be times in all areas of this framework when work must be carried out at short notice. Potential bidders who are based far from the working areas must consider </w:t>
      </w:r>
      <w:r w:rsidRPr="00B228B4">
        <w:rPr>
          <w:rFonts w:cs="Arial"/>
          <w:szCs w:val="20"/>
        </w:rPr>
        <w:lastRenderedPageBreak/>
        <w:t>carefully, both how they would meet this requirement, and also satisfy our requirement to improve the environmental sustainability of o</w:t>
      </w:r>
      <w:r w:rsidRPr="00005948">
        <w:rPr>
          <w:rFonts w:cs="Arial"/>
          <w:szCs w:val="20"/>
        </w:rPr>
        <w:t>ur operations.</w:t>
      </w:r>
    </w:p>
    <w:p w:rsidR="000403CC" w:rsidRPr="009E5141" w:rsidRDefault="000403CC" w:rsidP="000403CC">
      <w:pPr>
        <w:rPr>
          <w:color w:val="FF0000"/>
        </w:rPr>
      </w:pPr>
    </w:p>
    <w:p w:rsidR="000403CC" w:rsidRPr="00144CE5" w:rsidRDefault="000403CC" w:rsidP="000403CC">
      <w:pPr>
        <w:jc w:val="both"/>
        <w:rPr>
          <w:b/>
          <w:color w:val="006600"/>
        </w:rPr>
      </w:pPr>
      <w:r w:rsidRPr="009E5141">
        <w:rPr>
          <w:b/>
          <w:color w:val="006600"/>
        </w:rPr>
        <w:t xml:space="preserve">Note: </w:t>
      </w:r>
      <w:r w:rsidRPr="00144CE5">
        <w:rPr>
          <w:b/>
          <w:color w:val="006600"/>
        </w:rPr>
        <w:t xml:space="preserve">If we ask, you must provide documentary evidence establishing your eligibility to tender and your qualifications to fulfil the framework contract if we accept your tender.  This may be in the form of literature, drawings or samples.  </w:t>
      </w:r>
    </w:p>
    <w:p w:rsidR="000403CC" w:rsidRDefault="000403CC" w:rsidP="000403CC">
      <w:pPr>
        <w:jc w:val="both"/>
        <w:rPr>
          <w:b/>
          <w:color w:val="006600"/>
        </w:rPr>
      </w:pPr>
    </w:p>
    <w:p w:rsidR="000403CC" w:rsidRDefault="000403CC" w:rsidP="000403CC">
      <w:pPr>
        <w:jc w:val="both"/>
        <w:rPr>
          <w:b/>
          <w:color w:val="006600"/>
        </w:rPr>
      </w:pPr>
      <w:r w:rsidRPr="009E5141">
        <w:rPr>
          <w:b/>
          <w:color w:val="006600"/>
        </w:rPr>
        <w:t>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rsidR="003C2EB2" w:rsidRPr="006B7986" w:rsidRDefault="003C2EB2" w:rsidP="00416884"/>
        </w:tc>
        <w:tc>
          <w:tcPr>
            <w:tcW w:w="4860" w:type="dxa"/>
          </w:tcPr>
          <w:p w:rsidR="003C2EB2" w:rsidRPr="004F2800" w:rsidRDefault="004F2800" w:rsidP="00A41235">
            <w:pPr>
              <w:rPr>
                <w:color w:val="000000" w:themeColor="text1"/>
              </w:rPr>
            </w:pPr>
            <w:r>
              <w:rPr>
                <w:color w:val="000000" w:themeColor="text1"/>
              </w:rPr>
              <w:t>06/09/19</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4F2800" w:rsidRDefault="004F2800" w:rsidP="00135352">
            <w:pPr>
              <w:rPr>
                <w:color w:val="000000" w:themeColor="text1"/>
              </w:rPr>
            </w:pPr>
            <w:r w:rsidRPr="004F2800">
              <w:rPr>
                <w:color w:val="000000" w:themeColor="text1"/>
              </w:rPr>
              <w:t>Midday 13/09/19</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4F2800" w:rsidRDefault="004F7A29" w:rsidP="004F2800">
            <w:pPr>
              <w:rPr>
                <w:color w:val="000000" w:themeColor="text1"/>
              </w:rPr>
            </w:pPr>
            <w:r w:rsidRPr="004F2800">
              <w:rPr>
                <w:color w:val="0D0D0D" w:themeColor="text1" w:themeTint="F2"/>
              </w:rPr>
              <w:t xml:space="preserve">Week commencing </w:t>
            </w:r>
            <w:r w:rsidR="004F2800">
              <w:rPr>
                <w:color w:val="0D0D0D" w:themeColor="text1" w:themeTint="F2"/>
              </w:rPr>
              <w:t>16/09/19</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4F2800" w:rsidRDefault="004F2800" w:rsidP="00416884">
            <w:r>
              <w:rPr>
                <w:color w:val="000000" w:themeColor="text1"/>
              </w:rPr>
              <w:t>Week commencing 23/09/19</w:t>
            </w:r>
          </w:p>
        </w:tc>
      </w:tr>
    </w:tbl>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C229BC" w:rsidRDefault="00C229BC" w:rsidP="00C229BC">
      <w:pPr>
        <w:rPr>
          <w:color w:val="000000"/>
        </w:rPr>
      </w:pPr>
      <w:r w:rsidRPr="00182CB0">
        <w:rPr>
          <w:color w:val="000000"/>
        </w:rPr>
        <w:t>Please send all enquiries, by the deadline st</w:t>
      </w:r>
      <w:r>
        <w:rPr>
          <w:color w:val="000000"/>
        </w:rPr>
        <w:t>ated at Section 3.1</w:t>
      </w:r>
      <w:r w:rsidRPr="00182CB0">
        <w:rPr>
          <w:color w:val="000000"/>
        </w:rPr>
        <w:t xml:space="preserve"> quoting the reference number printed at the front of this document</w:t>
      </w:r>
      <w:r w:rsidR="00767A1A">
        <w:rPr>
          <w:color w:val="000000"/>
        </w:rPr>
        <w:t xml:space="preserve"> to:</w:t>
      </w:r>
      <w:r w:rsidRPr="00182CB0">
        <w:rPr>
          <w:color w:val="000000"/>
        </w:rPr>
        <w:t xml:space="preserve"> </w:t>
      </w:r>
    </w:p>
    <w:p w:rsidR="00767A1A" w:rsidRDefault="00767A1A" w:rsidP="00C229BC">
      <w:pPr>
        <w:rPr>
          <w:color w:val="000000"/>
        </w:rPr>
      </w:pPr>
    </w:p>
    <w:p w:rsidR="00767A1A" w:rsidRPr="00767A1A" w:rsidRDefault="00767A1A" w:rsidP="00767A1A">
      <w:pPr>
        <w:rPr>
          <w:b/>
        </w:rPr>
      </w:pPr>
      <w:r w:rsidRPr="00767A1A">
        <w:rPr>
          <w:b/>
        </w:rPr>
        <w:t xml:space="preserve">Dale Sutherland – Roberts </w:t>
      </w:r>
    </w:p>
    <w:p w:rsidR="00767A1A" w:rsidRPr="00767A1A" w:rsidRDefault="00767A1A" w:rsidP="00767A1A">
      <w:pPr>
        <w:rPr>
          <w:b/>
        </w:rPr>
      </w:pPr>
      <w:r w:rsidRPr="00767A1A">
        <w:rPr>
          <w:b/>
        </w:rPr>
        <w:t>Forestry Commission</w:t>
      </w:r>
    </w:p>
    <w:p w:rsidR="00767A1A" w:rsidRPr="00767A1A" w:rsidRDefault="00767A1A" w:rsidP="00767A1A">
      <w:pPr>
        <w:rPr>
          <w:b/>
        </w:rPr>
      </w:pPr>
      <w:r w:rsidRPr="00767A1A">
        <w:rPr>
          <w:b/>
        </w:rPr>
        <w:t xml:space="preserve">Outgang Road </w:t>
      </w:r>
    </w:p>
    <w:p w:rsidR="00767A1A" w:rsidRPr="00767A1A" w:rsidRDefault="00767A1A" w:rsidP="00767A1A">
      <w:pPr>
        <w:rPr>
          <w:b/>
        </w:rPr>
      </w:pPr>
      <w:r w:rsidRPr="00767A1A">
        <w:rPr>
          <w:b/>
        </w:rPr>
        <w:t>Pickering</w:t>
      </w:r>
    </w:p>
    <w:p w:rsidR="00767A1A" w:rsidRPr="00767A1A" w:rsidRDefault="00767A1A" w:rsidP="00767A1A">
      <w:pPr>
        <w:rPr>
          <w:b/>
        </w:rPr>
      </w:pPr>
      <w:r w:rsidRPr="00767A1A">
        <w:rPr>
          <w:b/>
        </w:rPr>
        <w:t>North Yorkshire</w:t>
      </w:r>
    </w:p>
    <w:p w:rsidR="00767A1A" w:rsidRPr="00767A1A" w:rsidRDefault="00767A1A" w:rsidP="00767A1A">
      <w:pPr>
        <w:rPr>
          <w:b/>
        </w:rPr>
      </w:pPr>
      <w:r w:rsidRPr="00767A1A">
        <w:rPr>
          <w:b/>
        </w:rPr>
        <w:t>YO18 7EL</w:t>
      </w:r>
    </w:p>
    <w:p w:rsidR="00767A1A" w:rsidRPr="00182CB0" w:rsidRDefault="00767A1A" w:rsidP="00C229BC">
      <w:pPr>
        <w:rPr>
          <w:color w:val="000000"/>
        </w:rPr>
      </w:pPr>
    </w:p>
    <w:p w:rsidR="003C2EB2" w:rsidRDefault="0032240C" w:rsidP="003C2EB2">
      <w:pPr>
        <w:rPr>
          <w:color w:val="FF0000"/>
        </w:rPr>
      </w:pPr>
      <w:hyperlink r:id="rId17" w:history="1">
        <w:r w:rsidR="00767A1A" w:rsidRPr="00767A1A">
          <w:rPr>
            <w:rStyle w:val="Hyperlink"/>
          </w:rPr>
          <w:t>dale.roberts@forestryengland.uk</w:t>
        </w:r>
      </w:hyperlink>
    </w:p>
    <w:p w:rsidR="00767A1A" w:rsidRPr="009E5141" w:rsidRDefault="00767A1A" w:rsidP="003C2EB2">
      <w:pPr>
        <w:rPr>
          <w:color w:val="FF000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lastRenderedPageBreak/>
        <w:t>Responses and supporting documents</w:t>
      </w:r>
    </w:p>
    <w:p w:rsidR="00956066" w:rsidRDefault="0032421B" w:rsidP="0016319B">
      <w:r>
        <w:t xml:space="preserve">Responses must be completed in full,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686FBD" w:rsidRDefault="00956066" w:rsidP="00956066">
      <w:pPr>
        <w:pStyle w:val="Heading2"/>
        <w:rPr>
          <w:sz w:val="28"/>
        </w:rPr>
      </w:pPr>
      <w:r w:rsidRPr="00686FBD">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005948">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005948">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223D85" w:rsidRPr="0062656E" w:rsidRDefault="00223D85" w:rsidP="00223D85">
      <w:r w:rsidRPr="00362D3F">
        <w:t>Mark your envelopes with the words</w:t>
      </w:r>
      <w:r w:rsidRPr="00736E3A">
        <w:rPr>
          <w:color w:val="365F91"/>
        </w:rPr>
        <w:t xml:space="preserve"> </w:t>
      </w:r>
      <w:r w:rsidRPr="00362D3F">
        <w:t>‘</w:t>
      </w:r>
      <w:r w:rsidRPr="0062656E">
        <w:rPr>
          <w:b/>
        </w:rPr>
        <w:t xml:space="preserve">Tender for </w:t>
      </w:r>
      <w:r w:rsidR="00005948" w:rsidRPr="00CC3160">
        <w:rPr>
          <w:b/>
        </w:rPr>
        <w:t xml:space="preserve">Framework for Tariffing and Surveying Operations in Yorkshire Forest District </w:t>
      </w:r>
      <w:r w:rsidRPr="00CC3160">
        <w:rPr>
          <w:b/>
        </w:rPr>
        <w:t xml:space="preserve">and </w:t>
      </w:r>
      <w:r w:rsidR="00CC3160">
        <w:rPr>
          <w:b/>
        </w:rPr>
        <w:t>FEE/0615</w:t>
      </w:r>
      <w:r w:rsidRPr="0062656E">
        <w:rPr>
          <w:b/>
        </w:rPr>
        <w:t xml:space="preserve"> –</w:t>
      </w:r>
      <w:r w:rsidRPr="0062656E">
        <w:t xml:space="preserve"> </w:t>
      </w:r>
      <w:r w:rsidRPr="0062656E">
        <w:rPr>
          <w:b/>
        </w:rPr>
        <w:t xml:space="preserve">Not to be opened until </w:t>
      </w:r>
      <w:r w:rsidR="00005948">
        <w:rPr>
          <w:b/>
        </w:rPr>
        <w:t>14/03/19 at 1300</w:t>
      </w:r>
      <w:r w:rsidRPr="0062656E">
        <w:t>’.</w:t>
      </w:r>
    </w:p>
    <w:p w:rsidR="00362D3F" w:rsidRDefault="00362D3F" w:rsidP="00223D85">
      <w:pPr>
        <w:rPr>
          <w:b/>
          <w:color w:val="365F91"/>
        </w:rPr>
      </w:pPr>
    </w:p>
    <w:p w:rsidR="00223D85" w:rsidRPr="00362D3F" w:rsidRDefault="00223D85" w:rsidP="00223D85">
      <w:r w:rsidRPr="00362D3F">
        <w:t>Send completed tender documents to the following address:</w:t>
      </w:r>
    </w:p>
    <w:p w:rsidR="00223D85" w:rsidRPr="0062656E" w:rsidRDefault="0028027D" w:rsidP="00223D85">
      <w:r>
        <w:t>Dale Sutherland – Roberts</w:t>
      </w:r>
      <w:r w:rsidR="009713EB">
        <w:t>,</w:t>
      </w:r>
      <w:r>
        <w:t xml:space="preserve"> Yorkshire Forest District</w:t>
      </w:r>
      <w:r w:rsidR="0032240C">
        <w:t xml:space="preserve"> Office</w:t>
      </w:r>
      <w:bookmarkStart w:id="0" w:name="_GoBack"/>
      <w:bookmarkEnd w:id="0"/>
      <w:r>
        <w:t>, Outgang Road, Pickering YO18 7EL</w:t>
      </w:r>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lastRenderedPageBreak/>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contact the FC </w:t>
      </w:r>
      <w:r w:rsidR="005163D3">
        <w:t xml:space="preserve">before submitting a tender </w:t>
      </w:r>
      <w:r>
        <w:t>if you intend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A3778B">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A3778B">
      <w:pPr>
        <w:numPr>
          <w:ilvl w:val="0"/>
          <w:numId w:val="10"/>
        </w:numPr>
      </w:pPr>
      <w:r>
        <w:t>The completed tender and all accompanying documents must be in English.</w:t>
      </w:r>
    </w:p>
    <w:p w:rsidR="0028179E" w:rsidRDefault="00FB553A" w:rsidP="00A3778B">
      <w:pPr>
        <w:numPr>
          <w:ilvl w:val="0"/>
          <w:numId w:val="10"/>
        </w:numPr>
      </w:pPr>
      <w:r w:rsidRPr="00FB553A">
        <w:lastRenderedPageBreak/>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A3778B">
      <w:pPr>
        <w:numPr>
          <w:ilvl w:val="0"/>
          <w:numId w:val="10"/>
        </w:numPr>
      </w:pPr>
      <w:r>
        <w:t>All prices will be in sterling and exclusive of VAT.</w:t>
      </w:r>
    </w:p>
    <w:p w:rsidR="0028179E" w:rsidRPr="00E537D1" w:rsidRDefault="0028179E" w:rsidP="00A3778B">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A3778B">
      <w:pPr>
        <w:numPr>
          <w:ilvl w:val="0"/>
          <w:numId w:val="10"/>
        </w:numPr>
      </w:pPr>
      <w:r>
        <w:t>A Tender Panel</w:t>
      </w:r>
      <w:r w:rsidRPr="009E5141">
        <w:t xml:space="preserve"> will evaluate responses to the tender objectively using the evaluation matrix.</w:t>
      </w:r>
    </w:p>
    <w:p w:rsidR="0062656E" w:rsidRPr="0062656E" w:rsidRDefault="0062656E" w:rsidP="00A3778B">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r w:rsidRPr="009E5141">
        <w:t>Neither the FC, nor their advisors, nor their respective directors, officers, members, partners, employees, other staff or agents:</w:t>
      </w:r>
    </w:p>
    <w:p w:rsidR="0016319B" w:rsidRPr="009E5141" w:rsidRDefault="0016319B" w:rsidP="00A3778B">
      <w:pPr>
        <w:numPr>
          <w:ilvl w:val="0"/>
          <w:numId w:val="5"/>
        </w:numPr>
        <w:spacing w:before="120" w:line="240" w:lineRule="atLeast"/>
      </w:pPr>
      <w:r w:rsidRPr="009E5141">
        <w:lastRenderedPageBreak/>
        <w:t>makes any representation or warranty (express or implied) as to the accuracy, reasonableness or completeness of this ITT; or</w:t>
      </w:r>
    </w:p>
    <w:p w:rsidR="0016319B" w:rsidRPr="009E5141" w:rsidRDefault="0016319B" w:rsidP="00A3778B">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C26503" w:rsidRDefault="00C26503" w:rsidP="0016319B"/>
    <w:p w:rsidR="0016319B" w:rsidRPr="000B17E3" w:rsidRDefault="0016319B" w:rsidP="00E82136">
      <w:pPr>
        <w:pStyle w:val="Heading1"/>
        <w:rPr>
          <w:sz w:val="28"/>
          <w:szCs w:val="28"/>
        </w:rPr>
      </w:pPr>
      <w:r w:rsidRPr="000B17E3">
        <w:rPr>
          <w:sz w:val="28"/>
          <w:szCs w:val="28"/>
        </w:rPr>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F159EB" w:rsidRDefault="00F159EB">
      <w:pPr>
        <w:spacing w:line="240" w:lineRule="auto"/>
        <w:rPr>
          <w:rFonts w:cs="Arial"/>
          <w:bCs/>
          <w:iCs/>
          <w:color w:val="004E2E"/>
          <w:sz w:val="36"/>
          <w:szCs w:val="28"/>
        </w:rPr>
      </w:pPr>
      <w:r>
        <w:br w:type="page"/>
      </w:r>
    </w:p>
    <w:p w:rsidR="0016319B" w:rsidRPr="006608E8" w:rsidRDefault="0016319B" w:rsidP="0016319B"/>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323316" w:rsidRDefault="00323316" w:rsidP="00CC6687"/>
    <w:p w:rsidR="00D40E1F" w:rsidRDefault="00D40E1F">
      <w:pPr>
        <w:spacing w:line="240" w:lineRule="auto"/>
        <w:rPr>
          <w:rFonts w:cs="Arial"/>
          <w:bCs/>
          <w:iCs/>
          <w:color w:val="004E2E"/>
          <w:sz w:val="32"/>
          <w:szCs w:val="32"/>
          <w:u w:val="single"/>
        </w:rPr>
      </w:pPr>
      <w:r>
        <w:rPr>
          <w:sz w:val="32"/>
          <w:szCs w:val="32"/>
          <w:u w:val="single"/>
        </w:rPr>
        <w:br w:type="page"/>
      </w:r>
    </w:p>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4F3401" w:rsidTr="00127847">
        <w:trPr>
          <w:trHeight w:val="136"/>
        </w:trPr>
        <w:tc>
          <w:tcPr>
            <w:tcW w:w="7905" w:type="dxa"/>
            <w:shd w:val="clear" w:color="auto" w:fill="auto"/>
          </w:tcPr>
          <w:p w:rsidR="004F3401" w:rsidRPr="005D3614" w:rsidRDefault="004F3401" w:rsidP="00A3778B">
            <w:pPr>
              <w:rPr>
                <w:rFonts w:eastAsia="Arial"/>
              </w:rPr>
            </w:pPr>
            <w:r w:rsidRPr="005D3614">
              <w:rPr>
                <w:rFonts w:eastAsia="Arial"/>
              </w:rPr>
              <w:t xml:space="preserve">Public Liability Insurance </w:t>
            </w:r>
            <w:r w:rsidRPr="00A3778B">
              <w:rPr>
                <w:rFonts w:eastAsia="Arial"/>
              </w:rPr>
              <w:t xml:space="preserve">= </w:t>
            </w:r>
            <w:r>
              <w:rPr>
                <w:rFonts w:eastAsia="Arial"/>
              </w:rPr>
              <w:t>£ 5 Million</w:t>
            </w:r>
          </w:p>
        </w:tc>
        <w:tc>
          <w:tcPr>
            <w:tcW w:w="2233" w:type="dxa"/>
            <w:vMerge w:val="restart"/>
            <w:shd w:val="clear" w:color="auto" w:fill="auto"/>
          </w:tcPr>
          <w:p w:rsidR="004F3401" w:rsidRDefault="004F3401" w:rsidP="005F596F"/>
        </w:tc>
      </w:tr>
      <w:tr w:rsidR="004F3401" w:rsidTr="00127847">
        <w:trPr>
          <w:trHeight w:val="136"/>
        </w:trPr>
        <w:tc>
          <w:tcPr>
            <w:tcW w:w="7905" w:type="dxa"/>
            <w:shd w:val="clear" w:color="auto" w:fill="auto"/>
          </w:tcPr>
          <w:p w:rsidR="004F3401" w:rsidRPr="005D3614" w:rsidRDefault="004F3401" w:rsidP="00A3778B">
            <w:pPr>
              <w:rPr>
                <w:rFonts w:eastAsia="Arial"/>
              </w:rPr>
            </w:pPr>
            <w:r w:rsidRPr="004F687A">
              <w:rPr>
                <w:szCs w:val="20"/>
              </w:rPr>
              <w:t>Products Liability</w:t>
            </w:r>
            <w:r>
              <w:rPr>
                <w:szCs w:val="20"/>
              </w:rPr>
              <w:t xml:space="preserve"> </w:t>
            </w:r>
            <w:r w:rsidRPr="00A3778B">
              <w:rPr>
                <w:rFonts w:eastAsia="Arial"/>
              </w:rPr>
              <w:t xml:space="preserve">= </w:t>
            </w:r>
            <w:r>
              <w:rPr>
                <w:rFonts w:eastAsia="Arial"/>
              </w:rPr>
              <w:t>£ 5 Million</w:t>
            </w:r>
          </w:p>
        </w:tc>
        <w:tc>
          <w:tcPr>
            <w:tcW w:w="2233" w:type="dxa"/>
            <w:vMerge/>
            <w:shd w:val="clear" w:color="auto" w:fill="auto"/>
          </w:tcPr>
          <w:p w:rsidR="004F3401" w:rsidRDefault="004F3401" w:rsidP="005F596F"/>
        </w:tc>
      </w:tr>
      <w:tr w:rsidR="004F3401" w:rsidTr="004F3401">
        <w:trPr>
          <w:trHeight w:val="92"/>
        </w:trPr>
        <w:tc>
          <w:tcPr>
            <w:tcW w:w="7905" w:type="dxa"/>
            <w:shd w:val="clear" w:color="auto" w:fill="auto"/>
          </w:tcPr>
          <w:p w:rsidR="004F3401" w:rsidRPr="005D3614" w:rsidRDefault="004F3401" w:rsidP="00A3778B">
            <w:pPr>
              <w:rPr>
                <w:rFonts w:eastAsia="Arial"/>
              </w:rPr>
            </w:pPr>
            <w:r w:rsidRPr="004F687A">
              <w:rPr>
                <w:szCs w:val="20"/>
              </w:rPr>
              <w:t>Professional Indemnity</w:t>
            </w:r>
            <w:r>
              <w:rPr>
                <w:szCs w:val="20"/>
              </w:rPr>
              <w:t xml:space="preserve"> </w:t>
            </w:r>
            <w:r w:rsidRPr="00A3778B">
              <w:rPr>
                <w:rFonts w:eastAsia="Arial"/>
              </w:rPr>
              <w:t xml:space="preserve">= </w:t>
            </w:r>
            <w:r>
              <w:rPr>
                <w:rFonts w:eastAsia="Arial"/>
              </w:rPr>
              <w:t>£ 5 Million</w:t>
            </w:r>
          </w:p>
        </w:tc>
        <w:tc>
          <w:tcPr>
            <w:tcW w:w="2233" w:type="dxa"/>
            <w:vMerge/>
            <w:shd w:val="clear" w:color="auto" w:fill="auto"/>
          </w:tcPr>
          <w:p w:rsidR="004F3401" w:rsidRDefault="004F3401" w:rsidP="005F596F"/>
        </w:tc>
      </w:tr>
      <w:tr w:rsidR="004F3401" w:rsidTr="005D3614">
        <w:trPr>
          <w:trHeight w:val="90"/>
        </w:trPr>
        <w:tc>
          <w:tcPr>
            <w:tcW w:w="7905" w:type="dxa"/>
            <w:shd w:val="clear" w:color="auto" w:fill="auto"/>
          </w:tcPr>
          <w:p w:rsidR="004F3401" w:rsidRPr="004F687A" w:rsidRDefault="004F3401" w:rsidP="00A3778B">
            <w:pPr>
              <w:rPr>
                <w:szCs w:val="20"/>
              </w:rPr>
            </w:pPr>
            <w:r w:rsidRPr="004F687A">
              <w:rPr>
                <w:szCs w:val="20"/>
              </w:rPr>
              <w:t>Loss of or damage to Equipment, Plant and Materials: The FC being a government body does not carry insurance. Please give an undertaking that all equipment, plant and materials supplied will be insured to cover all eventualities for the period of the contract.</w:t>
            </w:r>
            <w:r>
              <w:rPr>
                <w:szCs w:val="20"/>
              </w:rPr>
              <w:t xml:space="preserve"> = </w:t>
            </w:r>
            <w:r w:rsidRPr="004F687A">
              <w:rPr>
                <w:szCs w:val="20"/>
              </w:rPr>
              <w:t>Minimum amount of cover required is the replacement cost</w:t>
            </w:r>
          </w:p>
        </w:tc>
        <w:tc>
          <w:tcPr>
            <w:tcW w:w="2233" w:type="dxa"/>
            <w:vMerge/>
            <w:shd w:val="clear" w:color="auto" w:fill="auto"/>
          </w:tcPr>
          <w:p w:rsidR="004F3401" w:rsidRDefault="004F3401" w:rsidP="005F596F"/>
        </w:tc>
      </w:tr>
      <w:tr w:rsidR="004F3401" w:rsidTr="005D3614">
        <w:trPr>
          <w:trHeight w:val="90"/>
        </w:trPr>
        <w:tc>
          <w:tcPr>
            <w:tcW w:w="7905" w:type="dxa"/>
            <w:shd w:val="clear" w:color="auto" w:fill="auto"/>
          </w:tcPr>
          <w:p w:rsidR="004F3401" w:rsidRPr="004F687A" w:rsidRDefault="004F3401" w:rsidP="00A3778B">
            <w:pPr>
              <w:rPr>
                <w:szCs w:val="20"/>
              </w:rPr>
            </w:pPr>
            <w:r w:rsidRPr="004F687A">
              <w:rPr>
                <w:szCs w:val="20"/>
              </w:rPr>
              <w:t>Loss of or damage to the Works: The FC being a government body does not carry insurance.  Please give an undertaking that all Works are insured for the period of the contract.</w:t>
            </w:r>
            <w:r>
              <w:rPr>
                <w:szCs w:val="20"/>
              </w:rPr>
              <w:t xml:space="preserve"> = </w:t>
            </w:r>
            <w:r w:rsidRPr="004F687A">
              <w:rPr>
                <w:szCs w:val="20"/>
              </w:rPr>
              <w:t>Minimum amount of cover required is the replacement cost</w:t>
            </w:r>
          </w:p>
        </w:tc>
        <w:tc>
          <w:tcPr>
            <w:tcW w:w="2233" w:type="dxa"/>
            <w:vMerge/>
            <w:shd w:val="clear" w:color="auto" w:fill="auto"/>
          </w:tcPr>
          <w:p w:rsidR="004F3401" w:rsidRDefault="004F3401" w:rsidP="005F596F"/>
        </w:tc>
      </w:tr>
    </w:tbl>
    <w:p w:rsidR="005E2B4A" w:rsidRPr="004162FB" w:rsidRDefault="0036689C" w:rsidP="004162FB">
      <w:pPr>
        <w:pStyle w:val="Heading2"/>
        <w:rPr>
          <w:sz w:val="28"/>
        </w:rPr>
      </w:pPr>
      <w:r w:rsidRPr="004162FB">
        <w:rPr>
          <w:sz w:val="28"/>
        </w:rPr>
        <w:t>Health and Safety</w:t>
      </w: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8"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A3778B">
            <w:pPr>
              <w:numPr>
                <w:ilvl w:val="0"/>
                <w:numId w:val="16"/>
              </w:numPr>
              <w:spacing w:before="120" w:line="240" w:lineRule="atLeast"/>
            </w:pPr>
            <w:r>
              <w:t>Does your organisation have a written health and safety policy? AND</w:t>
            </w:r>
          </w:p>
          <w:p w:rsidR="007D1EDC" w:rsidRDefault="007D1EDC" w:rsidP="00A3778B">
            <w:pPr>
              <w:numPr>
                <w:ilvl w:val="0"/>
                <w:numId w:val="16"/>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lastRenderedPageBreak/>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CC3160">
        <w:trPr>
          <w:trHeight w:val="774"/>
        </w:trPr>
        <w:tc>
          <w:tcPr>
            <w:tcW w:w="393" w:type="pct"/>
          </w:tcPr>
          <w:p w:rsidR="008104D3" w:rsidRPr="009E5141" w:rsidRDefault="00F159EB" w:rsidP="00073E39">
            <w:pPr>
              <w:rPr>
                <w:snapToGrid w:val="0"/>
              </w:rPr>
            </w:pPr>
            <w:r>
              <w:rPr>
                <w:snapToGrid w:val="0"/>
              </w:rPr>
              <w:t>4.3.2</w:t>
            </w:r>
          </w:p>
        </w:tc>
        <w:tc>
          <w:tcPr>
            <w:tcW w:w="4607"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5B5761">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6" w:type="pct"/>
          </w:tcPr>
          <w:p w:rsidR="008104D3" w:rsidRPr="00061742" w:rsidRDefault="008104D3" w:rsidP="00073E39">
            <w:pPr>
              <w:rPr>
                <w:b/>
                <w:snapToGrid w:val="0"/>
              </w:rPr>
            </w:pPr>
            <w:r w:rsidRPr="00061742">
              <w:rPr>
                <w:b/>
                <w:snapToGrid w:val="0"/>
              </w:rPr>
              <w:t>Frequency of Update training</w:t>
            </w:r>
          </w:p>
        </w:tc>
      </w:tr>
      <w:tr w:rsidR="008104D3" w:rsidRPr="009E5141" w:rsidTr="005B5761">
        <w:trPr>
          <w:trHeight w:val="514"/>
        </w:trPr>
        <w:tc>
          <w:tcPr>
            <w:tcW w:w="1575" w:type="pct"/>
            <w:gridSpan w:val="3"/>
          </w:tcPr>
          <w:p w:rsidR="008104D3" w:rsidRPr="009E5141" w:rsidRDefault="00AA6C9A" w:rsidP="00073E39">
            <w:pPr>
              <w:rPr>
                <w:snapToGrid w:val="0"/>
                <w:color w:val="FF0000"/>
              </w:rPr>
            </w:pPr>
            <w:r w:rsidRPr="00CC3160">
              <w:rPr>
                <w:snapToGrid w:val="0"/>
              </w:rPr>
              <w:t>First Aid at work or Emergency First Aid at Work (+ F)*</w:t>
            </w:r>
          </w:p>
        </w:tc>
        <w:tc>
          <w:tcPr>
            <w:tcW w:w="1599" w:type="pct"/>
          </w:tcPr>
          <w:p w:rsidR="008104D3" w:rsidRPr="009E5141" w:rsidRDefault="008104D3" w:rsidP="00073E39">
            <w:pPr>
              <w:pStyle w:val="FCGBBodyText"/>
              <w:spacing w:line="240" w:lineRule="auto"/>
              <w:rPr>
                <w:b/>
                <w:snapToGrid w:val="0"/>
                <w:color w:val="FF0000"/>
              </w:rPr>
            </w:pPr>
          </w:p>
        </w:tc>
        <w:tc>
          <w:tcPr>
            <w:tcW w:w="880" w:type="pct"/>
          </w:tcPr>
          <w:p w:rsidR="008104D3" w:rsidRPr="009E5141" w:rsidRDefault="008104D3" w:rsidP="00073E39">
            <w:pPr>
              <w:rPr>
                <w:b/>
                <w:snapToGrid w:val="0"/>
                <w:color w:val="FF0000"/>
              </w:rPr>
            </w:pPr>
          </w:p>
        </w:tc>
        <w:tc>
          <w:tcPr>
            <w:tcW w:w="946" w:type="pct"/>
          </w:tcPr>
          <w:p w:rsidR="008104D3" w:rsidRPr="009E5141" w:rsidRDefault="008104D3" w:rsidP="00073E39">
            <w:pPr>
              <w:rPr>
                <w:b/>
                <w:snapToGrid w:val="0"/>
                <w:color w:val="FF0000"/>
              </w:rPr>
            </w:pPr>
          </w:p>
        </w:tc>
      </w:tr>
      <w:tr w:rsidR="008104D3" w:rsidRPr="009E5141" w:rsidTr="005B5761">
        <w:trPr>
          <w:trHeight w:val="529"/>
        </w:trPr>
        <w:tc>
          <w:tcPr>
            <w:tcW w:w="1575" w:type="pct"/>
            <w:gridSpan w:val="3"/>
          </w:tcPr>
          <w:p w:rsidR="008104D3" w:rsidRPr="009E5141" w:rsidRDefault="008104D3" w:rsidP="00073E39">
            <w:pPr>
              <w:rPr>
                <w:snapToGrid w:val="0"/>
                <w:color w:val="FF0000"/>
              </w:rPr>
            </w:pPr>
          </w:p>
        </w:tc>
        <w:tc>
          <w:tcPr>
            <w:tcW w:w="1599" w:type="pct"/>
          </w:tcPr>
          <w:p w:rsidR="008104D3" w:rsidRPr="009E5141" w:rsidRDefault="008104D3" w:rsidP="00073E39">
            <w:pPr>
              <w:pStyle w:val="FCGBBodyText"/>
              <w:spacing w:line="240" w:lineRule="auto"/>
              <w:rPr>
                <w:b/>
                <w:snapToGrid w:val="0"/>
                <w:color w:val="FF0000"/>
                <w:sz w:val="24"/>
              </w:rPr>
            </w:pPr>
          </w:p>
        </w:tc>
        <w:tc>
          <w:tcPr>
            <w:tcW w:w="880" w:type="pct"/>
          </w:tcPr>
          <w:p w:rsidR="008104D3" w:rsidRPr="009E5141" w:rsidRDefault="008104D3" w:rsidP="00073E39">
            <w:pPr>
              <w:rPr>
                <w:b/>
                <w:snapToGrid w:val="0"/>
                <w:color w:val="FF0000"/>
                <w:sz w:val="24"/>
              </w:rPr>
            </w:pPr>
          </w:p>
        </w:tc>
        <w:tc>
          <w:tcPr>
            <w:tcW w:w="946" w:type="pct"/>
          </w:tcPr>
          <w:p w:rsidR="008104D3" w:rsidRPr="009E5141" w:rsidRDefault="008104D3" w:rsidP="00073E39">
            <w:pPr>
              <w:rPr>
                <w:b/>
                <w:snapToGrid w:val="0"/>
                <w:color w:val="FF0000"/>
                <w:sz w:val="24"/>
              </w:rPr>
            </w:pPr>
          </w:p>
        </w:tc>
      </w:tr>
      <w:tr w:rsidR="00AA6C9A" w:rsidRPr="009E5141" w:rsidTr="00CC3160">
        <w:trPr>
          <w:trHeight w:val="529"/>
        </w:trPr>
        <w:tc>
          <w:tcPr>
            <w:tcW w:w="413" w:type="pct"/>
            <w:gridSpan w:val="2"/>
          </w:tcPr>
          <w:p w:rsidR="00AA6C9A" w:rsidRPr="00AA6C9A" w:rsidRDefault="00F159EB" w:rsidP="00073E39">
            <w:pPr>
              <w:rPr>
                <w:snapToGrid w:val="0"/>
              </w:rPr>
            </w:pPr>
            <w:r>
              <w:rPr>
                <w:snapToGrid w:val="0"/>
              </w:rPr>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9"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 xml:space="preserve">If you intend to carry out all work using your own direct employees, you need </w:t>
            </w:r>
            <w:r w:rsidRPr="009E5141">
              <w:rPr>
                <w:snapToGrid w:val="0"/>
              </w:rPr>
              <w:lastRenderedPageBreak/>
              <w:t>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9341"/>
      </w:tblGrid>
      <w:tr w:rsidR="008B78E7" w:rsidRPr="009E5141" w:rsidTr="00CC3160">
        <w:trPr>
          <w:trHeight w:val="1407"/>
        </w:trPr>
        <w:tc>
          <w:tcPr>
            <w:tcW w:w="393"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607"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lastRenderedPageBreak/>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CC3160">
        <w:trPr>
          <w:trHeight w:val="1407"/>
        </w:trPr>
        <w:tc>
          <w:tcPr>
            <w:tcW w:w="393" w:type="pct"/>
          </w:tcPr>
          <w:p w:rsidR="008104D3" w:rsidRPr="008B78E7" w:rsidRDefault="0007474D" w:rsidP="008B78E7">
            <w:pPr>
              <w:rPr>
                <w:snapToGrid w:val="0"/>
              </w:rPr>
            </w:pPr>
            <w:r>
              <w:rPr>
                <w:snapToGrid w:val="0"/>
              </w:rPr>
              <w:t>4.3.7</w:t>
            </w:r>
          </w:p>
        </w:tc>
        <w:tc>
          <w:tcPr>
            <w:tcW w:w="4607"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CC3160">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39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t>4.3.8</w:t>
            </w:r>
          </w:p>
        </w:tc>
        <w:tc>
          <w:tcPr>
            <w:tcW w:w="460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9B7976">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9B7976">
            <w:pPr>
              <w:numPr>
                <w:ilvl w:val="0"/>
                <w:numId w:val="6"/>
              </w:numPr>
              <w:spacing w:before="120" w:line="240" w:lineRule="auto"/>
              <w:rPr>
                <w:snapToGrid w:val="0"/>
              </w:rPr>
            </w:pPr>
            <w:r>
              <w:rPr>
                <w:snapToGrid w:val="0"/>
              </w:rPr>
              <w:t>Support your response with one example where this is available;</w:t>
            </w:r>
          </w:p>
          <w:p w:rsidR="008104D3" w:rsidRPr="009E5141" w:rsidRDefault="00B26CC8" w:rsidP="009B7976">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lastRenderedPageBreak/>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7F3F4D" w:rsidRPr="007F3F4D" w:rsidRDefault="007F3F4D" w:rsidP="007F3F4D">
      <w:pPr>
        <w:pStyle w:val="FCGBBodyText"/>
      </w:pPr>
    </w:p>
    <w:p w:rsidR="00955AFA" w:rsidRPr="007F3F4D" w:rsidRDefault="00955AFA" w:rsidP="007F3F4D">
      <w:pPr>
        <w:pStyle w:val="Heading2"/>
        <w:numPr>
          <w:ilvl w:val="0"/>
          <w:numId w:val="0"/>
        </w:numPr>
        <w:rPr>
          <w:sz w:val="28"/>
          <w:u w:val="single"/>
        </w:rPr>
      </w:pPr>
      <w:r w:rsidRPr="007F3F4D">
        <w:rPr>
          <w:sz w:val="28"/>
          <w:u w:val="single"/>
        </w:rPr>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714"/>
        <w:gridCol w:w="6628"/>
      </w:tblGrid>
      <w:tr w:rsidR="00955AFA" w:rsidRPr="005D3614" w:rsidTr="00FF71A0">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2714"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6628" w:type="dxa"/>
            <w:shd w:val="clear" w:color="auto" w:fill="auto"/>
          </w:tcPr>
          <w:p w:rsidR="00955AFA" w:rsidRPr="005D3614" w:rsidRDefault="00955AFA" w:rsidP="00073E39">
            <w:pPr>
              <w:pStyle w:val="FCGBBodyText"/>
              <w:rPr>
                <w:b/>
                <w:color w:val="0D0D0D"/>
              </w:rPr>
            </w:pPr>
            <w:r w:rsidRPr="005D3614">
              <w:rPr>
                <w:b/>
                <w:color w:val="0D0D0D"/>
              </w:rPr>
              <w:t xml:space="preserve">Weight </w:t>
            </w:r>
            <w:r w:rsidR="000506E8">
              <w:rPr>
                <w:b/>
                <w:color w:val="0D0D0D"/>
              </w:rPr>
              <w:t>20</w:t>
            </w:r>
            <w:r w:rsidRPr="005D3614">
              <w:rPr>
                <w:b/>
                <w:color w:val="0D0D0D"/>
              </w:rPr>
              <w:t>%</w:t>
            </w:r>
          </w:p>
        </w:tc>
      </w:tr>
      <w:tr w:rsidR="000D3632" w:rsidRPr="005D3614" w:rsidTr="00FF71A0">
        <w:tc>
          <w:tcPr>
            <w:tcW w:w="796" w:type="dxa"/>
            <w:shd w:val="clear" w:color="auto" w:fill="auto"/>
          </w:tcPr>
          <w:p w:rsidR="000D3632" w:rsidRPr="005D3614" w:rsidRDefault="000D3632" w:rsidP="00073E39">
            <w:pPr>
              <w:pStyle w:val="FCGBBodyText"/>
              <w:rPr>
                <w:color w:val="0D0D0D"/>
              </w:rPr>
            </w:pPr>
            <w:r>
              <w:rPr>
                <w:color w:val="0D0D0D"/>
              </w:rPr>
              <w:t>4.5.1</w:t>
            </w:r>
          </w:p>
        </w:tc>
        <w:tc>
          <w:tcPr>
            <w:tcW w:w="2714" w:type="dxa"/>
            <w:shd w:val="clear" w:color="auto" w:fill="auto"/>
          </w:tcPr>
          <w:p w:rsidR="000D3632" w:rsidRDefault="000D3632" w:rsidP="009A62AA">
            <w:pPr>
              <w:pStyle w:val="FCGBBodyText"/>
            </w:pPr>
            <w:r w:rsidRPr="00FF71A0">
              <w:t xml:space="preserve">Please describe what resources you will use to complete this work. Your answer should include </w:t>
            </w:r>
            <w:r>
              <w:t>how you will achieve tight, time bounded and specific deadlines</w:t>
            </w:r>
            <w:r w:rsidRPr="00FF71A0">
              <w:t>. (You must be able to demonstrate sufficient capacity in terms of labour, equipment and also details of contingency arrangements.)</w:t>
            </w:r>
          </w:p>
          <w:p w:rsidR="000D3632" w:rsidRDefault="000D3632" w:rsidP="009A62AA">
            <w:pPr>
              <w:pStyle w:val="FCGBBodyText"/>
            </w:pPr>
          </w:p>
          <w:p w:rsidR="000D3632" w:rsidRPr="005D3614" w:rsidRDefault="000D3632" w:rsidP="009A62AA">
            <w:pPr>
              <w:pStyle w:val="FCGBBodyText"/>
              <w:rPr>
                <w:color w:val="365F91"/>
              </w:rPr>
            </w:pPr>
            <w:r>
              <w:t xml:space="preserve">Can you name the personnel you are intending to use for this framework, </w:t>
            </w:r>
            <w:r>
              <w:lastRenderedPageBreak/>
              <w:t>including sub-contractors, and briefly describe their experience relevant to this type of work? Please provide details on how the quality of their work will be monitored by the contract manager</w:t>
            </w:r>
          </w:p>
        </w:tc>
        <w:tc>
          <w:tcPr>
            <w:tcW w:w="6628" w:type="dxa"/>
            <w:shd w:val="clear" w:color="auto" w:fill="auto"/>
          </w:tcPr>
          <w:p w:rsidR="000D3632" w:rsidRDefault="000D3632" w:rsidP="00944E8D">
            <w:pPr>
              <w:pStyle w:val="FCGBBodyText"/>
            </w:pPr>
            <w:r>
              <w:lastRenderedPageBreak/>
              <w:t>The following evaluation system will be applied to this section:</w:t>
            </w:r>
          </w:p>
          <w:p w:rsidR="000D3632" w:rsidRDefault="000D3632" w:rsidP="00944E8D">
            <w:pPr>
              <w:pStyle w:val="FCGBBodyText"/>
            </w:pPr>
          </w:p>
          <w:p w:rsidR="000D3632" w:rsidRDefault="000D3632" w:rsidP="00944E8D">
            <w:pPr>
              <w:pStyle w:val="FCGBBodyText"/>
              <w:rPr>
                <w:b/>
              </w:rPr>
            </w:pPr>
            <w:r>
              <w:rPr>
                <w:b/>
              </w:rPr>
              <w:t xml:space="preserve">0 – </w:t>
            </w:r>
            <w:r>
              <w:rPr>
                <w:b/>
                <w:lang w:eastAsia="en-GB"/>
              </w:rPr>
              <w:t>No response (complete non-compliance)</w:t>
            </w:r>
          </w:p>
          <w:p w:rsidR="000D3632" w:rsidRDefault="000D3632" w:rsidP="00944E8D">
            <w:pPr>
              <w:pStyle w:val="FCGBBodyText"/>
              <w:rPr>
                <w:lang w:eastAsia="en-GB"/>
              </w:rPr>
            </w:pPr>
            <w:r>
              <w:rPr>
                <w:lang w:eastAsia="en-GB"/>
              </w:rPr>
              <w:t>No response at all or insufficient information provided in the response such that the solution is totally un-assessable and/or incomprehensible.</w:t>
            </w:r>
          </w:p>
          <w:p w:rsidR="000D3632" w:rsidRDefault="000D3632" w:rsidP="00944E8D">
            <w:pPr>
              <w:pStyle w:val="FCGBBodyText"/>
            </w:pPr>
            <w:r>
              <w:t xml:space="preserve"> </w:t>
            </w:r>
          </w:p>
          <w:p w:rsidR="000D3632" w:rsidRDefault="000D3632" w:rsidP="00944E8D">
            <w:pPr>
              <w:pStyle w:val="FCGBBodyText"/>
              <w:rPr>
                <w:b/>
              </w:rPr>
            </w:pPr>
            <w:r>
              <w:rPr>
                <w:b/>
              </w:rPr>
              <w:t xml:space="preserve">1 – </w:t>
            </w:r>
            <w:r>
              <w:rPr>
                <w:b/>
                <w:lang w:eastAsia="en-GB"/>
              </w:rPr>
              <w:t>Unsatisfactory response (potential for some compliance but very major areas of weakness)</w:t>
            </w:r>
          </w:p>
          <w:p w:rsidR="000D3632" w:rsidRDefault="000D3632" w:rsidP="00944E8D">
            <w:pPr>
              <w:pStyle w:val="FCGBBodyText"/>
              <w:rPr>
                <w:lang w:eastAsia="en-GB"/>
              </w:rPr>
            </w:pPr>
            <w:r>
              <w:rPr>
                <w:lang w:eastAsia="en-GB"/>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w:t>
            </w:r>
          </w:p>
          <w:p w:rsidR="000D3632" w:rsidRDefault="000D3632" w:rsidP="00944E8D">
            <w:pPr>
              <w:pStyle w:val="FCGBBodyText"/>
            </w:pPr>
          </w:p>
          <w:p w:rsidR="000D3632" w:rsidRDefault="000D3632" w:rsidP="00944E8D">
            <w:pPr>
              <w:pStyle w:val="FCGBBodyText"/>
              <w:rPr>
                <w:b/>
              </w:rPr>
            </w:pPr>
            <w:r>
              <w:rPr>
                <w:b/>
              </w:rPr>
              <w:t xml:space="preserve">2 – </w:t>
            </w:r>
            <w:r>
              <w:rPr>
                <w:b/>
                <w:lang w:eastAsia="en-GB"/>
              </w:rPr>
              <w:t>Partially acceptable response (one or more areas of major weakness)</w:t>
            </w:r>
          </w:p>
          <w:p w:rsidR="000D3632" w:rsidRDefault="000D3632" w:rsidP="00944E8D">
            <w:pPr>
              <w:pStyle w:val="FCGBBodyText"/>
            </w:pPr>
            <w:r>
              <w:rPr>
                <w:lang w:eastAsia="en-GB"/>
              </w:rPr>
              <w:lastRenderedPageBreak/>
              <w:t>Weak submission which does not set out a solution that fully addresses and meets the requirements: response may be basic/ minimal with little or no detail</w:t>
            </w:r>
            <w:r>
              <w:t xml:space="preserve"> </w:t>
            </w:r>
          </w:p>
          <w:p w:rsidR="000D3632" w:rsidRDefault="000D3632" w:rsidP="00944E8D">
            <w:pPr>
              <w:pStyle w:val="FCGBBodyText"/>
            </w:pPr>
          </w:p>
          <w:p w:rsidR="000D3632" w:rsidRDefault="000D3632" w:rsidP="00944E8D">
            <w:pPr>
              <w:pStyle w:val="FCGBBodyText"/>
              <w:rPr>
                <w:b/>
              </w:rPr>
            </w:pPr>
            <w:r>
              <w:rPr>
                <w:b/>
              </w:rPr>
              <w:t xml:space="preserve">3 – </w:t>
            </w:r>
            <w:r>
              <w:rPr>
                <w:b/>
                <w:lang w:eastAsia="en-GB"/>
              </w:rPr>
              <w:t>Satisfactory and acceptable response (substantial compliance with no major concerns)</w:t>
            </w:r>
          </w:p>
          <w:p w:rsidR="000D3632" w:rsidRDefault="000D3632" w:rsidP="00944E8D">
            <w:pPr>
              <w:pStyle w:val="FCGBBodyText"/>
              <w:rPr>
                <w:lang w:eastAsia="en-GB"/>
              </w:rPr>
            </w:pPr>
            <w:r>
              <w:rPr>
                <w:lang w:eastAsia="en-GB"/>
              </w:rPr>
              <w:t>Submission sets out a solution that largely addresses and meets the requirements, with some detail (or, where evidence is required or necessary, some relevant evidence) provided to support the solution.</w:t>
            </w:r>
          </w:p>
          <w:p w:rsidR="000D3632" w:rsidRDefault="000D3632" w:rsidP="00944E8D">
            <w:pPr>
              <w:pStyle w:val="FCGBBodyText"/>
            </w:pPr>
          </w:p>
          <w:p w:rsidR="000D3632" w:rsidRDefault="000D3632" w:rsidP="00944E8D">
            <w:pPr>
              <w:pStyle w:val="FCGBBodyText"/>
              <w:rPr>
                <w:b/>
              </w:rPr>
            </w:pPr>
            <w:r>
              <w:rPr>
                <w:b/>
              </w:rPr>
              <w:t xml:space="preserve">4 – </w:t>
            </w:r>
            <w:r>
              <w:rPr>
                <w:b/>
                <w:lang w:eastAsia="en-GB"/>
              </w:rPr>
              <w:t>Fully satisfactory /very good response (fully compliant with requirements)</w:t>
            </w:r>
          </w:p>
          <w:p w:rsidR="000D3632" w:rsidRDefault="000D3632" w:rsidP="00944E8D">
            <w:pPr>
              <w:rPr>
                <w:lang w:eastAsia="en-GB"/>
              </w:rPr>
            </w:pPr>
            <w:r>
              <w:rPr>
                <w:lang w:eastAsia="en-GB"/>
              </w:rPr>
              <w:t>Submission sets out a robust solution that fully addresses and meets the requirements, with full details (and, where evidence is required or necessary, full and relevant evidence) provided to support the solution.</w:t>
            </w:r>
          </w:p>
          <w:p w:rsidR="000D3632" w:rsidRDefault="000D3632" w:rsidP="00944E8D">
            <w:pPr>
              <w:rPr>
                <w:lang w:eastAsia="en-GB"/>
              </w:rPr>
            </w:pPr>
          </w:p>
          <w:p w:rsidR="000D3632" w:rsidRDefault="000D3632" w:rsidP="00944E8D">
            <w:pPr>
              <w:rPr>
                <w:b/>
                <w:lang w:eastAsia="en-GB"/>
              </w:rPr>
            </w:pPr>
            <w:r>
              <w:rPr>
                <w:b/>
              </w:rPr>
              <w:t xml:space="preserve">5 - </w:t>
            </w:r>
            <w:r>
              <w:rPr>
                <w:b/>
                <w:lang w:eastAsia="en-GB"/>
              </w:rPr>
              <w:t>Outstanding response (fully compliant, with some areas exceeding requirements)</w:t>
            </w:r>
          </w:p>
          <w:p w:rsidR="000D3632" w:rsidRPr="00831CB6" w:rsidRDefault="000D3632" w:rsidP="00944E8D">
            <w:pPr>
              <w:rPr>
                <w:b/>
              </w:rPr>
            </w:pPr>
            <w:r>
              <w:rPr>
                <w:lang w:eastAsia="en-GB"/>
              </w:rPr>
              <w:t>Submission sets out a robust solution (as for a 4 score) and, in addition, provides or proposes additional value and/or elements of the solution which exceed the requirements in substance and outcomes in a manner acceptable to the FE.</w:t>
            </w:r>
          </w:p>
        </w:tc>
      </w:tr>
      <w:tr w:rsidR="00955AFA" w:rsidRPr="005D3614" w:rsidTr="005D3614">
        <w:tc>
          <w:tcPr>
            <w:tcW w:w="10138" w:type="dxa"/>
            <w:gridSpan w:val="3"/>
            <w:shd w:val="clear" w:color="auto" w:fill="auto"/>
          </w:tcPr>
          <w:p w:rsidR="00955AFA" w:rsidRPr="005D3614" w:rsidRDefault="00955AFA" w:rsidP="00073E39">
            <w:pPr>
              <w:pStyle w:val="FCGBBodyText"/>
              <w:rPr>
                <w:color w:val="0D0D0D"/>
              </w:rPr>
            </w:pPr>
            <w:r w:rsidRPr="005D3614">
              <w:rPr>
                <w:color w:val="0D0D0D"/>
              </w:rPr>
              <w:lastRenderedPageBreak/>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EC4865">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2714"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6628" w:type="dxa"/>
            <w:shd w:val="clear" w:color="auto" w:fill="auto"/>
          </w:tcPr>
          <w:p w:rsidR="00955AFA" w:rsidRPr="005D3614" w:rsidRDefault="00955AFA" w:rsidP="00073E39">
            <w:pPr>
              <w:pStyle w:val="FCGBBodyText"/>
              <w:rPr>
                <w:b/>
                <w:color w:val="0D0D0D"/>
              </w:rPr>
            </w:pPr>
            <w:r w:rsidRPr="005D3614">
              <w:rPr>
                <w:b/>
                <w:color w:val="0D0D0D"/>
              </w:rPr>
              <w:t xml:space="preserve">Weight </w:t>
            </w:r>
            <w:r w:rsidR="000506E8">
              <w:rPr>
                <w:b/>
                <w:color w:val="0D0D0D"/>
              </w:rPr>
              <w:t>10</w:t>
            </w:r>
            <w:r w:rsidRPr="005D3614">
              <w:rPr>
                <w:b/>
                <w:color w:val="0D0D0D"/>
              </w:rPr>
              <w:t>%</w:t>
            </w:r>
          </w:p>
        </w:tc>
      </w:tr>
      <w:tr w:rsidR="00262050" w:rsidRPr="005D3614" w:rsidTr="00EC4865">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2714" w:type="dxa"/>
            <w:shd w:val="clear" w:color="auto" w:fill="auto"/>
          </w:tcPr>
          <w:p w:rsidR="00262050" w:rsidRPr="00EC4865" w:rsidRDefault="00EC4865" w:rsidP="00073E39">
            <w:pPr>
              <w:pStyle w:val="FCGBBodyText"/>
              <w:rPr>
                <w:color w:val="0D0D0D"/>
              </w:rPr>
            </w:pPr>
            <w:r w:rsidRPr="00EC4865">
              <w:rPr>
                <w:color w:val="0D0D0D"/>
              </w:rPr>
              <w:t xml:space="preserve">With reference to the specification please provide details of how you intend to monitor, evaluate and maintain quality of service throughout this contract (how you intend to maintain a consistency in the number of crew/team </w:t>
            </w:r>
            <w:r w:rsidRPr="00EC4865">
              <w:rPr>
                <w:color w:val="0D0D0D"/>
              </w:rPr>
              <w:lastRenderedPageBreak/>
              <w:t>members available in order to complete the contract before March 31st of each year).</w:t>
            </w:r>
          </w:p>
          <w:p w:rsidR="00262050" w:rsidRDefault="00262050" w:rsidP="00073E39">
            <w:pPr>
              <w:pStyle w:val="FCGBBodyText"/>
              <w:rPr>
                <w:b/>
                <w:color w:val="0D0D0D"/>
              </w:rPr>
            </w:pPr>
          </w:p>
          <w:p w:rsidR="00262050" w:rsidRDefault="00262050" w:rsidP="00073E39">
            <w:pPr>
              <w:pStyle w:val="FCGBBodyText"/>
              <w:rPr>
                <w:b/>
                <w:color w:val="0D0D0D"/>
              </w:rPr>
            </w:pPr>
          </w:p>
          <w:p w:rsidR="00262050" w:rsidRPr="005D3614" w:rsidRDefault="00262050" w:rsidP="00073E39">
            <w:pPr>
              <w:pStyle w:val="FCGBBodyText"/>
              <w:rPr>
                <w:b/>
                <w:color w:val="0D0D0D"/>
              </w:rPr>
            </w:pPr>
          </w:p>
        </w:tc>
        <w:tc>
          <w:tcPr>
            <w:tcW w:w="6628" w:type="dxa"/>
            <w:shd w:val="clear" w:color="auto" w:fill="auto"/>
          </w:tcPr>
          <w:p w:rsidR="000530FE" w:rsidRDefault="000530FE" w:rsidP="000530FE">
            <w:pPr>
              <w:pStyle w:val="FCGBBodyText"/>
            </w:pPr>
            <w:r>
              <w:lastRenderedPageBreak/>
              <w:t>The following evaluation system will be applied to this section:</w:t>
            </w:r>
          </w:p>
          <w:p w:rsidR="000530FE" w:rsidRDefault="000530FE" w:rsidP="000530FE">
            <w:pPr>
              <w:pStyle w:val="FCGBBodyText"/>
            </w:pPr>
          </w:p>
          <w:p w:rsidR="000530FE" w:rsidRDefault="000530FE" w:rsidP="000530FE">
            <w:pPr>
              <w:pStyle w:val="FCGBBodyText"/>
              <w:rPr>
                <w:b/>
              </w:rPr>
            </w:pPr>
            <w:r>
              <w:rPr>
                <w:b/>
              </w:rPr>
              <w:t xml:space="preserve">0 – </w:t>
            </w:r>
            <w:r>
              <w:rPr>
                <w:b/>
                <w:lang w:eastAsia="en-GB"/>
              </w:rPr>
              <w:t>No response (complete non-compliance)</w:t>
            </w:r>
          </w:p>
          <w:p w:rsidR="000530FE" w:rsidRDefault="000530FE" w:rsidP="000530FE">
            <w:pPr>
              <w:pStyle w:val="FCGBBodyText"/>
              <w:rPr>
                <w:lang w:eastAsia="en-GB"/>
              </w:rPr>
            </w:pPr>
            <w:r>
              <w:rPr>
                <w:lang w:eastAsia="en-GB"/>
              </w:rPr>
              <w:t>No response at all or insufficient information provided in the response such that the solution is totally un-assessable and/or incomprehensible.</w:t>
            </w:r>
          </w:p>
          <w:p w:rsidR="000530FE" w:rsidRDefault="000530FE" w:rsidP="000530FE">
            <w:pPr>
              <w:pStyle w:val="FCGBBodyText"/>
            </w:pPr>
            <w:r>
              <w:t xml:space="preserve"> </w:t>
            </w:r>
          </w:p>
          <w:p w:rsidR="000530FE" w:rsidRDefault="000530FE" w:rsidP="000530FE">
            <w:pPr>
              <w:pStyle w:val="FCGBBodyText"/>
              <w:rPr>
                <w:b/>
              </w:rPr>
            </w:pPr>
            <w:r>
              <w:rPr>
                <w:b/>
              </w:rPr>
              <w:t xml:space="preserve">1 – </w:t>
            </w:r>
            <w:r>
              <w:rPr>
                <w:b/>
                <w:lang w:eastAsia="en-GB"/>
              </w:rPr>
              <w:t>Unsatisfactory response (potential for some compliance but very major areas of weakness)</w:t>
            </w:r>
          </w:p>
          <w:p w:rsidR="000530FE" w:rsidRDefault="000530FE" w:rsidP="000530FE">
            <w:pPr>
              <w:pStyle w:val="FCGBBodyText"/>
              <w:rPr>
                <w:lang w:eastAsia="en-GB"/>
              </w:rPr>
            </w:pPr>
            <w:r>
              <w:rPr>
                <w:lang w:eastAsia="en-GB"/>
              </w:rPr>
              <w:t xml:space="preserve">Substantially unacceptable submission which fails in </w:t>
            </w:r>
            <w:r>
              <w:rPr>
                <w:lang w:eastAsia="en-GB"/>
              </w:rPr>
              <w:lastRenderedPageBreak/>
              <w:t>several significant areas to set out a solution that addresses and meets the requirements: little or no detail may (and, where evidence is required or necessary, no evidence) have been provided to support and demonstrate that the tenderer will be able to provide the services.</w:t>
            </w:r>
          </w:p>
          <w:p w:rsidR="000530FE" w:rsidRDefault="000530FE" w:rsidP="000530FE">
            <w:pPr>
              <w:pStyle w:val="FCGBBodyText"/>
            </w:pPr>
          </w:p>
          <w:p w:rsidR="000530FE" w:rsidRDefault="000530FE" w:rsidP="000530FE">
            <w:pPr>
              <w:pStyle w:val="FCGBBodyText"/>
              <w:rPr>
                <w:b/>
              </w:rPr>
            </w:pPr>
            <w:r>
              <w:rPr>
                <w:b/>
              </w:rPr>
              <w:t xml:space="preserve">2 – </w:t>
            </w:r>
            <w:r>
              <w:rPr>
                <w:b/>
                <w:lang w:eastAsia="en-GB"/>
              </w:rPr>
              <w:t>Partially acceptable response (one or more areas of major weakness)</w:t>
            </w:r>
          </w:p>
          <w:p w:rsidR="000530FE" w:rsidRDefault="000530FE" w:rsidP="000530FE">
            <w:pPr>
              <w:pStyle w:val="FCGBBodyText"/>
            </w:pPr>
            <w:r>
              <w:rPr>
                <w:lang w:eastAsia="en-GB"/>
              </w:rPr>
              <w:t>Weak submission which does not set out a solution that fully addresses and meets the requirements: response may be basic/ minimal with little or no detail</w:t>
            </w:r>
            <w:r>
              <w:t xml:space="preserve"> </w:t>
            </w:r>
          </w:p>
          <w:p w:rsidR="000530FE" w:rsidRDefault="000530FE" w:rsidP="000530FE">
            <w:pPr>
              <w:pStyle w:val="FCGBBodyText"/>
            </w:pPr>
          </w:p>
          <w:p w:rsidR="000530FE" w:rsidRDefault="000530FE" w:rsidP="000530FE">
            <w:pPr>
              <w:pStyle w:val="FCGBBodyText"/>
              <w:rPr>
                <w:b/>
              </w:rPr>
            </w:pPr>
            <w:r>
              <w:rPr>
                <w:b/>
              </w:rPr>
              <w:t xml:space="preserve">3 – </w:t>
            </w:r>
            <w:r>
              <w:rPr>
                <w:b/>
                <w:lang w:eastAsia="en-GB"/>
              </w:rPr>
              <w:t>Satisfactory and acceptable response (substantial compliance with no major concerns)</w:t>
            </w:r>
          </w:p>
          <w:p w:rsidR="000530FE" w:rsidRDefault="000530FE" w:rsidP="000530FE">
            <w:pPr>
              <w:pStyle w:val="FCGBBodyText"/>
              <w:rPr>
                <w:lang w:eastAsia="en-GB"/>
              </w:rPr>
            </w:pPr>
            <w:r>
              <w:rPr>
                <w:lang w:eastAsia="en-GB"/>
              </w:rPr>
              <w:t>Submission sets out a solution that largely addresses and meets the requirements, with some detail (or, where evidence is required or necessary, some relevant evidence) provided to support the solution.</w:t>
            </w:r>
          </w:p>
          <w:p w:rsidR="000530FE" w:rsidRDefault="000530FE" w:rsidP="000530FE">
            <w:pPr>
              <w:pStyle w:val="FCGBBodyText"/>
            </w:pPr>
          </w:p>
          <w:p w:rsidR="000530FE" w:rsidRDefault="000530FE" w:rsidP="000530FE">
            <w:pPr>
              <w:pStyle w:val="FCGBBodyText"/>
              <w:rPr>
                <w:b/>
              </w:rPr>
            </w:pPr>
            <w:r>
              <w:rPr>
                <w:b/>
              </w:rPr>
              <w:t xml:space="preserve">4 – </w:t>
            </w:r>
            <w:r>
              <w:rPr>
                <w:b/>
                <w:lang w:eastAsia="en-GB"/>
              </w:rPr>
              <w:t>Fully satisfactory /very good response (fully compliant with requirements)</w:t>
            </w:r>
          </w:p>
          <w:p w:rsidR="000530FE" w:rsidRDefault="000530FE" w:rsidP="000530FE">
            <w:pPr>
              <w:rPr>
                <w:lang w:eastAsia="en-GB"/>
              </w:rPr>
            </w:pPr>
            <w:r>
              <w:rPr>
                <w:lang w:eastAsia="en-GB"/>
              </w:rPr>
              <w:t>Submission sets out a robust solution that fully addresses and meets the requirements, with full details (and, where evidence is required or necessary, full and relevant evidence) provided to support the solution.</w:t>
            </w:r>
          </w:p>
          <w:p w:rsidR="000530FE" w:rsidRDefault="000530FE" w:rsidP="000530FE">
            <w:pPr>
              <w:rPr>
                <w:lang w:eastAsia="en-GB"/>
              </w:rPr>
            </w:pPr>
          </w:p>
          <w:p w:rsidR="000530FE" w:rsidRDefault="000530FE" w:rsidP="000530FE">
            <w:pPr>
              <w:rPr>
                <w:b/>
                <w:lang w:eastAsia="en-GB"/>
              </w:rPr>
            </w:pPr>
            <w:r>
              <w:rPr>
                <w:b/>
              </w:rPr>
              <w:t xml:space="preserve">5 - </w:t>
            </w:r>
            <w:r>
              <w:rPr>
                <w:b/>
                <w:lang w:eastAsia="en-GB"/>
              </w:rPr>
              <w:t>Outstanding response (fully compliant, with some areas exceeding requirements)</w:t>
            </w:r>
          </w:p>
          <w:p w:rsidR="00262050" w:rsidRPr="005D3614" w:rsidRDefault="000530FE" w:rsidP="000530FE">
            <w:pPr>
              <w:pStyle w:val="FCGBBodyText"/>
              <w:rPr>
                <w:b/>
                <w:color w:val="0D0D0D"/>
              </w:rPr>
            </w:pPr>
            <w:r>
              <w:rPr>
                <w:lang w:eastAsia="en-GB"/>
              </w:rPr>
              <w:t>Submission sets out a robust solution (as for a 4 score) and, in addition, provides or proposes additional value and/or elements of the solution which exceed the requirements in substance and outcomes in a manner acceptable to the FE.</w:t>
            </w:r>
          </w:p>
        </w:tc>
      </w:tr>
      <w:tr w:rsidR="007C59D0" w:rsidRPr="005D3614" w:rsidTr="00482C0B">
        <w:trPr>
          <w:trHeight w:val="815"/>
        </w:trPr>
        <w:tc>
          <w:tcPr>
            <w:tcW w:w="10138" w:type="dxa"/>
            <w:gridSpan w:val="3"/>
            <w:shd w:val="clear" w:color="auto" w:fill="auto"/>
          </w:tcPr>
          <w:p w:rsidR="00262050" w:rsidRPr="005D3614" w:rsidRDefault="00262050" w:rsidP="00262050">
            <w:pPr>
              <w:pStyle w:val="FCGBBodyText"/>
              <w:rPr>
                <w:color w:val="0D0D0D"/>
              </w:rPr>
            </w:pPr>
            <w:r w:rsidRPr="005D3614">
              <w:rPr>
                <w:color w:val="0D0D0D"/>
              </w:rPr>
              <w:lastRenderedPageBreak/>
              <w:t>Response:</w:t>
            </w:r>
          </w:p>
          <w:p w:rsidR="00262050" w:rsidRDefault="00262050" w:rsidP="00073E39">
            <w:pPr>
              <w:pStyle w:val="FCGBBodyText"/>
              <w:rPr>
                <w:color w:val="0D0D0D"/>
              </w:rPr>
            </w:pPr>
          </w:p>
          <w:p w:rsidR="000530FE" w:rsidRDefault="000530FE" w:rsidP="00073E39">
            <w:pPr>
              <w:pStyle w:val="FCGBBodyText"/>
              <w:rPr>
                <w:color w:val="0D0D0D"/>
              </w:rPr>
            </w:pPr>
          </w:p>
          <w:p w:rsidR="000530FE" w:rsidRDefault="000530FE"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482C0B" w:rsidRPr="005D3614" w:rsidTr="00482C0B">
        <w:trPr>
          <w:trHeight w:val="163"/>
        </w:trPr>
        <w:tc>
          <w:tcPr>
            <w:tcW w:w="796" w:type="dxa"/>
            <w:shd w:val="clear" w:color="auto" w:fill="auto"/>
          </w:tcPr>
          <w:p w:rsidR="00482C0B" w:rsidRPr="005D3614" w:rsidRDefault="00482C0B" w:rsidP="00262050">
            <w:pPr>
              <w:pStyle w:val="FCGBBodyText"/>
              <w:rPr>
                <w:color w:val="0D0D0D"/>
              </w:rPr>
            </w:pPr>
            <w:r w:rsidRPr="005D3614">
              <w:rPr>
                <w:b/>
                <w:color w:val="0D0D0D"/>
              </w:rPr>
              <w:lastRenderedPageBreak/>
              <w:t>No.</w:t>
            </w:r>
          </w:p>
        </w:tc>
        <w:tc>
          <w:tcPr>
            <w:tcW w:w="2714" w:type="dxa"/>
            <w:shd w:val="clear" w:color="auto" w:fill="auto"/>
          </w:tcPr>
          <w:p w:rsidR="00482C0B" w:rsidRPr="005D3614" w:rsidRDefault="00482C0B" w:rsidP="00262050">
            <w:pPr>
              <w:pStyle w:val="FCGBBodyText"/>
              <w:rPr>
                <w:color w:val="0D0D0D"/>
              </w:rPr>
            </w:pPr>
            <w:r w:rsidRPr="005D3614">
              <w:rPr>
                <w:b/>
                <w:color w:val="0D0D0D"/>
              </w:rPr>
              <w:t>Question</w:t>
            </w:r>
          </w:p>
        </w:tc>
        <w:tc>
          <w:tcPr>
            <w:tcW w:w="6628" w:type="dxa"/>
            <w:shd w:val="clear" w:color="auto" w:fill="auto"/>
          </w:tcPr>
          <w:p w:rsidR="00482C0B" w:rsidRPr="005D3614" w:rsidRDefault="00482C0B" w:rsidP="00262050">
            <w:pPr>
              <w:pStyle w:val="FCGBBodyText"/>
              <w:rPr>
                <w:color w:val="0D0D0D"/>
              </w:rPr>
            </w:pPr>
            <w:r w:rsidRPr="005D3614">
              <w:rPr>
                <w:b/>
                <w:color w:val="0D0D0D"/>
              </w:rPr>
              <w:t xml:space="preserve">Weight </w:t>
            </w:r>
            <w:r w:rsidR="00D22503">
              <w:rPr>
                <w:b/>
                <w:color w:val="0D0D0D"/>
              </w:rPr>
              <w:t>10</w:t>
            </w:r>
            <w:r w:rsidRPr="005D3614">
              <w:rPr>
                <w:b/>
                <w:color w:val="0D0D0D"/>
              </w:rPr>
              <w:t>%</w:t>
            </w:r>
          </w:p>
        </w:tc>
      </w:tr>
      <w:tr w:rsidR="00482C0B" w:rsidRPr="005D3614" w:rsidTr="00482C0B">
        <w:trPr>
          <w:trHeight w:val="163"/>
        </w:trPr>
        <w:tc>
          <w:tcPr>
            <w:tcW w:w="796" w:type="dxa"/>
            <w:shd w:val="clear" w:color="auto" w:fill="auto"/>
          </w:tcPr>
          <w:p w:rsidR="00482C0B" w:rsidRPr="005D3614" w:rsidRDefault="00482C0B" w:rsidP="00262050">
            <w:pPr>
              <w:pStyle w:val="FCGBBodyText"/>
              <w:rPr>
                <w:color w:val="0D0D0D"/>
              </w:rPr>
            </w:pPr>
            <w:r>
              <w:rPr>
                <w:color w:val="0D0D0D"/>
              </w:rPr>
              <w:t>4.5.3</w:t>
            </w:r>
          </w:p>
        </w:tc>
        <w:tc>
          <w:tcPr>
            <w:tcW w:w="2714" w:type="dxa"/>
            <w:shd w:val="clear" w:color="auto" w:fill="auto"/>
          </w:tcPr>
          <w:p w:rsidR="00482C0B" w:rsidRPr="005D3614" w:rsidRDefault="00482C0B" w:rsidP="00482C0B">
            <w:pPr>
              <w:pStyle w:val="FCGBBodyText"/>
              <w:rPr>
                <w:color w:val="0D0D0D"/>
              </w:rPr>
            </w:pPr>
            <w:r w:rsidRPr="00482C0B">
              <w:rPr>
                <w:color w:val="0D0D0D"/>
              </w:rPr>
              <w:t>Please demonstrate evidence of you/your organisation’s past experience in similar survey work that would support the quality of your proposal.  Please provide at least one example relating to stand survey, tariffing or both as applicable.</w:t>
            </w:r>
          </w:p>
        </w:tc>
        <w:tc>
          <w:tcPr>
            <w:tcW w:w="6628" w:type="dxa"/>
            <w:shd w:val="clear" w:color="auto" w:fill="auto"/>
          </w:tcPr>
          <w:p w:rsidR="000530FE" w:rsidRDefault="000530FE" w:rsidP="000530FE">
            <w:pPr>
              <w:pStyle w:val="FCGBBodyText"/>
            </w:pPr>
            <w:r>
              <w:t>The following evaluation system will be applied to this section:</w:t>
            </w:r>
          </w:p>
          <w:p w:rsidR="000530FE" w:rsidRDefault="000530FE" w:rsidP="000530FE">
            <w:pPr>
              <w:pStyle w:val="FCGBBodyText"/>
            </w:pPr>
          </w:p>
          <w:p w:rsidR="000530FE" w:rsidRDefault="000530FE" w:rsidP="000530FE">
            <w:pPr>
              <w:pStyle w:val="FCGBBodyText"/>
              <w:rPr>
                <w:b/>
              </w:rPr>
            </w:pPr>
            <w:r>
              <w:rPr>
                <w:b/>
              </w:rPr>
              <w:t xml:space="preserve">0 – </w:t>
            </w:r>
            <w:r>
              <w:rPr>
                <w:b/>
                <w:lang w:eastAsia="en-GB"/>
              </w:rPr>
              <w:t>No response (complete non-compliance)</w:t>
            </w:r>
          </w:p>
          <w:p w:rsidR="000530FE" w:rsidRDefault="000530FE" w:rsidP="000530FE">
            <w:pPr>
              <w:pStyle w:val="FCGBBodyText"/>
              <w:rPr>
                <w:lang w:eastAsia="en-GB"/>
              </w:rPr>
            </w:pPr>
            <w:r>
              <w:rPr>
                <w:lang w:eastAsia="en-GB"/>
              </w:rPr>
              <w:t>No response at all or insufficient information provided in the response such that the solution is totally un-assessable and/or incomprehensible.</w:t>
            </w:r>
          </w:p>
          <w:p w:rsidR="000530FE" w:rsidRDefault="000530FE" w:rsidP="000530FE">
            <w:pPr>
              <w:pStyle w:val="FCGBBodyText"/>
            </w:pPr>
            <w:r>
              <w:t xml:space="preserve"> </w:t>
            </w:r>
          </w:p>
          <w:p w:rsidR="000530FE" w:rsidRDefault="000530FE" w:rsidP="000530FE">
            <w:pPr>
              <w:pStyle w:val="FCGBBodyText"/>
              <w:rPr>
                <w:b/>
              </w:rPr>
            </w:pPr>
            <w:r>
              <w:rPr>
                <w:b/>
              </w:rPr>
              <w:t xml:space="preserve">1 – </w:t>
            </w:r>
            <w:r>
              <w:rPr>
                <w:b/>
                <w:lang w:eastAsia="en-GB"/>
              </w:rPr>
              <w:t>Unsatisfactory response (potential for some compliance but very major areas of weakness)</w:t>
            </w:r>
          </w:p>
          <w:p w:rsidR="000530FE" w:rsidRDefault="000530FE" w:rsidP="000530FE">
            <w:pPr>
              <w:pStyle w:val="FCGBBodyText"/>
              <w:rPr>
                <w:lang w:eastAsia="en-GB"/>
              </w:rPr>
            </w:pPr>
            <w:r>
              <w:rPr>
                <w:lang w:eastAsia="en-GB"/>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w:t>
            </w:r>
          </w:p>
          <w:p w:rsidR="000530FE" w:rsidRDefault="000530FE" w:rsidP="000530FE">
            <w:pPr>
              <w:pStyle w:val="FCGBBodyText"/>
            </w:pPr>
          </w:p>
          <w:p w:rsidR="000530FE" w:rsidRDefault="000530FE" w:rsidP="000530FE">
            <w:pPr>
              <w:pStyle w:val="FCGBBodyText"/>
              <w:rPr>
                <w:b/>
              </w:rPr>
            </w:pPr>
            <w:r>
              <w:rPr>
                <w:b/>
              </w:rPr>
              <w:t xml:space="preserve">2 – </w:t>
            </w:r>
            <w:r>
              <w:rPr>
                <w:b/>
                <w:lang w:eastAsia="en-GB"/>
              </w:rPr>
              <w:t>Partially acceptable response (one or more areas of major weakness)</w:t>
            </w:r>
          </w:p>
          <w:p w:rsidR="000530FE" w:rsidRDefault="000530FE" w:rsidP="000530FE">
            <w:pPr>
              <w:pStyle w:val="FCGBBodyText"/>
            </w:pPr>
            <w:r>
              <w:rPr>
                <w:lang w:eastAsia="en-GB"/>
              </w:rPr>
              <w:t>Weak submission which does not set out a solution that fully addresses and meets the requirements: response may be basic/ minimal with little or no detail</w:t>
            </w:r>
            <w:r>
              <w:t xml:space="preserve"> </w:t>
            </w:r>
          </w:p>
          <w:p w:rsidR="000530FE" w:rsidRDefault="000530FE" w:rsidP="000530FE">
            <w:pPr>
              <w:pStyle w:val="FCGBBodyText"/>
            </w:pPr>
          </w:p>
          <w:p w:rsidR="000530FE" w:rsidRDefault="000530FE" w:rsidP="000530FE">
            <w:pPr>
              <w:pStyle w:val="FCGBBodyText"/>
              <w:rPr>
                <w:b/>
              </w:rPr>
            </w:pPr>
            <w:r>
              <w:rPr>
                <w:b/>
              </w:rPr>
              <w:t xml:space="preserve">3 – </w:t>
            </w:r>
            <w:r>
              <w:rPr>
                <w:b/>
                <w:lang w:eastAsia="en-GB"/>
              </w:rPr>
              <w:t>Satisfactory and acceptable response (substantial compliance with no major concerns)</w:t>
            </w:r>
          </w:p>
          <w:p w:rsidR="000530FE" w:rsidRDefault="000530FE" w:rsidP="000530FE">
            <w:pPr>
              <w:pStyle w:val="FCGBBodyText"/>
              <w:rPr>
                <w:lang w:eastAsia="en-GB"/>
              </w:rPr>
            </w:pPr>
            <w:r>
              <w:rPr>
                <w:lang w:eastAsia="en-GB"/>
              </w:rPr>
              <w:t>Submission sets out a solution that largely addresses and meets the requirements, with some detail (or, where evidence is required or necessary, some relevant evidence) provided to support the solution.</w:t>
            </w:r>
          </w:p>
          <w:p w:rsidR="000530FE" w:rsidRDefault="000530FE" w:rsidP="000530FE">
            <w:pPr>
              <w:pStyle w:val="FCGBBodyText"/>
            </w:pPr>
          </w:p>
          <w:p w:rsidR="000530FE" w:rsidRDefault="000530FE" w:rsidP="000530FE">
            <w:pPr>
              <w:pStyle w:val="FCGBBodyText"/>
              <w:rPr>
                <w:b/>
              </w:rPr>
            </w:pPr>
            <w:r>
              <w:rPr>
                <w:b/>
              </w:rPr>
              <w:t xml:space="preserve">4 – </w:t>
            </w:r>
            <w:r>
              <w:rPr>
                <w:b/>
                <w:lang w:eastAsia="en-GB"/>
              </w:rPr>
              <w:t>Fully satisfactory /very good response (fully compliant with requirements)</w:t>
            </w:r>
          </w:p>
          <w:p w:rsidR="000530FE" w:rsidRDefault="000530FE" w:rsidP="000530FE">
            <w:pPr>
              <w:rPr>
                <w:lang w:eastAsia="en-GB"/>
              </w:rPr>
            </w:pPr>
            <w:r>
              <w:rPr>
                <w:lang w:eastAsia="en-GB"/>
              </w:rPr>
              <w:t>Submission sets out a robust solution that fully addresses and meets the requirements, with full details (and, where evidence is required or necessary, full and relevant evidence) provided to support the solution.</w:t>
            </w:r>
          </w:p>
          <w:p w:rsidR="000530FE" w:rsidRDefault="000530FE" w:rsidP="000530FE">
            <w:pPr>
              <w:rPr>
                <w:lang w:eastAsia="en-GB"/>
              </w:rPr>
            </w:pPr>
          </w:p>
          <w:p w:rsidR="000530FE" w:rsidRDefault="000530FE" w:rsidP="000530FE">
            <w:pPr>
              <w:rPr>
                <w:b/>
                <w:lang w:eastAsia="en-GB"/>
              </w:rPr>
            </w:pPr>
            <w:r>
              <w:rPr>
                <w:b/>
              </w:rPr>
              <w:t xml:space="preserve">5 - </w:t>
            </w:r>
            <w:r>
              <w:rPr>
                <w:b/>
                <w:lang w:eastAsia="en-GB"/>
              </w:rPr>
              <w:t>Outstanding response (fully compliant, with some areas exceeding requirements)</w:t>
            </w:r>
          </w:p>
          <w:p w:rsidR="00482C0B" w:rsidRPr="005D3614" w:rsidRDefault="000530FE" w:rsidP="000530FE">
            <w:pPr>
              <w:pStyle w:val="FCGBBodyText"/>
              <w:rPr>
                <w:color w:val="0D0D0D"/>
              </w:rPr>
            </w:pPr>
            <w:r>
              <w:rPr>
                <w:lang w:eastAsia="en-GB"/>
              </w:rPr>
              <w:t xml:space="preserve">Submission sets out a robust solution (as for a 4 score) </w:t>
            </w:r>
            <w:r>
              <w:rPr>
                <w:lang w:eastAsia="en-GB"/>
              </w:rPr>
              <w:lastRenderedPageBreak/>
              <w:t>and, in addition, provides or proposes additional value and/or elements of the solution which exceed the requirements in substance and outcomes in a manner acceptable to the FE.</w:t>
            </w:r>
          </w:p>
        </w:tc>
      </w:tr>
      <w:tr w:rsidR="00482C0B" w:rsidRPr="005D3614" w:rsidTr="00F61F52">
        <w:trPr>
          <w:trHeight w:val="367"/>
        </w:trPr>
        <w:tc>
          <w:tcPr>
            <w:tcW w:w="10138" w:type="dxa"/>
            <w:gridSpan w:val="3"/>
            <w:shd w:val="clear" w:color="auto" w:fill="auto"/>
          </w:tcPr>
          <w:p w:rsidR="00482C0B" w:rsidRDefault="00482C0B" w:rsidP="00262050">
            <w:pPr>
              <w:pStyle w:val="FCGBBodyText"/>
              <w:rPr>
                <w:color w:val="0D0D0D"/>
              </w:rPr>
            </w:pPr>
            <w:r>
              <w:rPr>
                <w:color w:val="0D0D0D"/>
              </w:rPr>
              <w:lastRenderedPageBreak/>
              <w:t>Response:</w:t>
            </w:r>
          </w:p>
          <w:p w:rsidR="00482C0B" w:rsidRDefault="00482C0B" w:rsidP="00262050">
            <w:pPr>
              <w:pStyle w:val="FCGBBodyText"/>
              <w:rPr>
                <w:color w:val="0D0D0D"/>
              </w:rPr>
            </w:pPr>
          </w:p>
          <w:p w:rsidR="00482C0B" w:rsidRDefault="00482C0B" w:rsidP="00262050">
            <w:pPr>
              <w:pStyle w:val="FCGBBodyText"/>
              <w:rPr>
                <w:color w:val="0D0D0D"/>
              </w:rPr>
            </w:pPr>
          </w:p>
          <w:p w:rsidR="00482C0B" w:rsidRDefault="00482C0B" w:rsidP="00262050">
            <w:pPr>
              <w:pStyle w:val="FCGBBodyText"/>
              <w:rPr>
                <w:color w:val="0D0D0D"/>
              </w:rPr>
            </w:pPr>
          </w:p>
          <w:p w:rsidR="00482C0B" w:rsidRDefault="00482C0B" w:rsidP="00262050">
            <w:pPr>
              <w:pStyle w:val="FCGBBodyText"/>
              <w:rPr>
                <w:color w:val="0D0D0D"/>
              </w:rPr>
            </w:pPr>
          </w:p>
          <w:p w:rsidR="00482C0B" w:rsidRDefault="00482C0B" w:rsidP="00262050">
            <w:pPr>
              <w:pStyle w:val="FCGBBodyText"/>
              <w:rPr>
                <w:color w:val="0D0D0D"/>
              </w:rPr>
            </w:pPr>
          </w:p>
          <w:p w:rsidR="00482C0B" w:rsidRDefault="00482C0B" w:rsidP="00262050">
            <w:pPr>
              <w:pStyle w:val="FCGBBodyText"/>
              <w:rPr>
                <w:color w:val="0D0D0D"/>
              </w:rPr>
            </w:pPr>
          </w:p>
          <w:p w:rsidR="00482C0B" w:rsidRPr="005D3614" w:rsidRDefault="00482C0B" w:rsidP="00262050">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p w:rsidR="00391B8E" w:rsidRPr="005D3614" w:rsidRDefault="00391B8E" w:rsidP="000967EA">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093B5A" w:rsidTr="00F61F52">
        <w:trPr>
          <w:cantSplit/>
          <w:trHeight w:val="324"/>
        </w:trPr>
        <w:tc>
          <w:tcPr>
            <w:tcW w:w="8798" w:type="dxa"/>
            <w:shd w:val="clear" w:color="auto" w:fill="auto"/>
          </w:tcPr>
          <w:p w:rsidR="00DE4069" w:rsidRPr="00362D3F" w:rsidRDefault="00DE4069" w:rsidP="00F61F52">
            <w:pPr>
              <w:rPr>
                <w:b/>
              </w:rPr>
            </w:pPr>
          </w:p>
        </w:tc>
        <w:tc>
          <w:tcPr>
            <w:tcW w:w="1187" w:type="dxa"/>
            <w:shd w:val="clear" w:color="auto" w:fill="auto"/>
          </w:tcPr>
          <w:p w:rsidR="00DE4069" w:rsidRPr="00362D3F" w:rsidRDefault="00DE4069" w:rsidP="00F61F52">
            <w:pPr>
              <w:jc w:val="center"/>
              <w:rPr>
                <w:b/>
              </w:rPr>
            </w:pPr>
            <w:r w:rsidRPr="00362D3F">
              <w:rPr>
                <w:b/>
                <w:i/>
              </w:rPr>
              <w:t>Weight %</w:t>
            </w:r>
          </w:p>
        </w:tc>
      </w:tr>
      <w:tr w:rsidR="00DE4069" w:rsidRPr="00093B5A" w:rsidTr="00F61F52">
        <w:trPr>
          <w:trHeight w:val="348"/>
        </w:trPr>
        <w:tc>
          <w:tcPr>
            <w:tcW w:w="8798" w:type="dxa"/>
            <w:shd w:val="clear" w:color="auto" w:fill="auto"/>
          </w:tcPr>
          <w:p w:rsidR="00DE4069" w:rsidRPr="00362D3F" w:rsidRDefault="00DE4069" w:rsidP="00F61F52">
            <w:pPr>
              <w:rPr>
                <w:b/>
              </w:rPr>
            </w:pPr>
            <w:r w:rsidRPr="00362D3F">
              <w:rPr>
                <w:b/>
              </w:rPr>
              <w:t>Please provide details of your pricing in the schedule provided below</w:t>
            </w:r>
          </w:p>
          <w:p w:rsidR="00DE4069" w:rsidRPr="00362D3F" w:rsidRDefault="00DE4069" w:rsidP="00F61F52">
            <w:pPr>
              <w:rPr>
                <w:b/>
              </w:rPr>
            </w:pPr>
          </w:p>
        </w:tc>
        <w:tc>
          <w:tcPr>
            <w:tcW w:w="1187" w:type="dxa"/>
            <w:shd w:val="clear" w:color="auto" w:fill="auto"/>
          </w:tcPr>
          <w:p w:rsidR="00DE4069" w:rsidRPr="00362D3F" w:rsidRDefault="00892B03" w:rsidP="00F61F52">
            <w:pPr>
              <w:jc w:val="center"/>
            </w:pPr>
            <w:r w:rsidRPr="00CC3160">
              <w:t>60</w:t>
            </w:r>
          </w:p>
          <w:p w:rsidR="00DE4069" w:rsidRPr="00362D3F" w:rsidRDefault="00DE4069" w:rsidP="00F61F52">
            <w:pPr>
              <w:jc w:val="center"/>
            </w:pPr>
          </w:p>
        </w:tc>
      </w:tr>
    </w:tbl>
    <w:p w:rsidR="00391B8E" w:rsidRPr="009E5141" w:rsidRDefault="00391B8E" w:rsidP="00391B8E">
      <w:pPr>
        <w:rPr>
          <w:b/>
          <w:color w:val="00808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989"/>
        <w:gridCol w:w="1210"/>
      </w:tblGrid>
      <w:tr w:rsidR="00DE4069" w:rsidRPr="00093B5A" w:rsidTr="00074DE4">
        <w:trPr>
          <w:trHeight w:val="348"/>
        </w:trPr>
        <w:tc>
          <w:tcPr>
            <w:tcW w:w="1809" w:type="dxa"/>
            <w:shd w:val="clear" w:color="auto" w:fill="auto"/>
          </w:tcPr>
          <w:p w:rsidR="00391B8E" w:rsidRPr="00A31C58" w:rsidRDefault="00391B8E" w:rsidP="00F61F52">
            <w:pPr>
              <w:rPr>
                <w:b/>
              </w:rPr>
            </w:pPr>
            <w:r w:rsidRPr="00A31C58">
              <w:rPr>
                <w:b/>
              </w:rPr>
              <w:t>Ref</w:t>
            </w:r>
          </w:p>
        </w:tc>
        <w:tc>
          <w:tcPr>
            <w:tcW w:w="6989" w:type="dxa"/>
            <w:shd w:val="clear" w:color="auto" w:fill="auto"/>
          </w:tcPr>
          <w:p w:rsidR="00391B8E" w:rsidRPr="00A31C58" w:rsidRDefault="00391B8E" w:rsidP="00F61F52">
            <w:pPr>
              <w:rPr>
                <w:b/>
              </w:rPr>
            </w:pPr>
            <w:r w:rsidRPr="00A31C58">
              <w:rPr>
                <w:b/>
              </w:rPr>
              <w:t>Description</w:t>
            </w:r>
          </w:p>
          <w:p w:rsidR="00391B8E" w:rsidRPr="00A31C58" w:rsidRDefault="00391B8E" w:rsidP="00F61F52">
            <w:pPr>
              <w:rPr>
                <w:b/>
              </w:rPr>
            </w:pPr>
          </w:p>
        </w:tc>
        <w:tc>
          <w:tcPr>
            <w:tcW w:w="1210" w:type="dxa"/>
            <w:shd w:val="clear" w:color="auto" w:fill="auto"/>
          </w:tcPr>
          <w:p w:rsidR="00391B8E" w:rsidRPr="00A31C58" w:rsidRDefault="00391B8E" w:rsidP="00F61F52">
            <w:pPr>
              <w:jc w:val="center"/>
              <w:rPr>
                <w:b/>
              </w:rPr>
            </w:pPr>
            <w:r w:rsidRPr="00A31C58">
              <w:rPr>
                <w:b/>
              </w:rPr>
              <w:t>Price</w:t>
            </w:r>
          </w:p>
          <w:p w:rsidR="00391B8E" w:rsidRPr="00093B5A" w:rsidRDefault="00391B8E" w:rsidP="00F61F52">
            <w:pPr>
              <w:jc w:val="center"/>
              <w:rPr>
                <w:b/>
                <w:color w:val="365F91"/>
              </w:rPr>
            </w:pPr>
            <w:r w:rsidRPr="00A31C58">
              <w:rPr>
                <w:b/>
              </w:rPr>
              <w:t>(£)</w:t>
            </w:r>
          </w:p>
        </w:tc>
      </w:tr>
      <w:tr w:rsidR="00C96589" w:rsidRPr="00093B5A" w:rsidTr="00074DE4">
        <w:trPr>
          <w:trHeight w:val="490"/>
        </w:trPr>
        <w:tc>
          <w:tcPr>
            <w:tcW w:w="1809" w:type="dxa"/>
            <w:shd w:val="clear" w:color="auto" w:fill="auto"/>
          </w:tcPr>
          <w:p w:rsidR="00C96589" w:rsidRPr="00A31C58" w:rsidRDefault="00C96589" w:rsidP="00C96589">
            <w:r w:rsidRPr="007319C5">
              <w:t>1 A</w:t>
            </w:r>
            <w:r>
              <w:t xml:space="preserve"> </w:t>
            </w:r>
          </w:p>
        </w:tc>
        <w:tc>
          <w:tcPr>
            <w:tcW w:w="6989" w:type="dxa"/>
            <w:shd w:val="clear" w:color="auto" w:fill="auto"/>
          </w:tcPr>
          <w:p w:rsidR="00C96589" w:rsidRPr="00A31C58" w:rsidRDefault="00C96589" w:rsidP="00DE4069">
            <w:r w:rsidRPr="007319C5">
              <w:rPr>
                <w:lang w:val="en-US"/>
              </w:rPr>
              <w:t>Basal area Survey and Top ht assessment (Price per plot)</w:t>
            </w:r>
          </w:p>
        </w:tc>
        <w:tc>
          <w:tcPr>
            <w:tcW w:w="1210" w:type="dxa"/>
            <w:shd w:val="clear" w:color="auto" w:fill="auto"/>
          </w:tcPr>
          <w:p w:rsidR="00C96589" w:rsidRPr="00093B5A" w:rsidRDefault="00C96589" w:rsidP="00F61F52">
            <w:pPr>
              <w:jc w:val="center"/>
              <w:rPr>
                <w:color w:val="365F91"/>
              </w:rPr>
            </w:pPr>
          </w:p>
        </w:tc>
      </w:tr>
      <w:tr w:rsidR="00C96589" w:rsidRPr="00093B5A" w:rsidTr="00074DE4">
        <w:trPr>
          <w:trHeight w:val="348"/>
        </w:trPr>
        <w:tc>
          <w:tcPr>
            <w:tcW w:w="1809" w:type="dxa"/>
            <w:shd w:val="clear" w:color="auto" w:fill="auto"/>
          </w:tcPr>
          <w:p w:rsidR="00C96589" w:rsidRPr="00A31C58" w:rsidRDefault="00C96589" w:rsidP="00C96589">
            <w:r w:rsidRPr="007319C5">
              <w:t>1 B1</w:t>
            </w:r>
            <w:r>
              <w:t xml:space="preserve"> </w:t>
            </w:r>
          </w:p>
        </w:tc>
        <w:tc>
          <w:tcPr>
            <w:tcW w:w="6989" w:type="dxa"/>
            <w:shd w:val="clear" w:color="auto" w:fill="auto"/>
          </w:tcPr>
          <w:p w:rsidR="00C96589" w:rsidRPr="007319C5" w:rsidRDefault="00C96589" w:rsidP="004756B7">
            <w:pPr>
              <w:rPr>
                <w:lang w:val="en-US"/>
              </w:rPr>
            </w:pPr>
            <w:r w:rsidRPr="007319C5">
              <w:rPr>
                <w:lang w:val="en-US"/>
              </w:rPr>
              <w:t xml:space="preserve">Volume plotting – </w:t>
            </w:r>
            <w:r w:rsidR="00B06221" w:rsidRPr="007319C5">
              <w:rPr>
                <w:lang w:val="en-US"/>
              </w:rPr>
              <w:t>DBH</w:t>
            </w:r>
            <w:r w:rsidRPr="007319C5">
              <w:rPr>
                <w:lang w:val="en-US"/>
              </w:rPr>
              <w:t xml:space="preserve"> measurement and Top ht assessment.</w:t>
            </w:r>
          </w:p>
          <w:p w:rsidR="00C96589" w:rsidRPr="00A31C58" w:rsidRDefault="00C96589" w:rsidP="00F61F52">
            <w:r w:rsidRPr="007319C5">
              <w:rPr>
                <w:lang w:val="en-US"/>
              </w:rPr>
              <w:t>Plot size = 0.01 ha plot (Price per plot)</w:t>
            </w:r>
          </w:p>
        </w:tc>
        <w:tc>
          <w:tcPr>
            <w:tcW w:w="1210" w:type="dxa"/>
            <w:shd w:val="clear" w:color="auto" w:fill="auto"/>
          </w:tcPr>
          <w:p w:rsidR="00C96589" w:rsidRPr="00093B5A" w:rsidRDefault="00C96589" w:rsidP="00F61F52">
            <w:pPr>
              <w:jc w:val="center"/>
              <w:rPr>
                <w:color w:val="365F91"/>
              </w:rPr>
            </w:pPr>
          </w:p>
        </w:tc>
      </w:tr>
      <w:tr w:rsidR="00C96589" w:rsidRPr="00093B5A" w:rsidTr="00074DE4">
        <w:trPr>
          <w:trHeight w:val="348"/>
        </w:trPr>
        <w:tc>
          <w:tcPr>
            <w:tcW w:w="1809" w:type="dxa"/>
            <w:shd w:val="clear" w:color="auto" w:fill="auto"/>
          </w:tcPr>
          <w:p w:rsidR="00C96589" w:rsidRPr="00A31C58" w:rsidRDefault="00C96589" w:rsidP="00C96589">
            <w:r w:rsidRPr="007319C5">
              <w:t>1 B2</w:t>
            </w:r>
            <w:r>
              <w:t xml:space="preserve"> </w:t>
            </w:r>
          </w:p>
        </w:tc>
        <w:tc>
          <w:tcPr>
            <w:tcW w:w="6989" w:type="dxa"/>
            <w:shd w:val="clear" w:color="auto" w:fill="auto"/>
          </w:tcPr>
          <w:p w:rsidR="00C96589" w:rsidRPr="007319C5" w:rsidRDefault="00C96589" w:rsidP="004756B7">
            <w:pPr>
              <w:rPr>
                <w:lang w:val="en-US"/>
              </w:rPr>
            </w:pPr>
            <w:r w:rsidRPr="007319C5">
              <w:rPr>
                <w:lang w:val="en-US"/>
              </w:rPr>
              <w:t xml:space="preserve">Volume plotting – </w:t>
            </w:r>
            <w:r w:rsidR="00B06221" w:rsidRPr="007319C5">
              <w:rPr>
                <w:lang w:val="en-US"/>
              </w:rPr>
              <w:t xml:space="preserve">DBH </w:t>
            </w:r>
            <w:r w:rsidRPr="007319C5">
              <w:rPr>
                <w:lang w:val="en-US"/>
              </w:rPr>
              <w:t>measurement and Top ht assessment.</w:t>
            </w:r>
          </w:p>
          <w:p w:rsidR="00C96589" w:rsidRPr="00A31C58" w:rsidRDefault="00C96589" w:rsidP="00F61F52">
            <w:r w:rsidRPr="007319C5">
              <w:rPr>
                <w:lang w:val="en-US"/>
              </w:rPr>
              <w:t>Plot size = 0.02 ha plot (Price per plot)</w:t>
            </w:r>
          </w:p>
        </w:tc>
        <w:tc>
          <w:tcPr>
            <w:tcW w:w="1210" w:type="dxa"/>
            <w:shd w:val="clear" w:color="auto" w:fill="auto"/>
          </w:tcPr>
          <w:p w:rsidR="00C96589" w:rsidRPr="00093B5A" w:rsidRDefault="00C96589" w:rsidP="00F61F52">
            <w:pPr>
              <w:jc w:val="center"/>
              <w:rPr>
                <w:color w:val="365F91"/>
              </w:rPr>
            </w:pPr>
          </w:p>
        </w:tc>
      </w:tr>
      <w:tr w:rsidR="00C96589" w:rsidRPr="00093B5A" w:rsidTr="00074DE4">
        <w:trPr>
          <w:trHeight w:val="348"/>
        </w:trPr>
        <w:tc>
          <w:tcPr>
            <w:tcW w:w="1809" w:type="dxa"/>
            <w:shd w:val="clear" w:color="auto" w:fill="auto"/>
          </w:tcPr>
          <w:p w:rsidR="00C96589" w:rsidRPr="00093B5A" w:rsidRDefault="00C96589" w:rsidP="00C96589">
            <w:pPr>
              <w:rPr>
                <w:color w:val="365F91"/>
              </w:rPr>
            </w:pPr>
            <w:r w:rsidRPr="007319C5">
              <w:t>1 B3</w:t>
            </w:r>
            <w:r>
              <w:t xml:space="preserve"> </w:t>
            </w:r>
          </w:p>
        </w:tc>
        <w:tc>
          <w:tcPr>
            <w:tcW w:w="6989" w:type="dxa"/>
            <w:shd w:val="clear" w:color="auto" w:fill="auto"/>
          </w:tcPr>
          <w:p w:rsidR="00C96589" w:rsidRPr="007319C5" w:rsidRDefault="00C96589" w:rsidP="004756B7">
            <w:pPr>
              <w:rPr>
                <w:lang w:val="en-US"/>
              </w:rPr>
            </w:pPr>
            <w:r w:rsidRPr="007319C5">
              <w:rPr>
                <w:lang w:val="en-US"/>
              </w:rPr>
              <w:t xml:space="preserve">Volume plotting – </w:t>
            </w:r>
            <w:r w:rsidR="00B06221" w:rsidRPr="007319C5">
              <w:rPr>
                <w:lang w:val="en-US"/>
              </w:rPr>
              <w:t xml:space="preserve">DBH </w:t>
            </w:r>
            <w:r w:rsidRPr="007319C5">
              <w:rPr>
                <w:lang w:val="en-US"/>
              </w:rPr>
              <w:t>measurement and Top ht assessment.</w:t>
            </w:r>
          </w:p>
          <w:p w:rsidR="00C96589" w:rsidRPr="00093B5A" w:rsidRDefault="00C96589" w:rsidP="00F61F52">
            <w:pPr>
              <w:rPr>
                <w:color w:val="365F91"/>
              </w:rPr>
            </w:pPr>
            <w:r w:rsidRPr="007319C5">
              <w:rPr>
                <w:lang w:val="en-US"/>
              </w:rPr>
              <w:t>Plot size = 0.05 ha plot (Price per plot)</w:t>
            </w:r>
          </w:p>
        </w:tc>
        <w:tc>
          <w:tcPr>
            <w:tcW w:w="1210" w:type="dxa"/>
            <w:shd w:val="clear" w:color="auto" w:fill="auto"/>
          </w:tcPr>
          <w:p w:rsidR="00C96589" w:rsidRPr="00093B5A" w:rsidRDefault="00C96589" w:rsidP="00F61F52">
            <w:pPr>
              <w:jc w:val="center"/>
              <w:rPr>
                <w:color w:val="365F91"/>
              </w:rPr>
            </w:pPr>
          </w:p>
        </w:tc>
      </w:tr>
      <w:tr w:rsidR="00C96589" w:rsidRPr="00093B5A" w:rsidTr="00074DE4">
        <w:trPr>
          <w:trHeight w:val="348"/>
        </w:trPr>
        <w:tc>
          <w:tcPr>
            <w:tcW w:w="1809" w:type="dxa"/>
            <w:shd w:val="clear" w:color="auto" w:fill="auto"/>
          </w:tcPr>
          <w:p w:rsidR="00C96589" w:rsidRPr="00093B5A" w:rsidRDefault="00C96589" w:rsidP="00F61F52">
            <w:pPr>
              <w:rPr>
                <w:color w:val="365F91"/>
              </w:rPr>
            </w:pPr>
            <w:r w:rsidRPr="007319C5">
              <w:t>1C</w:t>
            </w:r>
            <w:r>
              <w:t xml:space="preserve"> (This is for information purposes only and will not be evaluated)</w:t>
            </w:r>
          </w:p>
        </w:tc>
        <w:tc>
          <w:tcPr>
            <w:tcW w:w="6989" w:type="dxa"/>
            <w:shd w:val="clear" w:color="auto" w:fill="auto"/>
          </w:tcPr>
          <w:p w:rsidR="00C96589" w:rsidRPr="00093B5A" w:rsidRDefault="00114964" w:rsidP="00114964">
            <w:pPr>
              <w:rPr>
                <w:color w:val="365F91"/>
              </w:rPr>
            </w:pPr>
            <w:r>
              <w:rPr>
                <w:lang w:val="en-US"/>
              </w:rPr>
              <w:t>Other survey work- For example</w:t>
            </w:r>
            <w:r w:rsidR="00540E92">
              <w:rPr>
                <w:lang w:val="en-US"/>
              </w:rPr>
              <w:t>,</w:t>
            </w:r>
            <w:r>
              <w:rPr>
                <w:lang w:val="en-US"/>
              </w:rPr>
              <w:t xml:space="preserve"> </w:t>
            </w:r>
            <w:r w:rsidR="00C96589" w:rsidRPr="007319C5">
              <w:rPr>
                <w:lang w:val="en-US"/>
              </w:rPr>
              <w:t xml:space="preserve">Volume plotting by abbreviated tariffing, using tree count, girth sample fraction, </w:t>
            </w:r>
            <w:r w:rsidR="00B06221" w:rsidRPr="007319C5">
              <w:rPr>
                <w:lang w:val="en-US"/>
              </w:rPr>
              <w:t xml:space="preserve">DBH </w:t>
            </w:r>
            <w:r w:rsidR="00C96589" w:rsidRPr="007319C5">
              <w:rPr>
                <w:lang w:val="en-US"/>
              </w:rPr>
              <w:t>measurement and Top ht assessment (Price per hour)</w:t>
            </w:r>
          </w:p>
        </w:tc>
        <w:tc>
          <w:tcPr>
            <w:tcW w:w="1210" w:type="dxa"/>
            <w:shd w:val="clear" w:color="auto" w:fill="auto"/>
          </w:tcPr>
          <w:p w:rsidR="00C96589" w:rsidRPr="00093B5A" w:rsidRDefault="00C96589" w:rsidP="00F61F52">
            <w:pPr>
              <w:jc w:val="center"/>
              <w:rPr>
                <w:color w:val="365F91"/>
              </w:rPr>
            </w:pPr>
          </w:p>
        </w:tc>
      </w:tr>
      <w:tr w:rsidR="00C96589" w:rsidRPr="00093B5A" w:rsidTr="00074DE4">
        <w:trPr>
          <w:trHeight w:val="348"/>
        </w:trPr>
        <w:tc>
          <w:tcPr>
            <w:tcW w:w="1809" w:type="dxa"/>
            <w:shd w:val="clear" w:color="auto" w:fill="auto"/>
          </w:tcPr>
          <w:p w:rsidR="00C96589" w:rsidRPr="00093B5A" w:rsidRDefault="00C96589" w:rsidP="00F61F52">
            <w:pPr>
              <w:rPr>
                <w:color w:val="365F91"/>
              </w:rPr>
            </w:pPr>
          </w:p>
        </w:tc>
        <w:tc>
          <w:tcPr>
            <w:tcW w:w="6989" w:type="dxa"/>
            <w:shd w:val="clear" w:color="auto" w:fill="auto"/>
          </w:tcPr>
          <w:p w:rsidR="00C96589" w:rsidRPr="00093B5A" w:rsidRDefault="00C96589" w:rsidP="00F61F52">
            <w:pPr>
              <w:rPr>
                <w:color w:val="365F91"/>
              </w:rPr>
            </w:pPr>
          </w:p>
        </w:tc>
        <w:tc>
          <w:tcPr>
            <w:tcW w:w="1210" w:type="dxa"/>
            <w:shd w:val="clear" w:color="auto" w:fill="auto"/>
          </w:tcPr>
          <w:p w:rsidR="00C96589" w:rsidRPr="00093B5A" w:rsidRDefault="00C96589" w:rsidP="00F61F52">
            <w:pPr>
              <w:jc w:val="center"/>
              <w:rPr>
                <w:color w:val="365F91"/>
              </w:rPr>
            </w:pPr>
          </w:p>
        </w:tc>
      </w:tr>
      <w:tr w:rsidR="00C96589" w:rsidRPr="00093B5A" w:rsidTr="00074DE4">
        <w:trPr>
          <w:trHeight w:val="348"/>
        </w:trPr>
        <w:tc>
          <w:tcPr>
            <w:tcW w:w="1809" w:type="dxa"/>
            <w:shd w:val="clear" w:color="auto" w:fill="auto"/>
          </w:tcPr>
          <w:p w:rsidR="00C96589" w:rsidRPr="00093B5A" w:rsidRDefault="00C96589" w:rsidP="00F61F52">
            <w:pPr>
              <w:rPr>
                <w:color w:val="365F91"/>
              </w:rPr>
            </w:pPr>
          </w:p>
        </w:tc>
        <w:tc>
          <w:tcPr>
            <w:tcW w:w="6989" w:type="dxa"/>
            <w:shd w:val="clear" w:color="auto" w:fill="auto"/>
          </w:tcPr>
          <w:p w:rsidR="00C96589" w:rsidRPr="00093B5A" w:rsidRDefault="00C96589" w:rsidP="00F61F52">
            <w:pPr>
              <w:rPr>
                <w:color w:val="365F91"/>
              </w:rPr>
            </w:pPr>
          </w:p>
        </w:tc>
        <w:tc>
          <w:tcPr>
            <w:tcW w:w="1210" w:type="dxa"/>
            <w:shd w:val="clear" w:color="auto" w:fill="auto"/>
          </w:tcPr>
          <w:p w:rsidR="00C96589" w:rsidRPr="00093B5A" w:rsidRDefault="00C96589" w:rsidP="00F61F52">
            <w:pPr>
              <w:jc w:val="center"/>
              <w:rPr>
                <w:color w:val="365F91"/>
              </w:rPr>
            </w:pPr>
          </w:p>
        </w:tc>
      </w:tr>
      <w:tr w:rsidR="00C96589" w:rsidRPr="00093B5A" w:rsidTr="00074DE4">
        <w:trPr>
          <w:trHeight w:val="348"/>
        </w:trPr>
        <w:tc>
          <w:tcPr>
            <w:tcW w:w="1809" w:type="dxa"/>
            <w:shd w:val="clear" w:color="auto" w:fill="auto"/>
          </w:tcPr>
          <w:p w:rsidR="00C96589" w:rsidRPr="00093B5A" w:rsidRDefault="00C96589" w:rsidP="00F61F52">
            <w:pPr>
              <w:rPr>
                <w:color w:val="365F91"/>
              </w:rPr>
            </w:pPr>
          </w:p>
        </w:tc>
        <w:tc>
          <w:tcPr>
            <w:tcW w:w="6989" w:type="dxa"/>
            <w:shd w:val="clear" w:color="auto" w:fill="auto"/>
          </w:tcPr>
          <w:p w:rsidR="00C96589" w:rsidRPr="00093B5A" w:rsidRDefault="00C96589" w:rsidP="00F61F52">
            <w:pPr>
              <w:rPr>
                <w:color w:val="365F91"/>
              </w:rPr>
            </w:pPr>
          </w:p>
        </w:tc>
        <w:tc>
          <w:tcPr>
            <w:tcW w:w="1210" w:type="dxa"/>
            <w:shd w:val="clear" w:color="auto" w:fill="auto"/>
          </w:tcPr>
          <w:p w:rsidR="00C96589" w:rsidRPr="00093B5A" w:rsidRDefault="00C96589" w:rsidP="00F61F52">
            <w:pPr>
              <w:jc w:val="center"/>
              <w:rPr>
                <w:color w:val="365F91"/>
              </w:rPr>
            </w:pPr>
          </w:p>
        </w:tc>
      </w:tr>
    </w:tbl>
    <w:p w:rsidR="00594357" w:rsidRPr="006B5DE2" w:rsidRDefault="00594357" w:rsidP="00594357">
      <w:pPr>
        <w:pStyle w:val="Heading2"/>
        <w:numPr>
          <w:ilvl w:val="0"/>
          <w:numId w:val="0"/>
        </w:numPr>
        <w:rPr>
          <w:sz w:val="28"/>
        </w:rPr>
      </w:pPr>
    </w:p>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20" w:history="1">
        <w:r w:rsidRPr="009E5141">
          <w:rPr>
            <w:rStyle w:val="Hyperlink"/>
          </w:rPr>
          <w:t>terms and conditions</w:t>
        </w:r>
      </w:hyperlink>
      <w:r w:rsidRPr="009E5141">
        <w:t xml:space="preserve"> </w:t>
      </w:r>
      <w:r w:rsidR="00CC3160">
        <w:t xml:space="preserve">for operational services. </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lastRenderedPageBreak/>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w:t>
      </w:r>
      <w:r w:rsidRPr="00606665">
        <w:lastRenderedPageBreak/>
        <w:t xml:space="preserve">also certify that we have not done and we undertake that we will not do so at any time </w:t>
      </w:r>
      <w:r w:rsidRPr="00351226">
        <w:t>before the hour and date specified for the return of this tender any of the following acts:</w:t>
      </w:r>
    </w:p>
    <w:p w:rsidR="005953FA" w:rsidRPr="00351226" w:rsidRDefault="005953FA" w:rsidP="000B058B">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0B058B">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0B058B">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 xml:space="preserve">and safety requirements of the </w:t>
            </w:r>
            <w:r w:rsidRPr="009F706E">
              <w:rPr>
                <w:rFonts w:eastAsia="Arial" w:cs="Arial"/>
              </w:rPr>
              <w:lastRenderedPageBreak/>
              <w:t>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1541E5">
            <w:pPr>
              <w:numPr>
                <w:ilvl w:val="0"/>
                <w:numId w:val="7"/>
              </w:numPr>
              <w:spacing w:before="120" w:line="240" w:lineRule="atLeast"/>
            </w:pPr>
            <w:r w:rsidRPr="0050325F">
              <w:t xml:space="preserve">Relevant accident reporting process </w:t>
            </w:r>
            <w:r w:rsidRPr="0050325F">
              <w:lastRenderedPageBreak/>
              <w:t xml:space="preserve">described along with any post-accident actions to prevent recurrence – </w:t>
            </w:r>
            <w:r w:rsidRPr="00E50F9A">
              <w:rPr>
                <w:b/>
              </w:rPr>
              <w:t>Score 1 point</w:t>
            </w:r>
          </w:p>
          <w:p w:rsidR="009F706E" w:rsidRPr="0050325F" w:rsidRDefault="009F706E" w:rsidP="001541E5">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1541E5">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1541E5" w:rsidP="00BB1EAF">
            <w:pPr>
              <w:spacing w:before="120" w:line="240" w:lineRule="atLeast"/>
              <w:rPr>
                <w:b/>
              </w:rPr>
            </w:pPr>
            <w:r>
              <w:rPr>
                <w:b/>
              </w:rPr>
              <w:t>Not applicable – Machinery not required in this contract</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4.5</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257A8C" w:rsidP="00BB1EAF">
            <w:pPr>
              <w:spacing w:before="120" w:line="240" w:lineRule="atLeast"/>
            </w:pPr>
            <w:r w:rsidRPr="00257A8C">
              <w:t>40</w:t>
            </w:r>
            <w:r w:rsidR="00BB1EAF" w:rsidRPr="00257A8C">
              <w:t>%</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 xml:space="preserve">the </w:t>
            </w:r>
            <w:r w:rsidR="00B55944">
              <w:lastRenderedPageBreak/>
              <w:t>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257A8C" w:rsidP="00BB1EAF">
            <w:pPr>
              <w:spacing w:before="120" w:line="240" w:lineRule="atLeast"/>
            </w:pPr>
            <w:r w:rsidRPr="00257A8C">
              <w:t>60%</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5F261D" w:rsidRDefault="005F261D" w:rsidP="005F261D">
            <w:pPr>
              <w:spacing w:line="240" w:lineRule="auto"/>
              <w:rPr>
                <w:rFonts w:eastAsia="Calibri" w:cs="Verdana"/>
                <w:color w:val="365F91"/>
                <w:lang w:eastAsia="en-GB"/>
              </w:rPr>
            </w:pPr>
            <w:r>
              <w:t>Tender Price</w:t>
            </w:r>
          </w:p>
          <w:p w:rsidR="00BB1EAF" w:rsidRPr="00B55944" w:rsidRDefault="00BB1EAF" w:rsidP="005F261D">
            <w:pPr>
              <w:spacing w:before="120" w:line="240" w:lineRule="atLeast"/>
            </w:pP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8B033E">
      <w:headerReference w:type="even" r:id="rId21"/>
      <w:headerReference w:type="default" r:id="rId22"/>
      <w:footerReference w:type="even" r:id="rId23"/>
      <w:footerReference w:type="default" r:id="rId24"/>
      <w:headerReference w:type="first" r:id="rId25"/>
      <w:footerReference w:type="first" r:id="rId26"/>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3A7" w:rsidRDefault="005563A7">
      <w:r>
        <w:separator/>
      </w:r>
    </w:p>
    <w:p w:rsidR="005563A7" w:rsidRDefault="005563A7"/>
  </w:endnote>
  <w:endnote w:type="continuationSeparator" w:id="0">
    <w:p w:rsidR="005563A7" w:rsidRDefault="005563A7">
      <w:r>
        <w:continuationSeparator/>
      </w:r>
    </w:p>
    <w:p w:rsidR="005563A7" w:rsidRDefault="00556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CF" w:rsidRDefault="00C06CCF">
    <w:pPr>
      <w:pStyle w:val="Footer"/>
    </w:pPr>
  </w:p>
  <w:p w:rsidR="00C06CCF" w:rsidRDefault="00C06CCF"/>
  <w:p w:rsidR="00C06CCF" w:rsidRDefault="00C06C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CF" w:rsidRDefault="00C06CCF"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32240C">
      <w:rPr>
        <w:rStyle w:val="PageNumber"/>
        <w:noProof/>
        <w:lang w:val="en-US"/>
      </w:rPr>
      <w:t>13</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YFD Tariffing and Surveying Operations</w:t>
    </w:r>
    <w:r w:rsidRPr="00AE04D4">
      <w:rPr>
        <w:rStyle w:val="PageNumber"/>
        <w:b/>
        <w:color w:val="004E2E"/>
        <w:lang w:val="en-US"/>
      </w:rPr>
      <w:t>|</w:t>
    </w:r>
    <w:r w:rsidRPr="00E87D0C">
      <w:rPr>
        <w:rStyle w:val="PageNumber"/>
        <w:lang w:val="en-US"/>
      </w:rPr>
      <w:t xml:space="preserve">    </w:t>
    </w:r>
    <w:r>
      <w:rPr>
        <w:rStyle w:val="PageNumber"/>
        <w:lang w:val="en-US"/>
      </w:rPr>
      <w:t>Dale Sutherland-Roberts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223C60">
      <w:rPr>
        <w:rStyle w:val="PageNumber"/>
        <w:noProof/>
      </w:rPr>
      <w:t>09/08/2019</w:t>
    </w:r>
    <w:r>
      <w:rPr>
        <w:rStyle w:val="PageNumber"/>
      </w:rPr>
      <w:fldChar w:fldCharType="end"/>
    </w:r>
  </w:p>
  <w:p w:rsidR="00C06CCF" w:rsidRDefault="00C06CCF" w:rsidP="004040E8">
    <w:pPr>
      <w:pStyle w:val="Footer"/>
    </w:pPr>
  </w:p>
  <w:p w:rsidR="00C06CCF" w:rsidRDefault="00C06CC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CF" w:rsidRDefault="00C06CCF"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9713EB">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YFD Tariffing and Surveying Operations </w:t>
    </w:r>
    <w:r w:rsidRPr="00AE04D4">
      <w:rPr>
        <w:rStyle w:val="PageNumber"/>
        <w:b/>
        <w:color w:val="004E2E"/>
        <w:lang w:val="en-US"/>
      </w:rPr>
      <w:t>|</w:t>
    </w:r>
    <w:r w:rsidRPr="00E87D0C">
      <w:rPr>
        <w:rStyle w:val="PageNumber"/>
        <w:lang w:val="en-US"/>
      </w:rPr>
      <w:t xml:space="preserve">    </w:t>
    </w:r>
    <w:r>
      <w:rPr>
        <w:rStyle w:val="PageNumber"/>
        <w:lang w:val="en-US"/>
      </w:rPr>
      <w:t>Dale Sutherland - Roberts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223C60">
      <w:rPr>
        <w:rStyle w:val="PageNumber"/>
        <w:noProof/>
      </w:rPr>
      <w:t>09/08/2019</w:t>
    </w:r>
    <w:r>
      <w:rPr>
        <w:rStyle w:val="PageNumber"/>
      </w:rPr>
      <w:fldChar w:fldCharType="end"/>
    </w:r>
  </w:p>
  <w:p w:rsidR="00C06CCF" w:rsidRDefault="00C06CCF" w:rsidP="004040E8">
    <w:pPr>
      <w:pStyle w:val="Footer"/>
    </w:pPr>
  </w:p>
  <w:p w:rsidR="00C06CCF" w:rsidRDefault="00C06C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3A7" w:rsidRDefault="005563A7">
      <w:r>
        <w:separator/>
      </w:r>
    </w:p>
    <w:p w:rsidR="005563A7" w:rsidRDefault="005563A7"/>
  </w:footnote>
  <w:footnote w:type="continuationSeparator" w:id="0">
    <w:p w:rsidR="005563A7" w:rsidRDefault="005563A7">
      <w:r>
        <w:continuationSeparator/>
      </w:r>
    </w:p>
    <w:p w:rsidR="005563A7" w:rsidRDefault="005563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CF" w:rsidRDefault="00C06CCF">
    <w:pPr>
      <w:pStyle w:val="Header"/>
    </w:pPr>
  </w:p>
  <w:p w:rsidR="00C06CCF" w:rsidRDefault="00C06CCF"/>
  <w:p w:rsidR="00C06CCF" w:rsidRDefault="00C06C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CF" w:rsidRDefault="00C06CCF"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0A4D2F48" wp14:editId="4E1B91D5">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CCF" w:rsidRDefault="00C06CCF" w:rsidP="005C34E6">
    <w:pPr>
      <w:pStyle w:val="RunningTitle"/>
      <w:numPr>
        <w:ilvl w:val="0"/>
        <w:numId w:val="0"/>
      </w:numPr>
    </w:pPr>
    <w:r>
      <w:t>ITT FEE/0615</w:t>
    </w:r>
  </w:p>
  <w:p w:rsidR="00C06CCF" w:rsidRDefault="00C06C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CF" w:rsidRDefault="00C06CCF">
    <w:pPr>
      <w:pStyle w:val="Header"/>
    </w:pPr>
    <w:r>
      <w:rPr>
        <w:noProof/>
        <w:lang w:eastAsia="en-GB"/>
      </w:rPr>
      <w:drawing>
        <wp:anchor distT="0" distB="0" distL="114300" distR="114300" simplePos="0" relativeHeight="251658752" behindDoc="1" locked="0" layoutInCell="1" allowOverlap="1" wp14:anchorId="471AD041" wp14:editId="6AB437C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ECD029F" wp14:editId="39EA571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CCF" w:rsidRPr="00661478" w:rsidRDefault="00C06CCF"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EA75FE" w:rsidRPr="00661478" w:rsidRDefault="00EA75FE" w:rsidP="00952BF0">
                    <w:pPr>
                      <w:pStyle w:val="ParentTitle"/>
                    </w:pPr>
                  </w:p>
                </w:txbxContent>
              </v:textbox>
              <w10:wrap anchorx="page" anchory="page"/>
              <w10:anchorlock/>
            </v:shape>
          </w:pict>
        </mc:Fallback>
      </mc:AlternateContent>
    </w:r>
  </w:p>
  <w:p w:rsidR="00C06CCF" w:rsidRDefault="00C06CCF"/>
  <w:p w:rsidR="00C06CCF" w:rsidRDefault="00C06C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CAFCF0"/>
    <w:lvl w:ilvl="0">
      <w:numFmt w:val="bullet"/>
      <w:lvlText w:val="*"/>
      <w:lvlJc w:val="left"/>
    </w:lvl>
  </w:abstractNum>
  <w:abstractNum w:abstractNumId="1">
    <w:nsid w:val="00F67BD5"/>
    <w:multiLevelType w:val="hybridMultilevel"/>
    <w:tmpl w:val="377E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2083059B"/>
    <w:multiLevelType w:val="hybridMultilevel"/>
    <w:tmpl w:val="E442575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38148E"/>
    <w:multiLevelType w:val="singleLevel"/>
    <w:tmpl w:val="CFD83E1E"/>
    <w:lvl w:ilvl="0">
      <w:numFmt w:val="bullet"/>
      <w:lvlText w:val=""/>
      <w:lvlJc w:val="left"/>
      <w:pPr>
        <w:tabs>
          <w:tab w:val="num" w:pos="720"/>
        </w:tabs>
        <w:ind w:left="720" w:hanging="360"/>
      </w:pPr>
      <w:rPr>
        <w:rFonts w:ascii="Wingdings" w:hAnsi="Wingdings" w:hint="default"/>
      </w:rPr>
    </w:lvl>
  </w:abstractNum>
  <w:abstractNum w:abstractNumId="6">
    <w:nsid w:val="220E257E"/>
    <w:multiLevelType w:val="hybridMultilevel"/>
    <w:tmpl w:val="D7F6AFAC"/>
    <w:lvl w:ilvl="0" w:tplc="D2D025AA">
      <w:start w:val="2"/>
      <w:numFmt w:val="bullet"/>
      <w:lvlText w:val="-"/>
      <w:lvlJc w:val="left"/>
      <w:pPr>
        <w:ind w:left="720" w:hanging="360"/>
      </w:pPr>
      <w:rPr>
        <w:rFonts w:ascii="Verdana" w:eastAsia="Times New Roman" w:hAnsi="Verdan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6D6477"/>
    <w:multiLevelType w:val="multilevel"/>
    <w:tmpl w:val="CE7AC3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B0A2BFF"/>
    <w:multiLevelType w:val="hybridMultilevel"/>
    <w:tmpl w:val="3552E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66D012C"/>
    <w:multiLevelType w:val="hybridMultilevel"/>
    <w:tmpl w:val="217CDA20"/>
    <w:lvl w:ilvl="0" w:tplc="46FC8252">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D125F42"/>
    <w:multiLevelType w:val="hybridMultilevel"/>
    <w:tmpl w:val="42C288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7">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
  </w:num>
  <w:num w:numId="5">
    <w:abstractNumId w:val="12"/>
  </w:num>
  <w:num w:numId="6">
    <w:abstractNumId w:val="18"/>
  </w:num>
  <w:num w:numId="7">
    <w:abstractNumId w:val="7"/>
  </w:num>
  <w:num w:numId="8">
    <w:abstractNumId w:val="17"/>
  </w:num>
  <w:num w:numId="9">
    <w:abstractNumId w:val="4"/>
  </w:num>
  <w:num w:numId="10">
    <w:abstractNumId w:val="9"/>
  </w:num>
  <w:num w:numId="11">
    <w:abstractNumId w:val="3"/>
  </w:num>
  <w:num w:numId="12">
    <w:abstractNumId w:val="5"/>
  </w:num>
  <w:num w:numId="13">
    <w:abstractNumId w:val="11"/>
  </w:num>
  <w:num w:numId="14">
    <w:abstractNumId w:val="15"/>
  </w:num>
  <w:num w:numId="15">
    <w:abstractNumId w:val="0"/>
    <w:lvlOverride w:ilvl="0">
      <w:lvl w:ilvl="0">
        <w:start w:val="1"/>
        <w:numFmt w:val="bullet"/>
        <w:lvlText w:val=""/>
        <w:legacy w:legacy="1" w:legacySpace="0" w:legacyIndent="360"/>
        <w:lvlJc w:val="left"/>
        <w:rPr>
          <w:rFonts w:ascii="Wingdings" w:hAnsi="Wingdings" w:hint="default"/>
          <w:color w:val="auto"/>
        </w:rPr>
      </w:lvl>
    </w:lvlOverride>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0554B"/>
    <w:rsid w:val="00005948"/>
    <w:rsid w:val="0001068A"/>
    <w:rsid w:val="000215D1"/>
    <w:rsid w:val="00022C50"/>
    <w:rsid w:val="00023730"/>
    <w:rsid w:val="00023F56"/>
    <w:rsid w:val="0002684A"/>
    <w:rsid w:val="000403CC"/>
    <w:rsid w:val="000506E8"/>
    <w:rsid w:val="00050989"/>
    <w:rsid w:val="00051F4F"/>
    <w:rsid w:val="000530FE"/>
    <w:rsid w:val="00061742"/>
    <w:rsid w:val="00072084"/>
    <w:rsid w:val="00073E39"/>
    <w:rsid w:val="0007474D"/>
    <w:rsid w:val="000749D3"/>
    <w:rsid w:val="00074DE4"/>
    <w:rsid w:val="00084ACE"/>
    <w:rsid w:val="00091679"/>
    <w:rsid w:val="00093B5A"/>
    <w:rsid w:val="00096231"/>
    <w:rsid w:val="000967EA"/>
    <w:rsid w:val="00097827"/>
    <w:rsid w:val="0009784B"/>
    <w:rsid w:val="000A4B10"/>
    <w:rsid w:val="000B058B"/>
    <w:rsid w:val="000B17E3"/>
    <w:rsid w:val="000B4B86"/>
    <w:rsid w:val="000C0CFC"/>
    <w:rsid w:val="000C5048"/>
    <w:rsid w:val="000C673E"/>
    <w:rsid w:val="000C7155"/>
    <w:rsid w:val="000D2254"/>
    <w:rsid w:val="000D3632"/>
    <w:rsid w:val="001049E9"/>
    <w:rsid w:val="00114964"/>
    <w:rsid w:val="00117292"/>
    <w:rsid w:val="0012191E"/>
    <w:rsid w:val="00126D0B"/>
    <w:rsid w:val="00127414"/>
    <w:rsid w:val="00127611"/>
    <w:rsid w:val="00127847"/>
    <w:rsid w:val="00132858"/>
    <w:rsid w:val="00135352"/>
    <w:rsid w:val="001541E5"/>
    <w:rsid w:val="0016319B"/>
    <w:rsid w:val="00164F33"/>
    <w:rsid w:val="00171943"/>
    <w:rsid w:val="00174FA6"/>
    <w:rsid w:val="00177438"/>
    <w:rsid w:val="00186667"/>
    <w:rsid w:val="0018697B"/>
    <w:rsid w:val="00190506"/>
    <w:rsid w:val="00193552"/>
    <w:rsid w:val="001943A9"/>
    <w:rsid w:val="001958DA"/>
    <w:rsid w:val="00197A10"/>
    <w:rsid w:val="001A151A"/>
    <w:rsid w:val="001B3C3B"/>
    <w:rsid w:val="001E4494"/>
    <w:rsid w:val="001F7EA0"/>
    <w:rsid w:val="002078BE"/>
    <w:rsid w:val="002117DB"/>
    <w:rsid w:val="00216D18"/>
    <w:rsid w:val="00222E88"/>
    <w:rsid w:val="00223C60"/>
    <w:rsid w:val="00223D85"/>
    <w:rsid w:val="00226860"/>
    <w:rsid w:val="002337F5"/>
    <w:rsid w:val="00240C6C"/>
    <w:rsid w:val="002455A9"/>
    <w:rsid w:val="00246D42"/>
    <w:rsid w:val="00252A87"/>
    <w:rsid w:val="00256BB2"/>
    <w:rsid w:val="00257A8C"/>
    <w:rsid w:val="00262050"/>
    <w:rsid w:val="00267A7F"/>
    <w:rsid w:val="00277241"/>
    <w:rsid w:val="0028027D"/>
    <w:rsid w:val="00281792"/>
    <w:rsid w:val="0028179E"/>
    <w:rsid w:val="00281E1A"/>
    <w:rsid w:val="002845B3"/>
    <w:rsid w:val="00291578"/>
    <w:rsid w:val="002A76A4"/>
    <w:rsid w:val="002A7708"/>
    <w:rsid w:val="002C363E"/>
    <w:rsid w:val="002C4BFE"/>
    <w:rsid w:val="002C6F9C"/>
    <w:rsid w:val="002E09AD"/>
    <w:rsid w:val="002E4041"/>
    <w:rsid w:val="002E609B"/>
    <w:rsid w:val="002F6640"/>
    <w:rsid w:val="00304960"/>
    <w:rsid w:val="00305BF1"/>
    <w:rsid w:val="003100B3"/>
    <w:rsid w:val="003106F6"/>
    <w:rsid w:val="0031108F"/>
    <w:rsid w:val="00320ADC"/>
    <w:rsid w:val="0032240C"/>
    <w:rsid w:val="00323316"/>
    <w:rsid w:val="00323DE5"/>
    <w:rsid w:val="0032421B"/>
    <w:rsid w:val="003277A8"/>
    <w:rsid w:val="00335F94"/>
    <w:rsid w:val="00340B62"/>
    <w:rsid w:val="00350EBA"/>
    <w:rsid w:val="00351226"/>
    <w:rsid w:val="00360BE7"/>
    <w:rsid w:val="00362D3F"/>
    <w:rsid w:val="00364BDA"/>
    <w:rsid w:val="0036689C"/>
    <w:rsid w:val="00367C48"/>
    <w:rsid w:val="00375320"/>
    <w:rsid w:val="00391B8E"/>
    <w:rsid w:val="00394881"/>
    <w:rsid w:val="003A639A"/>
    <w:rsid w:val="003C0A8C"/>
    <w:rsid w:val="003C2EB2"/>
    <w:rsid w:val="003C7FFA"/>
    <w:rsid w:val="003D3BCE"/>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756B7"/>
    <w:rsid w:val="00482C0B"/>
    <w:rsid w:val="004944AB"/>
    <w:rsid w:val="00495D8F"/>
    <w:rsid w:val="004B2470"/>
    <w:rsid w:val="004D0B0C"/>
    <w:rsid w:val="004D23AE"/>
    <w:rsid w:val="004D4150"/>
    <w:rsid w:val="004D6959"/>
    <w:rsid w:val="004D76FD"/>
    <w:rsid w:val="004E69BB"/>
    <w:rsid w:val="004F2800"/>
    <w:rsid w:val="004F2F4F"/>
    <w:rsid w:val="004F3401"/>
    <w:rsid w:val="004F7A29"/>
    <w:rsid w:val="00502CAF"/>
    <w:rsid w:val="00507151"/>
    <w:rsid w:val="00514212"/>
    <w:rsid w:val="005163D3"/>
    <w:rsid w:val="005242D1"/>
    <w:rsid w:val="00540E92"/>
    <w:rsid w:val="00545FCC"/>
    <w:rsid w:val="00555277"/>
    <w:rsid w:val="005563A7"/>
    <w:rsid w:val="00557BFB"/>
    <w:rsid w:val="00563FE0"/>
    <w:rsid w:val="00566EDF"/>
    <w:rsid w:val="00570F56"/>
    <w:rsid w:val="00573C08"/>
    <w:rsid w:val="00576166"/>
    <w:rsid w:val="00576B8A"/>
    <w:rsid w:val="005906DE"/>
    <w:rsid w:val="00593350"/>
    <w:rsid w:val="00594357"/>
    <w:rsid w:val="005953FA"/>
    <w:rsid w:val="005A2ADC"/>
    <w:rsid w:val="005B5761"/>
    <w:rsid w:val="005C0CE8"/>
    <w:rsid w:val="005C183C"/>
    <w:rsid w:val="005C34E6"/>
    <w:rsid w:val="005C6716"/>
    <w:rsid w:val="005D08F5"/>
    <w:rsid w:val="005D3614"/>
    <w:rsid w:val="005E0C75"/>
    <w:rsid w:val="005E2B4A"/>
    <w:rsid w:val="005F261D"/>
    <w:rsid w:val="005F596F"/>
    <w:rsid w:val="006154D8"/>
    <w:rsid w:val="00616BC8"/>
    <w:rsid w:val="0062656E"/>
    <w:rsid w:val="00646B17"/>
    <w:rsid w:val="006504A3"/>
    <w:rsid w:val="00654668"/>
    <w:rsid w:val="006608E8"/>
    <w:rsid w:val="00661478"/>
    <w:rsid w:val="00661BD3"/>
    <w:rsid w:val="00672D28"/>
    <w:rsid w:val="006753EA"/>
    <w:rsid w:val="00676175"/>
    <w:rsid w:val="00677E3F"/>
    <w:rsid w:val="00684A4E"/>
    <w:rsid w:val="00686FBD"/>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745D"/>
    <w:rsid w:val="00700E6E"/>
    <w:rsid w:val="00705026"/>
    <w:rsid w:val="00715596"/>
    <w:rsid w:val="00731693"/>
    <w:rsid w:val="00732BE4"/>
    <w:rsid w:val="007367FA"/>
    <w:rsid w:val="00736E3A"/>
    <w:rsid w:val="007419F1"/>
    <w:rsid w:val="00741C57"/>
    <w:rsid w:val="00767726"/>
    <w:rsid w:val="00767A1A"/>
    <w:rsid w:val="00776E6E"/>
    <w:rsid w:val="00781E67"/>
    <w:rsid w:val="00782D72"/>
    <w:rsid w:val="00792A49"/>
    <w:rsid w:val="007937E2"/>
    <w:rsid w:val="00793CBF"/>
    <w:rsid w:val="00797DD4"/>
    <w:rsid w:val="007A3832"/>
    <w:rsid w:val="007B1369"/>
    <w:rsid w:val="007B30B5"/>
    <w:rsid w:val="007B7F5F"/>
    <w:rsid w:val="007C1726"/>
    <w:rsid w:val="007C286C"/>
    <w:rsid w:val="007C4820"/>
    <w:rsid w:val="007C59D0"/>
    <w:rsid w:val="007D0859"/>
    <w:rsid w:val="007D1EDC"/>
    <w:rsid w:val="007D3D31"/>
    <w:rsid w:val="007E0FAD"/>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7073A"/>
    <w:rsid w:val="00874391"/>
    <w:rsid w:val="00875C9A"/>
    <w:rsid w:val="0087697F"/>
    <w:rsid w:val="008873D6"/>
    <w:rsid w:val="00892B03"/>
    <w:rsid w:val="00897CB3"/>
    <w:rsid w:val="008A1665"/>
    <w:rsid w:val="008B033E"/>
    <w:rsid w:val="008B364F"/>
    <w:rsid w:val="008B78CD"/>
    <w:rsid w:val="008B78E7"/>
    <w:rsid w:val="008C37DC"/>
    <w:rsid w:val="008C39A7"/>
    <w:rsid w:val="008D0DB9"/>
    <w:rsid w:val="008D48E0"/>
    <w:rsid w:val="008D6685"/>
    <w:rsid w:val="008F4F14"/>
    <w:rsid w:val="00902C1C"/>
    <w:rsid w:val="009118DF"/>
    <w:rsid w:val="00917CFF"/>
    <w:rsid w:val="00931197"/>
    <w:rsid w:val="00941695"/>
    <w:rsid w:val="00946D6E"/>
    <w:rsid w:val="00952011"/>
    <w:rsid w:val="00952BF0"/>
    <w:rsid w:val="00955AFA"/>
    <w:rsid w:val="00956066"/>
    <w:rsid w:val="009668BE"/>
    <w:rsid w:val="009713EB"/>
    <w:rsid w:val="00971F49"/>
    <w:rsid w:val="00977A43"/>
    <w:rsid w:val="00980B3C"/>
    <w:rsid w:val="00992B25"/>
    <w:rsid w:val="00994B1A"/>
    <w:rsid w:val="00996B6B"/>
    <w:rsid w:val="009A62AA"/>
    <w:rsid w:val="009B5B6A"/>
    <w:rsid w:val="009B654F"/>
    <w:rsid w:val="009B7976"/>
    <w:rsid w:val="009C0BE9"/>
    <w:rsid w:val="009D4AD2"/>
    <w:rsid w:val="009D6077"/>
    <w:rsid w:val="009E18DD"/>
    <w:rsid w:val="009E5462"/>
    <w:rsid w:val="009F11C7"/>
    <w:rsid w:val="009F706E"/>
    <w:rsid w:val="00A15A13"/>
    <w:rsid w:val="00A23546"/>
    <w:rsid w:val="00A24D8D"/>
    <w:rsid w:val="00A27509"/>
    <w:rsid w:val="00A31C58"/>
    <w:rsid w:val="00A36628"/>
    <w:rsid w:val="00A3778B"/>
    <w:rsid w:val="00A41235"/>
    <w:rsid w:val="00A44CB6"/>
    <w:rsid w:val="00A52317"/>
    <w:rsid w:val="00A57510"/>
    <w:rsid w:val="00A666ED"/>
    <w:rsid w:val="00A82698"/>
    <w:rsid w:val="00A83FF0"/>
    <w:rsid w:val="00A94D87"/>
    <w:rsid w:val="00AA6C9A"/>
    <w:rsid w:val="00AB6F28"/>
    <w:rsid w:val="00AE04D4"/>
    <w:rsid w:val="00AF720B"/>
    <w:rsid w:val="00B0267D"/>
    <w:rsid w:val="00B05C08"/>
    <w:rsid w:val="00B06221"/>
    <w:rsid w:val="00B153AE"/>
    <w:rsid w:val="00B228B4"/>
    <w:rsid w:val="00B26CC8"/>
    <w:rsid w:val="00B3054F"/>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C7C43"/>
    <w:rsid w:val="00BD18F3"/>
    <w:rsid w:val="00BD2ECC"/>
    <w:rsid w:val="00BE0288"/>
    <w:rsid w:val="00BF4CC6"/>
    <w:rsid w:val="00C06CCF"/>
    <w:rsid w:val="00C21968"/>
    <w:rsid w:val="00C229BC"/>
    <w:rsid w:val="00C23CEA"/>
    <w:rsid w:val="00C26503"/>
    <w:rsid w:val="00C2705B"/>
    <w:rsid w:val="00C43F12"/>
    <w:rsid w:val="00C47637"/>
    <w:rsid w:val="00C550BD"/>
    <w:rsid w:val="00C62480"/>
    <w:rsid w:val="00C72469"/>
    <w:rsid w:val="00C74B3D"/>
    <w:rsid w:val="00C74CB2"/>
    <w:rsid w:val="00C83704"/>
    <w:rsid w:val="00C83F50"/>
    <w:rsid w:val="00C86335"/>
    <w:rsid w:val="00C86FFA"/>
    <w:rsid w:val="00C9060F"/>
    <w:rsid w:val="00C96589"/>
    <w:rsid w:val="00CA27B9"/>
    <w:rsid w:val="00CB12C8"/>
    <w:rsid w:val="00CB2D76"/>
    <w:rsid w:val="00CB2F2A"/>
    <w:rsid w:val="00CB3D34"/>
    <w:rsid w:val="00CC1F17"/>
    <w:rsid w:val="00CC3160"/>
    <w:rsid w:val="00CC6687"/>
    <w:rsid w:val="00CD1BF0"/>
    <w:rsid w:val="00CD33C3"/>
    <w:rsid w:val="00CD466A"/>
    <w:rsid w:val="00CD5CA3"/>
    <w:rsid w:val="00CD606F"/>
    <w:rsid w:val="00D02ED7"/>
    <w:rsid w:val="00D20C8A"/>
    <w:rsid w:val="00D22503"/>
    <w:rsid w:val="00D22B97"/>
    <w:rsid w:val="00D24CAA"/>
    <w:rsid w:val="00D40E1F"/>
    <w:rsid w:val="00D42582"/>
    <w:rsid w:val="00D42F99"/>
    <w:rsid w:val="00D50496"/>
    <w:rsid w:val="00D56C11"/>
    <w:rsid w:val="00D81924"/>
    <w:rsid w:val="00D8382F"/>
    <w:rsid w:val="00D84FB2"/>
    <w:rsid w:val="00D85C95"/>
    <w:rsid w:val="00D87159"/>
    <w:rsid w:val="00DB263D"/>
    <w:rsid w:val="00DC13B4"/>
    <w:rsid w:val="00DC4E6B"/>
    <w:rsid w:val="00DD3B87"/>
    <w:rsid w:val="00DE19D4"/>
    <w:rsid w:val="00DE4069"/>
    <w:rsid w:val="00DE705F"/>
    <w:rsid w:val="00E03F64"/>
    <w:rsid w:val="00E05D6D"/>
    <w:rsid w:val="00E06AFE"/>
    <w:rsid w:val="00E16C6A"/>
    <w:rsid w:val="00E346B1"/>
    <w:rsid w:val="00E40E48"/>
    <w:rsid w:val="00E477E9"/>
    <w:rsid w:val="00E51194"/>
    <w:rsid w:val="00E537D1"/>
    <w:rsid w:val="00E54294"/>
    <w:rsid w:val="00E56770"/>
    <w:rsid w:val="00E80B52"/>
    <w:rsid w:val="00E82136"/>
    <w:rsid w:val="00E86232"/>
    <w:rsid w:val="00E91F85"/>
    <w:rsid w:val="00E92E1F"/>
    <w:rsid w:val="00E94DE8"/>
    <w:rsid w:val="00E96283"/>
    <w:rsid w:val="00EA0858"/>
    <w:rsid w:val="00EA75FE"/>
    <w:rsid w:val="00EB18CF"/>
    <w:rsid w:val="00EB4E53"/>
    <w:rsid w:val="00EB4EE2"/>
    <w:rsid w:val="00EB5C17"/>
    <w:rsid w:val="00EC4865"/>
    <w:rsid w:val="00ED0329"/>
    <w:rsid w:val="00ED4206"/>
    <w:rsid w:val="00ED45BB"/>
    <w:rsid w:val="00ED4A92"/>
    <w:rsid w:val="00EE09B6"/>
    <w:rsid w:val="00EE5993"/>
    <w:rsid w:val="00EF1CC8"/>
    <w:rsid w:val="00F004F5"/>
    <w:rsid w:val="00F13B89"/>
    <w:rsid w:val="00F146E6"/>
    <w:rsid w:val="00F159EB"/>
    <w:rsid w:val="00F25271"/>
    <w:rsid w:val="00F25930"/>
    <w:rsid w:val="00F30AD3"/>
    <w:rsid w:val="00F411CE"/>
    <w:rsid w:val="00F55682"/>
    <w:rsid w:val="00F61F52"/>
    <w:rsid w:val="00F74078"/>
    <w:rsid w:val="00F76CC5"/>
    <w:rsid w:val="00F76E7E"/>
    <w:rsid w:val="00F80A65"/>
    <w:rsid w:val="00F87C1D"/>
    <w:rsid w:val="00F925DB"/>
    <w:rsid w:val="00F92BDA"/>
    <w:rsid w:val="00FB553A"/>
    <w:rsid w:val="00FB6593"/>
    <w:rsid w:val="00FC0E9D"/>
    <w:rsid w:val="00FD606C"/>
    <w:rsid w:val="00FD7297"/>
    <w:rsid w:val="00FE07CD"/>
    <w:rsid w:val="00FE55E1"/>
    <w:rsid w:val="00FE57CB"/>
    <w:rsid w:val="00FF4698"/>
    <w:rsid w:val="00FF7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character" w:styleId="Emphasis">
    <w:name w:val="Emphasis"/>
    <w:basedOn w:val="DefaultParagraphFont"/>
    <w:qFormat/>
    <w:rsid w:val="003100B3"/>
    <w:rPr>
      <w:i/>
      <w:iCs/>
    </w:rPr>
  </w:style>
  <w:style w:type="character" w:styleId="FollowedHyperlink">
    <w:name w:val="FollowedHyperlink"/>
    <w:basedOn w:val="DefaultParagraphFont"/>
    <w:rsid w:val="00CC31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character" w:styleId="Emphasis">
    <w:name w:val="Emphasis"/>
    <w:basedOn w:val="DefaultParagraphFont"/>
    <w:qFormat/>
    <w:rsid w:val="003100B3"/>
    <w:rPr>
      <w:i/>
      <w:iCs/>
    </w:rPr>
  </w:style>
  <w:style w:type="character" w:styleId="FollowedHyperlink">
    <w:name w:val="FollowedHyperlink"/>
    <w:basedOn w:val="DefaultParagraphFont"/>
    <w:rsid w:val="00CC31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estry.gov.uk/fr/INFD-5W2FZT" TargetMode="External"/><Relationship Id="rId18" Type="http://schemas.openxmlformats.org/officeDocument/2006/relationships/hyperlink" Target="http://www.hse.gov.u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forestry.gov.uk/pdf/FCGL001.pdf/$FILE/FCGL001.pdf" TargetMode="External"/><Relationship Id="rId17" Type="http://schemas.openxmlformats.org/officeDocument/2006/relationships/hyperlink" Target="mailto:dale.roberts@forestryengland.uk"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forestry.gov.uk/forestry/infd-6z2jzm" TargetMode="External"/><Relationship Id="rId20" Type="http://schemas.openxmlformats.org/officeDocument/2006/relationships/hyperlink" Target="https://www.gov.uk/government/organisations/forestry-commission/about/procurem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fr/INFD-623H2G"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forestry.gov.uk/england-keepitclean"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www.ukfisa.com/safety-information/safety-library/fisa-safety-guides.html" TargetMode="External"/><Relationship Id="rId19" Type="http://schemas.openxmlformats.org/officeDocument/2006/relationships/hyperlink" Target="https://www.forestryengland.uk/sites/default/files/documents/FIRSTAIDPOLICY-externalv6final.pdf" TargetMode="Externa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www.forestry.gov.uk/forestry/INFD-8BVGX9"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522482"/>
    <w:rsid w:val="005A63A7"/>
    <w:rsid w:val="0067353C"/>
    <w:rsid w:val="00842057"/>
    <w:rsid w:val="00A65275"/>
    <w:rsid w:val="00C75CC5"/>
    <w:rsid w:val="00CA5D12"/>
    <w:rsid w:val="00E54CE9"/>
    <w:rsid w:val="00E57991"/>
    <w:rsid w:val="00E724E8"/>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9EAF4-9BD6-4EC0-B6BE-6A6B893E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8277</Words>
  <Characters>47179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55346</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Coffin, Emily</cp:lastModifiedBy>
  <cp:revision>5</cp:revision>
  <cp:lastPrinted>2018-12-06T10:36:00Z</cp:lastPrinted>
  <dcterms:created xsi:type="dcterms:W3CDTF">2019-08-09T07:40:00Z</dcterms:created>
  <dcterms:modified xsi:type="dcterms:W3CDTF">2019-08-09T07:56:00Z</dcterms:modified>
</cp:coreProperties>
</file>