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2A" w:rsidRDefault="00881B2A" w:rsidP="000215D1">
      <w:pPr>
        <w:pStyle w:val="FCGBBodyText"/>
        <w:spacing w:line="240" w:lineRule="auto"/>
        <w:jc w:val="center"/>
        <w:rPr>
          <w:color w:val="004E2E"/>
          <w:sz w:val="48"/>
          <w:szCs w:val="48"/>
        </w:rPr>
      </w:pPr>
    </w:p>
    <w:p w:rsidR="00881B2A" w:rsidRDefault="00881B2A" w:rsidP="000215D1">
      <w:pPr>
        <w:pStyle w:val="FCGBBodyText"/>
        <w:spacing w:line="240" w:lineRule="auto"/>
        <w:jc w:val="center"/>
        <w:rPr>
          <w:color w:val="004E2E"/>
          <w:sz w:val="48"/>
          <w:szCs w:val="48"/>
        </w:rPr>
      </w:pPr>
    </w:p>
    <w:p w:rsidR="00881B2A" w:rsidRDefault="00881B2A" w:rsidP="000215D1">
      <w:pPr>
        <w:pStyle w:val="FCGBBodyText"/>
        <w:spacing w:line="240" w:lineRule="auto"/>
        <w:jc w:val="center"/>
        <w:rPr>
          <w:color w:val="004E2E"/>
          <w:sz w:val="48"/>
          <w:szCs w:val="48"/>
        </w:rPr>
      </w:pPr>
    </w:p>
    <w:p w:rsidR="00881B2A" w:rsidRDefault="00881B2A" w:rsidP="000215D1">
      <w:pPr>
        <w:pStyle w:val="FCGBBodyText"/>
        <w:spacing w:line="240" w:lineRule="auto"/>
        <w:jc w:val="center"/>
        <w:rPr>
          <w:color w:val="004E2E"/>
          <w:sz w:val="48"/>
          <w:szCs w:val="48"/>
        </w:rPr>
      </w:pPr>
    </w:p>
    <w:p w:rsidR="00881B2A" w:rsidRDefault="00881B2A" w:rsidP="000215D1">
      <w:pPr>
        <w:pStyle w:val="FCGBBodyText"/>
        <w:spacing w:line="240" w:lineRule="auto"/>
        <w:jc w:val="center"/>
        <w:rPr>
          <w:color w:val="004E2E"/>
          <w:sz w:val="48"/>
          <w:szCs w:val="48"/>
        </w:rPr>
      </w:pPr>
    </w:p>
    <w:p w:rsidR="00881B2A" w:rsidRDefault="00881B2A" w:rsidP="000215D1">
      <w:pPr>
        <w:pStyle w:val="FCGBBodyText"/>
        <w:spacing w:line="240" w:lineRule="auto"/>
        <w:jc w:val="center"/>
        <w:rPr>
          <w:color w:val="004E2E"/>
          <w:sz w:val="48"/>
          <w:szCs w:val="48"/>
        </w:rPr>
      </w:pPr>
    </w:p>
    <w:p w:rsidR="002C17F4" w:rsidRDefault="00573C08" w:rsidP="000215D1">
      <w:pPr>
        <w:pStyle w:val="FCGBBodyText"/>
        <w:spacing w:line="240" w:lineRule="auto"/>
        <w:jc w:val="center"/>
        <w:rPr>
          <w:sz w:val="48"/>
          <w:szCs w:val="48"/>
        </w:rPr>
      </w:pPr>
      <w:r w:rsidRPr="00573C08">
        <w:rPr>
          <w:color w:val="004E2E"/>
          <w:sz w:val="48"/>
          <w:szCs w:val="48"/>
        </w:rPr>
        <w:t>Invitation to Tender for</w:t>
      </w:r>
      <w:r>
        <w:rPr>
          <w:sz w:val="48"/>
          <w:szCs w:val="48"/>
        </w:rPr>
        <w:t xml:space="preserve"> </w:t>
      </w:r>
    </w:p>
    <w:p w:rsidR="00782D72" w:rsidRDefault="002C17F4" w:rsidP="000215D1">
      <w:pPr>
        <w:pStyle w:val="FCGBBodyText"/>
        <w:spacing w:line="240" w:lineRule="auto"/>
        <w:jc w:val="center"/>
        <w:rPr>
          <w:color w:val="365F91"/>
          <w:sz w:val="48"/>
          <w:szCs w:val="48"/>
        </w:rPr>
      </w:pPr>
      <w:r>
        <w:rPr>
          <w:sz w:val="48"/>
          <w:szCs w:val="48"/>
        </w:rPr>
        <w:t>Cornwall Litter Picking</w:t>
      </w:r>
      <w:r w:rsidR="00881B2A">
        <w:rPr>
          <w:sz w:val="48"/>
          <w:szCs w:val="48"/>
        </w:rPr>
        <w:t xml:space="preserve"> Services</w:t>
      </w:r>
    </w:p>
    <w:p w:rsidR="000215D1" w:rsidRPr="00573C08" w:rsidRDefault="000215D1" w:rsidP="00573C08">
      <w:pPr>
        <w:pStyle w:val="FCGBBodyText"/>
        <w:spacing w:line="240" w:lineRule="auto"/>
        <w:rPr>
          <w:sz w:val="48"/>
          <w:szCs w:val="48"/>
        </w:rPr>
      </w:pPr>
    </w:p>
    <w:p w:rsidR="00573C08" w:rsidRPr="00881B2A" w:rsidRDefault="00573C08" w:rsidP="000215D1">
      <w:pPr>
        <w:pStyle w:val="FCGBBodyText"/>
        <w:spacing w:line="240" w:lineRule="auto"/>
        <w:jc w:val="center"/>
        <w:rPr>
          <w:sz w:val="36"/>
          <w:szCs w:val="36"/>
        </w:rPr>
      </w:pPr>
      <w:r w:rsidRPr="000215D1">
        <w:rPr>
          <w:color w:val="004E2E"/>
          <w:sz w:val="36"/>
          <w:szCs w:val="36"/>
        </w:rPr>
        <w:t>Reference:</w:t>
      </w:r>
      <w:r w:rsidRPr="000215D1">
        <w:rPr>
          <w:sz w:val="36"/>
          <w:szCs w:val="36"/>
        </w:rPr>
        <w:t xml:space="preserve"> </w:t>
      </w:r>
      <w:r w:rsidR="002C17F4" w:rsidRPr="00881B2A">
        <w:rPr>
          <w:sz w:val="36"/>
          <w:szCs w:val="36"/>
        </w:rPr>
        <w:t>FEE/0611</w:t>
      </w:r>
    </w:p>
    <w:p w:rsidR="000215D1" w:rsidRDefault="000215D1" w:rsidP="000215D1"/>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2C17F4" w:rsidRDefault="002C17F4">
      <w:pPr>
        <w:spacing w:line="240" w:lineRule="auto"/>
      </w:pPr>
      <w:r>
        <w:br w:type="page"/>
      </w: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FF0CB3" w:rsidRDefault="00323316" w:rsidP="00323316">
      <w:r w:rsidRPr="009E5141">
        <w:t>More information is available on our website at</w:t>
      </w:r>
      <w:r w:rsidR="00FF0CB3">
        <w:t>:</w:t>
      </w:r>
    </w:p>
    <w:p w:rsidR="00FF0CB3" w:rsidRDefault="00FF0CB3" w:rsidP="00323316"/>
    <w:p w:rsidR="00323316" w:rsidRPr="009E5141" w:rsidRDefault="00F328DA" w:rsidP="00323316">
      <w:hyperlink r:id="rId9" w:history="1">
        <w:r w:rsidR="00FF0CB3" w:rsidRPr="00FF0CB3">
          <w:rPr>
            <w:rStyle w:val="Hyperlink"/>
          </w:rPr>
          <w:t>https://www.gov.uk/government/organisations/forestry-commission</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323316" w:rsidRPr="006B3F8C" w:rsidRDefault="00323316" w:rsidP="00323316">
      <w:r w:rsidRPr="006B3F8C">
        <w:t xml:space="preserve">We will be awarding a </w:t>
      </w:r>
      <w:r w:rsidR="002C17F4">
        <w:t>contract</w:t>
      </w:r>
      <w:r w:rsidRPr="006B3F8C">
        <w:t xml:space="preserve"> for</w:t>
      </w:r>
      <w:r w:rsidR="002C17F4">
        <w:t xml:space="preserve"> routine litter picking and bin emptying from forest recreation sites and entrances in Cornwall. </w:t>
      </w:r>
      <w:r w:rsidRPr="006B3F8C">
        <w:t xml:space="preserve"> </w:t>
      </w:r>
    </w:p>
    <w:p w:rsidR="00661BD3" w:rsidRPr="006B3F8C" w:rsidRDefault="00661BD3" w:rsidP="00323316"/>
    <w:p w:rsidR="00323316" w:rsidRPr="006B3F8C" w:rsidRDefault="00323316" w:rsidP="00323316">
      <w:r w:rsidRPr="006B3F8C">
        <w:t xml:space="preserve">Our intention is to award this </w:t>
      </w:r>
      <w:r w:rsidR="002C17F4">
        <w:t xml:space="preserve">contract </w:t>
      </w:r>
      <w:r w:rsidRPr="006B3F8C">
        <w:t>for a period of</w:t>
      </w:r>
      <w:r w:rsidR="002C17F4">
        <w:t xml:space="preserve"> two years</w:t>
      </w:r>
      <w:r w:rsidRPr="006B3F8C">
        <w:t xml:space="preserve">. </w:t>
      </w:r>
    </w:p>
    <w:p w:rsidR="00661BD3" w:rsidRPr="00BA28AF" w:rsidRDefault="00661BD3" w:rsidP="00323316">
      <w:pPr>
        <w:rPr>
          <w:color w:val="365F91"/>
        </w:rPr>
      </w:pPr>
    </w:p>
    <w:p w:rsidR="00323316" w:rsidRPr="006B3F8C" w:rsidRDefault="00323316" w:rsidP="00323316">
      <w:r w:rsidRPr="006B3F8C">
        <w:t xml:space="preserve">There will be an option to extend the </w:t>
      </w:r>
      <w:r w:rsidR="002C17F4">
        <w:t xml:space="preserve">contract </w:t>
      </w:r>
      <w:r w:rsidRPr="006B3F8C">
        <w:t>by up to a further</w:t>
      </w:r>
      <w:r w:rsidR="002C17F4">
        <w:t xml:space="preserve"> </w:t>
      </w:r>
      <w:r w:rsidR="00315AC1">
        <w:t>three</w:t>
      </w:r>
      <w:r w:rsidR="002C17F4">
        <w:t xml:space="preserve"> years </w:t>
      </w:r>
      <w:r w:rsidRPr="006B3F8C">
        <w:t>in total</w:t>
      </w:r>
      <w:r w:rsidR="0011049B">
        <w:t xml:space="preserve"> (2+</w:t>
      </w:r>
      <w:r w:rsidR="00315AC1">
        <w:t>1+1+1</w:t>
      </w:r>
      <w:r w:rsidR="0011049B">
        <w:t>)</w:t>
      </w:r>
      <w:r w:rsidRPr="006B3F8C">
        <w:t xml:space="preserve">. </w:t>
      </w:r>
    </w:p>
    <w:p w:rsidR="002C17F4" w:rsidRDefault="002C17F4" w:rsidP="00323316"/>
    <w:p w:rsidR="00323316" w:rsidRPr="006B3F8C" w:rsidRDefault="00323316" w:rsidP="00323316">
      <w:r w:rsidRPr="006B3F8C">
        <w:t xml:space="preserve">The decision on </w:t>
      </w:r>
      <w:r w:rsidR="00661BD3" w:rsidRPr="006B3F8C">
        <w:t>whether to use the break points/</w:t>
      </w:r>
      <w:r w:rsidRPr="006B3F8C">
        <w:t>extension option</w:t>
      </w:r>
      <w:r w:rsidR="00661BD3" w:rsidRPr="006B3F8C">
        <w:t>(</w:t>
      </w:r>
      <w:r w:rsidRPr="006B3F8C">
        <w:t>s</w:t>
      </w:r>
      <w:r w:rsidR="00661BD3" w:rsidRPr="006B3F8C">
        <w:t>)</w:t>
      </w:r>
      <w:r w:rsidRPr="006B3F8C">
        <w:t xml:space="preserve"> available will be at our discretion and we will base it on the following factors:</w:t>
      </w:r>
      <w:r w:rsidR="00661BD3" w:rsidRPr="006B3F8C">
        <w:t xml:space="preserve"> </w:t>
      </w:r>
      <w:r w:rsidR="002C17F4">
        <w:t xml:space="preserve">performance, budget availability, review of requirements. </w:t>
      </w:r>
    </w:p>
    <w:p w:rsidR="00661BD3" w:rsidRDefault="00661BD3" w:rsidP="00323316"/>
    <w:p w:rsidR="00323316" w:rsidRDefault="00323316" w:rsidP="00323316">
      <w:r w:rsidRPr="009E5141">
        <w:t xml:space="preserve">The total </w:t>
      </w:r>
      <w:r w:rsidRPr="006B3F8C">
        <w:t xml:space="preserve">value of this </w:t>
      </w:r>
      <w:r w:rsidR="002C17F4">
        <w:t>contract</w:t>
      </w:r>
      <w:r w:rsidRPr="006B3F8C">
        <w:t xml:space="preserve"> </w:t>
      </w:r>
      <w:r w:rsidRPr="009E5141">
        <w:t>over the entire period, including any extension options</w:t>
      </w:r>
      <w:r w:rsidR="00661BD3">
        <w:t xml:space="preserve"> (if detailed above)</w:t>
      </w:r>
      <w:r w:rsidRPr="009E5141">
        <w:t xml:space="preserve">, will be in the region </w:t>
      </w:r>
      <w:r w:rsidRPr="006B3F8C">
        <w:t xml:space="preserve">of </w:t>
      </w:r>
      <w:r w:rsidR="002C17F4">
        <w:t>£80,000.</w:t>
      </w:r>
    </w:p>
    <w:p w:rsidR="004404A4" w:rsidRPr="006B3F8C" w:rsidRDefault="004404A4" w:rsidP="00323316"/>
    <w:p w:rsidR="002C17F4" w:rsidRDefault="002C17F4" w:rsidP="002C17F4">
      <w:pPr>
        <w:pStyle w:val="Heading2"/>
        <w:numPr>
          <w:ilvl w:val="1"/>
          <w:numId w:val="0"/>
        </w:numPr>
        <w:ind w:left="576" w:hanging="576"/>
      </w:pPr>
      <w:r>
        <w:t xml:space="preserve">2.2 </w:t>
      </w:r>
      <w:r w:rsidRPr="00CA12F3">
        <w:t>Background Information</w:t>
      </w:r>
    </w:p>
    <w:p w:rsidR="005C34E6" w:rsidRDefault="005C34E6" w:rsidP="00323316">
      <w:pPr>
        <w:rPr>
          <w:color w:val="FF0000"/>
        </w:rPr>
      </w:pPr>
    </w:p>
    <w:p w:rsidR="00102299" w:rsidRPr="00731AC9" w:rsidRDefault="00102299" w:rsidP="00323316">
      <w:r w:rsidRPr="00731AC9">
        <w:t xml:space="preserve">The Cornwall Beat of West England Forest District manages just under 3000ha of woodland and forests from Swannacott on the border of Cornwall and Devon to Idless near Truro. </w:t>
      </w:r>
      <w:r w:rsidR="002B250B" w:rsidRPr="00731AC9">
        <w:t xml:space="preserve">The nature of the forests varies from exposed moorland spruce plantations to sheltered river valley woodlands. A </w:t>
      </w:r>
      <w:r w:rsidRPr="00731AC9">
        <w:t>significant part of the land holding is located within the Glynn and Camel valleys near Bodmin.</w:t>
      </w:r>
    </w:p>
    <w:p w:rsidR="00102299" w:rsidRPr="00731AC9" w:rsidRDefault="00102299" w:rsidP="00323316"/>
    <w:p w:rsidR="00102299" w:rsidRPr="00731AC9" w:rsidRDefault="005F2A93" w:rsidP="00323316">
      <w:r w:rsidRPr="00731AC9">
        <w:t>Formal recreation is mainly</w:t>
      </w:r>
      <w:r w:rsidR="00102299" w:rsidRPr="00731AC9">
        <w:t xml:space="preserve"> focused around Cardinham Woods which attracts approxima</w:t>
      </w:r>
      <w:r w:rsidRPr="00731AC9">
        <w:t>tely 250 000 visitors per year; lower level informal recreation occurs in most other woodlands which are generally acc</w:t>
      </w:r>
      <w:r w:rsidR="002B250B" w:rsidRPr="00731AC9">
        <w:t>essed via small</w:t>
      </w:r>
      <w:r w:rsidRPr="00731AC9">
        <w:t xml:space="preserve"> car parks and gateways.</w:t>
      </w:r>
    </w:p>
    <w:p w:rsidR="002C17F4" w:rsidRPr="00F6226D" w:rsidRDefault="002C17F4" w:rsidP="002C17F4">
      <w:pPr>
        <w:pStyle w:val="Heading2"/>
        <w:numPr>
          <w:ilvl w:val="1"/>
          <w:numId w:val="0"/>
        </w:numPr>
        <w:ind w:left="576" w:hanging="576"/>
      </w:pPr>
      <w:r>
        <w:t>2.3 Specification</w:t>
      </w:r>
    </w:p>
    <w:p w:rsidR="002C17F4" w:rsidRPr="00A4280B" w:rsidRDefault="002C17F4" w:rsidP="002C17F4">
      <w:pPr>
        <w:spacing w:before="120" w:line="240" w:lineRule="atLeast"/>
        <w:rPr>
          <w:b/>
          <w:szCs w:val="20"/>
        </w:rPr>
      </w:pPr>
    </w:p>
    <w:p w:rsidR="002C17F4" w:rsidRDefault="002C17F4" w:rsidP="004976D7">
      <w:pPr>
        <w:numPr>
          <w:ilvl w:val="1"/>
          <w:numId w:val="11"/>
        </w:numPr>
        <w:spacing w:before="120" w:after="240" w:line="240" w:lineRule="auto"/>
        <w:rPr>
          <w:rFonts w:cs="Arial"/>
        </w:rPr>
      </w:pPr>
      <w:r w:rsidRPr="00A4280B">
        <w:rPr>
          <w:rFonts w:cs="Arial"/>
        </w:rPr>
        <w:t xml:space="preserve">Objective of the work: To maintain the forest recreation sites, entrances and other high use public areas clear of </w:t>
      </w:r>
      <w:r>
        <w:rPr>
          <w:rFonts w:cs="Arial"/>
        </w:rPr>
        <w:t>litter, rubbish or other waste (referred to as ‘litter’ in the remainder of the document)</w:t>
      </w:r>
      <w:r w:rsidRPr="00A4280B">
        <w:rPr>
          <w:rFonts w:cs="Arial"/>
        </w:rPr>
        <w:t xml:space="preserve"> on a regular basis demonstrating that the forest and its environs are cared for and valued.</w:t>
      </w:r>
    </w:p>
    <w:p w:rsidR="002C17F4" w:rsidRDefault="007C59A0" w:rsidP="004976D7">
      <w:pPr>
        <w:numPr>
          <w:ilvl w:val="1"/>
          <w:numId w:val="11"/>
        </w:numPr>
        <w:spacing w:before="120" w:after="240" w:line="240" w:lineRule="auto"/>
        <w:rPr>
          <w:rFonts w:cs="Arial"/>
        </w:rPr>
      </w:pPr>
      <w:r>
        <w:rPr>
          <w:rFonts w:cs="Arial"/>
        </w:rPr>
        <w:t>The pricing schedule</w:t>
      </w:r>
      <w:r w:rsidR="002C17F4">
        <w:rPr>
          <w:rFonts w:cs="Arial"/>
        </w:rPr>
        <w:t xml:space="preserve"> including frequency of service visits are detailed by </w:t>
      </w:r>
      <w:r>
        <w:rPr>
          <w:rFonts w:cs="Arial"/>
        </w:rPr>
        <w:t>site</w:t>
      </w:r>
      <w:r w:rsidR="002C17F4">
        <w:rPr>
          <w:rFonts w:cs="Arial"/>
        </w:rPr>
        <w:t xml:space="preserve"> on the attached spreadsheet which forms </w:t>
      </w:r>
      <w:r w:rsidR="002B250B">
        <w:rPr>
          <w:rFonts w:cs="Arial"/>
          <w:b/>
        </w:rPr>
        <w:t>A</w:t>
      </w:r>
      <w:r w:rsidR="005F2A93">
        <w:rPr>
          <w:rFonts w:cs="Arial"/>
          <w:b/>
        </w:rPr>
        <w:t>ppendix</w:t>
      </w:r>
      <w:r w:rsidR="002C17F4" w:rsidRPr="003C6B70">
        <w:rPr>
          <w:rFonts w:cs="Arial"/>
          <w:b/>
        </w:rPr>
        <w:t xml:space="preserve"> 1</w:t>
      </w:r>
      <w:r w:rsidR="002C17F4">
        <w:rPr>
          <w:rFonts w:cs="Arial"/>
        </w:rPr>
        <w:t xml:space="preserve"> of this agreement. This sheet should also be used to submit prices.</w:t>
      </w:r>
      <w:r w:rsidR="002B250B">
        <w:rPr>
          <w:rFonts w:cs="Arial"/>
        </w:rPr>
        <w:t xml:space="preserve"> A price should be submitted for each site.</w:t>
      </w:r>
    </w:p>
    <w:p w:rsidR="002C17F4" w:rsidRPr="0038618B" w:rsidRDefault="002C17F4" w:rsidP="004976D7">
      <w:pPr>
        <w:numPr>
          <w:ilvl w:val="1"/>
          <w:numId w:val="11"/>
        </w:numPr>
        <w:spacing w:before="120" w:after="240" w:line="240" w:lineRule="auto"/>
        <w:rPr>
          <w:rFonts w:cs="Arial"/>
        </w:rPr>
      </w:pPr>
      <w:r>
        <w:rPr>
          <w:rFonts w:cs="Arial"/>
        </w:rPr>
        <w:t>Maps showing locations of all sites, form</w:t>
      </w:r>
      <w:r w:rsidR="001B6BD2">
        <w:rPr>
          <w:rFonts w:cs="Arial"/>
        </w:rPr>
        <w:t>s</w:t>
      </w:r>
      <w:r>
        <w:rPr>
          <w:rFonts w:cs="Arial"/>
        </w:rPr>
        <w:t xml:space="preserve"> </w:t>
      </w:r>
      <w:r w:rsidR="002B250B">
        <w:rPr>
          <w:rFonts w:cs="Arial"/>
          <w:b/>
        </w:rPr>
        <w:t>A</w:t>
      </w:r>
      <w:r w:rsidR="005F2A93">
        <w:rPr>
          <w:rFonts w:cs="Arial"/>
          <w:b/>
        </w:rPr>
        <w:t>ppendix</w:t>
      </w:r>
      <w:r w:rsidRPr="003C6B70">
        <w:rPr>
          <w:rFonts w:cs="Arial"/>
          <w:b/>
        </w:rPr>
        <w:t xml:space="preserve"> 2</w:t>
      </w:r>
      <w:r>
        <w:rPr>
          <w:rFonts w:cs="Arial"/>
        </w:rPr>
        <w:t xml:space="preserve"> of this agreement.</w:t>
      </w:r>
    </w:p>
    <w:p w:rsidR="002C17F4" w:rsidRPr="0038618B" w:rsidRDefault="002C17F4" w:rsidP="004976D7">
      <w:pPr>
        <w:numPr>
          <w:ilvl w:val="1"/>
          <w:numId w:val="11"/>
        </w:numPr>
        <w:spacing w:before="120" w:after="240" w:line="240" w:lineRule="auto"/>
        <w:rPr>
          <w:rFonts w:cs="Arial"/>
        </w:rPr>
      </w:pPr>
      <w:r w:rsidRPr="003253CD">
        <w:rPr>
          <w:rFonts w:cs="Arial"/>
          <w:b/>
        </w:rPr>
        <w:t xml:space="preserve">Recreation Sites, Car Parks and Trails </w:t>
      </w:r>
      <w:r w:rsidRPr="003C6B70">
        <w:rPr>
          <w:rFonts w:cs="Arial"/>
          <w:b/>
        </w:rPr>
        <w:t xml:space="preserve">(as detailed in </w:t>
      </w:r>
      <w:r w:rsidR="002B250B">
        <w:rPr>
          <w:rFonts w:cs="Arial"/>
          <w:b/>
        </w:rPr>
        <w:t>A</w:t>
      </w:r>
      <w:r w:rsidR="005F2A93">
        <w:rPr>
          <w:rFonts w:cs="Arial"/>
          <w:b/>
        </w:rPr>
        <w:t>ppendix</w:t>
      </w:r>
      <w:r w:rsidRPr="003C6B70">
        <w:rPr>
          <w:rFonts w:cs="Arial"/>
          <w:b/>
        </w:rPr>
        <w:t xml:space="preserve"> 1):</w:t>
      </w:r>
      <w:r w:rsidRPr="003C6B70">
        <w:rPr>
          <w:rFonts w:cs="Arial"/>
        </w:rPr>
        <w:t xml:space="preserve"> On every visit pick-up all litter from hard standin</w:t>
      </w:r>
      <w:r w:rsidR="00A332F5">
        <w:rPr>
          <w:rFonts w:cs="Arial"/>
        </w:rPr>
        <w:t>gs, ditches, grass areas and 5m beyond the</w:t>
      </w:r>
      <w:r w:rsidRPr="003C6B70">
        <w:rPr>
          <w:rFonts w:cs="Arial"/>
        </w:rPr>
        <w:t xml:space="preserve"> first row of trees where physically accessible.  The areas for litter collection are identified by </w:t>
      </w:r>
      <w:r w:rsidRPr="006D02FF">
        <w:rPr>
          <w:rFonts w:cs="Arial"/>
        </w:rPr>
        <w:t>solid red shape outlined in black for recreation sites and car parks, and by a black and yellow line</w:t>
      </w:r>
      <w:r w:rsidRPr="003C6B70">
        <w:rPr>
          <w:rFonts w:cs="Arial"/>
        </w:rPr>
        <w:t xml:space="preserve"> for trails on the accompanying maps (</w:t>
      </w:r>
      <w:r w:rsidR="002B250B" w:rsidRPr="002B250B">
        <w:rPr>
          <w:szCs w:val="24"/>
        </w:rPr>
        <w:t>Appendix</w:t>
      </w:r>
      <w:r w:rsidRPr="003C6B70">
        <w:rPr>
          <w:rFonts w:cs="Arial"/>
        </w:rPr>
        <w:t xml:space="preserve"> 2). </w:t>
      </w:r>
    </w:p>
    <w:p w:rsidR="002C17F4" w:rsidRPr="0038618B" w:rsidRDefault="002C17F4" w:rsidP="004976D7">
      <w:pPr>
        <w:numPr>
          <w:ilvl w:val="1"/>
          <w:numId w:val="11"/>
        </w:numPr>
        <w:spacing w:before="120" w:after="240" w:line="240" w:lineRule="auto"/>
        <w:rPr>
          <w:rFonts w:cs="Arial"/>
        </w:rPr>
      </w:pPr>
      <w:r w:rsidRPr="003253CD">
        <w:rPr>
          <w:rFonts w:cs="Arial"/>
          <w:b/>
        </w:rPr>
        <w:t>G</w:t>
      </w:r>
      <w:r w:rsidRPr="00A4280B">
        <w:rPr>
          <w:rFonts w:cs="Arial"/>
          <w:b/>
        </w:rPr>
        <w:t>ateway</w:t>
      </w:r>
      <w:r>
        <w:rPr>
          <w:rFonts w:cs="Arial"/>
          <w:b/>
        </w:rPr>
        <w:t xml:space="preserve"> or other entrance</w:t>
      </w:r>
      <w:r w:rsidRPr="00A4280B">
        <w:rPr>
          <w:rFonts w:cs="Arial"/>
          <w:b/>
        </w:rPr>
        <w:t xml:space="preserve"> (as detailed in </w:t>
      </w:r>
      <w:r w:rsidR="002B250B">
        <w:rPr>
          <w:rFonts w:cs="Arial"/>
          <w:b/>
        </w:rPr>
        <w:t>Appendix</w:t>
      </w:r>
      <w:r w:rsidRPr="003C6B70">
        <w:rPr>
          <w:rFonts w:cs="Arial"/>
          <w:b/>
        </w:rPr>
        <w:t xml:space="preserve"> 1):</w:t>
      </w:r>
      <w:r w:rsidRPr="00A4280B">
        <w:rPr>
          <w:rFonts w:cs="Arial"/>
        </w:rPr>
        <w:t xml:space="preserve"> </w:t>
      </w:r>
      <w:r>
        <w:rPr>
          <w:rFonts w:cs="Arial"/>
        </w:rPr>
        <w:t>On every visit p</w:t>
      </w:r>
      <w:r w:rsidRPr="00A4280B">
        <w:rPr>
          <w:rFonts w:cs="Arial"/>
        </w:rPr>
        <w:t>ick-up all litter hard standings, ditches, grass areas for a distance of 25m to either side of the gateway a</w:t>
      </w:r>
      <w:r w:rsidR="00A332F5">
        <w:rPr>
          <w:rFonts w:cs="Arial"/>
        </w:rPr>
        <w:t xml:space="preserve">nd / or entrance feature and 5m beyond </w:t>
      </w:r>
      <w:r w:rsidRPr="00A4280B">
        <w:rPr>
          <w:rFonts w:cs="Arial"/>
        </w:rPr>
        <w:t>the first row of trees where physically accessible.</w:t>
      </w:r>
      <w:r>
        <w:rPr>
          <w:rFonts w:cs="Arial"/>
        </w:rPr>
        <w:t xml:space="preserve"> The locations of gateways and entrances are </w:t>
      </w:r>
      <w:r w:rsidR="00881B2A">
        <w:rPr>
          <w:rFonts w:cs="Arial"/>
        </w:rPr>
        <w:t>identified by a yellow dot.</w:t>
      </w:r>
    </w:p>
    <w:p w:rsidR="002C17F4" w:rsidRPr="0038618B" w:rsidRDefault="002C17F4" w:rsidP="004976D7">
      <w:pPr>
        <w:numPr>
          <w:ilvl w:val="1"/>
          <w:numId w:val="11"/>
        </w:numPr>
        <w:spacing w:before="120" w:after="240" w:line="240" w:lineRule="auto"/>
        <w:rPr>
          <w:rFonts w:cs="Arial"/>
        </w:rPr>
      </w:pPr>
      <w:r w:rsidRPr="003253CD">
        <w:rPr>
          <w:b/>
          <w:szCs w:val="24"/>
        </w:rPr>
        <w:t xml:space="preserve">Dog Bins (As detailed in </w:t>
      </w:r>
      <w:r w:rsidR="002B250B">
        <w:rPr>
          <w:b/>
          <w:szCs w:val="24"/>
        </w:rPr>
        <w:t>Appendix</w:t>
      </w:r>
      <w:r w:rsidRPr="003C6B70">
        <w:rPr>
          <w:b/>
          <w:szCs w:val="24"/>
        </w:rPr>
        <w:t xml:space="preserve"> 1</w:t>
      </w:r>
      <w:r w:rsidRPr="003C6B70">
        <w:rPr>
          <w:szCs w:val="24"/>
        </w:rPr>
        <w:t>):</w:t>
      </w:r>
      <w:r>
        <w:rPr>
          <w:szCs w:val="24"/>
        </w:rPr>
        <w:t xml:space="preserve"> </w:t>
      </w:r>
      <w:r w:rsidRPr="00A4280B">
        <w:rPr>
          <w:szCs w:val="24"/>
        </w:rPr>
        <w:t>On every visit to the site empty the on-site dog bins and replace liners regardless of how full or empty</w:t>
      </w:r>
      <w:r>
        <w:rPr>
          <w:szCs w:val="24"/>
        </w:rPr>
        <w:t xml:space="preserve"> and wipe down the exterior of the bin. If the liners cannot be tied or sealed in order to minimise odours then it must be placed within a sealable bag / liner. The </w:t>
      </w:r>
      <w:r w:rsidR="009D48B1">
        <w:rPr>
          <w:szCs w:val="24"/>
        </w:rPr>
        <w:t>location</w:t>
      </w:r>
      <w:r w:rsidRPr="00A4280B">
        <w:rPr>
          <w:szCs w:val="24"/>
        </w:rPr>
        <w:t xml:space="preserve"> </w:t>
      </w:r>
      <w:r>
        <w:rPr>
          <w:szCs w:val="24"/>
        </w:rPr>
        <w:t xml:space="preserve">of each dog bin is identified by a </w:t>
      </w:r>
      <w:r w:rsidRPr="006D02FF">
        <w:rPr>
          <w:szCs w:val="24"/>
        </w:rPr>
        <w:t>blue square on</w:t>
      </w:r>
      <w:r w:rsidR="00881B2A">
        <w:rPr>
          <w:szCs w:val="24"/>
        </w:rPr>
        <w:t xml:space="preserve"> the accompanying map</w:t>
      </w:r>
      <w:r>
        <w:rPr>
          <w:szCs w:val="24"/>
        </w:rPr>
        <w:t xml:space="preserve"> </w:t>
      </w:r>
      <w:r w:rsidRPr="003C6B70">
        <w:rPr>
          <w:szCs w:val="24"/>
        </w:rPr>
        <w:t>(</w:t>
      </w:r>
      <w:r w:rsidR="002B250B" w:rsidRPr="002B250B">
        <w:rPr>
          <w:szCs w:val="24"/>
        </w:rPr>
        <w:t>Appendix</w:t>
      </w:r>
      <w:r w:rsidRPr="002B250B">
        <w:rPr>
          <w:szCs w:val="24"/>
        </w:rPr>
        <w:t xml:space="preserve"> </w:t>
      </w:r>
      <w:r w:rsidRPr="003C6B70">
        <w:rPr>
          <w:szCs w:val="24"/>
        </w:rPr>
        <w:t>2)</w:t>
      </w:r>
      <w:r w:rsidR="00881B2A">
        <w:rPr>
          <w:szCs w:val="24"/>
        </w:rPr>
        <w:t>.</w:t>
      </w:r>
    </w:p>
    <w:p w:rsidR="002C17F4" w:rsidRPr="00700067" w:rsidRDefault="002C17F4" w:rsidP="004976D7">
      <w:pPr>
        <w:numPr>
          <w:ilvl w:val="1"/>
          <w:numId w:val="11"/>
        </w:numPr>
        <w:spacing w:before="120" w:after="240" w:line="240" w:lineRule="auto"/>
        <w:rPr>
          <w:rFonts w:cs="Arial"/>
        </w:rPr>
      </w:pPr>
      <w:r w:rsidRPr="00A41100">
        <w:rPr>
          <w:rFonts w:cs="Arial"/>
          <w:b/>
        </w:rPr>
        <w:t>O</w:t>
      </w:r>
      <w:r w:rsidRPr="00A4280B">
        <w:rPr>
          <w:rFonts w:cs="Arial"/>
          <w:b/>
        </w:rPr>
        <w:t>u</w:t>
      </w:r>
      <w:r w:rsidRPr="00A41100">
        <w:rPr>
          <w:rFonts w:cs="Arial"/>
          <w:b/>
        </w:rPr>
        <w:t xml:space="preserve">tdoor litter and recycling bins (As detailed in </w:t>
      </w:r>
      <w:r w:rsidR="002B250B">
        <w:rPr>
          <w:b/>
          <w:szCs w:val="24"/>
        </w:rPr>
        <w:t>Appendix</w:t>
      </w:r>
      <w:r w:rsidRPr="003C6B70">
        <w:rPr>
          <w:rFonts w:cs="Arial"/>
          <w:b/>
        </w:rPr>
        <w:t xml:space="preserve"> 1</w:t>
      </w:r>
      <w:r w:rsidRPr="003C6B70">
        <w:rPr>
          <w:rFonts w:cs="Arial"/>
        </w:rPr>
        <w:t>):</w:t>
      </w:r>
      <w:r>
        <w:rPr>
          <w:rFonts w:cs="Arial"/>
        </w:rPr>
        <w:t xml:space="preserve"> </w:t>
      </w:r>
      <w:r w:rsidRPr="00A4280B">
        <w:rPr>
          <w:rFonts w:cs="Arial"/>
        </w:rPr>
        <w:t xml:space="preserve"> </w:t>
      </w:r>
      <w:r>
        <w:rPr>
          <w:rFonts w:cs="Arial"/>
        </w:rPr>
        <w:t xml:space="preserve">On every visit to the site empty the bin </w:t>
      </w:r>
      <w:r w:rsidRPr="00A4280B">
        <w:rPr>
          <w:rFonts w:cs="Arial"/>
        </w:rPr>
        <w:t>and replace liners</w:t>
      </w:r>
      <w:r w:rsidRPr="00A4280B">
        <w:rPr>
          <w:szCs w:val="24"/>
        </w:rPr>
        <w:t xml:space="preserve"> regardless of how full or empty</w:t>
      </w:r>
      <w:r w:rsidRPr="00A4280B">
        <w:rPr>
          <w:rFonts w:cs="Arial"/>
        </w:rPr>
        <w:t>, collect any litter that has built up under / around the bin</w:t>
      </w:r>
      <w:r>
        <w:rPr>
          <w:rFonts w:cs="Arial"/>
        </w:rPr>
        <w:t>, and wipe down the exterior of the bin.</w:t>
      </w:r>
      <w:r w:rsidRPr="00A4280B">
        <w:rPr>
          <w:rFonts w:cs="Arial"/>
        </w:rPr>
        <w:t xml:space="preserve"> </w:t>
      </w:r>
      <w:r>
        <w:rPr>
          <w:szCs w:val="24"/>
        </w:rPr>
        <w:t xml:space="preserve">The </w:t>
      </w:r>
      <w:r w:rsidRPr="00A4280B">
        <w:rPr>
          <w:szCs w:val="24"/>
        </w:rPr>
        <w:t xml:space="preserve">locations </w:t>
      </w:r>
      <w:r>
        <w:rPr>
          <w:szCs w:val="24"/>
        </w:rPr>
        <w:t xml:space="preserve">of each bin is identified by </w:t>
      </w:r>
      <w:r w:rsidRPr="006D02FF">
        <w:rPr>
          <w:szCs w:val="24"/>
        </w:rPr>
        <w:t>a black square for litter bins and a green square for recycling bins on</w:t>
      </w:r>
      <w:r w:rsidR="00881B2A">
        <w:rPr>
          <w:szCs w:val="24"/>
        </w:rPr>
        <w:t xml:space="preserve"> the accompanying map</w:t>
      </w:r>
      <w:r>
        <w:rPr>
          <w:szCs w:val="24"/>
        </w:rPr>
        <w:t xml:space="preserve"> </w:t>
      </w:r>
      <w:r w:rsidRPr="003C6B70">
        <w:rPr>
          <w:szCs w:val="24"/>
        </w:rPr>
        <w:t>(</w:t>
      </w:r>
      <w:r w:rsidR="002B250B" w:rsidRPr="002B250B">
        <w:rPr>
          <w:szCs w:val="24"/>
        </w:rPr>
        <w:t>Appendix</w:t>
      </w:r>
      <w:r w:rsidRPr="003C6B70">
        <w:rPr>
          <w:szCs w:val="24"/>
        </w:rPr>
        <w:t xml:space="preserve"> 2)</w:t>
      </w:r>
      <w:r w:rsidR="00881B2A">
        <w:rPr>
          <w:szCs w:val="24"/>
        </w:rPr>
        <w:t>.</w:t>
      </w:r>
    </w:p>
    <w:p w:rsidR="002C17F4" w:rsidRPr="00700067" w:rsidRDefault="002C17F4" w:rsidP="004976D7">
      <w:pPr>
        <w:numPr>
          <w:ilvl w:val="1"/>
          <w:numId w:val="11"/>
        </w:numPr>
        <w:spacing w:before="120" w:after="240" w:line="240" w:lineRule="auto"/>
        <w:rPr>
          <w:rFonts w:cs="Arial"/>
        </w:rPr>
      </w:pPr>
      <w:r w:rsidRPr="00067248">
        <w:rPr>
          <w:rFonts w:cs="Arial"/>
          <w:b/>
        </w:rPr>
        <w:t>Additional Services:</w:t>
      </w:r>
      <w:r w:rsidRPr="00700067">
        <w:rPr>
          <w:rFonts w:cs="Arial"/>
        </w:rPr>
        <w:t xml:space="preserve"> </w:t>
      </w:r>
      <w:r>
        <w:rPr>
          <w:rFonts w:cs="Arial"/>
        </w:rPr>
        <w:t xml:space="preserve">We may require additional litter picking services at the locations detailed in </w:t>
      </w:r>
      <w:r w:rsidR="0086176A">
        <w:rPr>
          <w:rFonts w:cs="Arial"/>
        </w:rPr>
        <w:t>Appendix</w:t>
      </w:r>
      <w:r>
        <w:rPr>
          <w:rFonts w:cs="Arial"/>
        </w:rPr>
        <w:t xml:space="preserve"> 1 beyond the areas described above. For example </w:t>
      </w:r>
      <w:r>
        <w:rPr>
          <w:rFonts w:cs="Arial"/>
        </w:rPr>
        <w:lastRenderedPageBreak/>
        <w:t>where there has been a build-up of litter beyond the ‘recreation area’ shown on the accompanying map (</w:t>
      </w:r>
      <w:r w:rsidR="002B250B" w:rsidRPr="002B250B">
        <w:rPr>
          <w:szCs w:val="24"/>
        </w:rPr>
        <w:t>Appendix</w:t>
      </w:r>
      <w:r>
        <w:rPr>
          <w:rFonts w:cs="Arial"/>
        </w:rPr>
        <w:t xml:space="preserve"> 2). Where this is the case the Forestry Commission will agree an additional service with the contractor which will be paid at the </w:t>
      </w:r>
      <w:r w:rsidRPr="00067248">
        <w:rPr>
          <w:rFonts w:cs="Arial"/>
          <w:b/>
        </w:rPr>
        <w:t>hourly rate</w:t>
      </w:r>
      <w:r>
        <w:rPr>
          <w:rFonts w:cs="Arial"/>
        </w:rPr>
        <w:t xml:space="preserve">. </w:t>
      </w:r>
    </w:p>
    <w:p w:rsidR="002C17F4" w:rsidRPr="0038618B" w:rsidRDefault="002C17F4" w:rsidP="004976D7">
      <w:pPr>
        <w:numPr>
          <w:ilvl w:val="1"/>
          <w:numId w:val="11"/>
        </w:numPr>
        <w:spacing w:before="120" w:after="240" w:line="240" w:lineRule="auto"/>
        <w:rPr>
          <w:rFonts w:cs="Arial"/>
        </w:rPr>
      </w:pPr>
      <w:r w:rsidRPr="002B3A47">
        <w:rPr>
          <w:rFonts w:cs="Arial"/>
        </w:rPr>
        <w:t xml:space="preserve">All </w:t>
      </w:r>
      <w:r>
        <w:rPr>
          <w:rFonts w:cs="Arial"/>
        </w:rPr>
        <w:t>types of waste</w:t>
      </w:r>
      <w:r w:rsidRPr="002B3A47">
        <w:rPr>
          <w:rFonts w:cs="Arial"/>
        </w:rPr>
        <w:t xml:space="preserve"> collected must be transported to one of the Forestry Commission waste holding facilities identified by a </w:t>
      </w:r>
      <w:r w:rsidRPr="00E64A65">
        <w:rPr>
          <w:rFonts w:cs="Arial"/>
        </w:rPr>
        <w:t>red star on</w:t>
      </w:r>
      <w:r w:rsidRPr="002B3A47">
        <w:rPr>
          <w:rFonts w:cs="Arial"/>
        </w:rPr>
        <w:t xml:space="preserve"> the accompanying map </w:t>
      </w:r>
      <w:r w:rsidRPr="003C6B70">
        <w:rPr>
          <w:rFonts w:cs="Arial"/>
        </w:rPr>
        <w:t>(</w:t>
      </w:r>
      <w:r w:rsidR="002B250B" w:rsidRPr="002B250B">
        <w:rPr>
          <w:szCs w:val="24"/>
        </w:rPr>
        <w:t>Appendix</w:t>
      </w:r>
      <w:r w:rsidRPr="003C6B70">
        <w:rPr>
          <w:rFonts w:cs="Arial"/>
        </w:rPr>
        <w:t xml:space="preserve"> 2).</w:t>
      </w:r>
      <w:r>
        <w:rPr>
          <w:rFonts w:cs="Arial"/>
          <w:color w:val="FF0000"/>
        </w:rPr>
        <w:t xml:space="preserve"> </w:t>
      </w:r>
      <w:r w:rsidRPr="002B3A47">
        <w:rPr>
          <w:rFonts w:cs="Arial"/>
        </w:rPr>
        <w:t>Where</w:t>
      </w:r>
      <w:r>
        <w:rPr>
          <w:rFonts w:cs="Arial"/>
          <w:color w:val="FF0000"/>
        </w:rPr>
        <w:t xml:space="preserve"> </w:t>
      </w:r>
      <w:r>
        <w:rPr>
          <w:rFonts w:cs="Arial"/>
        </w:rPr>
        <w:t>waste has been segregated into recyclable materials at source, this waste must be kept separate and deposited in the relevant container.</w:t>
      </w:r>
    </w:p>
    <w:p w:rsidR="002C17F4" w:rsidRPr="0038618B" w:rsidRDefault="002C17F4" w:rsidP="004976D7">
      <w:pPr>
        <w:numPr>
          <w:ilvl w:val="1"/>
          <w:numId w:val="11"/>
        </w:numPr>
        <w:spacing w:before="120" w:after="240" w:line="240" w:lineRule="auto"/>
        <w:rPr>
          <w:rFonts w:cs="Arial"/>
          <w:color w:val="4F6228"/>
        </w:rPr>
      </w:pPr>
      <w:r w:rsidRPr="00E57705">
        <w:rPr>
          <w:rFonts w:cs="Arial"/>
        </w:rPr>
        <w:t xml:space="preserve">For the avoidance of doubt, the full extent of locations and features described in 2.2 b – f </w:t>
      </w:r>
      <w:r w:rsidR="00881B2A">
        <w:rPr>
          <w:rFonts w:cs="Arial"/>
        </w:rPr>
        <w:t>above and as defined in the map</w:t>
      </w:r>
      <w:r w:rsidRPr="00E57705">
        <w:rPr>
          <w:rFonts w:cs="Arial"/>
        </w:rPr>
        <w:t xml:space="preserve"> must be visited and all litter collected and removed on each visit, according to the </w:t>
      </w:r>
      <w:r>
        <w:rPr>
          <w:rFonts w:cs="Arial"/>
        </w:rPr>
        <w:t>frequency</w:t>
      </w:r>
      <w:r w:rsidRPr="00E57705">
        <w:rPr>
          <w:rFonts w:cs="Arial"/>
        </w:rPr>
        <w:t xml:space="preserve"> detailed in</w:t>
      </w:r>
      <w:r w:rsidRPr="009B1964">
        <w:rPr>
          <w:rFonts w:cs="Arial"/>
          <w:color w:val="4F6228"/>
        </w:rPr>
        <w:t xml:space="preserve"> </w:t>
      </w:r>
      <w:r w:rsidR="002B250B" w:rsidRPr="002B250B">
        <w:rPr>
          <w:szCs w:val="24"/>
        </w:rPr>
        <w:t>Appendix</w:t>
      </w:r>
      <w:r w:rsidRPr="00F84911">
        <w:rPr>
          <w:rFonts w:cs="Arial"/>
        </w:rPr>
        <w:t xml:space="preserve"> </w:t>
      </w:r>
      <w:r w:rsidRPr="00E64A65">
        <w:rPr>
          <w:rFonts w:cs="Arial"/>
        </w:rPr>
        <w:t>1.</w:t>
      </w:r>
      <w:r w:rsidRPr="009B1964">
        <w:rPr>
          <w:rFonts w:cs="Arial"/>
          <w:color w:val="4F6228"/>
        </w:rPr>
        <w:t xml:space="preserve"> </w:t>
      </w:r>
      <w:r>
        <w:rPr>
          <w:rFonts w:cs="Arial"/>
        </w:rPr>
        <w:t>F</w:t>
      </w:r>
      <w:r w:rsidRPr="00E57705">
        <w:rPr>
          <w:rFonts w:cs="Arial"/>
        </w:rPr>
        <w:t>ailure to do so will count as a missed or incomplete service</w:t>
      </w:r>
      <w:r w:rsidRPr="009B1964">
        <w:rPr>
          <w:rFonts w:cs="Arial"/>
          <w:color w:val="4F6228"/>
        </w:rPr>
        <w:t xml:space="preserve"> </w:t>
      </w:r>
      <w:r w:rsidRPr="000216E6">
        <w:rPr>
          <w:rFonts w:cs="Arial"/>
        </w:rPr>
        <w:t>(see section 2.4).</w:t>
      </w:r>
      <w:r w:rsidRPr="00E57705">
        <w:rPr>
          <w:rFonts w:cs="Arial"/>
          <w:color w:val="FF0000"/>
        </w:rPr>
        <w:t xml:space="preserve"> </w:t>
      </w:r>
    </w:p>
    <w:p w:rsidR="002C17F4" w:rsidRPr="0038618B" w:rsidRDefault="002C17F4" w:rsidP="004976D7">
      <w:pPr>
        <w:numPr>
          <w:ilvl w:val="1"/>
          <w:numId w:val="11"/>
        </w:numPr>
        <w:spacing w:before="120" w:after="240" w:line="240" w:lineRule="auto"/>
        <w:rPr>
          <w:rFonts w:cs="Arial"/>
        </w:rPr>
      </w:pPr>
      <w:r w:rsidRPr="00047D7F">
        <w:rPr>
          <w:rFonts w:cs="Arial"/>
        </w:rPr>
        <w:t>Immediately on completion of the service at each site or area the contractor should notify the Forestry Commission</w:t>
      </w:r>
      <w:r w:rsidRPr="00047D7F">
        <w:rPr>
          <w:rFonts w:cs="Arial"/>
          <w:szCs w:val="20"/>
        </w:rPr>
        <w:t xml:space="preserve"> </w:t>
      </w:r>
      <w:r>
        <w:rPr>
          <w:rFonts w:cs="Arial"/>
          <w:szCs w:val="20"/>
        </w:rPr>
        <w:t>that the service is complete within a reasonable time frame of completing the service and by no later than 16.30 hours on the day the service was provided.</w:t>
      </w:r>
    </w:p>
    <w:p w:rsidR="002C17F4" w:rsidRPr="001F6999" w:rsidRDefault="002C17F4" w:rsidP="004976D7">
      <w:pPr>
        <w:numPr>
          <w:ilvl w:val="1"/>
          <w:numId w:val="11"/>
        </w:numPr>
        <w:spacing w:before="120" w:after="240" w:line="240" w:lineRule="auto"/>
        <w:rPr>
          <w:rFonts w:cs="Arial"/>
        </w:rPr>
      </w:pPr>
      <w:r>
        <w:rPr>
          <w:rFonts w:cs="Arial"/>
        </w:rPr>
        <w:t>Frequency of visits, as</w:t>
      </w:r>
      <w:r w:rsidRPr="001F6999">
        <w:rPr>
          <w:rFonts w:cs="Arial"/>
        </w:rPr>
        <w:t xml:space="preserve"> specified in </w:t>
      </w:r>
      <w:r w:rsidR="002B250B" w:rsidRPr="002B250B">
        <w:rPr>
          <w:szCs w:val="24"/>
        </w:rPr>
        <w:t>Appendix</w:t>
      </w:r>
      <w:r w:rsidRPr="000216E6">
        <w:rPr>
          <w:rFonts w:cs="Arial"/>
        </w:rPr>
        <w:t xml:space="preserve"> 1</w:t>
      </w:r>
      <w:r w:rsidRPr="001F6999">
        <w:rPr>
          <w:rFonts w:cs="Arial"/>
        </w:rPr>
        <w:t>,</w:t>
      </w:r>
      <w:r>
        <w:rPr>
          <w:rFonts w:cs="Arial"/>
        </w:rPr>
        <w:t xml:space="preserve"> are applicable to</w:t>
      </w:r>
      <w:r w:rsidRPr="001F6999">
        <w:rPr>
          <w:rFonts w:cs="Arial"/>
        </w:rPr>
        <w:t xml:space="preserve"> the full extent of the areas a</w:t>
      </w:r>
      <w:r w:rsidR="003E3835">
        <w:rPr>
          <w:rFonts w:cs="Arial"/>
        </w:rPr>
        <w:t>s shown in the accompanying map</w:t>
      </w:r>
      <w:r w:rsidRPr="001F6999">
        <w:rPr>
          <w:rFonts w:cs="Arial"/>
        </w:rPr>
        <w:t xml:space="preserve"> </w:t>
      </w:r>
      <w:r w:rsidRPr="000216E6">
        <w:rPr>
          <w:rFonts w:cs="Arial"/>
        </w:rPr>
        <w:t>(</w:t>
      </w:r>
      <w:r w:rsidR="002B250B" w:rsidRPr="002B250B">
        <w:rPr>
          <w:szCs w:val="24"/>
        </w:rPr>
        <w:t>Appendix</w:t>
      </w:r>
      <w:r w:rsidRPr="000216E6">
        <w:rPr>
          <w:rFonts w:cs="Arial"/>
        </w:rPr>
        <w:t xml:space="preserve"> 2)</w:t>
      </w:r>
      <w:r>
        <w:rPr>
          <w:rFonts w:cs="Arial"/>
          <w:color w:val="FF0000"/>
        </w:rPr>
        <w:t xml:space="preserve"> </w:t>
      </w:r>
      <w:r w:rsidRPr="001F6999">
        <w:rPr>
          <w:rFonts w:cs="Arial"/>
        </w:rPr>
        <w:t>and are defined as follows:</w:t>
      </w:r>
    </w:p>
    <w:p w:rsidR="002C17F4" w:rsidRPr="001F6999" w:rsidRDefault="002C17F4" w:rsidP="002C17F4">
      <w:pPr>
        <w:spacing w:before="120" w:line="240" w:lineRule="auto"/>
        <w:rPr>
          <w:rFonts w:cs="Arial"/>
        </w:rPr>
      </w:pPr>
    </w:p>
    <w:p w:rsidR="00511229" w:rsidRPr="00511229" w:rsidRDefault="00511229" w:rsidP="00511229">
      <w:pPr>
        <w:numPr>
          <w:ilvl w:val="3"/>
          <w:numId w:val="11"/>
        </w:numPr>
        <w:tabs>
          <w:tab w:val="num" w:pos="1418"/>
        </w:tabs>
        <w:spacing w:before="120" w:line="240" w:lineRule="auto"/>
        <w:ind w:left="1418" w:hanging="709"/>
        <w:rPr>
          <w:rFonts w:cs="Arial"/>
          <w:iCs/>
        </w:rPr>
      </w:pPr>
      <w:r w:rsidRPr="00511229">
        <w:rPr>
          <w:rFonts w:cs="Arial"/>
          <w:b/>
          <w:bCs/>
          <w:i/>
          <w:iCs/>
        </w:rPr>
        <w:t>Every other day before</w:t>
      </w:r>
      <w:r w:rsidRPr="00511229">
        <w:rPr>
          <w:rFonts w:cs="Arial"/>
          <w:b/>
          <w:bCs/>
          <w:iCs/>
        </w:rPr>
        <w:t xml:space="preserve"> 10am</w:t>
      </w:r>
      <w:r w:rsidRPr="00511229">
        <w:rPr>
          <w:rFonts w:cs="Arial"/>
          <w:iCs/>
        </w:rPr>
        <w:t xml:space="preserve"> means all litter to have been collected, bins emptied and waste removed from site before 10.00 hours every Monday, Wednesday, Friday and Sunday of the year with the exception of Christmas Day.</w:t>
      </w:r>
    </w:p>
    <w:p w:rsidR="002C17F4" w:rsidRPr="00511229" w:rsidRDefault="00511229" w:rsidP="00511229">
      <w:pPr>
        <w:spacing w:before="120" w:line="240" w:lineRule="auto"/>
        <w:ind w:left="1418"/>
        <w:rPr>
          <w:rFonts w:cs="Arial"/>
          <w:iCs/>
        </w:rPr>
      </w:pPr>
      <w:r w:rsidRPr="00511229">
        <w:rPr>
          <w:rFonts w:cs="Arial"/>
          <w:iCs/>
        </w:rPr>
        <w:t xml:space="preserve">Where a Monday service falls on a Bank Holiday an additional service on the Tuesday after the Bank Holiday is to be undertaken at the price specified in </w:t>
      </w:r>
      <w:r w:rsidR="002B250B" w:rsidRPr="002B250B">
        <w:rPr>
          <w:szCs w:val="24"/>
        </w:rPr>
        <w:t>Appendix</w:t>
      </w:r>
      <w:r w:rsidRPr="00511229">
        <w:rPr>
          <w:rFonts w:cs="Arial"/>
          <w:iCs/>
        </w:rPr>
        <w:t xml:space="preserve"> 1.</w:t>
      </w:r>
    </w:p>
    <w:p w:rsidR="00511229" w:rsidRPr="00511229" w:rsidRDefault="00511229" w:rsidP="00511229">
      <w:pPr>
        <w:tabs>
          <w:tab w:val="num" w:pos="1418"/>
        </w:tabs>
        <w:spacing w:before="120" w:line="240" w:lineRule="auto"/>
        <w:rPr>
          <w:rFonts w:cs="Arial"/>
        </w:rPr>
      </w:pPr>
    </w:p>
    <w:p w:rsidR="002C17F4" w:rsidRPr="00E75405" w:rsidRDefault="002C17F4" w:rsidP="004976D7">
      <w:pPr>
        <w:numPr>
          <w:ilvl w:val="3"/>
          <w:numId w:val="11"/>
        </w:numPr>
        <w:tabs>
          <w:tab w:val="num" w:pos="1418"/>
        </w:tabs>
        <w:spacing w:before="120" w:line="240" w:lineRule="auto"/>
        <w:ind w:left="1418" w:hanging="709"/>
        <w:rPr>
          <w:rFonts w:cs="Arial"/>
          <w:i/>
        </w:rPr>
      </w:pPr>
      <w:r w:rsidRPr="00BE1A10">
        <w:rPr>
          <w:rFonts w:cs="Arial"/>
          <w:b/>
          <w:i/>
        </w:rPr>
        <w:t>Mondays and Fridays</w:t>
      </w:r>
      <w:r w:rsidRPr="00F24D35">
        <w:rPr>
          <w:rFonts w:cs="Arial"/>
          <w:i/>
        </w:rPr>
        <w:t xml:space="preserve"> </w:t>
      </w:r>
      <w:r w:rsidRPr="00F24D35">
        <w:rPr>
          <w:rFonts w:cs="Arial"/>
        </w:rPr>
        <w:t>means all litter to have been collected bins emptied, and waste removed from site before 16.00 hours every Monday (or Tuesday after a bank holiday) and Friday (or the Saturday immediately after</w:t>
      </w:r>
      <w:r>
        <w:rPr>
          <w:rFonts w:cs="Arial"/>
        </w:rPr>
        <w:t xml:space="preserve"> a Good Friday by arrangement).</w:t>
      </w:r>
    </w:p>
    <w:p w:rsidR="002C17F4" w:rsidRPr="009B1964" w:rsidRDefault="002C17F4" w:rsidP="00511229">
      <w:pPr>
        <w:tabs>
          <w:tab w:val="num" w:pos="1418"/>
        </w:tabs>
        <w:spacing w:before="120" w:line="240" w:lineRule="auto"/>
        <w:rPr>
          <w:rFonts w:cs="Arial"/>
          <w:i/>
          <w:color w:val="4F6228"/>
        </w:rPr>
      </w:pPr>
    </w:p>
    <w:p w:rsidR="002C17F4" w:rsidRPr="00F24D35" w:rsidRDefault="002C17F4" w:rsidP="004976D7">
      <w:pPr>
        <w:numPr>
          <w:ilvl w:val="3"/>
          <w:numId w:val="11"/>
        </w:numPr>
        <w:tabs>
          <w:tab w:val="num" w:pos="1418"/>
        </w:tabs>
        <w:spacing w:before="120" w:line="240" w:lineRule="auto"/>
        <w:ind w:left="1418" w:hanging="709"/>
        <w:rPr>
          <w:rFonts w:cs="Arial"/>
          <w:i/>
        </w:rPr>
      </w:pPr>
      <w:r w:rsidRPr="00BE1A10">
        <w:rPr>
          <w:rFonts w:cs="Arial"/>
          <w:b/>
          <w:i/>
        </w:rPr>
        <w:t>Weekly</w:t>
      </w:r>
      <w:r w:rsidRPr="00F24D35">
        <w:rPr>
          <w:rFonts w:cs="Arial"/>
          <w:i/>
        </w:rPr>
        <w:t xml:space="preserve"> </w:t>
      </w:r>
      <w:r w:rsidRPr="00F24D35">
        <w:rPr>
          <w:rFonts w:cs="Arial"/>
        </w:rPr>
        <w:t>means all litter to have been collected, bins emptied and waste removed from site before 16.00 hours on the collection day; and that weekly collection days are not less than 6 calendar days or more than 8 calendar days apart. The planned day of collection to be notified to the Forestry Commission</w:t>
      </w:r>
      <w:r>
        <w:rPr>
          <w:rFonts w:cs="Arial"/>
        </w:rPr>
        <w:t xml:space="preserve"> in advance.</w:t>
      </w:r>
    </w:p>
    <w:p w:rsidR="002C17F4" w:rsidRPr="009B1964" w:rsidRDefault="002C17F4" w:rsidP="002C17F4">
      <w:pPr>
        <w:tabs>
          <w:tab w:val="num" w:pos="1418"/>
        </w:tabs>
        <w:spacing w:before="120" w:line="240" w:lineRule="auto"/>
        <w:ind w:left="1418" w:hanging="709"/>
        <w:rPr>
          <w:rFonts w:cs="Arial"/>
          <w:i/>
          <w:color w:val="4F6228"/>
        </w:rPr>
      </w:pPr>
    </w:p>
    <w:p w:rsidR="002C17F4" w:rsidRPr="009A25F5" w:rsidRDefault="002C17F4" w:rsidP="004976D7">
      <w:pPr>
        <w:numPr>
          <w:ilvl w:val="3"/>
          <w:numId w:val="11"/>
        </w:numPr>
        <w:tabs>
          <w:tab w:val="num" w:pos="1418"/>
        </w:tabs>
        <w:spacing w:before="120" w:line="240" w:lineRule="auto"/>
        <w:ind w:left="1418" w:hanging="709"/>
        <w:rPr>
          <w:rFonts w:cs="Arial"/>
          <w:i/>
        </w:rPr>
      </w:pPr>
      <w:r w:rsidRPr="009A25F5">
        <w:rPr>
          <w:rFonts w:cs="Arial"/>
          <w:b/>
          <w:i/>
        </w:rPr>
        <w:lastRenderedPageBreak/>
        <w:t>Fortnightly</w:t>
      </w:r>
      <w:r w:rsidRPr="009A25F5">
        <w:rPr>
          <w:rFonts w:cs="Arial"/>
          <w:i/>
        </w:rPr>
        <w:t xml:space="preserve"> </w:t>
      </w:r>
      <w:r w:rsidRPr="009A25F5">
        <w:rPr>
          <w:rFonts w:cs="Arial"/>
        </w:rPr>
        <w:t xml:space="preserve">means all litter to have been collected, bins emptied and waste removed from site before 16.00 hours on the collection day; and that fortnightly collection days are not less than 12 calendar days or more than 15 calendar days apart.  The planned day of collection to be notified to the Forestry Commission in advance. </w:t>
      </w:r>
    </w:p>
    <w:p w:rsidR="002C17F4" w:rsidRPr="009B1964" w:rsidRDefault="002C17F4" w:rsidP="002C17F4">
      <w:pPr>
        <w:tabs>
          <w:tab w:val="num" w:pos="1418"/>
        </w:tabs>
        <w:spacing w:before="120" w:line="240" w:lineRule="auto"/>
        <w:ind w:left="1418" w:hanging="709"/>
        <w:rPr>
          <w:rFonts w:cs="Arial"/>
          <w:i/>
          <w:color w:val="4F6228"/>
        </w:rPr>
      </w:pPr>
    </w:p>
    <w:p w:rsidR="002C17F4" w:rsidRPr="001B6BD2" w:rsidRDefault="002C17F4" w:rsidP="00511229">
      <w:pPr>
        <w:numPr>
          <w:ilvl w:val="3"/>
          <w:numId w:val="11"/>
        </w:numPr>
        <w:tabs>
          <w:tab w:val="num" w:pos="1418"/>
        </w:tabs>
        <w:spacing w:before="120" w:line="240" w:lineRule="auto"/>
        <w:ind w:left="1418" w:hanging="709"/>
        <w:rPr>
          <w:rFonts w:cs="Arial"/>
          <w:i/>
        </w:rPr>
      </w:pPr>
      <w:r w:rsidRPr="009A25F5">
        <w:rPr>
          <w:rFonts w:cs="Arial"/>
          <w:b/>
          <w:i/>
        </w:rPr>
        <w:t>Monthly</w:t>
      </w:r>
      <w:r w:rsidRPr="009A25F5">
        <w:rPr>
          <w:rFonts w:cs="Arial"/>
          <w:i/>
        </w:rPr>
        <w:t xml:space="preserve"> </w:t>
      </w:r>
      <w:r w:rsidRPr="009A25F5">
        <w:rPr>
          <w:rFonts w:cs="Arial"/>
        </w:rPr>
        <w:t xml:space="preserve">means all litter to have been collected, bins emptied and waste removed from site before 16.00 hours on the collection day; and that monthly collection days are not less than 25 calendar days or more than 30 calendar days apart.  The planned day of collection to be notified to the Forestry Commission in advance. </w:t>
      </w:r>
    </w:p>
    <w:p w:rsidR="001B6BD2" w:rsidRPr="00511229" w:rsidRDefault="001B6BD2" w:rsidP="001B6BD2">
      <w:pPr>
        <w:tabs>
          <w:tab w:val="num" w:pos="1418"/>
        </w:tabs>
        <w:spacing w:before="120" w:line="240" w:lineRule="auto"/>
        <w:rPr>
          <w:rFonts w:cs="Arial"/>
          <w:i/>
        </w:rPr>
      </w:pPr>
    </w:p>
    <w:p w:rsidR="002C17F4" w:rsidRPr="009A25F5" w:rsidRDefault="002C17F4" w:rsidP="004976D7">
      <w:pPr>
        <w:numPr>
          <w:ilvl w:val="3"/>
          <w:numId w:val="11"/>
        </w:numPr>
        <w:tabs>
          <w:tab w:val="num" w:pos="1418"/>
        </w:tabs>
        <w:spacing w:before="120" w:line="240" w:lineRule="auto"/>
        <w:ind w:left="1418" w:hanging="709"/>
        <w:rPr>
          <w:rFonts w:cs="Arial"/>
          <w:i/>
        </w:rPr>
      </w:pPr>
      <w:r w:rsidRPr="009A25F5">
        <w:rPr>
          <w:rFonts w:cs="Arial"/>
          <w:b/>
          <w:i/>
        </w:rPr>
        <w:t>On Request &amp; ad hoc</w:t>
      </w:r>
      <w:r w:rsidRPr="009A25F5">
        <w:rPr>
          <w:rFonts w:cs="Arial"/>
          <w:i/>
        </w:rPr>
        <w:t xml:space="preserve"> </w:t>
      </w:r>
      <w:r w:rsidRPr="009A25F5">
        <w:rPr>
          <w:rFonts w:cs="Arial"/>
        </w:rPr>
        <w:t>means that within 3 working days of a service request being made that all litter to have been collected, bins emptied and waste removed from site before 16.00 hours on the collection day; and that the planned day of collection be notified and agreed by the Forestry Commission in advance.</w:t>
      </w:r>
    </w:p>
    <w:p w:rsidR="002C17F4" w:rsidRPr="009B1964" w:rsidRDefault="002C17F4" w:rsidP="002C17F4">
      <w:pPr>
        <w:spacing w:before="120" w:line="240" w:lineRule="auto"/>
        <w:rPr>
          <w:rFonts w:cs="Arial"/>
          <w:color w:val="4F6228"/>
        </w:rPr>
      </w:pPr>
    </w:p>
    <w:p w:rsidR="002C17F4" w:rsidRPr="009A25F5" w:rsidRDefault="002C17F4" w:rsidP="004976D7">
      <w:pPr>
        <w:numPr>
          <w:ilvl w:val="1"/>
          <w:numId w:val="11"/>
        </w:numPr>
        <w:spacing w:before="120" w:after="240" w:line="260" w:lineRule="atLeast"/>
        <w:jc w:val="both"/>
        <w:rPr>
          <w:szCs w:val="20"/>
        </w:rPr>
      </w:pPr>
      <w:r w:rsidRPr="009A25F5">
        <w:rPr>
          <w:szCs w:val="20"/>
        </w:rPr>
        <w:t>On each site visit make note of any of the following if found or identified and report to Forestry Commission when reporting that the service is complete:</w:t>
      </w:r>
    </w:p>
    <w:p w:rsidR="002C17F4" w:rsidRPr="009A25F5" w:rsidRDefault="002C17F4" w:rsidP="004976D7">
      <w:pPr>
        <w:numPr>
          <w:ilvl w:val="3"/>
          <w:numId w:val="11"/>
        </w:numPr>
        <w:tabs>
          <w:tab w:val="num" w:pos="1418"/>
        </w:tabs>
        <w:spacing w:before="120" w:after="240" w:line="260" w:lineRule="atLeast"/>
        <w:ind w:left="1418" w:hanging="709"/>
        <w:jc w:val="both"/>
        <w:rPr>
          <w:szCs w:val="20"/>
        </w:rPr>
      </w:pPr>
      <w:r w:rsidRPr="009A25F5">
        <w:rPr>
          <w:szCs w:val="20"/>
        </w:rPr>
        <w:t>Broken or damaged bins;</w:t>
      </w:r>
    </w:p>
    <w:p w:rsidR="002C17F4" w:rsidRPr="009A25F5" w:rsidRDefault="002C17F4" w:rsidP="004976D7">
      <w:pPr>
        <w:numPr>
          <w:ilvl w:val="3"/>
          <w:numId w:val="11"/>
        </w:numPr>
        <w:tabs>
          <w:tab w:val="num" w:pos="1418"/>
        </w:tabs>
        <w:spacing w:before="120" w:after="240" w:line="260" w:lineRule="atLeast"/>
        <w:ind w:left="1418" w:hanging="709"/>
        <w:jc w:val="both"/>
        <w:rPr>
          <w:szCs w:val="20"/>
        </w:rPr>
      </w:pPr>
      <w:r w:rsidRPr="009A25F5">
        <w:rPr>
          <w:szCs w:val="20"/>
        </w:rPr>
        <w:t xml:space="preserve">Sharps – i.e. used syringes or other potential drug related paraphernalia; </w:t>
      </w:r>
    </w:p>
    <w:p w:rsidR="002C17F4" w:rsidRPr="009A25F5" w:rsidRDefault="002C17F4" w:rsidP="004976D7">
      <w:pPr>
        <w:numPr>
          <w:ilvl w:val="3"/>
          <w:numId w:val="11"/>
        </w:numPr>
        <w:tabs>
          <w:tab w:val="num" w:pos="1418"/>
        </w:tabs>
        <w:spacing w:before="120" w:after="240" w:line="260" w:lineRule="atLeast"/>
        <w:ind w:left="1418" w:hanging="709"/>
        <w:jc w:val="both"/>
        <w:rPr>
          <w:szCs w:val="20"/>
        </w:rPr>
      </w:pPr>
      <w:r w:rsidRPr="009A25F5">
        <w:rPr>
          <w:szCs w:val="20"/>
        </w:rPr>
        <w:t>Sexual litter – i.e. used condoms and similar (collection as per black bag waste);</w:t>
      </w:r>
    </w:p>
    <w:p w:rsidR="002C17F4" w:rsidRPr="009A25F5" w:rsidRDefault="002C17F4" w:rsidP="004976D7">
      <w:pPr>
        <w:numPr>
          <w:ilvl w:val="3"/>
          <w:numId w:val="11"/>
        </w:numPr>
        <w:tabs>
          <w:tab w:val="num" w:pos="1418"/>
        </w:tabs>
        <w:spacing w:before="120" w:after="240" w:line="260" w:lineRule="atLeast"/>
        <w:ind w:left="1418" w:hanging="709"/>
        <w:jc w:val="both"/>
        <w:rPr>
          <w:szCs w:val="20"/>
        </w:rPr>
      </w:pPr>
      <w:r w:rsidRPr="009A25F5">
        <w:rPr>
          <w:szCs w:val="20"/>
        </w:rPr>
        <w:t>Any fly-tipping, including apparently aban</w:t>
      </w:r>
      <w:r>
        <w:rPr>
          <w:szCs w:val="20"/>
        </w:rPr>
        <w:t>doned vehicles and similar;</w:t>
      </w:r>
    </w:p>
    <w:p w:rsidR="002C17F4" w:rsidRPr="009A25F5" w:rsidRDefault="002C17F4" w:rsidP="004976D7">
      <w:pPr>
        <w:numPr>
          <w:ilvl w:val="3"/>
          <w:numId w:val="11"/>
        </w:numPr>
        <w:tabs>
          <w:tab w:val="num" w:pos="1418"/>
        </w:tabs>
        <w:spacing w:before="120" w:after="240" w:line="260" w:lineRule="atLeast"/>
        <w:ind w:left="1418" w:hanging="709"/>
        <w:jc w:val="both"/>
        <w:rPr>
          <w:szCs w:val="20"/>
        </w:rPr>
      </w:pPr>
      <w:r w:rsidRPr="009A25F5">
        <w:rPr>
          <w:szCs w:val="20"/>
        </w:rPr>
        <w:t>Bro</w:t>
      </w:r>
      <w:r>
        <w:rPr>
          <w:szCs w:val="20"/>
        </w:rPr>
        <w:t>ken gates or signage or similar;</w:t>
      </w:r>
    </w:p>
    <w:p w:rsidR="002C17F4" w:rsidRPr="009A25F5" w:rsidRDefault="002C17F4" w:rsidP="004976D7">
      <w:pPr>
        <w:numPr>
          <w:ilvl w:val="3"/>
          <w:numId w:val="11"/>
        </w:numPr>
        <w:tabs>
          <w:tab w:val="num" w:pos="1418"/>
        </w:tabs>
        <w:spacing w:before="120" w:after="240" w:line="260" w:lineRule="atLeast"/>
        <w:ind w:left="1418" w:hanging="709"/>
        <w:jc w:val="both"/>
        <w:rPr>
          <w:szCs w:val="20"/>
        </w:rPr>
      </w:pPr>
      <w:r w:rsidRPr="009A25F5">
        <w:rPr>
          <w:szCs w:val="20"/>
        </w:rPr>
        <w:t>Anything else that the contractor believes may constitute a threat to public safety.</w:t>
      </w:r>
    </w:p>
    <w:p w:rsidR="002C17F4" w:rsidRPr="00360634" w:rsidRDefault="002C17F4" w:rsidP="004976D7">
      <w:pPr>
        <w:numPr>
          <w:ilvl w:val="1"/>
          <w:numId w:val="11"/>
        </w:numPr>
        <w:spacing w:before="120" w:after="240" w:line="260" w:lineRule="atLeast"/>
        <w:jc w:val="both"/>
        <w:rPr>
          <w:szCs w:val="20"/>
        </w:rPr>
      </w:pPr>
      <w:r w:rsidRPr="009A25F5">
        <w:rPr>
          <w:szCs w:val="20"/>
        </w:rPr>
        <w:t xml:space="preserve">The contractor may suggest changes to the frequency or method of collection of waste for each site or area to improve the service and better achieve the objective </w:t>
      </w:r>
      <w:r>
        <w:rPr>
          <w:szCs w:val="20"/>
        </w:rPr>
        <w:t xml:space="preserve">stated at a), but for the purposes of evaluating bidder submissions prices will be required for each service specified on </w:t>
      </w:r>
      <w:r w:rsidR="003B32F0" w:rsidRPr="003B32F0">
        <w:rPr>
          <w:szCs w:val="24"/>
        </w:rPr>
        <w:t>Appendix</w:t>
      </w:r>
      <w:r>
        <w:rPr>
          <w:szCs w:val="20"/>
        </w:rPr>
        <w:t xml:space="preserve"> 1.</w:t>
      </w:r>
    </w:p>
    <w:p w:rsidR="002C17F4" w:rsidRPr="00360634" w:rsidRDefault="002C17F4" w:rsidP="004976D7">
      <w:pPr>
        <w:numPr>
          <w:ilvl w:val="1"/>
          <w:numId w:val="11"/>
        </w:numPr>
        <w:spacing w:before="120" w:after="240" w:line="260" w:lineRule="atLeast"/>
        <w:jc w:val="both"/>
        <w:rPr>
          <w:szCs w:val="20"/>
        </w:rPr>
      </w:pPr>
      <w:r w:rsidRPr="00360634">
        <w:rPr>
          <w:b/>
          <w:szCs w:val="20"/>
        </w:rPr>
        <w:t xml:space="preserve">Materials, goods or other consumables: </w:t>
      </w:r>
      <w:r w:rsidRPr="00360634">
        <w:rPr>
          <w:szCs w:val="20"/>
        </w:rPr>
        <w:t>Contractor to supply black sacks or other receptacles</w:t>
      </w:r>
      <w:r w:rsidR="00A332F5">
        <w:rPr>
          <w:szCs w:val="20"/>
        </w:rPr>
        <w:t xml:space="preserve"> and any other equipment necessary</w:t>
      </w:r>
      <w:r w:rsidRPr="00360634">
        <w:rPr>
          <w:szCs w:val="20"/>
        </w:rPr>
        <w:t xml:space="preserve"> to collect and transport collected wastes; and fit replacement bin liners as required.</w:t>
      </w:r>
    </w:p>
    <w:p w:rsidR="002C17F4" w:rsidRPr="009B1964" w:rsidRDefault="002C17F4" w:rsidP="004976D7">
      <w:pPr>
        <w:numPr>
          <w:ilvl w:val="1"/>
          <w:numId w:val="11"/>
        </w:numPr>
        <w:spacing w:before="120" w:after="240" w:line="260" w:lineRule="atLeast"/>
        <w:jc w:val="both"/>
        <w:rPr>
          <w:color w:val="4F6228"/>
          <w:szCs w:val="20"/>
        </w:rPr>
      </w:pPr>
      <w:r w:rsidRPr="00360634">
        <w:rPr>
          <w:b/>
          <w:szCs w:val="20"/>
        </w:rPr>
        <w:t>Premises</w:t>
      </w:r>
      <w:r>
        <w:rPr>
          <w:b/>
          <w:szCs w:val="20"/>
        </w:rPr>
        <w:t xml:space="preserve"> / Site Locations</w:t>
      </w:r>
      <w:r>
        <w:rPr>
          <w:szCs w:val="20"/>
        </w:rPr>
        <w:t xml:space="preserve"> L</w:t>
      </w:r>
      <w:r w:rsidRPr="000216E6">
        <w:rPr>
          <w:szCs w:val="20"/>
        </w:rPr>
        <w:t>ocation map</w:t>
      </w:r>
      <w:r>
        <w:rPr>
          <w:szCs w:val="20"/>
        </w:rPr>
        <w:t xml:space="preserve">s for all sites are provided in </w:t>
      </w:r>
      <w:r w:rsidR="003B32F0" w:rsidRPr="003B32F0">
        <w:rPr>
          <w:szCs w:val="24"/>
        </w:rPr>
        <w:t>Appendix</w:t>
      </w:r>
      <w:r>
        <w:rPr>
          <w:szCs w:val="20"/>
        </w:rPr>
        <w:t xml:space="preserve"> 2.</w:t>
      </w:r>
      <w:r w:rsidRPr="00E64A65">
        <w:rPr>
          <w:b/>
          <w:szCs w:val="20"/>
        </w:rPr>
        <w:t xml:space="preserve"> </w:t>
      </w:r>
      <w:r w:rsidRPr="000216E6">
        <w:rPr>
          <w:szCs w:val="20"/>
        </w:rPr>
        <w:t xml:space="preserve">The grid reference for </w:t>
      </w:r>
      <w:r>
        <w:rPr>
          <w:szCs w:val="20"/>
        </w:rPr>
        <w:t xml:space="preserve">the centre point of each map is </w:t>
      </w:r>
      <w:r w:rsidRPr="000216E6">
        <w:rPr>
          <w:szCs w:val="20"/>
        </w:rPr>
        <w:t>provided</w:t>
      </w:r>
      <w:r>
        <w:rPr>
          <w:szCs w:val="20"/>
        </w:rPr>
        <w:t xml:space="preserve"> in </w:t>
      </w:r>
      <w:r w:rsidR="003B32F0" w:rsidRPr="003B32F0">
        <w:rPr>
          <w:szCs w:val="24"/>
        </w:rPr>
        <w:t>Appendix</w:t>
      </w:r>
      <w:r>
        <w:rPr>
          <w:szCs w:val="20"/>
        </w:rPr>
        <w:t xml:space="preserve"> 1.</w:t>
      </w:r>
    </w:p>
    <w:p w:rsidR="002C17F4" w:rsidRPr="00360634" w:rsidRDefault="002C17F4" w:rsidP="004976D7">
      <w:pPr>
        <w:numPr>
          <w:ilvl w:val="1"/>
          <w:numId w:val="11"/>
        </w:numPr>
        <w:spacing w:before="120" w:after="240" w:line="260" w:lineRule="atLeast"/>
        <w:jc w:val="both"/>
        <w:rPr>
          <w:szCs w:val="20"/>
        </w:rPr>
      </w:pPr>
      <w:r w:rsidRPr="00360634">
        <w:rPr>
          <w:b/>
          <w:szCs w:val="20"/>
        </w:rPr>
        <w:lastRenderedPageBreak/>
        <w:t>Authorised Access Routes:</w:t>
      </w:r>
      <w:r w:rsidRPr="00360634">
        <w:rPr>
          <w:szCs w:val="20"/>
        </w:rPr>
        <w:t xml:space="preserve">  Vehicle access to the woodland beyond t</w:t>
      </w:r>
      <w:r w:rsidR="00A332F5">
        <w:rPr>
          <w:szCs w:val="20"/>
        </w:rPr>
        <w:t>he forest gate is not permitted</w:t>
      </w:r>
      <w:r w:rsidRPr="00360634">
        <w:rPr>
          <w:szCs w:val="20"/>
        </w:rPr>
        <w:t xml:space="preserve"> </w:t>
      </w:r>
      <w:r w:rsidR="00A332F5" w:rsidRPr="00A332F5">
        <w:rPr>
          <w:iCs/>
        </w:rPr>
        <w:t>with the exception of Cardinham (Map 2</w:t>
      </w:r>
      <w:r w:rsidR="00A332F5">
        <w:rPr>
          <w:iCs/>
        </w:rPr>
        <w:t xml:space="preserve">, </w:t>
      </w:r>
      <w:r w:rsidR="003B32F0" w:rsidRPr="003B32F0">
        <w:rPr>
          <w:szCs w:val="24"/>
        </w:rPr>
        <w:t>Appendix</w:t>
      </w:r>
      <w:r w:rsidR="00A332F5">
        <w:rPr>
          <w:iCs/>
        </w:rPr>
        <w:t xml:space="preserve"> 2</w:t>
      </w:r>
      <w:r w:rsidR="00A332F5" w:rsidRPr="00A332F5">
        <w:rPr>
          <w:iCs/>
        </w:rPr>
        <w:t>) for the purpose of collecting waste from bins located on recreation routes. Access is only permitted along a pre-agreed route with a speed limit of 10mph</w:t>
      </w:r>
      <w:r w:rsidR="009D48B1">
        <w:rPr>
          <w:iCs/>
        </w:rPr>
        <w:t>.</w:t>
      </w:r>
      <w:r w:rsidRPr="00A332F5">
        <w:rPr>
          <w:szCs w:val="20"/>
        </w:rPr>
        <w:t xml:space="preserve"> </w:t>
      </w:r>
    </w:p>
    <w:p w:rsidR="002C17F4" w:rsidRDefault="002C17F4" w:rsidP="004976D7">
      <w:pPr>
        <w:numPr>
          <w:ilvl w:val="1"/>
          <w:numId w:val="11"/>
        </w:numPr>
        <w:spacing w:before="120" w:line="240" w:lineRule="auto"/>
        <w:rPr>
          <w:rFonts w:cs="Arial"/>
        </w:rPr>
      </w:pPr>
      <w:r w:rsidRPr="00360634">
        <w:rPr>
          <w:rFonts w:cs="Arial"/>
        </w:rPr>
        <w:t>A copy of waste carriers licence(s) on commencement of the contract and annually thereafter or as renewed or updated.</w:t>
      </w:r>
    </w:p>
    <w:p w:rsidR="002C17F4" w:rsidRDefault="002C17F4" w:rsidP="002C17F4">
      <w:pPr>
        <w:pStyle w:val="Heading2"/>
        <w:numPr>
          <w:ilvl w:val="1"/>
          <w:numId w:val="0"/>
        </w:numPr>
        <w:ind w:left="576" w:hanging="576"/>
      </w:pPr>
      <w:r>
        <w:t>2.4 Missed or Incomplete Service</w:t>
      </w:r>
    </w:p>
    <w:p w:rsidR="002C17F4" w:rsidRPr="000216E6" w:rsidRDefault="002C17F4" w:rsidP="002C17F4">
      <w:pPr>
        <w:pStyle w:val="FCGBBodyText"/>
      </w:pPr>
    </w:p>
    <w:p w:rsidR="002C17F4" w:rsidRDefault="002C17F4" w:rsidP="004976D7">
      <w:pPr>
        <w:numPr>
          <w:ilvl w:val="1"/>
          <w:numId w:val="12"/>
        </w:numPr>
        <w:spacing w:before="120" w:line="240" w:lineRule="auto"/>
        <w:rPr>
          <w:rFonts w:cs="Arial"/>
        </w:rPr>
      </w:pPr>
      <w:r w:rsidRPr="00047D7F">
        <w:rPr>
          <w:rFonts w:cs="Arial"/>
        </w:rPr>
        <w:t>It is expected that the contractor will provide a thorough and reliable service, and through good communication there will be no missed or incomplete services.  However, the following provisions are made with regard to missed or incomplete services.</w:t>
      </w:r>
    </w:p>
    <w:p w:rsidR="002C17F4" w:rsidRPr="001C50E9" w:rsidRDefault="002C17F4" w:rsidP="004976D7">
      <w:pPr>
        <w:numPr>
          <w:ilvl w:val="1"/>
          <w:numId w:val="12"/>
        </w:numPr>
        <w:spacing w:before="120" w:line="240" w:lineRule="auto"/>
        <w:rPr>
          <w:color w:val="4F6228"/>
        </w:rPr>
      </w:pPr>
      <w:r w:rsidRPr="007A4ECF">
        <w:rPr>
          <w:rFonts w:cs="Arial"/>
          <w:szCs w:val="20"/>
        </w:rPr>
        <w:t>Following the procedure se</w:t>
      </w:r>
      <w:r>
        <w:rPr>
          <w:rFonts w:cs="Arial"/>
          <w:szCs w:val="20"/>
        </w:rPr>
        <w:t>t out in 2.3 k</w:t>
      </w:r>
      <w:r w:rsidRPr="007A4ECF">
        <w:rPr>
          <w:rFonts w:cs="Arial"/>
          <w:szCs w:val="20"/>
        </w:rPr>
        <w:t>) the Forestry Commission may then arrange for a site inspection to be carried out, if there is evidence that the service has not been delivered to the satisfaction of the Forestry Commission an Incomplete Service report will be made and sent to the contractor as soon as practical, and within 2-working days.  The contractor will be expected to revisit the site and make good the deficient service at their expense prior to the next scheduled service delivery date or otherwise within a further 2-working days of the incomplete service, whichever is sooner.  Failure to correct the missed or incomplete service before the next scheduled service date or within 2-working days will be regarded as a miss</w:t>
      </w:r>
      <w:r>
        <w:rPr>
          <w:rFonts w:cs="Arial"/>
          <w:szCs w:val="20"/>
        </w:rPr>
        <w:t>ed service and no payment made.</w:t>
      </w:r>
    </w:p>
    <w:p w:rsidR="002C17F4" w:rsidRPr="007A4ECF" w:rsidRDefault="002C17F4" w:rsidP="004976D7">
      <w:pPr>
        <w:numPr>
          <w:ilvl w:val="1"/>
          <w:numId w:val="12"/>
        </w:numPr>
        <w:spacing w:before="120" w:line="240" w:lineRule="auto"/>
        <w:rPr>
          <w:color w:val="4F6228"/>
        </w:rPr>
      </w:pPr>
      <w:r>
        <w:rPr>
          <w:rFonts w:cs="Arial"/>
          <w:szCs w:val="20"/>
        </w:rPr>
        <w:t>Consistent poor performance which results in more than 6 missed service reports in any 12 month period will result in a formal review which may lead to termination of the contract. If the contract is terminated the contractor would be liable for the additional cost associated with sourcing another provider.</w:t>
      </w:r>
    </w:p>
    <w:p w:rsidR="002C17F4" w:rsidRPr="009B1964" w:rsidRDefault="002C17F4" w:rsidP="002C17F4">
      <w:pPr>
        <w:ind w:left="360"/>
        <w:rPr>
          <w:color w:val="4F6228"/>
        </w:rPr>
      </w:pPr>
    </w:p>
    <w:p w:rsidR="002C17F4" w:rsidRPr="00305DB0" w:rsidRDefault="002C17F4" w:rsidP="002C17F4">
      <w:pPr>
        <w:pStyle w:val="Heading2"/>
        <w:numPr>
          <w:ilvl w:val="1"/>
          <w:numId w:val="0"/>
        </w:numPr>
        <w:ind w:left="576" w:hanging="576"/>
      </w:pPr>
      <w:r>
        <w:t>2.5 Special Conditions</w:t>
      </w:r>
    </w:p>
    <w:p w:rsidR="002C17F4" w:rsidRDefault="002C17F4" w:rsidP="002C17F4">
      <w:pPr>
        <w:pStyle w:val="FCGBBodyText"/>
      </w:pPr>
    </w:p>
    <w:p w:rsidR="002C17F4" w:rsidRDefault="00FE26F4" w:rsidP="002C17F4">
      <w:pPr>
        <w:spacing w:before="120" w:line="240" w:lineRule="auto"/>
        <w:rPr>
          <w:rFonts w:cs="Arial"/>
        </w:rPr>
      </w:pPr>
      <w:r>
        <w:rPr>
          <w:rFonts w:cs="Arial"/>
        </w:rPr>
        <w:t>Not applicable.</w:t>
      </w:r>
    </w:p>
    <w:p w:rsidR="002C17F4" w:rsidRDefault="002C17F4" w:rsidP="002C17F4">
      <w:pPr>
        <w:rPr>
          <w:color w:val="4F6228"/>
        </w:rPr>
      </w:pPr>
    </w:p>
    <w:p w:rsidR="002C17F4" w:rsidRDefault="002C17F4" w:rsidP="002C17F4">
      <w:pPr>
        <w:pStyle w:val="Heading2"/>
        <w:numPr>
          <w:ilvl w:val="1"/>
          <w:numId w:val="0"/>
        </w:numPr>
        <w:ind w:left="576" w:hanging="576"/>
      </w:pPr>
      <w:r>
        <w:t>2.6 Safety, Health and Environment Requirements</w:t>
      </w:r>
    </w:p>
    <w:p w:rsidR="002C17F4" w:rsidRDefault="002C17F4" w:rsidP="002C17F4">
      <w:pPr>
        <w:spacing w:before="240" w:line="240" w:lineRule="auto"/>
        <w:jc w:val="both"/>
      </w:pPr>
      <w:r>
        <w:t>Competency of service providers is assessed via s</w:t>
      </w:r>
      <w:r w:rsidR="00F12625">
        <w:t>ection 4.3</w:t>
      </w:r>
      <w:r>
        <w:t xml:space="preserve"> of the evaluation matrix. In addition to this the contractor will be required to comply with Forestry Commission standards and procedures whilst they and, or their sub-contractors are operating on the Public Forest Estate.</w:t>
      </w:r>
    </w:p>
    <w:p w:rsidR="002C17F4" w:rsidRDefault="002C17F4" w:rsidP="002C17F4">
      <w:pPr>
        <w:spacing w:before="240" w:line="240" w:lineRule="auto"/>
        <w:jc w:val="both"/>
      </w:pPr>
      <w:r>
        <w:t>The Contractor will attend a meeting prior to commencement of any services to agree roles and responsibilities and risk management.</w:t>
      </w:r>
    </w:p>
    <w:p w:rsidR="002C17F4" w:rsidRDefault="002C17F4" w:rsidP="002C17F4">
      <w:pPr>
        <w:pStyle w:val="Default"/>
      </w:pPr>
    </w:p>
    <w:p w:rsidR="002C17F4" w:rsidRDefault="002C17F4" w:rsidP="002C17F4">
      <w:pPr>
        <w:pStyle w:val="Default"/>
        <w:rPr>
          <w:sz w:val="22"/>
          <w:szCs w:val="22"/>
        </w:rPr>
      </w:pPr>
      <w:r>
        <w:rPr>
          <w:sz w:val="22"/>
          <w:szCs w:val="22"/>
        </w:rPr>
        <w:t>Throughout the life of the contract, performance will be monitored and where appropriate improved. Should performance of the contractor, including their sub-contractors fall below required standards, the Forestry Commission will apply a Red-Amber-Green (RAG) system to classify a safety breach and determine what we do about it.</w:t>
      </w:r>
      <w:r>
        <w:rPr>
          <w:b/>
          <w:color w:val="FF0000"/>
          <w:sz w:val="22"/>
          <w:szCs w:val="22"/>
        </w:rPr>
        <w:t xml:space="preserve"> </w:t>
      </w:r>
      <w:r>
        <w:rPr>
          <w:color w:val="auto"/>
          <w:sz w:val="22"/>
          <w:szCs w:val="22"/>
        </w:rPr>
        <w:t xml:space="preserve">Further information and guidance on how our safety systems operate is available using the following link: </w:t>
      </w:r>
    </w:p>
    <w:p w:rsidR="002C17F4" w:rsidRDefault="002C17F4" w:rsidP="002C17F4">
      <w:pPr>
        <w:rPr>
          <w:color w:val="4F6228"/>
        </w:rPr>
      </w:pPr>
    </w:p>
    <w:p w:rsidR="00511229" w:rsidRDefault="00F328DA" w:rsidP="00511229">
      <w:pPr>
        <w:rPr>
          <w:color w:val="4F6228"/>
        </w:rPr>
      </w:pPr>
      <w:hyperlink r:id="rId10" w:history="1">
        <w:r w:rsidR="00FF0CB3" w:rsidRPr="00FF0CB3">
          <w:rPr>
            <w:rStyle w:val="Hyperlink"/>
          </w:rPr>
          <w:t>https://www.forestryengland.uk/article/safety-contracts</w:t>
        </w:r>
      </w:hyperlink>
    </w:p>
    <w:p w:rsidR="00511229" w:rsidRPr="00511229" w:rsidRDefault="00511229" w:rsidP="00511229">
      <w:pPr>
        <w:rPr>
          <w:color w:val="4F6228"/>
        </w:rPr>
      </w:pPr>
    </w:p>
    <w:p w:rsidR="002C17F4" w:rsidRDefault="002C17F4" w:rsidP="002C17F4">
      <w:pPr>
        <w:pStyle w:val="Heading2"/>
        <w:numPr>
          <w:ilvl w:val="1"/>
          <w:numId w:val="0"/>
        </w:numPr>
        <w:ind w:left="576" w:hanging="576"/>
      </w:pPr>
      <w:r>
        <w:t>2.7 Invoicing Arrangements</w:t>
      </w:r>
    </w:p>
    <w:p w:rsidR="002C17F4" w:rsidRDefault="002C17F4" w:rsidP="002C17F4">
      <w:pPr>
        <w:pStyle w:val="FCGBBodyText"/>
      </w:pPr>
    </w:p>
    <w:p w:rsidR="002C17F4" w:rsidRPr="00E64633" w:rsidRDefault="002C17F4" w:rsidP="004976D7">
      <w:pPr>
        <w:numPr>
          <w:ilvl w:val="1"/>
          <w:numId w:val="13"/>
        </w:numPr>
        <w:spacing w:before="120" w:line="240" w:lineRule="auto"/>
        <w:rPr>
          <w:rFonts w:cs="Arial"/>
        </w:rPr>
      </w:pPr>
      <w:r>
        <w:rPr>
          <w:rFonts w:cs="Arial"/>
        </w:rPr>
        <w:t>An invoice for the services provided under the contract should be provided within two weeks of the end of the month that the services were provided in. Invoices should be sent to the following address:</w:t>
      </w:r>
    </w:p>
    <w:p w:rsidR="002C17F4" w:rsidRDefault="002C17F4" w:rsidP="004976D7">
      <w:pPr>
        <w:pStyle w:val="FCGBBodyText"/>
        <w:numPr>
          <w:ilvl w:val="0"/>
          <w:numId w:val="14"/>
        </w:numPr>
        <w:spacing w:before="240"/>
      </w:pPr>
      <w:r>
        <w:t>Forestry Commission, Boundary Road, Dunmere, Bodmin, PL31 2RD.</w:t>
      </w:r>
    </w:p>
    <w:p w:rsidR="003B32F0" w:rsidRDefault="003B32F0" w:rsidP="003B32F0">
      <w:pPr>
        <w:pStyle w:val="FCGBBodyText"/>
        <w:spacing w:before="240"/>
        <w:ind w:left="720"/>
      </w:pPr>
      <w:r>
        <w:t>Or sent by e-mail (including the contract number in the subject) to:</w:t>
      </w:r>
    </w:p>
    <w:p w:rsidR="003B32F0" w:rsidRPr="00D76775" w:rsidRDefault="00F328DA" w:rsidP="003B32F0">
      <w:pPr>
        <w:pStyle w:val="FCGBBodyText"/>
        <w:numPr>
          <w:ilvl w:val="0"/>
          <w:numId w:val="15"/>
        </w:numPr>
        <w:spacing w:before="240"/>
      </w:pPr>
      <w:hyperlink r:id="rId11" w:history="1">
        <w:r w:rsidR="003B32F0" w:rsidRPr="003B32F0">
          <w:rPr>
            <w:rStyle w:val="Hyperlink"/>
          </w:rPr>
          <w:t>westengland@forestryengland.uk</w:t>
        </w:r>
      </w:hyperlink>
    </w:p>
    <w:p w:rsidR="00DC13B4" w:rsidRDefault="00DC13B4" w:rsidP="00323316"/>
    <w:p w:rsidR="00323316" w:rsidRPr="002C17F4" w:rsidRDefault="00DC13B4" w:rsidP="0047298D">
      <w:r w:rsidRPr="002C17F4">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2" w:history="1">
        <w:r w:rsidR="002C17F4">
          <w:rPr>
            <w:rStyle w:val="Hyperlink"/>
          </w:rPr>
          <w:t>https://www.forestryengland.uk/article/biosecurity-advice-forest-visitors</w:t>
        </w:r>
      </w:hyperlink>
      <w:r w:rsidR="0047298D" w:rsidRPr="002C17F4">
        <w:t>.</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676B5F" w:rsidRDefault="00676B5F" w:rsidP="003B32F0">
            <w:r w:rsidRPr="00676B5F">
              <w:t xml:space="preserve">Monday </w:t>
            </w:r>
            <w:r w:rsidR="003B32F0">
              <w:t>2</w:t>
            </w:r>
            <w:r w:rsidR="003B32F0" w:rsidRPr="003B32F0">
              <w:rPr>
                <w:vertAlign w:val="superscript"/>
              </w:rPr>
              <w:t>nd</w:t>
            </w:r>
            <w:r w:rsidRPr="00676B5F">
              <w:t xml:space="preserve"> </w:t>
            </w:r>
            <w:r w:rsidR="003B32F0">
              <w:t>September</w:t>
            </w:r>
            <w:r w:rsidRPr="00676B5F">
              <w:t xml:space="preserve"> 2019</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676B5F" w:rsidRDefault="00676B5F" w:rsidP="003B32F0">
            <w:pPr>
              <w:rPr>
                <w:b/>
                <w:color w:val="365F91"/>
              </w:rPr>
            </w:pPr>
            <w:r w:rsidRPr="00676B5F">
              <w:rPr>
                <w:b/>
              </w:rPr>
              <w:t xml:space="preserve">Midday Monday </w:t>
            </w:r>
            <w:r w:rsidR="003B32F0">
              <w:rPr>
                <w:b/>
              </w:rPr>
              <w:t>9</w:t>
            </w:r>
            <w:r w:rsidR="003B32F0" w:rsidRPr="003B32F0">
              <w:rPr>
                <w:b/>
                <w:vertAlign w:val="superscript"/>
              </w:rPr>
              <w:t>th</w:t>
            </w:r>
            <w:r w:rsidR="003B32F0">
              <w:rPr>
                <w:b/>
              </w:rPr>
              <w:t xml:space="preserve"> September</w:t>
            </w:r>
            <w:r w:rsidRPr="00676B5F">
              <w:rPr>
                <w:b/>
              </w:rPr>
              <w:t xml:space="preserve"> 2019</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736E3A" w:rsidRDefault="003B32F0" w:rsidP="003B32F0">
            <w:pPr>
              <w:rPr>
                <w:color w:val="365F91"/>
              </w:rPr>
            </w:pPr>
            <w:r>
              <w:t>Week commencing 16</w:t>
            </w:r>
            <w:r w:rsidRPr="003B32F0">
              <w:rPr>
                <w:vertAlign w:val="superscript"/>
              </w:rPr>
              <w:t>th</w:t>
            </w:r>
            <w:r w:rsidR="00676B5F" w:rsidRPr="00676B5F">
              <w:t xml:space="preserve"> September 2019</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736E3A" w:rsidRDefault="00731AC9" w:rsidP="00731AC9">
            <w:pPr>
              <w:rPr>
                <w:color w:val="365F91"/>
              </w:rPr>
            </w:pPr>
            <w:r>
              <w:t>Week commencing 23</w:t>
            </w:r>
            <w:r w:rsidRPr="00731AC9">
              <w:rPr>
                <w:vertAlign w:val="superscript"/>
              </w:rPr>
              <w:t>rd</w:t>
            </w:r>
            <w:r w:rsidR="00676B5F" w:rsidRPr="00676B5F">
              <w:t xml:space="preserve"> September 2019</w:t>
            </w:r>
          </w:p>
        </w:tc>
      </w:tr>
    </w:tbl>
    <w:p w:rsidR="00956066" w:rsidRPr="009E5141" w:rsidRDefault="00956066" w:rsidP="003C2EB2"/>
    <w:p w:rsidR="003C2EB2" w:rsidRDefault="003C2EB2" w:rsidP="003C2EB2">
      <w:pPr>
        <w:pStyle w:val="Heading3"/>
        <w:spacing w:after="0" w:line="240" w:lineRule="atLeast"/>
        <w:ind w:right="570"/>
        <w:rPr>
          <w:color w:val="auto"/>
        </w:rPr>
      </w:pPr>
      <w:r w:rsidRPr="0044231A">
        <w:rPr>
          <w:color w:val="auto"/>
        </w:rPr>
        <w:t xml:space="preserve">Site Visits </w:t>
      </w:r>
    </w:p>
    <w:p w:rsidR="003C2EB2" w:rsidRPr="0044231A" w:rsidRDefault="003C2EB2" w:rsidP="00096231">
      <w:r w:rsidRPr="0044231A">
        <w:t>Before the return date,</w:t>
      </w:r>
      <w:r w:rsidR="006D1103">
        <w:t xml:space="preserve"> it is recommended that</w:t>
      </w:r>
      <w:r w:rsidRPr="0044231A">
        <w:t xml:space="preserve"> bidders </w:t>
      </w:r>
      <w:r w:rsidR="006D1103">
        <w:t>attend a</w:t>
      </w:r>
      <w:r w:rsidRPr="0044231A">
        <w:t xml:space="preserve"> site visit so that they</w:t>
      </w:r>
      <w:r w:rsidR="0044231A">
        <w:t xml:space="preserve"> can complete their submission</w:t>
      </w:r>
      <w:r w:rsidR="006D1103">
        <w:t>.</w:t>
      </w:r>
      <w:r w:rsidRPr="0044231A">
        <w:t xml:space="preserve"> </w:t>
      </w:r>
      <w:r w:rsidR="006D1103">
        <w:t>B</w:t>
      </w:r>
      <w:r w:rsidRPr="0044231A">
        <w:t>idders should contact the person named at 3.</w:t>
      </w:r>
      <w:r w:rsidR="00956066" w:rsidRPr="0044231A">
        <w:t>3</w:t>
      </w:r>
      <w:r w:rsidR="006D1103">
        <w:t xml:space="preserve"> below to arrange a site visit. Please note that sites visits will not be accompanied and any Forestry England staff on site at the time of the site visit will not be able to provide information in relation to this tender exercise. </w:t>
      </w:r>
    </w:p>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FF0CB3" w:rsidRDefault="00FF0CB3" w:rsidP="006D1103">
      <w:pPr>
        <w:ind w:firstLine="720"/>
      </w:pPr>
    </w:p>
    <w:p w:rsidR="006D1103" w:rsidRDefault="006D1103" w:rsidP="00FF1C9B">
      <w:pPr>
        <w:ind w:firstLine="1134"/>
      </w:pPr>
      <w:r>
        <w:t>David Lloyd</w:t>
      </w:r>
    </w:p>
    <w:p w:rsidR="006D1103" w:rsidRPr="0044231A" w:rsidRDefault="00F328DA" w:rsidP="00FF1C9B">
      <w:pPr>
        <w:ind w:firstLine="1134"/>
      </w:pPr>
      <w:hyperlink r:id="rId13" w:history="1">
        <w:r w:rsidR="006D1103" w:rsidRPr="009C38AD">
          <w:rPr>
            <w:rStyle w:val="Hyperlink"/>
          </w:rPr>
          <w:t>david.lloyd@forestryengland.uk</w:t>
        </w:r>
      </w:hyperlink>
      <w:r w:rsidR="006D1103">
        <w:t xml:space="preserve"> </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lastRenderedPageBreak/>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full,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4976D7">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4976D7">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ED11C4">
        <w:rPr>
          <w:b/>
        </w:rPr>
        <w:t>Cornwall Litter Picking Services – FEE/0611</w:t>
      </w:r>
      <w:r w:rsidRPr="0062656E">
        <w:rPr>
          <w:b/>
        </w:rPr>
        <w:t xml:space="preserve"> –</w:t>
      </w:r>
      <w:r w:rsidRPr="0062656E">
        <w:t xml:space="preserve"> </w:t>
      </w:r>
      <w:r w:rsidRPr="0062656E">
        <w:rPr>
          <w:b/>
        </w:rPr>
        <w:t xml:space="preserve">Not to be opened until </w:t>
      </w:r>
      <w:r w:rsidR="00ED11C4">
        <w:rPr>
          <w:b/>
        </w:rPr>
        <w:t xml:space="preserve">Midday Monday </w:t>
      </w:r>
      <w:r w:rsidR="003B32F0">
        <w:rPr>
          <w:b/>
        </w:rPr>
        <w:t>9</w:t>
      </w:r>
      <w:r w:rsidR="00ED11C4" w:rsidRPr="00ED11C4">
        <w:rPr>
          <w:b/>
          <w:vertAlign w:val="superscript"/>
        </w:rPr>
        <w:t>th</w:t>
      </w:r>
      <w:r w:rsidR="00ED11C4">
        <w:rPr>
          <w:b/>
        </w:rPr>
        <w:t xml:space="preserve"> </w:t>
      </w:r>
      <w:r w:rsidR="003B32F0">
        <w:rPr>
          <w:b/>
        </w:rPr>
        <w:t>September</w:t>
      </w:r>
      <w:r w:rsidR="00ED11C4">
        <w:rPr>
          <w:b/>
        </w:rPr>
        <w:t xml:space="preserve"> 2019’</w:t>
      </w:r>
      <w:r w:rsidRPr="0062656E">
        <w:t>.</w:t>
      </w:r>
    </w:p>
    <w:p w:rsidR="00362D3F" w:rsidRDefault="00362D3F" w:rsidP="00223D85">
      <w:pPr>
        <w:rPr>
          <w:b/>
          <w:color w:val="365F91"/>
        </w:rPr>
      </w:pPr>
    </w:p>
    <w:p w:rsidR="00223D85" w:rsidRPr="00362D3F" w:rsidRDefault="00223D85" w:rsidP="00223D85">
      <w:r w:rsidRPr="00362D3F">
        <w:t>Send completed tender documents to the following address:</w:t>
      </w:r>
    </w:p>
    <w:p w:rsidR="00223D85" w:rsidRDefault="00ED11C4" w:rsidP="00ED11C4">
      <w:pPr>
        <w:ind w:firstLine="720"/>
      </w:pPr>
      <w:r>
        <w:t>David Lloyd</w:t>
      </w:r>
    </w:p>
    <w:p w:rsidR="00ED11C4" w:rsidRDefault="00ED11C4" w:rsidP="00ED11C4">
      <w:pPr>
        <w:ind w:firstLine="720"/>
      </w:pPr>
      <w:r>
        <w:t>Forestry England</w:t>
      </w:r>
    </w:p>
    <w:p w:rsidR="00ED11C4" w:rsidRDefault="00ED11C4" w:rsidP="00ED11C4">
      <w:r>
        <w:tab/>
      </w:r>
      <w:r w:rsidR="003B32F0">
        <w:t>Cookworthy Forest Centre</w:t>
      </w:r>
    </w:p>
    <w:p w:rsidR="00ED11C4" w:rsidRDefault="00ED11C4" w:rsidP="00ED11C4">
      <w:r>
        <w:tab/>
      </w:r>
      <w:r w:rsidR="003B32F0">
        <w:t>Halwill</w:t>
      </w:r>
    </w:p>
    <w:p w:rsidR="00ED11C4" w:rsidRDefault="00ED11C4" w:rsidP="00ED11C4">
      <w:r>
        <w:tab/>
      </w:r>
      <w:r w:rsidR="003B32F0">
        <w:t>Beaworthy</w:t>
      </w:r>
    </w:p>
    <w:p w:rsidR="00ED11C4" w:rsidRPr="0062656E" w:rsidRDefault="00ED11C4" w:rsidP="00223D85">
      <w:r>
        <w:tab/>
      </w:r>
      <w:r w:rsidR="003B32F0">
        <w:t>EX21 5UX</w:t>
      </w:r>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lastRenderedPageBreak/>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731AC9"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p>
    <w:p w:rsidR="00F146E6" w:rsidRDefault="00797DD4" w:rsidP="0016319B">
      <w:pPr>
        <w:rPr>
          <w:rFonts w:cs="Arial"/>
          <w:lang w:eastAsia="en-GB"/>
        </w:rPr>
      </w:pPr>
      <w:r>
        <w:rPr>
          <w:rFonts w:cs="Arial"/>
          <w:lang w:eastAsia="en-GB"/>
        </w:rPr>
        <w:lastRenderedPageBreak/>
        <w:t xml:space="preserve">The </w:t>
      </w:r>
      <w:r w:rsidR="00977A43">
        <w:rPr>
          <w:rFonts w:cs="Arial"/>
          <w:lang w:eastAsia="en-GB"/>
        </w:rPr>
        <w:t>FC</w:t>
      </w:r>
      <w:r w:rsidR="004616BC" w:rsidRPr="009E5141">
        <w:rPr>
          <w:rFonts w:cs="Arial"/>
          <w:lang w:eastAsia="en-GB"/>
        </w:rPr>
        <w:t xml:space="preserve"> will then assess this information (along with the rest of the contract)</w:t>
      </w:r>
      <w:r w:rsidR="0028179E">
        <w:rPr>
          <w:rFonts w:cs="Arial"/>
          <w:lang w:eastAsia="en-GB"/>
        </w:rPr>
        <w:t xml:space="preserve"> </w:t>
      </w:r>
      <w:r w:rsidR="004616BC" w:rsidRPr="009E5141">
        <w:rPr>
          <w:rFonts w:cs="Arial"/>
          <w:lang w:eastAsia="en-GB"/>
        </w:rPr>
        <w:t>when considering which contractual information should or should not be published</w:t>
      </w:r>
      <w:r w:rsidR="004616BC">
        <w:rPr>
          <w:rFonts w:cs="Arial"/>
          <w:lang w:eastAsia="en-GB"/>
        </w:rPr>
        <w:t xml:space="preserve"> or released on request</w:t>
      </w:r>
      <w:r>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4976D7">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4976D7">
      <w:pPr>
        <w:numPr>
          <w:ilvl w:val="0"/>
          <w:numId w:val="10"/>
        </w:numPr>
      </w:pPr>
      <w:r>
        <w:t>The completed tender and all accompanying documents must be in English.</w:t>
      </w:r>
    </w:p>
    <w:p w:rsidR="0028179E" w:rsidRDefault="00FB553A" w:rsidP="004976D7">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4976D7">
      <w:pPr>
        <w:numPr>
          <w:ilvl w:val="0"/>
          <w:numId w:val="10"/>
        </w:numPr>
      </w:pPr>
      <w:r>
        <w:t>All prices will be in sterling and exclusive of VAT.</w:t>
      </w:r>
    </w:p>
    <w:p w:rsidR="0028179E" w:rsidRPr="00E537D1" w:rsidRDefault="0028179E" w:rsidP="004976D7">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4976D7">
      <w:pPr>
        <w:numPr>
          <w:ilvl w:val="0"/>
          <w:numId w:val="10"/>
        </w:numPr>
      </w:pPr>
      <w:r>
        <w:t>A Tender Panel</w:t>
      </w:r>
      <w:r w:rsidRPr="009E5141">
        <w:t xml:space="preserve"> will evaluate responses to the tender objectively using the evaluation matrix.</w:t>
      </w:r>
    </w:p>
    <w:p w:rsidR="0062656E" w:rsidRPr="0062656E" w:rsidRDefault="0062656E" w:rsidP="004976D7">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lastRenderedPageBreak/>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4976D7">
      <w:pPr>
        <w:numPr>
          <w:ilvl w:val="0"/>
          <w:numId w:val="5"/>
        </w:numPr>
        <w:spacing w:before="120" w:line="240" w:lineRule="atLeast"/>
      </w:pPr>
      <w:r w:rsidRPr="009E5141">
        <w:t>makes any representation or warranty (express or implied) as to the accuracy, reasonableness or completeness of this ITT; or</w:t>
      </w:r>
    </w:p>
    <w:p w:rsidR="0016319B" w:rsidRPr="009E5141" w:rsidRDefault="0016319B" w:rsidP="004976D7">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323316" w:rsidRDefault="00CC6687" w:rsidP="004162FB">
      <w:pPr>
        <w:pStyle w:val="Heading2"/>
        <w:rPr>
          <w:sz w:val="28"/>
        </w:rPr>
      </w:pPr>
      <w:r w:rsidRPr="004162FB">
        <w:rPr>
          <w:sz w:val="28"/>
        </w:rPr>
        <w:lastRenderedPageBreak/>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ED11C4">
            <w:pPr>
              <w:rPr>
                <w:rFonts w:eastAsia="Arial"/>
              </w:rPr>
            </w:pPr>
            <w:r w:rsidRPr="005D3614">
              <w:rPr>
                <w:rFonts w:eastAsia="Arial"/>
              </w:rPr>
              <w:t xml:space="preserve">Public Liability Insurance </w:t>
            </w:r>
            <w:r w:rsidR="00ED11C4">
              <w:rPr>
                <w:rFonts w:eastAsia="Arial"/>
              </w:rPr>
              <w:t>= £5million</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4"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4976D7">
            <w:pPr>
              <w:numPr>
                <w:ilvl w:val="0"/>
                <w:numId w:val="9"/>
              </w:numPr>
              <w:spacing w:before="120" w:line="240" w:lineRule="atLeast"/>
            </w:pPr>
            <w:r>
              <w:t>Does your organisation have a written health and safety policy? AND</w:t>
            </w:r>
          </w:p>
          <w:p w:rsidR="007D1EDC" w:rsidRDefault="007D1EDC" w:rsidP="004976D7">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ED11C4">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ED11C4">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ED11C4">
        <w:trPr>
          <w:trHeight w:val="514"/>
        </w:trPr>
        <w:tc>
          <w:tcPr>
            <w:tcW w:w="1575" w:type="pct"/>
            <w:gridSpan w:val="3"/>
          </w:tcPr>
          <w:p w:rsidR="008104D3" w:rsidRPr="009E5141" w:rsidRDefault="00AA6C9A" w:rsidP="00073E39">
            <w:pPr>
              <w:rPr>
                <w:snapToGrid w:val="0"/>
                <w:color w:val="FF0000"/>
              </w:rPr>
            </w:pPr>
            <w:r w:rsidRPr="00ED11C4">
              <w:rPr>
                <w:snapToGrid w:val="0"/>
              </w:rPr>
              <w:lastRenderedPageBreak/>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8104D3" w:rsidRPr="009E5141" w:rsidTr="00ED11C4">
        <w:trPr>
          <w:trHeight w:val="529"/>
        </w:trPr>
        <w:tc>
          <w:tcPr>
            <w:tcW w:w="1575" w:type="pct"/>
            <w:gridSpan w:val="3"/>
          </w:tcPr>
          <w:p w:rsidR="008104D3" w:rsidRPr="009E5141" w:rsidRDefault="00ED11C4" w:rsidP="00073E39">
            <w:pPr>
              <w:rPr>
                <w:snapToGrid w:val="0"/>
                <w:color w:val="FF0000"/>
              </w:rPr>
            </w:pPr>
            <w:r w:rsidRPr="00ED11C4">
              <w:rPr>
                <w:snapToGrid w:val="0"/>
              </w:rPr>
              <w:t>Manual Handling</w:t>
            </w:r>
          </w:p>
        </w:tc>
        <w:tc>
          <w:tcPr>
            <w:tcW w:w="1599" w:type="pct"/>
          </w:tcPr>
          <w:p w:rsidR="008104D3" w:rsidRPr="009E5141" w:rsidRDefault="008104D3" w:rsidP="00073E39">
            <w:pPr>
              <w:pStyle w:val="FCGBBodyText"/>
              <w:spacing w:line="240" w:lineRule="auto"/>
              <w:rPr>
                <w:b/>
                <w:snapToGrid w:val="0"/>
                <w:color w:val="FF0000"/>
                <w:sz w:val="24"/>
              </w:rPr>
            </w:pPr>
          </w:p>
        </w:tc>
        <w:tc>
          <w:tcPr>
            <w:tcW w:w="880" w:type="pct"/>
          </w:tcPr>
          <w:p w:rsidR="008104D3" w:rsidRPr="009E5141" w:rsidRDefault="008104D3" w:rsidP="00073E39">
            <w:pPr>
              <w:rPr>
                <w:b/>
                <w:snapToGrid w:val="0"/>
                <w:color w:val="FF0000"/>
                <w:sz w:val="24"/>
              </w:rPr>
            </w:pPr>
          </w:p>
        </w:tc>
        <w:tc>
          <w:tcPr>
            <w:tcW w:w="945" w:type="pct"/>
          </w:tcPr>
          <w:p w:rsidR="008104D3" w:rsidRPr="009E5141" w:rsidRDefault="008104D3" w:rsidP="00073E39">
            <w:pPr>
              <w:rPr>
                <w:b/>
                <w:snapToGrid w:val="0"/>
                <w:color w:val="FF0000"/>
                <w:sz w:val="24"/>
              </w:rPr>
            </w:pPr>
          </w:p>
        </w:tc>
      </w:tr>
      <w:tr w:rsidR="00AA6C9A" w:rsidRPr="009E5141" w:rsidTr="00ED11C4">
        <w:trPr>
          <w:trHeight w:val="529"/>
        </w:trPr>
        <w:tc>
          <w:tcPr>
            <w:tcW w:w="413" w:type="pct"/>
            <w:gridSpan w:val="2"/>
          </w:tcPr>
          <w:p w:rsidR="00AA6C9A" w:rsidRPr="00AA6C9A" w:rsidRDefault="00F159EB" w:rsidP="00073E39">
            <w:pPr>
              <w:rPr>
                <w:snapToGrid w:val="0"/>
              </w:rPr>
            </w:pPr>
            <w:r>
              <w:rPr>
                <w:snapToGrid w:val="0"/>
              </w:rPr>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5"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lastRenderedPageBreak/>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4976D7">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4976D7">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4976D7">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073E39">
            <w:pPr>
              <w:rPr>
                <w:snapToGrid w:val="0"/>
              </w:rPr>
            </w:pPr>
            <w:r>
              <w:rPr>
                <w:snapToGrid w:val="0"/>
              </w:rPr>
              <w:t>4.3.11</w:t>
            </w:r>
          </w:p>
        </w:tc>
        <w:tc>
          <w:tcPr>
            <w:tcW w:w="4744" w:type="pct"/>
          </w:tcPr>
          <w:p w:rsidR="00B26CC8" w:rsidRPr="00ED11C4" w:rsidRDefault="00B26CC8" w:rsidP="00B26CC8">
            <w:pPr>
              <w:spacing w:before="120"/>
              <w:rPr>
                <w:snapToGrid w:val="0"/>
              </w:rPr>
            </w:pPr>
            <w:r w:rsidRPr="00ED11C4">
              <w:rPr>
                <w:snapToGrid w:val="0"/>
              </w:rPr>
              <w:t>Provide a short explanation of your process for Inspection and Testing of Machinery and Equipment providing certificates and completed checklists to support your response.</w:t>
            </w:r>
          </w:p>
          <w:p w:rsidR="008104D3" w:rsidRPr="009E5141" w:rsidRDefault="00B26CC8" w:rsidP="00B26CC8">
            <w:pPr>
              <w:rPr>
                <w:snapToGrid w:val="0"/>
              </w:rPr>
            </w:pPr>
            <w:r w:rsidRPr="00ED11C4">
              <w:rPr>
                <w:snapToGrid w:val="0"/>
              </w:rPr>
              <w:t>Your answer should show an understanding of the Provision and Use of Work Equipment Regulations 1998 (PUWER) and Lifting Operations and Lifting Equipment Regulations 1998 (LOLER), where relevant.</w:t>
            </w:r>
          </w:p>
        </w:tc>
      </w:tr>
      <w:tr w:rsidR="008104D3" w:rsidRPr="009E5141" w:rsidTr="00073E39">
        <w:trPr>
          <w:trHeight w:val="306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lastRenderedPageBreak/>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ED11C4" w:rsidRPr="00C24335" w:rsidRDefault="00FF1C9B" w:rsidP="00ED11C4">
            <w:pPr>
              <w:spacing w:after="200" w:line="276" w:lineRule="auto"/>
              <w:rPr>
                <w:rFonts w:eastAsia="Calibri" w:cs="Calibri"/>
              </w:rPr>
            </w:pPr>
            <w:r>
              <w:rPr>
                <w:rFonts w:eastAsia="Calibri" w:cs="Calibri"/>
              </w:rPr>
              <w:t>Please provide a method statement detailing how</w:t>
            </w:r>
            <w:r w:rsidR="00ED11C4" w:rsidRPr="00C24335">
              <w:rPr>
                <w:rFonts w:eastAsia="Calibri" w:cs="Calibri"/>
              </w:rPr>
              <w:t xml:space="preserve"> you ensure that you will keep to the required schedule of each site as described in section 2.3 of the ITT and in </w:t>
            </w:r>
            <w:r w:rsidR="0086176A">
              <w:rPr>
                <w:rFonts w:eastAsia="Calibri" w:cs="Calibri"/>
              </w:rPr>
              <w:t>Appendix 1.</w:t>
            </w:r>
          </w:p>
          <w:p w:rsidR="00ED11C4" w:rsidRPr="00C24335" w:rsidRDefault="00FF1C9B" w:rsidP="00ED11C4">
            <w:pPr>
              <w:rPr>
                <w:rFonts w:cs="Calibri"/>
              </w:rPr>
            </w:pPr>
            <w:r>
              <w:rPr>
                <w:rFonts w:cs="Calibri"/>
              </w:rPr>
              <w:t>Your response must include, but is not limited to</w:t>
            </w:r>
            <w:r w:rsidR="00ED11C4" w:rsidRPr="00C24335">
              <w:rPr>
                <w:rFonts w:cs="Calibri"/>
              </w:rPr>
              <w:t>: Time management, communication, resource allocation, contingency planning.</w:t>
            </w:r>
          </w:p>
          <w:p w:rsidR="00A31C58" w:rsidRPr="005D3614" w:rsidRDefault="00A31C58" w:rsidP="00A31C58">
            <w:pPr>
              <w:pStyle w:val="FCGBBodyText"/>
              <w:rPr>
                <w:color w:val="365F91"/>
              </w:rPr>
            </w:pPr>
          </w:p>
        </w:tc>
        <w:tc>
          <w:tcPr>
            <w:tcW w:w="2517" w:type="dxa"/>
            <w:shd w:val="clear" w:color="auto" w:fill="auto"/>
          </w:tcPr>
          <w:p w:rsidR="00955AFA" w:rsidRPr="008E51C2" w:rsidRDefault="008E51C2" w:rsidP="00073E39">
            <w:pPr>
              <w:pStyle w:val="FCGBBodyText"/>
              <w:rPr>
                <w:b/>
                <w:color w:val="0D0D0D"/>
              </w:rPr>
            </w:pPr>
            <w:r w:rsidRPr="008E51C2">
              <w:rPr>
                <w:b/>
                <w:color w:val="0D0D0D"/>
              </w:rPr>
              <w:t>15%</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ED11C4" w:rsidRPr="00061E8B" w:rsidRDefault="00ED11C4" w:rsidP="00ED11C4">
            <w:pPr>
              <w:pStyle w:val="ListParagraph"/>
              <w:spacing w:line="276" w:lineRule="auto"/>
              <w:ind w:left="0"/>
              <w:rPr>
                <w:rFonts w:ascii="Calibri" w:hAnsi="Calibri" w:cs="Calibri"/>
              </w:rPr>
            </w:pPr>
            <w:r w:rsidRPr="00C24335">
              <w:rPr>
                <w:rFonts w:cs="Calibri"/>
              </w:rPr>
              <w:t>With a view to manual handling and the potential restricted vehicle access</w:t>
            </w:r>
            <w:r w:rsidR="00FF1C9B">
              <w:rPr>
                <w:rFonts w:cs="Calibri"/>
              </w:rPr>
              <w:t xml:space="preserve">, please </w:t>
            </w:r>
            <w:r w:rsidRPr="00C24335">
              <w:rPr>
                <w:rFonts w:cs="Calibri"/>
              </w:rPr>
              <w:t xml:space="preserve">explain the process that you will use to empty the onsite bins and relocate the bin bags to the recycling area. </w:t>
            </w:r>
          </w:p>
          <w:p w:rsidR="00262050" w:rsidRDefault="00262050" w:rsidP="00073E39">
            <w:pPr>
              <w:pStyle w:val="FCGBBodyText"/>
              <w:rPr>
                <w:b/>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2517" w:type="dxa"/>
            <w:shd w:val="clear" w:color="auto" w:fill="auto"/>
          </w:tcPr>
          <w:p w:rsidR="00262050" w:rsidRPr="005D3614" w:rsidRDefault="008E51C2" w:rsidP="00073E39">
            <w:pPr>
              <w:pStyle w:val="FCGBBodyText"/>
              <w:rPr>
                <w:b/>
                <w:color w:val="0D0D0D"/>
              </w:rPr>
            </w:pPr>
            <w:r>
              <w:rPr>
                <w:b/>
                <w:color w:val="0D0D0D"/>
              </w:rPr>
              <w:lastRenderedPageBreak/>
              <w:t>15%</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lastRenderedPageBreak/>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 xml:space="preserve">Please provide details of your pricing in the </w:t>
            </w:r>
            <w:r w:rsidR="008E51C2">
              <w:rPr>
                <w:b/>
              </w:rPr>
              <w:t xml:space="preserve">pricing </w:t>
            </w:r>
            <w:r w:rsidRPr="00362D3F">
              <w:rPr>
                <w:b/>
              </w:rPr>
              <w:t xml:space="preserve">schedule </w:t>
            </w:r>
            <w:r w:rsidR="008E51C2">
              <w:rPr>
                <w:b/>
              </w:rPr>
              <w:t>(</w:t>
            </w:r>
            <w:r w:rsidR="0086176A">
              <w:rPr>
                <w:b/>
              </w:rPr>
              <w:t>Appendix</w:t>
            </w:r>
            <w:r w:rsidR="008E51C2">
              <w:rPr>
                <w:b/>
              </w:rPr>
              <w:t xml:space="preserve"> </w:t>
            </w:r>
            <w:r w:rsidR="001A410B">
              <w:rPr>
                <w:b/>
              </w:rPr>
              <w:t>1</w:t>
            </w:r>
            <w:r w:rsidR="008E51C2">
              <w:rPr>
                <w:b/>
              </w:rPr>
              <w:t>) provided</w:t>
            </w:r>
            <w:r w:rsidR="0086176A">
              <w:rPr>
                <w:b/>
              </w:rPr>
              <w:t xml:space="preserve">. </w:t>
            </w:r>
            <w:r w:rsidR="0086176A" w:rsidRPr="0086176A">
              <w:t>A price must be submitted for each site.</w:t>
            </w:r>
          </w:p>
          <w:p w:rsidR="00DE4069" w:rsidRPr="00362D3F" w:rsidRDefault="00DE4069" w:rsidP="00F61F52">
            <w:pPr>
              <w:rPr>
                <w:b/>
              </w:rPr>
            </w:pPr>
          </w:p>
        </w:tc>
        <w:tc>
          <w:tcPr>
            <w:tcW w:w="1187" w:type="dxa"/>
            <w:shd w:val="clear" w:color="auto" w:fill="auto"/>
          </w:tcPr>
          <w:p w:rsidR="00DE4069" w:rsidRPr="00362D3F" w:rsidRDefault="008E51C2" w:rsidP="00F61F52">
            <w:pPr>
              <w:jc w:val="center"/>
            </w:pPr>
            <w:r>
              <w:t>70</w:t>
            </w:r>
          </w:p>
          <w:p w:rsidR="00DE4069" w:rsidRPr="00362D3F" w:rsidRDefault="00DE4069" w:rsidP="00F61F52">
            <w:pPr>
              <w:jc w:val="center"/>
            </w:pPr>
          </w:p>
        </w:tc>
      </w:tr>
    </w:tbl>
    <w:p w:rsidR="00391B8E" w:rsidRPr="009E5141" w:rsidRDefault="00391B8E" w:rsidP="00391B8E">
      <w:pPr>
        <w:rPr>
          <w:b/>
          <w:color w:val="008080"/>
        </w:rPr>
      </w:pPr>
    </w:p>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r w:rsidRPr="00C34B74">
        <w:t>terms and conditions</w:t>
      </w:r>
      <w:r w:rsidRPr="009E5141">
        <w:t xml:space="preserve"> for </w:t>
      </w:r>
      <w:hyperlink r:id="rId16" w:history="1">
        <w:r w:rsidR="008E51C2" w:rsidRPr="008E51C2">
          <w:rPr>
            <w:rStyle w:val="Hyperlink"/>
          </w:rPr>
          <w:t xml:space="preserve">non-operational services. </w:t>
        </w:r>
      </w:hyperlink>
      <w:r w:rsidRPr="00A31C58">
        <w:t xml:space="preserve">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4976D7">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4976D7">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4976D7">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731AC9" w:rsidRDefault="00731AC9" w:rsidP="00E54294">
      <w:pPr>
        <w:rPr>
          <w:b/>
        </w:rPr>
      </w:pPr>
    </w:p>
    <w:p w:rsidR="0080305C" w:rsidRPr="002C4BFE" w:rsidRDefault="002C4BFE" w:rsidP="00E54294">
      <w:pPr>
        <w:rPr>
          <w:b/>
        </w:rPr>
      </w:pPr>
      <w:r w:rsidRPr="002C4BFE">
        <w:rPr>
          <w:b/>
        </w:rPr>
        <w:lastRenderedPageBreak/>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0"/>
        <w:gridCol w:w="227"/>
        <w:gridCol w:w="1020"/>
        <w:gridCol w:w="199"/>
        <w:gridCol w:w="5562"/>
      </w:tblGrid>
      <w:tr w:rsidR="0080527D" w:rsidRPr="009E5141" w:rsidTr="00FF1C9B">
        <w:tc>
          <w:tcPr>
            <w:tcW w:w="558" w:type="pct"/>
          </w:tcPr>
          <w:p w:rsidR="0080527D" w:rsidRPr="009E5141" w:rsidRDefault="0080527D" w:rsidP="00DC4E6B">
            <w:pPr>
              <w:rPr>
                <w:b/>
                <w:color w:val="003300"/>
              </w:rPr>
            </w:pPr>
            <w:r>
              <w:rPr>
                <w:b/>
                <w:color w:val="003300"/>
              </w:rPr>
              <w:t>Section</w:t>
            </w:r>
          </w:p>
        </w:tc>
        <w:tc>
          <w:tcPr>
            <w:tcW w:w="986"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40"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FF1C9B">
        <w:tc>
          <w:tcPr>
            <w:tcW w:w="558" w:type="pct"/>
            <w:tcBorders>
              <w:bottom w:val="single" w:sz="4" w:space="0" w:color="auto"/>
            </w:tcBorders>
          </w:tcPr>
          <w:p w:rsidR="0080527D" w:rsidRPr="009E5141" w:rsidRDefault="00F159EB" w:rsidP="00BB1EAF">
            <w:r>
              <w:t>4.2</w:t>
            </w:r>
          </w:p>
        </w:tc>
        <w:tc>
          <w:tcPr>
            <w:tcW w:w="986"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FF1C9B">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FF1C9B">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FF1C9B">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4976D7">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4976D7">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4976D7">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FF1C9B"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FF1C9B" w:rsidRPr="009F706E" w:rsidRDefault="00FF1C9B"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FF1C9B" w:rsidRPr="00A31C58" w:rsidRDefault="00FF1C9B"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FF1C9B" w:rsidRPr="00A31C58" w:rsidRDefault="00FF1C9B" w:rsidP="00BB1EAF">
            <w:pPr>
              <w:spacing w:before="120" w:line="240" w:lineRule="atLeast"/>
            </w:pPr>
            <w:r>
              <w:t>30%</w:t>
            </w:r>
          </w:p>
          <w:p w:rsidR="00FF1C9B" w:rsidRPr="00A23546" w:rsidRDefault="00FF1C9B" w:rsidP="00BB1EAF">
            <w:pPr>
              <w:spacing w:before="120" w:line="240" w:lineRule="atLeast"/>
              <w:rPr>
                <w:color w:val="548DD4" w:themeColor="text2" w:themeTint="99"/>
              </w:rPr>
            </w:pPr>
          </w:p>
          <w:p w:rsidR="00FF1C9B" w:rsidRPr="00A23546" w:rsidRDefault="00FF1C9B"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FF1C9B" w:rsidRDefault="00FF1C9B" w:rsidP="003C2876">
            <w:pPr>
              <w:pStyle w:val="FCGBBodyText"/>
            </w:pPr>
            <w:r>
              <w:t>The following evaluation system will be applied to this section:</w:t>
            </w:r>
          </w:p>
          <w:p w:rsidR="00FF1C9B" w:rsidRDefault="00FF1C9B" w:rsidP="003C2876">
            <w:pPr>
              <w:pStyle w:val="FCGBBodyText"/>
            </w:pPr>
          </w:p>
          <w:p w:rsidR="00FF1C9B" w:rsidRDefault="00FF1C9B" w:rsidP="003C2876">
            <w:pPr>
              <w:pStyle w:val="FCGBBodyText"/>
              <w:rPr>
                <w:b/>
              </w:rPr>
            </w:pPr>
            <w:r>
              <w:rPr>
                <w:b/>
              </w:rPr>
              <w:t xml:space="preserve">0 – </w:t>
            </w:r>
            <w:r>
              <w:rPr>
                <w:b/>
                <w:lang w:eastAsia="en-GB"/>
              </w:rPr>
              <w:t>No response (complete non-compliance)</w:t>
            </w:r>
          </w:p>
          <w:p w:rsidR="00FF1C9B" w:rsidRDefault="00FF1C9B" w:rsidP="003C2876">
            <w:pPr>
              <w:pStyle w:val="FCGBBodyText"/>
              <w:rPr>
                <w:lang w:eastAsia="en-GB"/>
              </w:rPr>
            </w:pPr>
            <w:r>
              <w:rPr>
                <w:lang w:eastAsia="en-GB"/>
              </w:rPr>
              <w:t>No response at all or insufficient information provided in the response such that the solution is totally un-assessable and/or incomprehensible.</w:t>
            </w:r>
          </w:p>
          <w:p w:rsidR="00FF1C9B" w:rsidRDefault="00FF1C9B" w:rsidP="003C2876">
            <w:pPr>
              <w:pStyle w:val="FCGBBodyText"/>
            </w:pPr>
            <w:r>
              <w:t xml:space="preserve"> </w:t>
            </w:r>
          </w:p>
          <w:p w:rsidR="00FF1C9B" w:rsidRDefault="00FF1C9B" w:rsidP="003C2876">
            <w:pPr>
              <w:pStyle w:val="FCGBBodyText"/>
              <w:rPr>
                <w:b/>
              </w:rPr>
            </w:pPr>
            <w:r>
              <w:rPr>
                <w:b/>
              </w:rPr>
              <w:t xml:space="preserve">1 – </w:t>
            </w:r>
            <w:r>
              <w:rPr>
                <w:b/>
                <w:lang w:eastAsia="en-GB"/>
              </w:rPr>
              <w:t xml:space="preserve">Unsatisfactory response (potential for </w:t>
            </w:r>
            <w:r>
              <w:rPr>
                <w:b/>
                <w:lang w:eastAsia="en-GB"/>
              </w:rPr>
              <w:lastRenderedPageBreak/>
              <w:t>some compliance but very major areas of weakness)</w:t>
            </w:r>
          </w:p>
          <w:p w:rsidR="00FF1C9B" w:rsidRDefault="00FF1C9B" w:rsidP="003C2876">
            <w:pPr>
              <w:pStyle w:val="FCGBBodyText"/>
              <w:rPr>
                <w:lang w:eastAsia="en-GB"/>
              </w:rPr>
            </w:pPr>
            <w:r>
              <w:rPr>
                <w:lang w:eastAsia="en-GB"/>
              </w:rPr>
              <w:t>Substantially unacceptable submission which fails in several significant areas to set out a solution that addresses and meets the requirements: little or no detail may (and, where evidence is required or necessary, no evidence) have been provided to support and demonstrate that the tenderer will be able to provide the services.</w:t>
            </w:r>
          </w:p>
          <w:p w:rsidR="00FF1C9B" w:rsidRDefault="00FF1C9B" w:rsidP="003C2876">
            <w:pPr>
              <w:pStyle w:val="FCGBBodyText"/>
            </w:pPr>
          </w:p>
          <w:p w:rsidR="00FF1C9B" w:rsidRDefault="00FF1C9B" w:rsidP="003C2876">
            <w:pPr>
              <w:pStyle w:val="FCGBBodyText"/>
              <w:rPr>
                <w:b/>
              </w:rPr>
            </w:pPr>
            <w:r>
              <w:rPr>
                <w:b/>
              </w:rPr>
              <w:t xml:space="preserve">2 – </w:t>
            </w:r>
            <w:r>
              <w:rPr>
                <w:b/>
                <w:lang w:eastAsia="en-GB"/>
              </w:rPr>
              <w:t>Partially acceptable response (one or more areas of major weakness)</w:t>
            </w:r>
          </w:p>
          <w:p w:rsidR="00FF1C9B" w:rsidRDefault="00FF1C9B" w:rsidP="003C2876">
            <w:pPr>
              <w:pStyle w:val="FCGBBodyText"/>
            </w:pPr>
            <w:r>
              <w:rPr>
                <w:lang w:eastAsia="en-GB"/>
              </w:rPr>
              <w:t>Weak submission which does not set out a solution that fully addresses and meets the requirements: response may be basic/ minimal with little or no detail</w:t>
            </w:r>
            <w:r>
              <w:t xml:space="preserve"> </w:t>
            </w:r>
          </w:p>
          <w:p w:rsidR="00FF1C9B" w:rsidRDefault="00FF1C9B" w:rsidP="003C2876">
            <w:pPr>
              <w:pStyle w:val="FCGBBodyText"/>
            </w:pPr>
          </w:p>
          <w:p w:rsidR="00FF1C9B" w:rsidRDefault="00FF1C9B" w:rsidP="003C2876">
            <w:pPr>
              <w:pStyle w:val="FCGBBodyText"/>
              <w:rPr>
                <w:b/>
              </w:rPr>
            </w:pPr>
            <w:r>
              <w:rPr>
                <w:b/>
              </w:rPr>
              <w:t xml:space="preserve">3 – </w:t>
            </w:r>
            <w:r>
              <w:rPr>
                <w:b/>
                <w:lang w:eastAsia="en-GB"/>
              </w:rPr>
              <w:t>Satisfactory and acceptable response (substantial compliance with no major concerns)</w:t>
            </w:r>
          </w:p>
          <w:p w:rsidR="00FF1C9B" w:rsidRDefault="00FF1C9B" w:rsidP="003C2876">
            <w:pPr>
              <w:pStyle w:val="FCGBBodyText"/>
              <w:rPr>
                <w:lang w:eastAsia="en-GB"/>
              </w:rPr>
            </w:pPr>
            <w:r>
              <w:rPr>
                <w:lang w:eastAsia="en-GB"/>
              </w:rPr>
              <w:t>Submission sets out a solution that largely addresses and meets the requirements, with some detail (or, where evidence is required or necessary, some relevant evidence) provided to support the solution.</w:t>
            </w:r>
          </w:p>
          <w:p w:rsidR="00FF1C9B" w:rsidRDefault="00FF1C9B" w:rsidP="003C2876">
            <w:pPr>
              <w:pStyle w:val="FCGBBodyText"/>
            </w:pPr>
          </w:p>
          <w:p w:rsidR="00FF1C9B" w:rsidRDefault="00FF1C9B" w:rsidP="003C2876">
            <w:pPr>
              <w:pStyle w:val="FCGBBodyText"/>
              <w:rPr>
                <w:b/>
              </w:rPr>
            </w:pPr>
            <w:r>
              <w:rPr>
                <w:b/>
              </w:rPr>
              <w:t xml:space="preserve">4 – </w:t>
            </w:r>
            <w:r>
              <w:rPr>
                <w:b/>
                <w:lang w:eastAsia="en-GB"/>
              </w:rPr>
              <w:t>Fully satisfactory /very good response (fully compliant with requirements)</w:t>
            </w:r>
          </w:p>
          <w:p w:rsidR="00FF1C9B" w:rsidRDefault="00FF1C9B" w:rsidP="003C2876">
            <w:pPr>
              <w:rPr>
                <w:lang w:eastAsia="en-GB"/>
              </w:rPr>
            </w:pPr>
            <w:r>
              <w:rPr>
                <w:lang w:eastAsia="en-GB"/>
              </w:rPr>
              <w:t>Submission sets out a robust solution that fully addresses and meets the requirements, with full details (and, where evidence is required or necessary, full and relevant evidence) provided to support the solution.</w:t>
            </w:r>
          </w:p>
          <w:p w:rsidR="00FF1C9B" w:rsidRDefault="00FF1C9B" w:rsidP="003C2876">
            <w:pPr>
              <w:rPr>
                <w:lang w:eastAsia="en-GB"/>
              </w:rPr>
            </w:pPr>
          </w:p>
          <w:p w:rsidR="00FF1C9B" w:rsidRDefault="00FF1C9B" w:rsidP="003C2876">
            <w:pPr>
              <w:rPr>
                <w:b/>
                <w:lang w:eastAsia="en-GB"/>
              </w:rPr>
            </w:pPr>
            <w:r>
              <w:rPr>
                <w:b/>
              </w:rPr>
              <w:t xml:space="preserve">5 - </w:t>
            </w:r>
            <w:r>
              <w:rPr>
                <w:b/>
                <w:lang w:eastAsia="en-GB"/>
              </w:rPr>
              <w:t>Outstanding response (fully compliant, with some areas exceeding requirements)</w:t>
            </w:r>
          </w:p>
          <w:p w:rsidR="00FF1C9B" w:rsidRPr="00831CB6" w:rsidRDefault="00FF1C9B" w:rsidP="003C2876">
            <w:pPr>
              <w:rPr>
                <w:b/>
              </w:rPr>
            </w:pPr>
            <w:r>
              <w:rPr>
                <w:lang w:eastAsia="en-GB"/>
              </w:rPr>
              <w:t xml:space="preserve">Submission sets out a robust solution (as for a 4 score) and, in addition, provides or proposes additional value and/or elements of the solution which exceed the requirements in substance and outcomes in a manner acceptable to the </w:t>
            </w:r>
            <w:r>
              <w:rPr>
                <w:lang w:eastAsia="en-GB"/>
              </w:rPr>
              <w:lastRenderedPageBreak/>
              <w:t>FE.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8E51C2" w:rsidP="00BB1EAF">
            <w:pPr>
              <w:spacing w:before="120" w:line="240" w:lineRule="atLeast"/>
            </w:pPr>
            <w:r>
              <w:t>70%</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5F261D" w:rsidRDefault="005F261D" w:rsidP="005F261D">
            <w:pPr>
              <w:spacing w:line="240" w:lineRule="auto"/>
              <w:rPr>
                <w:rFonts w:eastAsia="Calibri" w:cs="Verdana"/>
                <w:color w:val="365F91"/>
                <w:lang w:eastAsia="en-GB"/>
              </w:rPr>
            </w:pPr>
            <w:r>
              <w:t>Tender Price</w:t>
            </w:r>
          </w:p>
          <w:p w:rsidR="00BB1EAF" w:rsidRPr="00B55944" w:rsidRDefault="00BB1EAF" w:rsidP="005F261D">
            <w:pPr>
              <w:spacing w:before="120" w:line="240" w:lineRule="atLeast"/>
            </w:pP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17"/>
      <w:headerReference w:type="default" r:id="rId18"/>
      <w:footerReference w:type="even" r:id="rId19"/>
      <w:footerReference w:type="default" r:id="rId20"/>
      <w:headerReference w:type="first" r:id="rId21"/>
      <w:footerReference w:type="first" r:id="rId22"/>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F97" w:rsidRDefault="005D2F97">
      <w:r>
        <w:separator/>
      </w:r>
    </w:p>
    <w:p w:rsidR="005D2F97" w:rsidRDefault="005D2F97"/>
  </w:endnote>
  <w:endnote w:type="continuationSeparator" w:id="0">
    <w:p w:rsidR="005D2F97" w:rsidRDefault="005D2F97">
      <w:r>
        <w:continuationSeparator/>
      </w:r>
    </w:p>
    <w:p w:rsidR="005D2F97" w:rsidRDefault="005D2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97" w:rsidRDefault="005D2F97">
    <w:pPr>
      <w:pStyle w:val="Footer"/>
    </w:pPr>
  </w:p>
  <w:p w:rsidR="005D2F97" w:rsidRDefault="005D2F97"/>
  <w:p w:rsidR="005D2F97" w:rsidRDefault="005D2F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97" w:rsidRDefault="005D2F9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328DA">
      <w:rPr>
        <w:rStyle w:val="PageNumber"/>
        <w:noProof/>
        <w:lang w:val="en-US"/>
      </w:rPr>
      <w:t>2</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Cornwall Litter Picking</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David Lloyd</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11049B">
      <w:rPr>
        <w:rStyle w:val="PageNumber"/>
        <w:noProof/>
      </w:rPr>
      <w:t>12/08/2019</w:t>
    </w:r>
    <w:r>
      <w:rPr>
        <w:rStyle w:val="PageNumber"/>
      </w:rPr>
      <w:fldChar w:fldCharType="end"/>
    </w:r>
  </w:p>
  <w:p w:rsidR="005D2F97" w:rsidRDefault="005D2F97" w:rsidP="004040E8">
    <w:pPr>
      <w:pStyle w:val="Footer"/>
    </w:pPr>
  </w:p>
  <w:p w:rsidR="005D2F97" w:rsidRDefault="005D2F9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97" w:rsidRDefault="005D2F9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328DA">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Cornwall Littering Picking</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David Lloyd</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11049B">
      <w:rPr>
        <w:rStyle w:val="PageNumber"/>
        <w:noProof/>
      </w:rPr>
      <w:t>12/08/2019</w:t>
    </w:r>
    <w:r>
      <w:rPr>
        <w:rStyle w:val="PageNumber"/>
      </w:rPr>
      <w:fldChar w:fldCharType="end"/>
    </w:r>
  </w:p>
  <w:p w:rsidR="005D2F97" w:rsidRDefault="005D2F97" w:rsidP="004040E8">
    <w:pPr>
      <w:pStyle w:val="Footer"/>
    </w:pPr>
  </w:p>
  <w:p w:rsidR="005D2F97" w:rsidRDefault="005D2F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F97" w:rsidRDefault="005D2F97">
      <w:r>
        <w:separator/>
      </w:r>
    </w:p>
    <w:p w:rsidR="005D2F97" w:rsidRDefault="005D2F97"/>
  </w:footnote>
  <w:footnote w:type="continuationSeparator" w:id="0">
    <w:p w:rsidR="005D2F97" w:rsidRDefault="005D2F97">
      <w:r>
        <w:continuationSeparator/>
      </w:r>
    </w:p>
    <w:p w:rsidR="005D2F97" w:rsidRDefault="005D2F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97" w:rsidRDefault="005D2F97">
    <w:pPr>
      <w:pStyle w:val="Header"/>
    </w:pPr>
  </w:p>
  <w:p w:rsidR="005D2F97" w:rsidRDefault="005D2F97"/>
  <w:p w:rsidR="005D2F97" w:rsidRDefault="005D2F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97" w:rsidRDefault="005D2F97"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7A3B1BC3" wp14:editId="48A4F95B">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F97" w:rsidRDefault="005D2F97" w:rsidP="005C34E6">
    <w:pPr>
      <w:pStyle w:val="RunningTitle"/>
      <w:numPr>
        <w:ilvl w:val="0"/>
        <w:numId w:val="0"/>
      </w:numPr>
    </w:pPr>
    <w:r>
      <w:t>ITT</w:t>
    </w:r>
    <w:r w:rsidR="00F328DA">
      <w:t xml:space="preserve">  FEE/0611</w:t>
    </w:r>
    <w:bookmarkStart w:id="0" w:name="_GoBack"/>
    <w:bookmarkEnd w:id="0"/>
    <w:r>
      <w:t xml:space="preserve"> </w:t>
    </w:r>
  </w:p>
  <w:p w:rsidR="005D2F97" w:rsidRDefault="005D2F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F97" w:rsidRDefault="005D2F97">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F97" w:rsidRPr="00661478" w:rsidRDefault="005D2F9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A332F5" w:rsidRPr="00661478" w:rsidRDefault="00A332F5" w:rsidP="00952BF0">
                    <w:pPr>
                      <w:pStyle w:val="ParentTitle"/>
                    </w:pPr>
                  </w:p>
                </w:txbxContent>
              </v:textbox>
              <w10:wrap anchorx="page" anchory="page"/>
              <w10:anchorlock/>
            </v:shape>
          </w:pict>
        </mc:Fallback>
      </mc:AlternateContent>
    </w:r>
  </w:p>
  <w:p w:rsidR="005D2F97" w:rsidRDefault="005D2F97"/>
  <w:p w:rsidR="005D2F97" w:rsidRDefault="005D2F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nsid w:val="20824467"/>
    <w:multiLevelType w:val="hybridMultilevel"/>
    <w:tmpl w:val="DDF0D4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3F2912"/>
    <w:multiLevelType w:val="hybridMultilevel"/>
    <w:tmpl w:val="0FB29EE8"/>
    <w:lvl w:ilvl="0" w:tplc="A0BE13EE">
      <w:start w:val="1"/>
      <w:numFmt w:val="bullet"/>
      <w:lvlText w:val=""/>
      <w:lvlJc w:val="left"/>
      <w:pPr>
        <w:ind w:left="1080" w:hanging="360"/>
      </w:pPr>
      <w:rPr>
        <w:rFonts w:ascii="Symbol" w:hAnsi="Symbol"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41A25A1"/>
    <w:multiLevelType w:val="multilevel"/>
    <w:tmpl w:val="9ACE44A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lowerRoman"/>
      <w:lvlText w:val="%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6000E66"/>
    <w:multiLevelType w:val="multilevel"/>
    <w:tmpl w:val="AF9ED17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lowerRoman"/>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EB070B1"/>
    <w:multiLevelType w:val="multilevel"/>
    <w:tmpl w:val="F768D7D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lowerRoman"/>
      <w:lvlText w:val="%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7"/>
  </w:num>
  <w:num w:numId="6">
    <w:abstractNumId w:val="13"/>
  </w:num>
  <w:num w:numId="7">
    <w:abstractNumId w:val="3"/>
  </w:num>
  <w:num w:numId="8">
    <w:abstractNumId w:val="12"/>
  </w:num>
  <w:num w:numId="9">
    <w:abstractNumId w:val="2"/>
  </w:num>
  <w:num w:numId="10">
    <w:abstractNumId w:val="6"/>
  </w:num>
  <w:num w:numId="11">
    <w:abstractNumId w:val="14"/>
  </w:num>
  <w:num w:numId="12">
    <w:abstractNumId w:val="11"/>
  </w:num>
  <w:num w:numId="13">
    <w:abstractNumId w:val="10"/>
  </w:num>
  <w:num w:numId="14">
    <w:abstractNumId w:val="5"/>
  </w:num>
  <w:num w:numId="1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118B5"/>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4B10"/>
    <w:rsid w:val="000B17E3"/>
    <w:rsid w:val="000C0CFC"/>
    <w:rsid w:val="000C5048"/>
    <w:rsid w:val="000C5A18"/>
    <w:rsid w:val="000C7155"/>
    <w:rsid w:val="000D2254"/>
    <w:rsid w:val="000D381B"/>
    <w:rsid w:val="000E0CBE"/>
    <w:rsid w:val="00102299"/>
    <w:rsid w:val="001049E9"/>
    <w:rsid w:val="0011049B"/>
    <w:rsid w:val="00117292"/>
    <w:rsid w:val="0012191E"/>
    <w:rsid w:val="00123B17"/>
    <w:rsid w:val="00126D0B"/>
    <w:rsid w:val="00127611"/>
    <w:rsid w:val="00132858"/>
    <w:rsid w:val="0016319B"/>
    <w:rsid w:val="00164F33"/>
    <w:rsid w:val="00171943"/>
    <w:rsid w:val="00174FA6"/>
    <w:rsid w:val="00186667"/>
    <w:rsid w:val="00190506"/>
    <w:rsid w:val="00193552"/>
    <w:rsid w:val="00197A10"/>
    <w:rsid w:val="001A151A"/>
    <w:rsid w:val="001A410B"/>
    <w:rsid w:val="001B3C3B"/>
    <w:rsid w:val="001B6BD2"/>
    <w:rsid w:val="001D769F"/>
    <w:rsid w:val="001E4494"/>
    <w:rsid w:val="001F7EA0"/>
    <w:rsid w:val="002036A3"/>
    <w:rsid w:val="002078BE"/>
    <w:rsid w:val="002117DB"/>
    <w:rsid w:val="00216D18"/>
    <w:rsid w:val="00222E88"/>
    <w:rsid w:val="00223D85"/>
    <w:rsid w:val="00226860"/>
    <w:rsid w:val="002337F5"/>
    <w:rsid w:val="00240C6C"/>
    <w:rsid w:val="002455A9"/>
    <w:rsid w:val="00246D42"/>
    <w:rsid w:val="00252A87"/>
    <w:rsid w:val="00256BB2"/>
    <w:rsid w:val="00262050"/>
    <w:rsid w:val="00267A7F"/>
    <w:rsid w:val="00277241"/>
    <w:rsid w:val="00281792"/>
    <w:rsid w:val="0028179E"/>
    <w:rsid w:val="00281E1A"/>
    <w:rsid w:val="002845B3"/>
    <w:rsid w:val="00291578"/>
    <w:rsid w:val="002A76A4"/>
    <w:rsid w:val="002A7708"/>
    <w:rsid w:val="002B250B"/>
    <w:rsid w:val="002C17F4"/>
    <w:rsid w:val="002C363E"/>
    <w:rsid w:val="002C4BFE"/>
    <w:rsid w:val="002C4C94"/>
    <w:rsid w:val="002C6F9C"/>
    <w:rsid w:val="002E09AD"/>
    <w:rsid w:val="002E4041"/>
    <w:rsid w:val="002E609B"/>
    <w:rsid w:val="002F6640"/>
    <w:rsid w:val="00304960"/>
    <w:rsid w:val="003106F6"/>
    <w:rsid w:val="0031108F"/>
    <w:rsid w:val="00315AC1"/>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B32F0"/>
    <w:rsid w:val="003C0A8C"/>
    <w:rsid w:val="003C2EB2"/>
    <w:rsid w:val="003C7FFA"/>
    <w:rsid w:val="003D3BCE"/>
    <w:rsid w:val="003E3835"/>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976D7"/>
    <w:rsid w:val="004B2470"/>
    <w:rsid w:val="004D4150"/>
    <w:rsid w:val="004D6959"/>
    <w:rsid w:val="004D76FD"/>
    <w:rsid w:val="004E69BB"/>
    <w:rsid w:val="004F2F4F"/>
    <w:rsid w:val="00502CAF"/>
    <w:rsid w:val="00511229"/>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ADC"/>
    <w:rsid w:val="005C0CE8"/>
    <w:rsid w:val="005C183C"/>
    <w:rsid w:val="005C34E6"/>
    <w:rsid w:val="005C6716"/>
    <w:rsid w:val="005D2F97"/>
    <w:rsid w:val="005D3614"/>
    <w:rsid w:val="005E2B4A"/>
    <w:rsid w:val="005F261D"/>
    <w:rsid w:val="005F2A93"/>
    <w:rsid w:val="005F596F"/>
    <w:rsid w:val="006154D8"/>
    <w:rsid w:val="00616BC8"/>
    <w:rsid w:val="0062656E"/>
    <w:rsid w:val="00646B17"/>
    <w:rsid w:val="006504A3"/>
    <w:rsid w:val="00654668"/>
    <w:rsid w:val="006608E8"/>
    <w:rsid w:val="00661478"/>
    <w:rsid w:val="00661BD3"/>
    <w:rsid w:val="00672D28"/>
    <w:rsid w:val="006753EA"/>
    <w:rsid w:val="00676175"/>
    <w:rsid w:val="00676B5F"/>
    <w:rsid w:val="00677E3F"/>
    <w:rsid w:val="00684A4E"/>
    <w:rsid w:val="006969F1"/>
    <w:rsid w:val="006A09DD"/>
    <w:rsid w:val="006A2239"/>
    <w:rsid w:val="006B03A6"/>
    <w:rsid w:val="006B3F8C"/>
    <w:rsid w:val="006B5BF3"/>
    <w:rsid w:val="006B5C94"/>
    <w:rsid w:val="006B5DE2"/>
    <w:rsid w:val="006B6D75"/>
    <w:rsid w:val="006B7986"/>
    <w:rsid w:val="006C5B8F"/>
    <w:rsid w:val="006D1103"/>
    <w:rsid w:val="006E1C8C"/>
    <w:rsid w:val="006E2996"/>
    <w:rsid w:val="006F15FE"/>
    <w:rsid w:val="006F745D"/>
    <w:rsid w:val="00705026"/>
    <w:rsid w:val="00715596"/>
    <w:rsid w:val="00731693"/>
    <w:rsid w:val="00731AC9"/>
    <w:rsid w:val="00732BE4"/>
    <w:rsid w:val="007367FA"/>
    <w:rsid w:val="00736E3A"/>
    <w:rsid w:val="007419F1"/>
    <w:rsid w:val="00741C57"/>
    <w:rsid w:val="00767726"/>
    <w:rsid w:val="00776E6E"/>
    <w:rsid w:val="00781E67"/>
    <w:rsid w:val="00782D72"/>
    <w:rsid w:val="00792A49"/>
    <w:rsid w:val="007937E2"/>
    <w:rsid w:val="00793CBF"/>
    <w:rsid w:val="00797DD4"/>
    <w:rsid w:val="007A3832"/>
    <w:rsid w:val="007B30B5"/>
    <w:rsid w:val="007B7F5F"/>
    <w:rsid w:val="007C286C"/>
    <w:rsid w:val="007C4820"/>
    <w:rsid w:val="007C59A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176A"/>
    <w:rsid w:val="00863C19"/>
    <w:rsid w:val="008642DA"/>
    <w:rsid w:val="0087073A"/>
    <w:rsid w:val="00874391"/>
    <w:rsid w:val="00875C9A"/>
    <w:rsid w:val="00881B2A"/>
    <w:rsid w:val="008873D6"/>
    <w:rsid w:val="00897CB3"/>
    <w:rsid w:val="008A1665"/>
    <w:rsid w:val="008B033E"/>
    <w:rsid w:val="008B78E7"/>
    <w:rsid w:val="008C39A7"/>
    <w:rsid w:val="008D0DB9"/>
    <w:rsid w:val="008D48E0"/>
    <w:rsid w:val="008D6685"/>
    <w:rsid w:val="008E51C2"/>
    <w:rsid w:val="008F4F14"/>
    <w:rsid w:val="00902C1C"/>
    <w:rsid w:val="009118DF"/>
    <w:rsid w:val="00931197"/>
    <w:rsid w:val="00946D6E"/>
    <w:rsid w:val="00952011"/>
    <w:rsid w:val="00952BF0"/>
    <w:rsid w:val="00955295"/>
    <w:rsid w:val="00955AFA"/>
    <w:rsid w:val="00956066"/>
    <w:rsid w:val="009668BE"/>
    <w:rsid w:val="00971F49"/>
    <w:rsid w:val="00977A43"/>
    <w:rsid w:val="00980B3C"/>
    <w:rsid w:val="00992B25"/>
    <w:rsid w:val="00994B1A"/>
    <w:rsid w:val="00996B6B"/>
    <w:rsid w:val="009B5B6A"/>
    <w:rsid w:val="009B654F"/>
    <w:rsid w:val="009C0BE9"/>
    <w:rsid w:val="009D48B1"/>
    <w:rsid w:val="009E18DD"/>
    <w:rsid w:val="009E5462"/>
    <w:rsid w:val="009F11C7"/>
    <w:rsid w:val="009F706E"/>
    <w:rsid w:val="00A15A13"/>
    <w:rsid w:val="00A23546"/>
    <w:rsid w:val="00A24D8D"/>
    <w:rsid w:val="00A27509"/>
    <w:rsid w:val="00A31C58"/>
    <w:rsid w:val="00A332F5"/>
    <w:rsid w:val="00A36628"/>
    <w:rsid w:val="00A44CB6"/>
    <w:rsid w:val="00A52317"/>
    <w:rsid w:val="00A57510"/>
    <w:rsid w:val="00A666ED"/>
    <w:rsid w:val="00A94D87"/>
    <w:rsid w:val="00AA6C9A"/>
    <w:rsid w:val="00AB6F28"/>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21968"/>
    <w:rsid w:val="00C23CEA"/>
    <w:rsid w:val="00C26503"/>
    <w:rsid w:val="00C2705B"/>
    <w:rsid w:val="00C34B74"/>
    <w:rsid w:val="00C42F5C"/>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C1F17"/>
    <w:rsid w:val="00CC6687"/>
    <w:rsid w:val="00CD1BF0"/>
    <w:rsid w:val="00CD33C3"/>
    <w:rsid w:val="00CD466A"/>
    <w:rsid w:val="00CD5CA3"/>
    <w:rsid w:val="00CD606F"/>
    <w:rsid w:val="00D02ED7"/>
    <w:rsid w:val="00D20C8A"/>
    <w:rsid w:val="00D22B97"/>
    <w:rsid w:val="00D24CAA"/>
    <w:rsid w:val="00D40E1F"/>
    <w:rsid w:val="00D42582"/>
    <w:rsid w:val="00D42F99"/>
    <w:rsid w:val="00D50496"/>
    <w:rsid w:val="00D56C11"/>
    <w:rsid w:val="00D81924"/>
    <w:rsid w:val="00D8382F"/>
    <w:rsid w:val="00D84FB2"/>
    <w:rsid w:val="00D85C95"/>
    <w:rsid w:val="00D87159"/>
    <w:rsid w:val="00DB263D"/>
    <w:rsid w:val="00DC13B4"/>
    <w:rsid w:val="00DC4E6B"/>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6232"/>
    <w:rsid w:val="00E91F85"/>
    <w:rsid w:val="00E94DE8"/>
    <w:rsid w:val="00EA0858"/>
    <w:rsid w:val="00EB18CF"/>
    <w:rsid w:val="00EB4E53"/>
    <w:rsid w:val="00EB4EE2"/>
    <w:rsid w:val="00EB5C17"/>
    <w:rsid w:val="00ED0329"/>
    <w:rsid w:val="00ED0C8D"/>
    <w:rsid w:val="00ED11C4"/>
    <w:rsid w:val="00ED4A92"/>
    <w:rsid w:val="00EE09B6"/>
    <w:rsid w:val="00EE5993"/>
    <w:rsid w:val="00F004F5"/>
    <w:rsid w:val="00F12625"/>
    <w:rsid w:val="00F13B89"/>
    <w:rsid w:val="00F146E6"/>
    <w:rsid w:val="00F159EB"/>
    <w:rsid w:val="00F25930"/>
    <w:rsid w:val="00F30AD3"/>
    <w:rsid w:val="00F328DA"/>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26F4"/>
    <w:rsid w:val="00FE55E1"/>
    <w:rsid w:val="00FE57CB"/>
    <w:rsid w:val="00FF0CB3"/>
    <w:rsid w:val="00FF1C9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Default">
    <w:name w:val="Default"/>
    <w:rsid w:val="002C17F4"/>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rsid w:val="002036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Default">
    <w:name w:val="Default"/>
    <w:rsid w:val="002C17F4"/>
    <w:pPr>
      <w:autoSpaceDE w:val="0"/>
      <w:autoSpaceDN w:val="0"/>
      <w:adjustRightInd w:val="0"/>
    </w:pPr>
    <w:rPr>
      <w:rFonts w:ascii="Verdana" w:hAnsi="Verdana" w:cs="Verdana"/>
      <w:color w:val="000000"/>
      <w:sz w:val="24"/>
      <w:szCs w:val="24"/>
    </w:rPr>
  </w:style>
  <w:style w:type="character" w:styleId="FollowedHyperlink">
    <w:name w:val="FollowedHyperlink"/>
    <w:basedOn w:val="DefaultParagraphFont"/>
    <w:rsid w:val="002036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00681">
      <w:bodyDiv w:val="1"/>
      <w:marLeft w:val="0"/>
      <w:marRight w:val="0"/>
      <w:marTop w:val="0"/>
      <w:marBottom w:val="0"/>
      <w:divBdr>
        <w:top w:val="none" w:sz="0" w:space="0" w:color="auto"/>
        <w:left w:val="none" w:sz="0" w:space="0" w:color="auto"/>
        <w:bottom w:val="none" w:sz="0" w:space="0" w:color="auto"/>
        <w:right w:val="none" w:sz="0" w:space="0" w:color="auto"/>
      </w:divBdr>
    </w:div>
    <w:div w:id="562764259">
      <w:bodyDiv w:val="1"/>
      <w:marLeft w:val="0"/>
      <w:marRight w:val="0"/>
      <w:marTop w:val="0"/>
      <w:marBottom w:val="0"/>
      <w:divBdr>
        <w:top w:val="none" w:sz="0" w:space="0" w:color="auto"/>
        <w:left w:val="none" w:sz="0" w:space="0" w:color="auto"/>
        <w:bottom w:val="none" w:sz="0" w:space="0" w:color="auto"/>
        <w:right w:val="none" w:sz="0" w:space="0" w:color="auto"/>
      </w:divBdr>
    </w:div>
    <w:div w:id="1350109089">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1942571318">
      <w:bodyDiv w:val="1"/>
      <w:marLeft w:val="0"/>
      <w:marRight w:val="0"/>
      <w:marTop w:val="0"/>
      <w:marBottom w:val="0"/>
      <w:divBdr>
        <w:top w:val="none" w:sz="0" w:space="0" w:color="auto"/>
        <w:left w:val="none" w:sz="0" w:space="0" w:color="auto"/>
        <w:bottom w:val="none" w:sz="0" w:space="0" w:color="auto"/>
        <w:right w:val="none" w:sz="0" w:space="0" w:color="auto"/>
      </w:divBdr>
    </w:div>
    <w:div w:id="2123260136">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vid.lloyd@forestryengland.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forestryengland.uk/article/biosecurity-advice-forest-visitor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710655/NonOperationalServiceContractSchedule1Jan2016.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emily.coffin\AppData\Local\Microsoft\Windows\Temporary%20Internet%20Files\Content.Outlook\S36MIJD7\westengland@forestryengland.uk"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forestryengland.uk/article/first-aid-policy" TargetMode="External"/><Relationship Id="rId23" Type="http://schemas.openxmlformats.org/officeDocument/2006/relationships/fontTable" Target="fontTable.xml"/><Relationship Id="rId10" Type="http://schemas.openxmlformats.org/officeDocument/2006/relationships/hyperlink" Target="https://www.forestryengland.uk/article/safety-contracts"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v.uk/government/organisations/forestry-commission" TargetMode="External"/><Relationship Id="rId14" Type="http://schemas.openxmlformats.org/officeDocument/2006/relationships/hyperlink" Target="http://www.hse.gov.uk/"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105805"/>
    <w:rsid w:val="00251F1B"/>
    <w:rsid w:val="002E6416"/>
    <w:rsid w:val="00347795"/>
    <w:rsid w:val="00522482"/>
    <w:rsid w:val="005A63A7"/>
    <w:rsid w:val="00640F1B"/>
    <w:rsid w:val="00842057"/>
    <w:rsid w:val="00A84E30"/>
    <w:rsid w:val="00CE6A2D"/>
    <w:rsid w:val="00E86FD9"/>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D663-1600-4990-94D8-99E0556F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29</Pages>
  <Words>6712</Words>
  <Characters>36829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43455</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Coffin, Emily</cp:lastModifiedBy>
  <cp:revision>7</cp:revision>
  <dcterms:created xsi:type="dcterms:W3CDTF">2019-08-12T12:04:00Z</dcterms:created>
  <dcterms:modified xsi:type="dcterms:W3CDTF">2019-08-12T13:03:00Z</dcterms:modified>
</cp:coreProperties>
</file>