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7522" w14:textId="77777777" w:rsidR="005F738A" w:rsidRPr="00746C45" w:rsidRDefault="005F738A" w:rsidP="009138B2">
      <w:pPr>
        <w:pStyle w:val="Norma"/>
        <w:spacing w:afterLines="80" w:after="192" w:line="276" w:lineRule="auto"/>
        <w:rPr>
          <w:rFonts w:asciiTheme="minorHAnsi" w:hAnsiTheme="minorHAnsi" w:cs="Calibri"/>
          <w:sz w:val="32"/>
          <w:szCs w:val="32"/>
        </w:rPr>
      </w:pPr>
    </w:p>
    <w:p w14:paraId="5EA87523" w14:textId="77777777" w:rsidR="00893A3F" w:rsidRPr="00746C45" w:rsidRDefault="00893A3F" w:rsidP="009138B2">
      <w:pPr>
        <w:pStyle w:val="Norma"/>
        <w:spacing w:afterLines="80" w:after="192" w:line="276" w:lineRule="auto"/>
        <w:rPr>
          <w:rFonts w:asciiTheme="minorHAnsi" w:hAnsiTheme="minorHAnsi" w:cs="Calibri"/>
          <w:b/>
          <w:sz w:val="32"/>
          <w:szCs w:val="32"/>
        </w:rPr>
      </w:pPr>
    </w:p>
    <w:p w14:paraId="5EA87524" w14:textId="0961B4C9" w:rsidR="00FE0B21" w:rsidRPr="00746C45" w:rsidRDefault="00CA7099" w:rsidP="009138B2">
      <w:pPr>
        <w:pStyle w:val="Norma"/>
        <w:spacing w:afterLines="80" w:after="192" w:line="276" w:lineRule="auto"/>
        <w:rPr>
          <w:rFonts w:asciiTheme="minorHAnsi" w:hAnsiTheme="minorHAnsi" w:cs="Arial"/>
          <w:b/>
          <w:sz w:val="36"/>
          <w:szCs w:val="36"/>
        </w:rPr>
      </w:pPr>
      <w:r w:rsidRPr="00E168B7">
        <w:rPr>
          <w:rFonts w:asciiTheme="minorHAnsi" w:hAnsiTheme="minorHAnsi" w:cs="Arial"/>
          <w:b/>
          <w:sz w:val="36"/>
          <w:szCs w:val="36"/>
        </w:rPr>
        <w:t>Specification</w:t>
      </w:r>
      <w:r w:rsidR="00FE0B21" w:rsidRPr="00E168B7">
        <w:rPr>
          <w:rFonts w:asciiTheme="minorHAnsi" w:hAnsiTheme="minorHAnsi" w:cs="Arial"/>
          <w:b/>
          <w:sz w:val="36"/>
          <w:szCs w:val="36"/>
        </w:rPr>
        <w:t xml:space="preserve"> for</w:t>
      </w:r>
      <w:r w:rsidR="00607F41">
        <w:rPr>
          <w:rFonts w:asciiTheme="minorHAnsi" w:hAnsiTheme="minorHAnsi" w:cs="Arial"/>
          <w:b/>
          <w:sz w:val="36"/>
          <w:szCs w:val="36"/>
        </w:rPr>
        <w:t>:</w:t>
      </w:r>
      <w:r w:rsidR="00FE0B21" w:rsidRPr="00E168B7">
        <w:rPr>
          <w:rFonts w:asciiTheme="minorHAnsi" w:hAnsiTheme="minorHAnsi" w:cs="Arial"/>
          <w:b/>
          <w:sz w:val="36"/>
          <w:szCs w:val="36"/>
        </w:rPr>
        <w:t xml:space="preserve"> </w:t>
      </w:r>
      <w:r w:rsidR="00607F41">
        <w:rPr>
          <w:rFonts w:asciiTheme="minorHAnsi" w:hAnsiTheme="minorHAnsi" w:cs="Arial"/>
          <w:b/>
          <w:sz w:val="36"/>
          <w:szCs w:val="36"/>
        </w:rPr>
        <w:t>D</w:t>
      </w:r>
      <w:r w:rsidR="00E168B7" w:rsidRPr="00E168B7">
        <w:rPr>
          <w:rFonts w:asciiTheme="minorHAnsi" w:hAnsiTheme="minorHAnsi" w:cs="Arial"/>
          <w:b/>
          <w:sz w:val="36"/>
          <w:szCs w:val="36"/>
        </w:rPr>
        <w:t>ev</w:t>
      </w:r>
      <w:bookmarkStart w:id="0" w:name="_GoBack"/>
      <w:bookmarkEnd w:id="0"/>
      <w:r w:rsidR="00E168B7" w:rsidRPr="00E168B7">
        <w:rPr>
          <w:rFonts w:asciiTheme="minorHAnsi" w:hAnsiTheme="minorHAnsi" w:cs="Arial"/>
          <w:b/>
          <w:sz w:val="36"/>
          <w:szCs w:val="36"/>
        </w:rPr>
        <w:t>elop</w:t>
      </w:r>
      <w:r w:rsidR="00E168B7">
        <w:rPr>
          <w:rFonts w:asciiTheme="minorHAnsi" w:hAnsiTheme="minorHAnsi" w:cs="Arial"/>
          <w:b/>
          <w:sz w:val="36"/>
          <w:szCs w:val="36"/>
        </w:rPr>
        <w:t>ment of</w:t>
      </w:r>
      <w:r w:rsidR="00E168B7" w:rsidRPr="00E168B7">
        <w:rPr>
          <w:rFonts w:asciiTheme="minorHAnsi" w:hAnsiTheme="minorHAnsi" w:cs="Arial"/>
          <w:b/>
          <w:sz w:val="36"/>
          <w:szCs w:val="36"/>
        </w:rPr>
        <w:t xml:space="preserve"> </w:t>
      </w:r>
      <w:r w:rsidR="001C7F0D" w:rsidRPr="00E168B7">
        <w:rPr>
          <w:rFonts w:asciiTheme="minorHAnsi" w:hAnsiTheme="minorHAnsi" w:cs="Arial"/>
          <w:b/>
          <w:sz w:val="36"/>
          <w:szCs w:val="36"/>
        </w:rPr>
        <w:t>a roadmap for enabling low-carbon flexibility services to participate fully in the GB electricity markets towards 2030</w:t>
      </w:r>
      <w:r w:rsidR="00491BBB" w:rsidRPr="00E168B7">
        <w:rPr>
          <w:rFonts w:asciiTheme="minorHAnsi" w:hAnsiTheme="minorHAnsi" w:cs="Arial"/>
          <w:b/>
          <w:sz w:val="36"/>
          <w:szCs w:val="36"/>
        </w:rPr>
        <w:t xml:space="preserve"> and </w:t>
      </w:r>
      <w:r w:rsidR="00E168B7" w:rsidRPr="00E168B7">
        <w:rPr>
          <w:rFonts w:asciiTheme="minorHAnsi" w:hAnsiTheme="minorHAnsi" w:cs="Arial"/>
          <w:b/>
          <w:sz w:val="36"/>
          <w:szCs w:val="36"/>
        </w:rPr>
        <w:t xml:space="preserve">associated </w:t>
      </w:r>
      <w:r w:rsidR="00491BBB" w:rsidRPr="00E168B7">
        <w:rPr>
          <w:rFonts w:asciiTheme="minorHAnsi" w:hAnsiTheme="minorHAnsi" w:cs="Arial"/>
          <w:b/>
          <w:sz w:val="36"/>
          <w:szCs w:val="36"/>
        </w:rPr>
        <w:t>indicator framework to track progress</w:t>
      </w:r>
    </w:p>
    <w:p w14:paraId="5EA87525" w14:textId="77777777" w:rsidR="00CB7AD6" w:rsidRPr="00746C45" w:rsidRDefault="00CB7AD6" w:rsidP="009138B2">
      <w:pPr>
        <w:pStyle w:val="Norma"/>
        <w:spacing w:afterLines="80" w:after="192" w:line="276" w:lineRule="auto"/>
        <w:rPr>
          <w:rFonts w:asciiTheme="minorHAnsi" w:hAnsiTheme="minorHAnsi" w:cs="Arial"/>
          <w:b/>
          <w:sz w:val="36"/>
          <w:szCs w:val="36"/>
        </w:rPr>
      </w:pPr>
    </w:p>
    <w:p w14:paraId="4AFA6017" w14:textId="77777777" w:rsidR="00DD521A" w:rsidRPr="00746C45" w:rsidRDefault="00DD521A" w:rsidP="009138B2">
      <w:pPr>
        <w:pStyle w:val="Norma"/>
        <w:spacing w:afterLines="80" w:after="192" w:line="276" w:lineRule="auto"/>
        <w:rPr>
          <w:rFonts w:asciiTheme="minorHAnsi" w:hAnsiTheme="minorHAnsi" w:cs="Arial"/>
          <w:sz w:val="36"/>
          <w:szCs w:val="36"/>
        </w:rPr>
      </w:pPr>
    </w:p>
    <w:p w14:paraId="02451D23" w14:textId="77777777" w:rsidR="00DD521A" w:rsidRPr="00746C45" w:rsidRDefault="00DD521A" w:rsidP="009138B2">
      <w:pPr>
        <w:pStyle w:val="Norma"/>
        <w:spacing w:afterLines="80" w:after="192" w:line="276" w:lineRule="auto"/>
        <w:rPr>
          <w:rFonts w:asciiTheme="minorHAnsi" w:hAnsiTheme="minorHAnsi" w:cs="Arial"/>
          <w:sz w:val="36"/>
          <w:szCs w:val="36"/>
        </w:rPr>
      </w:pPr>
    </w:p>
    <w:p w14:paraId="5EA87526" w14:textId="67041696" w:rsidR="00E53204" w:rsidRPr="00746C45" w:rsidRDefault="00C53C6B" w:rsidP="009138B2">
      <w:pPr>
        <w:pStyle w:val="Norma"/>
        <w:spacing w:afterLines="80" w:after="192" w:line="276" w:lineRule="auto"/>
        <w:rPr>
          <w:rFonts w:asciiTheme="minorHAnsi" w:hAnsiTheme="minorHAnsi" w:cs="Arial"/>
          <w:color w:val="FF0000"/>
          <w:sz w:val="36"/>
          <w:szCs w:val="36"/>
        </w:rPr>
      </w:pPr>
      <w:r w:rsidRPr="00746C45">
        <w:rPr>
          <w:rFonts w:asciiTheme="minorHAnsi" w:hAnsiTheme="minorHAnsi" w:cs="Arial"/>
          <w:sz w:val="36"/>
          <w:szCs w:val="36"/>
        </w:rPr>
        <w:t>T</w:t>
      </w:r>
      <w:r w:rsidR="00E53204" w:rsidRPr="00746C45">
        <w:rPr>
          <w:rFonts w:asciiTheme="minorHAnsi" w:hAnsiTheme="minorHAnsi" w:cs="Arial"/>
          <w:sz w:val="36"/>
          <w:szCs w:val="36"/>
        </w:rPr>
        <w:t>ender Reference Number</w:t>
      </w:r>
      <w:r w:rsidR="006E31A8" w:rsidRPr="00746C45">
        <w:rPr>
          <w:rFonts w:asciiTheme="minorHAnsi" w:hAnsiTheme="minorHAnsi" w:cs="Arial"/>
          <w:sz w:val="36"/>
          <w:szCs w:val="36"/>
        </w:rPr>
        <w:t>:</w:t>
      </w:r>
      <w:r w:rsidR="009B12A9">
        <w:rPr>
          <w:rFonts w:asciiTheme="minorHAnsi" w:hAnsiTheme="minorHAnsi" w:cs="Arial"/>
          <w:color w:val="FF0000"/>
          <w:sz w:val="36"/>
          <w:szCs w:val="36"/>
        </w:rPr>
        <w:t xml:space="preserve"> </w:t>
      </w:r>
      <w:r w:rsidR="009B12A9" w:rsidRPr="009B12A9">
        <w:rPr>
          <w:rFonts w:asciiTheme="minorHAnsi" w:hAnsiTheme="minorHAnsi" w:cs="Arial"/>
          <w:sz w:val="36"/>
          <w:szCs w:val="36"/>
        </w:rPr>
        <w:t>EL/1016</w:t>
      </w:r>
    </w:p>
    <w:p w14:paraId="5EA87527" w14:textId="77777777" w:rsidR="00444762" w:rsidRPr="00746C45" w:rsidRDefault="00444762" w:rsidP="009138B2">
      <w:pPr>
        <w:pStyle w:val="Norma"/>
        <w:spacing w:afterLines="80" w:after="192" w:line="276" w:lineRule="auto"/>
        <w:rPr>
          <w:rFonts w:asciiTheme="minorHAnsi" w:hAnsiTheme="minorHAnsi" w:cs="Arial"/>
          <w:szCs w:val="28"/>
        </w:rPr>
      </w:pPr>
    </w:p>
    <w:p w14:paraId="5EA87528" w14:textId="77777777" w:rsidR="00D95762" w:rsidRPr="00746C45" w:rsidRDefault="00D95762" w:rsidP="009138B2">
      <w:pPr>
        <w:pStyle w:val="Norma"/>
        <w:spacing w:afterLines="80" w:after="192" w:line="276" w:lineRule="auto"/>
        <w:rPr>
          <w:rFonts w:asciiTheme="minorHAnsi" w:hAnsiTheme="minorHAnsi" w:cs="Calibri"/>
          <w:b/>
          <w:color w:val="FF0000"/>
          <w:sz w:val="26"/>
          <w:szCs w:val="26"/>
        </w:rPr>
      </w:pPr>
    </w:p>
    <w:p w14:paraId="5EA87529" w14:textId="77777777" w:rsidR="00D95762" w:rsidRPr="00746C45" w:rsidRDefault="00D95762" w:rsidP="009138B2">
      <w:pPr>
        <w:pStyle w:val="Norma"/>
        <w:spacing w:afterLines="80" w:after="192" w:line="276" w:lineRule="auto"/>
        <w:rPr>
          <w:rFonts w:asciiTheme="minorHAnsi" w:hAnsiTheme="minorHAnsi" w:cs="Calibri"/>
          <w:b/>
          <w:color w:val="FF0000"/>
          <w:sz w:val="26"/>
          <w:szCs w:val="26"/>
        </w:rPr>
      </w:pPr>
    </w:p>
    <w:p w14:paraId="5EA8752A" w14:textId="77777777" w:rsidR="00327C8C" w:rsidRPr="00746C45" w:rsidRDefault="00327C8C" w:rsidP="009138B2">
      <w:pPr>
        <w:pStyle w:val="Norma"/>
        <w:spacing w:afterLines="80" w:after="192" w:line="276" w:lineRule="auto"/>
        <w:rPr>
          <w:rFonts w:asciiTheme="minorHAnsi" w:hAnsiTheme="minorHAnsi" w:cs="Calibri"/>
          <w:b/>
          <w:sz w:val="28"/>
          <w:szCs w:val="28"/>
        </w:rPr>
      </w:pPr>
    </w:p>
    <w:p w14:paraId="5EA8752B" w14:textId="77777777" w:rsidR="00121E96" w:rsidRPr="00746C45" w:rsidRDefault="00121E96" w:rsidP="009138B2">
      <w:pPr>
        <w:pStyle w:val="Norma"/>
        <w:spacing w:afterLines="80" w:after="192" w:line="276" w:lineRule="auto"/>
        <w:rPr>
          <w:rFonts w:asciiTheme="minorHAnsi" w:hAnsiTheme="minorHAnsi" w:cs="Arial"/>
          <w:sz w:val="24"/>
          <w:szCs w:val="24"/>
        </w:rPr>
      </w:pPr>
    </w:p>
    <w:p w14:paraId="5EA87533" w14:textId="77777777" w:rsidR="00781BF5" w:rsidRPr="00746C45" w:rsidRDefault="00781BF5" w:rsidP="009138B2">
      <w:pPr>
        <w:pStyle w:val="Norma"/>
        <w:spacing w:afterLines="80" w:after="192" w:line="276" w:lineRule="auto"/>
        <w:ind w:left="720"/>
        <w:rPr>
          <w:rFonts w:asciiTheme="minorHAnsi" w:hAnsiTheme="minorHAnsi" w:cs="Calibri"/>
        </w:rPr>
      </w:pPr>
      <w:bookmarkStart w:id="1" w:name="SectionOne"/>
    </w:p>
    <w:p w14:paraId="5EA87534" w14:textId="77777777" w:rsidR="003E5C19" w:rsidRPr="00746C45" w:rsidRDefault="00091732" w:rsidP="009138B2">
      <w:pPr>
        <w:pStyle w:val="Norma"/>
        <w:spacing w:afterLines="80" w:after="192" w:line="276" w:lineRule="auto"/>
        <w:ind w:left="1080"/>
        <w:rPr>
          <w:rFonts w:asciiTheme="minorHAnsi" w:hAnsiTheme="minorHAnsi" w:cs="Calibri"/>
          <w:b/>
          <w:sz w:val="28"/>
          <w:szCs w:val="28"/>
        </w:rPr>
      </w:pPr>
      <w:bookmarkStart w:id="2" w:name="_Evaluation_of_Responses"/>
      <w:bookmarkEnd w:id="2"/>
      <w:r w:rsidRPr="00746C45">
        <w:rPr>
          <w:rFonts w:asciiTheme="minorHAnsi" w:hAnsiTheme="minorHAnsi" w:cs="Calibri"/>
          <w:b/>
          <w:sz w:val="28"/>
          <w:szCs w:val="28"/>
        </w:rPr>
        <w:br w:type="page"/>
      </w:r>
      <w:bookmarkEnd w:id="1"/>
    </w:p>
    <w:p w14:paraId="5EA87535" w14:textId="595C429A" w:rsidR="001D5D04" w:rsidRPr="00746C45" w:rsidRDefault="009B12A9" w:rsidP="009138B2">
      <w:pPr>
        <w:pStyle w:val="Norma"/>
        <w:spacing w:afterLines="80" w:after="192" w:line="276" w:lineRule="auto"/>
        <w:jc w:val="both"/>
        <w:rPr>
          <w:rFonts w:asciiTheme="minorHAnsi" w:hAnsiTheme="minorHAnsi" w:cs="Calibri"/>
          <w:b/>
          <w:sz w:val="28"/>
          <w:szCs w:val="28"/>
        </w:rPr>
      </w:pPr>
      <w:r w:rsidRPr="00746C45">
        <w:rPr>
          <w:rFonts w:asciiTheme="minorHAnsi" w:hAnsiTheme="minorHAnsi"/>
          <w:noProof/>
        </w:rPr>
        <w:lastRenderedPageBreak/>
        <mc:AlternateContent>
          <mc:Choice Requires="wps">
            <w:drawing>
              <wp:anchor distT="0" distB="0" distL="114300" distR="114300" simplePos="0" relativeHeight="20" behindDoc="0" locked="0" layoutInCell="1" allowOverlap="1" wp14:anchorId="5EA8762A" wp14:editId="30FDFA5D">
                <wp:simplePos x="0" y="0"/>
                <wp:positionH relativeFrom="column">
                  <wp:align>center</wp:align>
                </wp:positionH>
                <wp:positionV relativeFrom="paragraph">
                  <wp:posOffset>-207645</wp:posOffset>
                </wp:positionV>
                <wp:extent cx="5655310" cy="2639060"/>
                <wp:effectExtent l="0" t="0" r="21590" b="2794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639683"/>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4207E334" w14:textId="77777777" w:rsidR="009B12A9" w:rsidRPr="00746C45" w:rsidRDefault="00DD15F0" w:rsidP="009B12A9">
                            <w:pPr>
                              <w:pStyle w:val="Norma"/>
                              <w:spacing w:afterLines="80" w:after="192" w:line="276" w:lineRule="auto"/>
                              <w:rPr>
                                <w:rFonts w:asciiTheme="minorHAnsi" w:hAnsiTheme="minorHAnsi" w:cs="Arial"/>
                                <w:b/>
                                <w:sz w:val="36"/>
                                <w:szCs w:val="36"/>
                              </w:rPr>
                            </w:pPr>
                            <w:r w:rsidRPr="0000739E">
                              <w:rPr>
                                <w:rFonts w:cs="Arial"/>
                              </w:rPr>
                              <w:t>Invitation to Tender for</w:t>
                            </w:r>
                            <w:r w:rsidRPr="006D645F">
                              <w:rPr>
                                <w:rFonts w:cs="Arial"/>
                              </w:rPr>
                              <w:t xml:space="preserve"> </w:t>
                            </w:r>
                            <w:r w:rsidR="009B12A9" w:rsidRPr="009B12A9">
                              <w:rPr>
                                <w:rFonts w:asciiTheme="minorHAnsi" w:hAnsiTheme="minorHAnsi" w:cs="Arial"/>
                                <w:b/>
                                <w:sz w:val="24"/>
                                <w:szCs w:val="24"/>
                              </w:rPr>
                              <w:t>Development of a roadmap for enabling low-carbon flexibility services to participate fully in the GB electricity markets towards 2030 and associated indicator framework to track progress</w:t>
                            </w:r>
                          </w:p>
                          <w:p w14:paraId="5EA8763B" w14:textId="68362E65" w:rsidR="00DD15F0" w:rsidRPr="0000739E" w:rsidRDefault="00DD15F0" w:rsidP="00405192">
                            <w:pPr>
                              <w:pStyle w:val="Norma"/>
                              <w:rPr>
                                <w:rFonts w:cs="Arial"/>
                              </w:rPr>
                            </w:pPr>
                            <w:r>
                              <w:rPr>
                                <w:rFonts w:cs="Arial"/>
                              </w:rPr>
                              <w:t>Tender Reference Number</w:t>
                            </w:r>
                            <w:r w:rsidR="009B12A9">
                              <w:rPr>
                                <w:rFonts w:cs="Arial"/>
                              </w:rPr>
                              <w:t xml:space="preserve">: </w:t>
                            </w:r>
                            <w:r w:rsidR="009B12A9" w:rsidRPr="009B12A9">
                              <w:rPr>
                                <w:rFonts w:cs="Arial"/>
                                <w:b/>
                              </w:rPr>
                              <w:t>EL/10/16</w:t>
                            </w:r>
                          </w:p>
                          <w:p w14:paraId="5EA8763C" w14:textId="7A854BEC" w:rsidR="00DD15F0" w:rsidRDefault="00DD15F0" w:rsidP="00405192">
                            <w:pPr>
                              <w:pStyle w:val="Norma"/>
                              <w:rPr>
                                <w:rFonts w:cs="Arial"/>
                              </w:rPr>
                            </w:pPr>
                            <w:r w:rsidRPr="0000739E">
                              <w:rPr>
                                <w:rFonts w:cs="Arial"/>
                              </w:rPr>
                              <w:t>Deadline for Tender Responses:</w:t>
                            </w:r>
                            <w:r w:rsidR="009B12A9" w:rsidRPr="009B12A9">
                              <w:rPr>
                                <w:rFonts w:ascii="Calibri" w:hAnsi="Calibri"/>
                                <w:b/>
                              </w:rPr>
                              <w:t xml:space="preserve"> </w:t>
                            </w:r>
                            <w:r w:rsidR="009B12A9" w:rsidRPr="009B12A9">
                              <w:rPr>
                                <w:rFonts w:ascii="Calibri" w:hAnsi="Calibri"/>
                                <w:b/>
                                <w:sz w:val="24"/>
                                <w:szCs w:val="24"/>
                              </w:rPr>
                              <w:t>12 pm on Friday 18 November</w:t>
                            </w:r>
                            <w:r w:rsidR="009B12A9" w:rsidRPr="000604B1">
                              <w:rPr>
                                <w:rFonts w:ascii="Calibri" w:hAnsi="Calibri"/>
                                <w:b/>
                              </w:rPr>
                              <w:t>.</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207.8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4207E334" w14:textId="77777777" w:rsidR="009B12A9" w:rsidRPr="00746C45" w:rsidRDefault="00DD15F0" w:rsidP="009B12A9">
                      <w:pPr>
                        <w:pStyle w:val="Norma"/>
                        <w:spacing w:afterLines="80" w:after="192" w:line="276" w:lineRule="auto"/>
                        <w:rPr>
                          <w:rFonts w:asciiTheme="minorHAnsi" w:hAnsiTheme="minorHAnsi" w:cs="Arial"/>
                          <w:b/>
                          <w:sz w:val="36"/>
                          <w:szCs w:val="36"/>
                        </w:rPr>
                      </w:pPr>
                      <w:r w:rsidRPr="0000739E">
                        <w:rPr>
                          <w:rFonts w:cs="Arial"/>
                        </w:rPr>
                        <w:t>Invitation to Tender for</w:t>
                      </w:r>
                      <w:r w:rsidRPr="006D645F">
                        <w:rPr>
                          <w:rFonts w:cs="Arial"/>
                        </w:rPr>
                        <w:t xml:space="preserve"> </w:t>
                      </w:r>
                      <w:r w:rsidR="009B12A9" w:rsidRPr="009B12A9">
                        <w:rPr>
                          <w:rFonts w:asciiTheme="minorHAnsi" w:hAnsiTheme="minorHAnsi" w:cs="Arial"/>
                          <w:b/>
                          <w:sz w:val="24"/>
                          <w:szCs w:val="24"/>
                        </w:rPr>
                        <w:t>Development of a roadmap for enabling low-carbon flexibility services to participate fully in the GB electricity markets towards 2030 and associated indicator framework to track progress</w:t>
                      </w:r>
                    </w:p>
                    <w:p w14:paraId="5EA8763B" w14:textId="68362E65" w:rsidR="00DD15F0" w:rsidRPr="0000739E" w:rsidRDefault="00DD15F0" w:rsidP="00405192">
                      <w:pPr>
                        <w:pStyle w:val="Norma"/>
                        <w:rPr>
                          <w:rFonts w:cs="Arial"/>
                        </w:rPr>
                      </w:pPr>
                      <w:r>
                        <w:rPr>
                          <w:rFonts w:cs="Arial"/>
                        </w:rPr>
                        <w:t>Tender Reference Number</w:t>
                      </w:r>
                      <w:r w:rsidR="009B12A9">
                        <w:rPr>
                          <w:rFonts w:cs="Arial"/>
                        </w:rPr>
                        <w:t xml:space="preserve">: </w:t>
                      </w:r>
                      <w:r w:rsidR="009B12A9" w:rsidRPr="009B12A9">
                        <w:rPr>
                          <w:rFonts w:cs="Arial"/>
                          <w:b/>
                        </w:rPr>
                        <w:t>EL/10/16</w:t>
                      </w:r>
                    </w:p>
                    <w:p w14:paraId="5EA8763C" w14:textId="7A854BEC" w:rsidR="00DD15F0" w:rsidRDefault="00DD15F0" w:rsidP="00405192">
                      <w:pPr>
                        <w:pStyle w:val="Norma"/>
                        <w:rPr>
                          <w:rFonts w:cs="Arial"/>
                        </w:rPr>
                      </w:pPr>
                      <w:r w:rsidRPr="0000739E">
                        <w:rPr>
                          <w:rFonts w:cs="Arial"/>
                        </w:rPr>
                        <w:t>Deadline for Tender Responses:</w:t>
                      </w:r>
                      <w:r w:rsidR="009B12A9" w:rsidRPr="009B12A9">
                        <w:rPr>
                          <w:rFonts w:ascii="Calibri" w:hAnsi="Calibri"/>
                          <w:b/>
                        </w:rPr>
                        <w:t xml:space="preserve"> </w:t>
                      </w:r>
                      <w:r w:rsidR="009B12A9" w:rsidRPr="009B12A9">
                        <w:rPr>
                          <w:rFonts w:ascii="Calibri" w:hAnsi="Calibri"/>
                          <w:b/>
                          <w:sz w:val="24"/>
                          <w:szCs w:val="24"/>
                        </w:rPr>
                        <w:t>12 pm on Friday 18 November</w:t>
                      </w:r>
                      <w:r w:rsidR="009B12A9" w:rsidRPr="000604B1">
                        <w:rPr>
                          <w:rFonts w:ascii="Calibri" w:hAnsi="Calibri"/>
                          <w:b/>
                        </w:rPr>
                        <w:t>.</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6" w14:textId="0566F1F0" w:rsidR="003E5C19" w:rsidRPr="00746C45" w:rsidRDefault="003E5C19" w:rsidP="009138B2">
      <w:pPr>
        <w:pStyle w:val="Norma"/>
        <w:spacing w:afterLines="80" w:after="192" w:line="276" w:lineRule="auto"/>
        <w:jc w:val="both"/>
        <w:rPr>
          <w:rFonts w:asciiTheme="minorHAnsi" w:hAnsiTheme="minorHAnsi" w:cs="Calibri"/>
          <w:b/>
          <w:sz w:val="28"/>
          <w:szCs w:val="28"/>
        </w:rPr>
      </w:pPr>
    </w:p>
    <w:p w14:paraId="5EA87537" w14:textId="77777777" w:rsidR="003E5C19" w:rsidRPr="00746C45" w:rsidRDefault="003E5C19" w:rsidP="009138B2">
      <w:pPr>
        <w:pStyle w:val="Norma"/>
        <w:spacing w:afterLines="80" w:after="192" w:line="276" w:lineRule="auto"/>
        <w:jc w:val="both"/>
        <w:rPr>
          <w:rFonts w:asciiTheme="minorHAnsi" w:hAnsiTheme="minorHAnsi" w:cs="Calibri"/>
          <w:b/>
          <w:sz w:val="28"/>
          <w:szCs w:val="28"/>
        </w:rPr>
      </w:pPr>
    </w:p>
    <w:p w14:paraId="5EA87538" w14:textId="77777777" w:rsidR="003E5C19" w:rsidRPr="00746C45" w:rsidRDefault="003E5C19" w:rsidP="009138B2">
      <w:pPr>
        <w:pStyle w:val="Norma"/>
        <w:spacing w:afterLines="80" w:after="192" w:line="276" w:lineRule="auto"/>
        <w:jc w:val="both"/>
        <w:rPr>
          <w:rFonts w:asciiTheme="minorHAnsi" w:hAnsiTheme="minorHAnsi" w:cs="Calibri"/>
          <w:b/>
          <w:sz w:val="28"/>
          <w:szCs w:val="28"/>
        </w:rPr>
      </w:pPr>
    </w:p>
    <w:p w14:paraId="5EA87539" w14:textId="77777777" w:rsidR="009954ED" w:rsidRPr="00746C45" w:rsidRDefault="009954ED" w:rsidP="009138B2">
      <w:pPr>
        <w:pStyle w:val="Norma"/>
        <w:spacing w:afterLines="80" w:after="192" w:line="276" w:lineRule="auto"/>
        <w:jc w:val="both"/>
        <w:rPr>
          <w:rFonts w:asciiTheme="minorHAnsi" w:hAnsiTheme="minorHAnsi" w:cs="Arial"/>
          <w:sz w:val="24"/>
          <w:szCs w:val="24"/>
        </w:rPr>
      </w:pPr>
    </w:p>
    <w:p w14:paraId="5EA8753A" w14:textId="77777777" w:rsidR="003E5C19" w:rsidRPr="00746C45" w:rsidRDefault="003E5C19" w:rsidP="009138B2">
      <w:pPr>
        <w:pStyle w:val="Numbered"/>
        <w:widowControl/>
        <w:spacing w:afterLines="80" w:after="192" w:line="276" w:lineRule="auto"/>
        <w:jc w:val="both"/>
        <w:rPr>
          <w:rFonts w:asciiTheme="minorHAnsi" w:hAnsiTheme="minorHAnsi"/>
          <w:b/>
          <w:sz w:val="28"/>
          <w:szCs w:val="28"/>
        </w:rPr>
      </w:pPr>
    </w:p>
    <w:p w14:paraId="5EA8753B" w14:textId="77777777" w:rsidR="003E5C19" w:rsidRPr="00746C45" w:rsidRDefault="003E5C19" w:rsidP="009138B2">
      <w:pPr>
        <w:pStyle w:val="Numbered"/>
        <w:widowControl/>
        <w:spacing w:afterLines="80" w:after="192" w:line="276" w:lineRule="auto"/>
        <w:rPr>
          <w:rFonts w:asciiTheme="minorHAnsi" w:hAnsiTheme="minorHAnsi"/>
          <w:b/>
          <w:sz w:val="28"/>
          <w:szCs w:val="28"/>
        </w:rPr>
      </w:pPr>
    </w:p>
    <w:p w14:paraId="5EA8753C" w14:textId="77777777" w:rsidR="00790CE1" w:rsidRPr="00746C45" w:rsidRDefault="00790CE1" w:rsidP="009138B2">
      <w:pPr>
        <w:pStyle w:val="Numbered"/>
        <w:widowControl/>
        <w:spacing w:afterLines="80" w:after="192" w:line="276" w:lineRule="auto"/>
        <w:rPr>
          <w:rFonts w:asciiTheme="minorHAnsi" w:hAnsiTheme="minorHAnsi"/>
          <w:b/>
          <w:sz w:val="28"/>
          <w:szCs w:val="28"/>
        </w:rPr>
      </w:pPr>
    </w:p>
    <w:p w14:paraId="5EA8753D" w14:textId="77777777" w:rsidR="00790CE1" w:rsidRPr="00746C45" w:rsidRDefault="00790CE1" w:rsidP="009138B2">
      <w:pPr>
        <w:pStyle w:val="Numbered"/>
        <w:widowControl/>
        <w:spacing w:afterLines="80" w:after="192" w:line="276" w:lineRule="auto"/>
        <w:rPr>
          <w:rFonts w:asciiTheme="minorHAnsi" w:hAnsiTheme="minorHAnsi"/>
          <w:b/>
          <w:sz w:val="28"/>
          <w:szCs w:val="28"/>
        </w:rPr>
      </w:pPr>
    </w:p>
    <w:p w14:paraId="5EA8753E" w14:textId="77777777" w:rsidR="002D32D5" w:rsidRPr="00746C45" w:rsidRDefault="002D32D5" w:rsidP="009138B2">
      <w:pPr>
        <w:pStyle w:val="Numbered"/>
        <w:widowControl/>
        <w:spacing w:afterLines="80" w:after="192" w:line="276" w:lineRule="auto"/>
        <w:rPr>
          <w:rFonts w:asciiTheme="minorHAnsi" w:hAnsiTheme="minorHAnsi"/>
          <w:b/>
          <w:sz w:val="28"/>
          <w:szCs w:val="28"/>
        </w:rPr>
      </w:pPr>
      <w:r w:rsidRPr="00746C45">
        <w:rPr>
          <w:rFonts w:asciiTheme="minorHAnsi" w:hAnsiTheme="minorHAnsi"/>
          <w:b/>
          <w:sz w:val="28"/>
          <w:szCs w:val="28"/>
        </w:rPr>
        <w:t>Contents</w:t>
      </w:r>
    </w:p>
    <w:p w14:paraId="5EA87540" w14:textId="77777777" w:rsidR="00B0368C" w:rsidRPr="00746C45" w:rsidRDefault="00B0368C" w:rsidP="009138B2">
      <w:pPr>
        <w:pStyle w:val="Norma"/>
        <w:spacing w:afterLines="80" w:after="192" w:line="276" w:lineRule="auto"/>
        <w:rPr>
          <w:rFonts w:asciiTheme="minorHAnsi" w:hAnsiTheme="minorHAnsi"/>
          <w:sz w:val="24"/>
          <w:szCs w:val="24"/>
          <w:lang w:val="en-US" w:eastAsia="ja-JP"/>
        </w:rPr>
      </w:pPr>
    </w:p>
    <w:p w14:paraId="3FAF8C52" w14:textId="77777777" w:rsidR="001C53DA" w:rsidRDefault="000744BD">
      <w:pPr>
        <w:pStyle w:val="TOC1"/>
        <w:rPr>
          <w:rFonts w:asciiTheme="minorHAnsi" w:eastAsiaTheme="minorEastAsia" w:hAnsiTheme="minorHAnsi" w:cstheme="minorBidi"/>
          <w:noProof/>
        </w:rPr>
      </w:pPr>
      <w:r w:rsidRPr="00746C45">
        <w:rPr>
          <w:rFonts w:asciiTheme="minorHAnsi" w:hAnsiTheme="minorHAnsi"/>
          <w:color w:val="000000"/>
          <w:sz w:val="24"/>
          <w:szCs w:val="24"/>
        </w:rPr>
        <w:fldChar w:fldCharType="begin"/>
      </w:r>
      <w:r w:rsidRPr="00746C45">
        <w:rPr>
          <w:rFonts w:asciiTheme="minorHAnsi" w:hAnsiTheme="minorHAnsi"/>
          <w:color w:val="000000"/>
          <w:sz w:val="24"/>
          <w:szCs w:val="24"/>
        </w:rPr>
        <w:instrText xml:space="preserve"> TOC \b SectionTwo \* MERGEFORMAT </w:instrText>
      </w:r>
      <w:r w:rsidRPr="00746C45">
        <w:rPr>
          <w:rFonts w:asciiTheme="minorHAnsi" w:hAnsiTheme="minorHAnsi"/>
          <w:color w:val="000000"/>
          <w:sz w:val="24"/>
          <w:szCs w:val="24"/>
        </w:rPr>
        <w:fldChar w:fldCharType="separate"/>
      </w:r>
      <w:r w:rsidR="001C53DA" w:rsidRPr="00D952D0">
        <w:rPr>
          <w:rFonts w:cs="Arial"/>
          <w:noProof/>
        </w:rPr>
        <w:t>1.</w:t>
      </w:r>
      <w:r w:rsidR="001C53DA">
        <w:rPr>
          <w:rFonts w:asciiTheme="minorHAnsi" w:eastAsiaTheme="minorEastAsia" w:hAnsiTheme="minorHAnsi" w:cstheme="minorBidi"/>
          <w:noProof/>
        </w:rPr>
        <w:tab/>
      </w:r>
      <w:r w:rsidR="001C53DA" w:rsidRPr="00D952D0">
        <w:rPr>
          <w:rFonts w:asciiTheme="minorHAnsi" w:hAnsiTheme="minorHAnsi" w:cs="Arial"/>
          <w:noProof/>
        </w:rPr>
        <w:t>Preamble</w:t>
      </w:r>
      <w:r w:rsidR="001C53DA">
        <w:rPr>
          <w:noProof/>
        </w:rPr>
        <w:tab/>
      </w:r>
      <w:r w:rsidR="001C53DA">
        <w:rPr>
          <w:noProof/>
        </w:rPr>
        <w:fldChar w:fldCharType="begin"/>
      </w:r>
      <w:r w:rsidR="001C53DA">
        <w:rPr>
          <w:noProof/>
        </w:rPr>
        <w:instrText xml:space="preserve"> PAGEREF _Toc465328868 \h </w:instrText>
      </w:r>
      <w:r w:rsidR="001C53DA">
        <w:rPr>
          <w:noProof/>
        </w:rPr>
      </w:r>
      <w:r w:rsidR="001C53DA">
        <w:rPr>
          <w:noProof/>
        </w:rPr>
        <w:fldChar w:fldCharType="separate"/>
      </w:r>
      <w:r w:rsidR="001C53DA">
        <w:rPr>
          <w:noProof/>
        </w:rPr>
        <w:t>3</w:t>
      </w:r>
      <w:r w:rsidR="001C53DA">
        <w:rPr>
          <w:noProof/>
        </w:rPr>
        <w:fldChar w:fldCharType="end"/>
      </w:r>
    </w:p>
    <w:p w14:paraId="4CA6F1EA" w14:textId="77777777" w:rsidR="001C53DA" w:rsidRDefault="001C53DA">
      <w:pPr>
        <w:pStyle w:val="TOC1"/>
        <w:rPr>
          <w:rFonts w:asciiTheme="minorHAnsi" w:eastAsiaTheme="minorEastAsia" w:hAnsiTheme="minorHAnsi" w:cstheme="minorBidi"/>
          <w:noProof/>
        </w:rPr>
      </w:pPr>
      <w:r w:rsidRPr="00D952D0">
        <w:rPr>
          <w:rFonts w:cs="Arial"/>
          <w:noProof/>
        </w:rPr>
        <w:t>2.</w:t>
      </w:r>
      <w:r>
        <w:rPr>
          <w:rFonts w:asciiTheme="minorHAnsi" w:eastAsiaTheme="minorEastAsia" w:hAnsiTheme="minorHAnsi" w:cstheme="minorBidi"/>
          <w:noProof/>
        </w:rPr>
        <w:tab/>
      </w:r>
      <w:r w:rsidRPr="00D952D0">
        <w:rPr>
          <w:rFonts w:asciiTheme="minorHAnsi" w:hAnsiTheme="minorHAnsi" w:cs="Arial"/>
          <w:noProof/>
        </w:rPr>
        <w:t>Background</w:t>
      </w:r>
      <w:r>
        <w:rPr>
          <w:noProof/>
        </w:rPr>
        <w:tab/>
      </w:r>
      <w:r>
        <w:rPr>
          <w:noProof/>
        </w:rPr>
        <w:fldChar w:fldCharType="begin"/>
      </w:r>
      <w:r>
        <w:rPr>
          <w:noProof/>
        </w:rPr>
        <w:instrText xml:space="preserve"> PAGEREF _Toc465328869 \h </w:instrText>
      </w:r>
      <w:r>
        <w:rPr>
          <w:noProof/>
        </w:rPr>
      </w:r>
      <w:r>
        <w:rPr>
          <w:noProof/>
        </w:rPr>
        <w:fldChar w:fldCharType="separate"/>
      </w:r>
      <w:r>
        <w:rPr>
          <w:noProof/>
        </w:rPr>
        <w:t>3</w:t>
      </w:r>
      <w:r>
        <w:rPr>
          <w:noProof/>
        </w:rPr>
        <w:fldChar w:fldCharType="end"/>
      </w:r>
    </w:p>
    <w:p w14:paraId="5705052D" w14:textId="77777777" w:rsidR="001C53DA" w:rsidRDefault="001C53DA">
      <w:pPr>
        <w:pStyle w:val="TOC1"/>
        <w:rPr>
          <w:rFonts w:asciiTheme="minorHAnsi" w:eastAsiaTheme="minorEastAsia" w:hAnsiTheme="minorHAnsi" w:cstheme="minorBidi"/>
          <w:noProof/>
        </w:rPr>
      </w:pPr>
      <w:r w:rsidRPr="00D952D0">
        <w:rPr>
          <w:rFonts w:cs="Arial"/>
          <w:noProof/>
        </w:rPr>
        <w:t>3.</w:t>
      </w:r>
      <w:r>
        <w:rPr>
          <w:rFonts w:asciiTheme="minorHAnsi" w:eastAsiaTheme="minorEastAsia" w:hAnsiTheme="minorHAnsi" w:cstheme="minorBidi"/>
          <w:noProof/>
        </w:rPr>
        <w:tab/>
      </w:r>
      <w:r w:rsidRPr="00D952D0">
        <w:rPr>
          <w:rFonts w:asciiTheme="minorHAnsi" w:hAnsiTheme="minorHAnsi" w:cs="Arial"/>
          <w:noProof/>
        </w:rPr>
        <w:t>Aims and Objectives</w:t>
      </w:r>
      <w:r>
        <w:rPr>
          <w:noProof/>
        </w:rPr>
        <w:tab/>
      </w:r>
      <w:r>
        <w:rPr>
          <w:noProof/>
        </w:rPr>
        <w:fldChar w:fldCharType="begin"/>
      </w:r>
      <w:r>
        <w:rPr>
          <w:noProof/>
        </w:rPr>
        <w:instrText xml:space="preserve"> PAGEREF _Toc465328874 \h </w:instrText>
      </w:r>
      <w:r>
        <w:rPr>
          <w:noProof/>
        </w:rPr>
      </w:r>
      <w:r>
        <w:rPr>
          <w:noProof/>
        </w:rPr>
        <w:fldChar w:fldCharType="separate"/>
      </w:r>
      <w:r>
        <w:rPr>
          <w:noProof/>
        </w:rPr>
        <w:t>6</w:t>
      </w:r>
      <w:r>
        <w:rPr>
          <w:noProof/>
        </w:rPr>
        <w:fldChar w:fldCharType="end"/>
      </w:r>
    </w:p>
    <w:p w14:paraId="76A472B3" w14:textId="77777777" w:rsidR="001C53DA" w:rsidRDefault="001C53DA">
      <w:pPr>
        <w:pStyle w:val="TOC1"/>
        <w:rPr>
          <w:rFonts w:asciiTheme="minorHAnsi" w:eastAsiaTheme="minorEastAsia" w:hAnsiTheme="minorHAnsi" w:cstheme="minorBidi"/>
          <w:noProof/>
        </w:rPr>
      </w:pPr>
      <w:r w:rsidRPr="00D952D0">
        <w:rPr>
          <w:rFonts w:asciiTheme="minorHAnsi" w:hAnsiTheme="minorHAnsi" w:cs="Arial"/>
          <w:noProof/>
        </w:rPr>
        <w:t>4</w:t>
      </w:r>
      <w:r>
        <w:rPr>
          <w:rFonts w:asciiTheme="minorHAnsi" w:eastAsiaTheme="minorEastAsia" w:hAnsiTheme="minorHAnsi" w:cstheme="minorBidi"/>
          <w:noProof/>
        </w:rPr>
        <w:tab/>
      </w:r>
      <w:r w:rsidRPr="00D952D0">
        <w:rPr>
          <w:rFonts w:asciiTheme="minorHAnsi" w:hAnsiTheme="minorHAnsi" w:cs="Arial"/>
          <w:noProof/>
        </w:rPr>
        <w:t>Methodology</w:t>
      </w:r>
      <w:r>
        <w:rPr>
          <w:noProof/>
        </w:rPr>
        <w:tab/>
      </w:r>
      <w:r>
        <w:rPr>
          <w:noProof/>
        </w:rPr>
        <w:fldChar w:fldCharType="begin"/>
      </w:r>
      <w:r>
        <w:rPr>
          <w:noProof/>
        </w:rPr>
        <w:instrText xml:space="preserve"> PAGEREF _Toc465328875 \h </w:instrText>
      </w:r>
      <w:r>
        <w:rPr>
          <w:noProof/>
        </w:rPr>
      </w:r>
      <w:r>
        <w:rPr>
          <w:noProof/>
        </w:rPr>
        <w:fldChar w:fldCharType="separate"/>
      </w:r>
      <w:r>
        <w:rPr>
          <w:noProof/>
        </w:rPr>
        <w:t>7</w:t>
      </w:r>
      <w:r>
        <w:rPr>
          <w:noProof/>
        </w:rPr>
        <w:fldChar w:fldCharType="end"/>
      </w:r>
    </w:p>
    <w:p w14:paraId="1DD137B0" w14:textId="77777777" w:rsidR="001C53DA" w:rsidRDefault="001C53DA">
      <w:pPr>
        <w:pStyle w:val="TOC1"/>
        <w:rPr>
          <w:rFonts w:asciiTheme="minorHAnsi" w:eastAsiaTheme="minorEastAsia" w:hAnsiTheme="minorHAnsi" w:cstheme="minorBidi"/>
          <w:noProof/>
        </w:rPr>
      </w:pPr>
      <w:r w:rsidRPr="00D952D0">
        <w:rPr>
          <w:rFonts w:asciiTheme="minorHAnsi" w:hAnsiTheme="minorHAnsi" w:cs="Arial"/>
          <w:noProof/>
        </w:rPr>
        <w:t>5</w:t>
      </w:r>
      <w:r>
        <w:rPr>
          <w:rFonts w:asciiTheme="minorHAnsi" w:eastAsiaTheme="minorEastAsia" w:hAnsiTheme="minorHAnsi" w:cstheme="minorBidi"/>
          <w:noProof/>
        </w:rPr>
        <w:tab/>
      </w:r>
      <w:r w:rsidRPr="00D952D0">
        <w:rPr>
          <w:rFonts w:asciiTheme="minorHAnsi" w:hAnsiTheme="minorHAnsi" w:cs="Arial"/>
          <w:noProof/>
        </w:rPr>
        <w:t>Outputs Required</w:t>
      </w:r>
      <w:r>
        <w:rPr>
          <w:noProof/>
        </w:rPr>
        <w:tab/>
      </w:r>
      <w:r>
        <w:rPr>
          <w:noProof/>
        </w:rPr>
        <w:fldChar w:fldCharType="begin"/>
      </w:r>
      <w:r>
        <w:rPr>
          <w:noProof/>
        </w:rPr>
        <w:instrText xml:space="preserve"> PAGEREF _Toc465328876 \h </w:instrText>
      </w:r>
      <w:r>
        <w:rPr>
          <w:noProof/>
        </w:rPr>
      </w:r>
      <w:r>
        <w:rPr>
          <w:noProof/>
        </w:rPr>
        <w:fldChar w:fldCharType="separate"/>
      </w:r>
      <w:r>
        <w:rPr>
          <w:noProof/>
        </w:rPr>
        <w:t>11</w:t>
      </w:r>
      <w:r>
        <w:rPr>
          <w:noProof/>
        </w:rPr>
        <w:fldChar w:fldCharType="end"/>
      </w:r>
    </w:p>
    <w:p w14:paraId="7E521BBF" w14:textId="77777777" w:rsidR="001C53DA" w:rsidRDefault="001C53DA">
      <w:pPr>
        <w:pStyle w:val="TOC1"/>
        <w:rPr>
          <w:rFonts w:asciiTheme="minorHAnsi" w:eastAsiaTheme="minorEastAsia" w:hAnsiTheme="minorHAnsi" w:cstheme="minorBidi"/>
          <w:noProof/>
        </w:rPr>
      </w:pPr>
      <w:r w:rsidRPr="00D952D0">
        <w:rPr>
          <w:rFonts w:asciiTheme="minorHAnsi" w:hAnsiTheme="minorHAnsi" w:cs="Arial"/>
          <w:noProof/>
        </w:rPr>
        <w:t>6</w:t>
      </w:r>
      <w:r>
        <w:rPr>
          <w:rFonts w:asciiTheme="minorHAnsi" w:eastAsiaTheme="minorEastAsia" w:hAnsiTheme="minorHAnsi" w:cstheme="minorBidi"/>
          <w:noProof/>
        </w:rPr>
        <w:tab/>
      </w:r>
      <w:r w:rsidRPr="00D952D0">
        <w:rPr>
          <w:rFonts w:asciiTheme="minorHAnsi" w:hAnsiTheme="minorHAnsi" w:cs="Arial"/>
          <w:noProof/>
        </w:rPr>
        <w:t>Ownership and Publication</w:t>
      </w:r>
      <w:r>
        <w:rPr>
          <w:noProof/>
        </w:rPr>
        <w:tab/>
      </w:r>
      <w:r>
        <w:rPr>
          <w:noProof/>
        </w:rPr>
        <w:fldChar w:fldCharType="begin"/>
      </w:r>
      <w:r>
        <w:rPr>
          <w:noProof/>
        </w:rPr>
        <w:instrText xml:space="preserve"> PAGEREF _Toc465328877 \h </w:instrText>
      </w:r>
      <w:r>
        <w:rPr>
          <w:noProof/>
        </w:rPr>
      </w:r>
      <w:r>
        <w:rPr>
          <w:noProof/>
        </w:rPr>
        <w:fldChar w:fldCharType="separate"/>
      </w:r>
      <w:r>
        <w:rPr>
          <w:noProof/>
        </w:rPr>
        <w:t>11</w:t>
      </w:r>
      <w:r>
        <w:rPr>
          <w:noProof/>
        </w:rPr>
        <w:fldChar w:fldCharType="end"/>
      </w:r>
    </w:p>
    <w:p w14:paraId="2EFF7329" w14:textId="77777777" w:rsidR="001C53DA" w:rsidRDefault="001C53DA">
      <w:pPr>
        <w:pStyle w:val="TOC1"/>
        <w:rPr>
          <w:rFonts w:asciiTheme="minorHAnsi" w:eastAsiaTheme="minorEastAsia" w:hAnsiTheme="minorHAnsi" w:cstheme="minorBidi"/>
          <w:noProof/>
        </w:rPr>
      </w:pPr>
      <w:r w:rsidRPr="00D952D0">
        <w:rPr>
          <w:rFonts w:asciiTheme="minorHAnsi" w:hAnsiTheme="minorHAnsi" w:cs="Arial"/>
          <w:noProof/>
        </w:rPr>
        <w:t>7</w:t>
      </w:r>
      <w:r>
        <w:rPr>
          <w:rFonts w:asciiTheme="minorHAnsi" w:eastAsiaTheme="minorEastAsia" w:hAnsiTheme="minorHAnsi" w:cstheme="minorBidi"/>
          <w:noProof/>
        </w:rPr>
        <w:tab/>
      </w:r>
      <w:r w:rsidRPr="00D952D0">
        <w:rPr>
          <w:rFonts w:asciiTheme="minorHAnsi" w:hAnsiTheme="minorHAnsi" w:cs="Arial"/>
          <w:noProof/>
        </w:rPr>
        <w:t>Quality Assurance</w:t>
      </w:r>
      <w:r>
        <w:rPr>
          <w:noProof/>
        </w:rPr>
        <w:tab/>
      </w:r>
      <w:r>
        <w:rPr>
          <w:noProof/>
        </w:rPr>
        <w:fldChar w:fldCharType="begin"/>
      </w:r>
      <w:r>
        <w:rPr>
          <w:noProof/>
        </w:rPr>
        <w:instrText xml:space="preserve"> PAGEREF _Toc465328878 \h </w:instrText>
      </w:r>
      <w:r>
        <w:rPr>
          <w:noProof/>
        </w:rPr>
      </w:r>
      <w:r>
        <w:rPr>
          <w:noProof/>
        </w:rPr>
        <w:fldChar w:fldCharType="separate"/>
      </w:r>
      <w:r>
        <w:rPr>
          <w:noProof/>
        </w:rPr>
        <w:t>11</w:t>
      </w:r>
      <w:r>
        <w:rPr>
          <w:noProof/>
        </w:rPr>
        <w:fldChar w:fldCharType="end"/>
      </w:r>
    </w:p>
    <w:p w14:paraId="18F1C0A4" w14:textId="77777777" w:rsidR="001C53DA" w:rsidRDefault="001C53DA">
      <w:pPr>
        <w:pStyle w:val="TOC1"/>
        <w:rPr>
          <w:rFonts w:asciiTheme="minorHAnsi" w:eastAsiaTheme="minorEastAsia" w:hAnsiTheme="minorHAnsi" w:cstheme="minorBidi"/>
          <w:noProof/>
        </w:rPr>
      </w:pPr>
      <w:r w:rsidRPr="00D952D0">
        <w:rPr>
          <w:rFonts w:asciiTheme="minorHAnsi" w:hAnsiTheme="minorHAnsi" w:cs="Arial"/>
          <w:noProof/>
        </w:rPr>
        <w:t>8</w:t>
      </w:r>
      <w:r>
        <w:rPr>
          <w:rFonts w:asciiTheme="minorHAnsi" w:eastAsiaTheme="minorEastAsia" w:hAnsiTheme="minorHAnsi" w:cstheme="minorBidi"/>
          <w:noProof/>
        </w:rPr>
        <w:tab/>
      </w:r>
      <w:r w:rsidRPr="00D952D0">
        <w:rPr>
          <w:rFonts w:asciiTheme="minorHAnsi" w:hAnsiTheme="minorHAnsi" w:cs="Arial"/>
          <w:noProof/>
        </w:rPr>
        <w:t>Timetable</w:t>
      </w:r>
      <w:r>
        <w:rPr>
          <w:noProof/>
        </w:rPr>
        <w:tab/>
      </w:r>
      <w:r>
        <w:rPr>
          <w:noProof/>
        </w:rPr>
        <w:fldChar w:fldCharType="begin"/>
      </w:r>
      <w:r>
        <w:rPr>
          <w:noProof/>
        </w:rPr>
        <w:instrText xml:space="preserve"> PAGEREF _Toc465328879 \h </w:instrText>
      </w:r>
      <w:r>
        <w:rPr>
          <w:noProof/>
        </w:rPr>
      </w:r>
      <w:r>
        <w:rPr>
          <w:noProof/>
        </w:rPr>
        <w:fldChar w:fldCharType="separate"/>
      </w:r>
      <w:r>
        <w:rPr>
          <w:noProof/>
        </w:rPr>
        <w:t>12</w:t>
      </w:r>
      <w:r>
        <w:rPr>
          <w:noProof/>
        </w:rPr>
        <w:fldChar w:fldCharType="end"/>
      </w:r>
    </w:p>
    <w:p w14:paraId="0D7817C4" w14:textId="77777777" w:rsidR="001C53DA" w:rsidRDefault="001C53DA">
      <w:pPr>
        <w:pStyle w:val="TOC1"/>
        <w:rPr>
          <w:rFonts w:asciiTheme="minorHAnsi" w:eastAsiaTheme="minorEastAsia" w:hAnsiTheme="minorHAnsi" w:cstheme="minorBidi"/>
          <w:noProof/>
        </w:rPr>
      </w:pPr>
      <w:r w:rsidRPr="00D952D0">
        <w:rPr>
          <w:rFonts w:asciiTheme="minorHAnsi" w:hAnsiTheme="minorHAnsi" w:cs="Arial"/>
          <w:noProof/>
        </w:rPr>
        <w:t>9</w:t>
      </w:r>
      <w:r>
        <w:rPr>
          <w:rFonts w:asciiTheme="minorHAnsi" w:eastAsiaTheme="minorEastAsia" w:hAnsiTheme="minorHAnsi" w:cstheme="minorBidi"/>
          <w:noProof/>
        </w:rPr>
        <w:tab/>
      </w:r>
      <w:r w:rsidRPr="00D952D0">
        <w:rPr>
          <w:rFonts w:asciiTheme="minorHAnsi" w:hAnsiTheme="minorHAnsi" w:cs="Arial"/>
          <w:noProof/>
        </w:rPr>
        <w:t>Ethics</w:t>
      </w:r>
      <w:r>
        <w:rPr>
          <w:noProof/>
        </w:rPr>
        <w:tab/>
      </w:r>
      <w:r>
        <w:rPr>
          <w:noProof/>
        </w:rPr>
        <w:fldChar w:fldCharType="begin"/>
      </w:r>
      <w:r>
        <w:rPr>
          <w:noProof/>
        </w:rPr>
        <w:instrText xml:space="preserve"> PAGEREF _Toc465328880 \h </w:instrText>
      </w:r>
      <w:r>
        <w:rPr>
          <w:noProof/>
        </w:rPr>
      </w:r>
      <w:r>
        <w:rPr>
          <w:noProof/>
        </w:rPr>
        <w:fldChar w:fldCharType="separate"/>
      </w:r>
      <w:r>
        <w:rPr>
          <w:noProof/>
        </w:rPr>
        <w:t>12</w:t>
      </w:r>
      <w:r>
        <w:rPr>
          <w:noProof/>
        </w:rPr>
        <w:fldChar w:fldCharType="end"/>
      </w:r>
    </w:p>
    <w:p w14:paraId="533478EB" w14:textId="77777777" w:rsidR="001C53DA" w:rsidRDefault="001C53DA">
      <w:pPr>
        <w:pStyle w:val="TOC1"/>
        <w:rPr>
          <w:rFonts w:asciiTheme="minorHAnsi" w:eastAsiaTheme="minorEastAsia" w:hAnsiTheme="minorHAnsi" w:cstheme="minorBidi"/>
          <w:noProof/>
        </w:rPr>
      </w:pPr>
      <w:r w:rsidRPr="00D952D0">
        <w:rPr>
          <w:rFonts w:asciiTheme="minorHAnsi" w:hAnsiTheme="minorHAnsi" w:cs="Arial"/>
          <w:noProof/>
        </w:rPr>
        <w:t>10</w:t>
      </w:r>
      <w:r>
        <w:rPr>
          <w:rFonts w:asciiTheme="minorHAnsi" w:eastAsiaTheme="minorEastAsia" w:hAnsiTheme="minorHAnsi" w:cstheme="minorBidi"/>
          <w:noProof/>
        </w:rPr>
        <w:tab/>
      </w:r>
      <w:r w:rsidRPr="00D952D0">
        <w:rPr>
          <w:rFonts w:asciiTheme="minorHAnsi" w:hAnsiTheme="minorHAnsi" w:cs="Arial"/>
          <w:noProof/>
        </w:rPr>
        <w:t>Working Arrangements</w:t>
      </w:r>
      <w:r>
        <w:rPr>
          <w:noProof/>
        </w:rPr>
        <w:tab/>
      </w:r>
      <w:r>
        <w:rPr>
          <w:noProof/>
        </w:rPr>
        <w:fldChar w:fldCharType="begin"/>
      </w:r>
      <w:r>
        <w:rPr>
          <w:noProof/>
        </w:rPr>
        <w:instrText xml:space="preserve"> PAGEREF _Toc465328881 \h </w:instrText>
      </w:r>
      <w:r>
        <w:rPr>
          <w:noProof/>
        </w:rPr>
      </w:r>
      <w:r>
        <w:rPr>
          <w:noProof/>
        </w:rPr>
        <w:fldChar w:fldCharType="separate"/>
      </w:r>
      <w:r>
        <w:rPr>
          <w:noProof/>
        </w:rPr>
        <w:t>12</w:t>
      </w:r>
      <w:r>
        <w:rPr>
          <w:noProof/>
        </w:rPr>
        <w:fldChar w:fldCharType="end"/>
      </w:r>
    </w:p>
    <w:p w14:paraId="1F0FAA7C" w14:textId="77777777" w:rsidR="001C53DA" w:rsidRDefault="001C53DA">
      <w:pPr>
        <w:pStyle w:val="TOC1"/>
        <w:rPr>
          <w:rFonts w:asciiTheme="minorHAnsi" w:eastAsiaTheme="minorEastAsia" w:hAnsiTheme="minorHAnsi" w:cstheme="minorBidi"/>
          <w:noProof/>
        </w:rPr>
      </w:pPr>
      <w:r w:rsidRPr="00D952D0">
        <w:rPr>
          <w:rFonts w:asciiTheme="minorHAnsi" w:hAnsiTheme="minorHAnsi" w:cs="Arial"/>
          <w:noProof/>
        </w:rPr>
        <w:t>11</w:t>
      </w:r>
      <w:r>
        <w:rPr>
          <w:rFonts w:asciiTheme="minorHAnsi" w:eastAsiaTheme="minorEastAsia" w:hAnsiTheme="minorHAnsi" w:cstheme="minorBidi"/>
          <w:noProof/>
        </w:rPr>
        <w:tab/>
      </w:r>
      <w:r w:rsidRPr="00D952D0">
        <w:rPr>
          <w:rFonts w:asciiTheme="minorHAnsi" w:hAnsiTheme="minorHAnsi" w:cs="Arial"/>
          <w:noProof/>
        </w:rPr>
        <w:t>Skills and experience</w:t>
      </w:r>
      <w:r>
        <w:rPr>
          <w:noProof/>
        </w:rPr>
        <w:tab/>
      </w:r>
      <w:r>
        <w:rPr>
          <w:noProof/>
        </w:rPr>
        <w:fldChar w:fldCharType="begin"/>
      </w:r>
      <w:r>
        <w:rPr>
          <w:noProof/>
        </w:rPr>
        <w:instrText xml:space="preserve"> PAGEREF _Toc465328882 \h </w:instrText>
      </w:r>
      <w:r>
        <w:rPr>
          <w:noProof/>
        </w:rPr>
      </w:r>
      <w:r>
        <w:rPr>
          <w:noProof/>
        </w:rPr>
        <w:fldChar w:fldCharType="separate"/>
      </w:r>
      <w:r>
        <w:rPr>
          <w:noProof/>
        </w:rPr>
        <w:t>13</w:t>
      </w:r>
      <w:r>
        <w:rPr>
          <w:noProof/>
        </w:rPr>
        <w:fldChar w:fldCharType="end"/>
      </w:r>
    </w:p>
    <w:p w14:paraId="370C2C17" w14:textId="77777777" w:rsidR="001C53DA" w:rsidRDefault="001C53DA">
      <w:pPr>
        <w:pStyle w:val="TOC1"/>
        <w:rPr>
          <w:rFonts w:asciiTheme="minorHAnsi" w:eastAsiaTheme="minorEastAsia" w:hAnsiTheme="minorHAnsi" w:cstheme="minorBidi"/>
          <w:noProof/>
        </w:rPr>
      </w:pPr>
      <w:r w:rsidRPr="00D952D0">
        <w:rPr>
          <w:rFonts w:asciiTheme="minorHAnsi" w:hAnsiTheme="minorHAnsi" w:cs="Arial"/>
          <w:noProof/>
        </w:rPr>
        <w:t>12</w:t>
      </w:r>
      <w:r>
        <w:rPr>
          <w:rFonts w:asciiTheme="minorHAnsi" w:eastAsiaTheme="minorEastAsia" w:hAnsiTheme="minorHAnsi" w:cstheme="minorBidi"/>
          <w:noProof/>
        </w:rPr>
        <w:tab/>
      </w:r>
      <w:r w:rsidRPr="00D952D0">
        <w:rPr>
          <w:rFonts w:asciiTheme="minorHAnsi" w:hAnsiTheme="minorHAnsi" w:cs="Arial"/>
          <w:noProof/>
        </w:rPr>
        <w:t>Consortium Bids</w:t>
      </w:r>
      <w:r>
        <w:rPr>
          <w:noProof/>
        </w:rPr>
        <w:tab/>
      </w:r>
      <w:r>
        <w:rPr>
          <w:noProof/>
        </w:rPr>
        <w:fldChar w:fldCharType="begin"/>
      </w:r>
      <w:r>
        <w:rPr>
          <w:noProof/>
        </w:rPr>
        <w:instrText xml:space="preserve"> PAGEREF _Toc465328883 \h </w:instrText>
      </w:r>
      <w:r>
        <w:rPr>
          <w:noProof/>
        </w:rPr>
      </w:r>
      <w:r>
        <w:rPr>
          <w:noProof/>
        </w:rPr>
        <w:fldChar w:fldCharType="separate"/>
      </w:r>
      <w:r>
        <w:rPr>
          <w:noProof/>
        </w:rPr>
        <w:t>13</w:t>
      </w:r>
      <w:r>
        <w:rPr>
          <w:noProof/>
        </w:rPr>
        <w:fldChar w:fldCharType="end"/>
      </w:r>
    </w:p>
    <w:p w14:paraId="69044E69" w14:textId="77777777" w:rsidR="001C53DA" w:rsidRDefault="001C53DA">
      <w:pPr>
        <w:pStyle w:val="TOC1"/>
        <w:rPr>
          <w:rFonts w:asciiTheme="minorHAnsi" w:eastAsiaTheme="minorEastAsia" w:hAnsiTheme="minorHAnsi" w:cstheme="minorBidi"/>
          <w:noProof/>
        </w:rPr>
      </w:pPr>
      <w:r w:rsidRPr="00D952D0">
        <w:rPr>
          <w:rFonts w:asciiTheme="minorHAnsi" w:hAnsiTheme="minorHAnsi" w:cs="Arial"/>
          <w:noProof/>
        </w:rPr>
        <w:t>13</w:t>
      </w:r>
      <w:r>
        <w:rPr>
          <w:rFonts w:asciiTheme="minorHAnsi" w:eastAsiaTheme="minorEastAsia" w:hAnsiTheme="minorHAnsi" w:cstheme="minorBidi"/>
          <w:noProof/>
        </w:rPr>
        <w:tab/>
      </w:r>
      <w:r w:rsidRPr="00D952D0">
        <w:rPr>
          <w:rFonts w:asciiTheme="minorHAnsi" w:hAnsiTheme="minorHAnsi" w:cs="Arial"/>
          <w:noProof/>
        </w:rPr>
        <w:t>Budget</w:t>
      </w:r>
      <w:r>
        <w:rPr>
          <w:noProof/>
        </w:rPr>
        <w:tab/>
      </w:r>
      <w:r>
        <w:rPr>
          <w:noProof/>
        </w:rPr>
        <w:fldChar w:fldCharType="begin"/>
      </w:r>
      <w:r>
        <w:rPr>
          <w:noProof/>
        </w:rPr>
        <w:instrText xml:space="preserve"> PAGEREF _Toc465328884 \h </w:instrText>
      </w:r>
      <w:r>
        <w:rPr>
          <w:noProof/>
        </w:rPr>
      </w:r>
      <w:r>
        <w:rPr>
          <w:noProof/>
        </w:rPr>
        <w:fldChar w:fldCharType="separate"/>
      </w:r>
      <w:r>
        <w:rPr>
          <w:noProof/>
        </w:rPr>
        <w:t>13</w:t>
      </w:r>
      <w:r>
        <w:rPr>
          <w:noProof/>
        </w:rPr>
        <w:fldChar w:fldCharType="end"/>
      </w:r>
    </w:p>
    <w:p w14:paraId="65410D1A" w14:textId="77777777" w:rsidR="001C53DA" w:rsidRDefault="001C53DA">
      <w:pPr>
        <w:pStyle w:val="TOC1"/>
        <w:rPr>
          <w:rFonts w:asciiTheme="minorHAnsi" w:eastAsiaTheme="minorEastAsia" w:hAnsiTheme="minorHAnsi" w:cstheme="minorBidi"/>
          <w:noProof/>
        </w:rPr>
      </w:pPr>
      <w:r w:rsidRPr="00D952D0">
        <w:rPr>
          <w:rFonts w:asciiTheme="minorHAnsi" w:hAnsiTheme="minorHAnsi" w:cs="Arial"/>
          <w:noProof/>
        </w:rPr>
        <w:t>14</w:t>
      </w:r>
      <w:r>
        <w:rPr>
          <w:rFonts w:asciiTheme="minorHAnsi" w:eastAsiaTheme="minorEastAsia" w:hAnsiTheme="minorHAnsi" w:cstheme="minorBidi"/>
          <w:noProof/>
        </w:rPr>
        <w:tab/>
      </w:r>
      <w:r w:rsidRPr="00D952D0">
        <w:rPr>
          <w:rFonts w:asciiTheme="minorHAnsi" w:hAnsiTheme="minorHAnsi" w:cs="Arial"/>
          <w:noProof/>
        </w:rPr>
        <w:t>Evaluation of Tenders</w:t>
      </w:r>
      <w:r>
        <w:rPr>
          <w:noProof/>
        </w:rPr>
        <w:tab/>
      </w:r>
      <w:r>
        <w:rPr>
          <w:noProof/>
        </w:rPr>
        <w:fldChar w:fldCharType="begin"/>
      </w:r>
      <w:r>
        <w:rPr>
          <w:noProof/>
        </w:rPr>
        <w:instrText xml:space="preserve"> PAGEREF _Toc465328885 \h </w:instrText>
      </w:r>
      <w:r>
        <w:rPr>
          <w:noProof/>
        </w:rPr>
      </w:r>
      <w:r>
        <w:rPr>
          <w:noProof/>
        </w:rPr>
        <w:fldChar w:fldCharType="separate"/>
      </w:r>
      <w:r>
        <w:rPr>
          <w:noProof/>
        </w:rPr>
        <w:t>14</w:t>
      </w:r>
      <w:r>
        <w:rPr>
          <w:noProof/>
        </w:rPr>
        <w:fldChar w:fldCharType="end"/>
      </w:r>
    </w:p>
    <w:p w14:paraId="0BA07B0F" w14:textId="77777777" w:rsidR="001C53DA" w:rsidRDefault="001C53DA">
      <w:pPr>
        <w:pStyle w:val="TOC4"/>
        <w:tabs>
          <w:tab w:val="right" w:leader="dot" w:pos="9016"/>
        </w:tabs>
        <w:rPr>
          <w:rFonts w:asciiTheme="minorHAnsi" w:eastAsiaTheme="minorEastAsia" w:hAnsiTheme="minorHAnsi" w:cstheme="minorBidi"/>
          <w:noProof/>
          <w:sz w:val="22"/>
          <w:szCs w:val="22"/>
        </w:rPr>
      </w:pPr>
      <w:r w:rsidRPr="00D952D0">
        <w:rPr>
          <w:rFonts w:asciiTheme="minorHAnsi" w:hAnsiTheme="minorHAnsi" w:cs="Arial"/>
          <w:noProof/>
        </w:rPr>
        <w:t>Criterion</w:t>
      </w:r>
      <w:r>
        <w:rPr>
          <w:noProof/>
        </w:rPr>
        <w:tab/>
      </w:r>
      <w:r>
        <w:rPr>
          <w:noProof/>
        </w:rPr>
        <w:fldChar w:fldCharType="begin"/>
      </w:r>
      <w:r>
        <w:rPr>
          <w:noProof/>
        </w:rPr>
        <w:instrText xml:space="preserve"> PAGEREF _Toc465328886 \h </w:instrText>
      </w:r>
      <w:r>
        <w:rPr>
          <w:noProof/>
        </w:rPr>
      </w:r>
      <w:r>
        <w:rPr>
          <w:noProof/>
        </w:rPr>
        <w:fldChar w:fldCharType="separate"/>
      </w:r>
      <w:r>
        <w:rPr>
          <w:noProof/>
        </w:rPr>
        <w:t>14</w:t>
      </w:r>
      <w:r>
        <w:rPr>
          <w:noProof/>
        </w:rPr>
        <w:fldChar w:fldCharType="end"/>
      </w:r>
    </w:p>
    <w:p w14:paraId="269DB568" w14:textId="77777777" w:rsidR="001C53DA" w:rsidRDefault="001C53DA">
      <w:pPr>
        <w:pStyle w:val="TOC4"/>
        <w:tabs>
          <w:tab w:val="right" w:leader="dot" w:pos="9016"/>
        </w:tabs>
        <w:rPr>
          <w:rFonts w:asciiTheme="minorHAnsi" w:eastAsiaTheme="minorEastAsia" w:hAnsiTheme="minorHAnsi" w:cstheme="minorBidi"/>
          <w:noProof/>
          <w:sz w:val="22"/>
          <w:szCs w:val="22"/>
        </w:rPr>
      </w:pPr>
      <w:r w:rsidRPr="00D952D0">
        <w:rPr>
          <w:rFonts w:asciiTheme="minorHAnsi" w:hAnsiTheme="minorHAnsi" w:cs="Arial"/>
          <w:noProof/>
        </w:rPr>
        <w:t>Description</w:t>
      </w:r>
      <w:r>
        <w:rPr>
          <w:noProof/>
        </w:rPr>
        <w:tab/>
      </w:r>
      <w:r>
        <w:rPr>
          <w:noProof/>
        </w:rPr>
        <w:fldChar w:fldCharType="begin"/>
      </w:r>
      <w:r>
        <w:rPr>
          <w:noProof/>
        </w:rPr>
        <w:instrText xml:space="preserve"> PAGEREF _Toc465328887 \h </w:instrText>
      </w:r>
      <w:r>
        <w:rPr>
          <w:noProof/>
        </w:rPr>
      </w:r>
      <w:r>
        <w:rPr>
          <w:noProof/>
        </w:rPr>
        <w:fldChar w:fldCharType="separate"/>
      </w:r>
      <w:r>
        <w:rPr>
          <w:noProof/>
        </w:rPr>
        <w:t>14</w:t>
      </w:r>
      <w:r>
        <w:rPr>
          <w:noProof/>
        </w:rPr>
        <w:fldChar w:fldCharType="end"/>
      </w:r>
    </w:p>
    <w:p w14:paraId="0B453126" w14:textId="77777777" w:rsidR="001C53DA" w:rsidRDefault="001C53DA">
      <w:pPr>
        <w:pStyle w:val="TOC4"/>
        <w:tabs>
          <w:tab w:val="right" w:leader="dot" w:pos="9016"/>
        </w:tabs>
        <w:rPr>
          <w:rFonts w:asciiTheme="minorHAnsi" w:eastAsiaTheme="minorEastAsia" w:hAnsiTheme="minorHAnsi" w:cstheme="minorBidi"/>
          <w:noProof/>
          <w:sz w:val="22"/>
          <w:szCs w:val="22"/>
        </w:rPr>
      </w:pPr>
      <w:r w:rsidRPr="00D952D0">
        <w:rPr>
          <w:rFonts w:asciiTheme="minorHAnsi" w:hAnsiTheme="minorHAnsi" w:cs="Arial"/>
          <w:noProof/>
        </w:rPr>
        <w:t>Weighting</w:t>
      </w:r>
      <w:r>
        <w:rPr>
          <w:noProof/>
        </w:rPr>
        <w:tab/>
      </w:r>
      <w:r>
        <w:rPr>
          <w:noProof/>
        </w:rPr>
        <w:fldChar w:fldCharType="begin"/>
      </w:r>
      <w:r>
        <w:rPr>
          <w:noProof/>
        </w:rPr>
        <w:instrText xml:space="preserve"> PAGEREF _Toc465328888 \h </w:instrText>
      </w:r>
      <w:r>
        <w:rPr>
          <w:noProof/>
        </w:rPr>
      </w:r>
      <w:r>
        <w:rPr>
          <w:noProof/>
        </w:rPr>
        <w:fldChar w:fldCharType="separate"/>
      </w:r>
      <w:r>
        <w:rPr>
          <w:noProof/>
        </w:rPr>
        <w:t>14</w:t>
      </w:r>
      <w:r>
        <w:rPr>
          <w:noProof/>
        </w:rPr>
        <w:fldChar w:fldCharType="end"/>
      </w:r>
    </w:p>
    <w:p w14:paraId="5EA87550" w14:textId="77777777" w:rsidR="00630A46" w:rsidRPr="00746C45" w:rsidRDefault="000744BD" w:rsidP="009138B2">
      <w:pPr>
        <w:pStyle w:val="Numbered"/>
        <w:widowControl/>
        <w:spacing w:afterLines="80" w:after="192" w:line="276" w:lineRule="auto"/>
        <w:rPr>
          <w:rFonts w:asciiTheme="minorHAnsi" w:hAnsiTheme="minorHAnsi" w:cs="Arial"/>
          <w:color w:val="000000"/>
          <w:sz w:val="24"/>
          <w:szCs w:val="24"/>
        </w:rPr>
      </w:pPr>
      <w:r w:rsidRPr="00746C45">
        <w:rPr>
          <w:rFonts w:asciiTheme="minorHAnsi" w:hAnsiTheme="minorHAnsi" w:cs="Arial"/>
          <w:color w:val="000000"/>
          <w:sz w:val="24"/>
          <w:szCs w:val="24"/>
        </w:rPr>
        <w:fldChar w:fldCharType="end"/>
      </w:r>
      <w:r w:rsidR="00014519" w:rsidRPr="00746C45">
        <w:rPr>
          <w:rFonts w:asciiTheme="minorHAnsi" w:hAnsiTheme="minorHAnsi" w:cs="Arial"/>
          <w:color w:val="000000"/>
          <w:sz w:val="24"/>
          <w:szCs w:val="24"/>
        </w:rPr>
        <w:tab/>
      </w:r>
      <w:r w:rsidR="00014519" w:rsidRPr="00746C45">
        <w:rPr>
          <w:rFonts w:asciiTheme="minorHAnsi" w:hAnsiTheme="minorHAnsi" w:cs="Arial"/>
          <w:color w:val="000000"/>
          <w:sz w:val="24"/>
          <w:szCs w:val="24"/>
        </w:rPr>
        <w:tab/>
      </w:r>
    </w:p>
    <w:p w14:paraId="5EA87552" w14:textId="56A21D5D" w:rsidR="00F80A85" w:rsidRPr="00746C45" w:rsidRDefault="00980288" w:rsidP="009138B2">
      <w:pPr>
        <w:pStyle w:val="Numbered"/>
        <w:widowControl/>
        <w:spacing w:afterLines="80" w:after="192" w:line="276" w:lineRule="auto"/>
        <w:rPr>
          <w:rFonts w:asciiTheme="minorHAnsi" w:hAnsiTheme="minorHAnsi" w:cs="Arial"/>
          <w:bCs/>
          <w:color w:val="222222"/>
          <w:sz w:val="24"/>
          <w:szCs w:val="24"/>
        </w:rPr>
      </w:pPr>
      <w:r w:rsidRPr="00746C45">
        <w:rPr>
          <w:rFonts w:asciiTheme="minorHAnsi" w:hAnsiTheme="minorHAnsi" w:cs="Arial"/>
          <w:bCs/>
          <w:sz w:val="24"/>
          <w:szCs w:val="24"/>
        </w:rPr>
        <w:tab/>
      </w:r>
      <w:r w:rsidR="00B546EF" w:rsidRPr="00746C45">
        <w:rPr>
          <w:rFonts w:asciiTheme="minorHAnsi" w:hAnsiTheme="minorHAnsi" w:cs="Arial"/>
          <w:bCs/>
          <w:color w:val="222222"/>
          <w:sz w:val="24"/>
          <w:szCs w:val="24"/>
        </w:rPr>
        <w:tab/>
      </w:r>
    </w:p>
    <w:p w14:paraId="5EA87555" w14:textId="5AD4B736" w:rsidR="00123880" w:rsidRPr="00746C45" w:rsidRDefault="00FF13A1" w:rsidP="009138B2">
      <w:pPr>
        <w:pStyle w:val="Norma"/>
        <w:shd w:val="clear" w:color="auto" w:fill="FFFFFF"/>
        <w:spacing w:afterLines="80" w:after="192" w:line="276" w:lineRule="auto"/>
        <w:rPr>
          <w:rFonts w:asciiTheme="minorHAnsi" w:hAnsiTheme="minorHAnsi" w:cs="Arial"/>
          <w:b/>
          <w:bCs/>
        </w:rPr>
      </w:pPr>
      <w:r w:rsidRPr="00746C45">
        <w:rPr>
          <w:rFonts w:asciiTheme="minorHAnsi" w:hAnsiTheme="minorHAnsi" w:cs="Arial"/>
          <w:b/>
          <w:bCs/>
        </w:rPr>
        <w:tab/>
      </w:r>
    </w:p>
    <w:p w14:paraId="79E31222" w14:textId="77777777" w:rsidR="00E168B7" w:rsidRDefault="00E168B7">
      <w:pPr>
        <w:rPr>
          <w:rFonts w:asciiTheme="minorHAnsi" w:eastAsia="Times New Roman" w:hAnsiTheme="minorHAnsi" w:cs="Arial"/>
          <w:b/>
          <w:bCs/>
          <w:kern w:val="32"/>
          <w:sz w:val="24"/>
          <w:szCs w:val="24"/>
        </w:rPr>
      </w:pPr>
      <w:bookmarkStart w:id="3" w:name="_Toc465328868"/>
      <w:bookmarkStart w:id="4" w:name="SectionTwo"/>
      <w:r>
        <w:rPr>
          <w:rFonts w:asciiTheme="minorHAnsi" w:hAnsiTheme="minorHAnsi" w:cs="Arial"/>
          <w:sz w:val="24"/>
          <w:szCs w:val="24"/>
        </w:rPr>
        <w:br w:type="page"/>
      </w:r>
    </w:p>
    <w:p w14:paraId="5EA87556" w14:textId="50697CBC" w:rsidR="00FE1227" w:rsidRPr="00746C45" w:rsidRDefault="00DD521A" w:rsidP="008721C9">
      <w:pPr>
        <w:pStyle w:val="Heading1"/>
        <w:numPr>
          <w:ilvl w:val="0"/>
          <w:numId w:val="1"/>
        </w:numPr>
        <w:spacing w:afterLines="80" w:after="192" w:line="276" w:lineRule="auto"/>
        <w:rPr>
          <w:rFonts w:asciiTheme="minorHAnsi" w:hAnsiTheme="minorHAnsi" w:cs="Arial"/>
          <w:sz w:val="24"/>
          <w:szCs w:val="24"/>
        </w:rPr>
      </w:pPr>
      <w:r w:rsidRPr="00746C45">
        <w:rPr>
          <w:rFonts w:asciiTheme="minorHAnsi" w:hAnsiTheme="minorHAnsi" w:cs="Arial"/>
          <w:sz w:val="24"/>
          <w:szCs w:val="24"/>
        </w:rPr>
        <w:lastRenderedPageBreak/>
        <w:t>Preamble</w:t>
      </w:r>
      <w:bookmarkEnd w:id="3"/>
    </w:p>
    <w:p w14:paraId="65AED166" w14:textId="77777777" w:rsidR="009138B2" w:rsidRPr="00746C45" w:rsidRDefault="009138B2" w:rsidP="009138B2">
      <w:pPr>
        <w:spacing w:afterLines="80" w:after="192" w:line="276" w:lineRule="auto"/>
        <w:rPr>
          <w:rFonts w:asciiTheme="minorHAnsi" w:hAnsiTheme="minorHAnsi"/>
        </w:rPr>
      </w:pPr>
      <w:r w:rsidRPr="00746C45">
        <w:rPr>
          <w:rFonts w:asciiTheme="minorHAnsi" w:hAnsiTheme="minorHAnsi"/>
        </w:rPr>
        <w:t xml:space="preserve">The Committee on Climate Change (CCC) was set up as part of the Climate Change Act. CCC is an independent body tasked with providing advice to Government on climate change issues, and particularly the setting of carbon budgets, and the monitoring of progress towards meeting those budgets. CCC’s past reports are available here: </w:t>
      </w:r>
      <w:hyperlink r:id="rId12" w:history="1">
        <w:r w:rsidRPr="00746C45">
          <w:rPr>
            <w:rStyle w:val="Hyperlink"/>
            <w:rFonts w:asciiTheme="minorHAnsi" w:hAnsiTheme="minorHAnsi"/>
          </w:rPr>
          <w:t>http://www.theccc.org.uk/reports/</w:t>
        </w:r>
      </w:hyperlink>
      <w:r w:rsidRPr="00746C45">
        <w:rPr>
          <w:rFonts w:asciiTheme="minorHAnsi" w:hAnsiTheme="minorHAnsi"/>
        </w:rPr>
        <w:t xml:space="preserve">. </w:t>
      </w:r>
    </w:p>
    <w:p w14:paraId="5EA87558" w14:textId="77777777" w:rsidR="001F4630" w:rsidRPr="00746C45" w:rsidRDefault="001F4630" w:rsidP="008721C9">
      <w:pPr>
        <w:pStyle w:val="Heading1"/>
        <w:numPr>
          <w:ilvl w:val="0"/>
          <w:numId w:val="1"/>
        </w:numPr>
        <w:spacing w:afterLines="80" w:after="192" w:line="276" w:lineRule="auto"/>
        <w:rPr>
          <w:rFonts w:asciiTheme="minorHAnsi" w:hAnsiTheme="minorHAnsi" w:cs="Arial"/>
          <w:sz w:val="24"/>
          <w:szCs w:val="24"/>
        </w:rPr>
      </w:pPr>
      <w:bookmarkStart w:id="5" w:name="_Ref357535668"/>
      <w:bookmarkStart w:id="6" w:name="_Toc381969507"/>
      <w:bookmarkStart w:id="7" w:name="_Toc405888456"/>
      <w:bookmarkStart w:id="8" w:name="_Toc465328869"/>
      <w:r w:rsidRPr="00746C45">
        <w:rPr>
          <w:rFonts w:asciiTheme="minorHAnsi" w:hAnsiTheme="minorHAnsi" w:cs="Arial"/>
          <w:sz w:val="24"/>
          <w:szCs w:val="24"/>
        </w:rPr>
        <w:t>Background</w:t>
      </w:r>
      <w:bookmarkEnd w:id="5"/>
      <w:bookmarkEnd w:id="6"/>
      <w:bookmarkEnd w:id="7"/>
      <w:bookmarkEnd w:id="8"/>
    </w:p>
    <w:p w14:paraId="24133A12" w14:textId="77777777" w:rsidR="003A1C4F" w:rsidRPr="00746C45" w:rsidRDefault="003A1C4F" w:rsidP="009138B2">
      <w:pPr>
        <w:pStyle w:val="Heading3"/>
        <w:spacing w:afterLines="80" w:after="192" w:line="276" w:lineRule="auto"/>
        <w:rPr>
          <w:rFonts w:asciiTheme="minorHAnsi" w:hAnsiTheme="minorHAnsi"/>
          <w:szCs w:val="22"/>
        </w:rPr>
      </w:pPr>
      <w:bookmarkStart w:id="9" w:name="_Toc465328870"/>
      <w:r w:rsidRPr="00746C45">
        <w:rPr>
          <w:rFonts w:asciiTheme="minorHAnsi" w:hAnsiTheme="minorHAnsi"/>
          <w:szCs w:val="22"/>
        </w:rPr>
        <w:t>The Committee on Climate Change’s indicator framework</w:t>
      </w:r>
      <w:bookmarkEnd w:id="9"/>
    </w:p>
    <w:p w14:paraId="10A77A44" w14:textId="77777777" w:rsidR="003A1C4F" w:rsidRPr="00746C45"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In our first (October 2009) progress report to Parliament, we developed our indicator framework for monitoring progress against carbon budgets. This framework sets out trajectories for delivery of measures to reduce GHG emissions, and includes a range of indicators:</w:t>
      </w:r>
    </w:p>
    <w:p w14:paraId="040A3F40" w14:textId="77777777" w:rsidR="003A1C4F" w:rsidRPr="00746C45" w:rsidRDefault="003A1C4F" w:rsidP="008721C9">
      <w:pPr>
        <w:pStyle w:val="ListParagraph"/>
        <w:numPr>
          <w:ilvl w:val="0"/>
          <w:numId w:val="14"/>
        </w:numPr>
        <w:spacing w:afterLines="80" w:after="192"/>
        <w:contextualSpacing w:val="0"/>
        <w:rPr>
          <w:rFonts w:asciiTheme="minorHAnsi" w:hAnsiTheme="minorHAnsi"/>
        </w:rPr>
      </w:pPr>
      <w:r w:rsidRPr="00746C45">
        <w:rPr>
          <w:rFonts w:asciiTheme="minorHAnsi" w:hAnsiTheme="minorHAnsi"/>
        </w:rPr>
        <w:t>Headline indicators, such as economy- and sector-wide GHG emissions, GHG emissions intensity and energy demand;</w:t>
      </w:r>
    </w:p>
    <w:p w14:paraId="182924BD" w14:textId="77777777" w:rsidR="003A1C4F" w:rsidRPr="00746C45" w:rsidRDefault="003A1C4F" w:rsidP="008721C9">
      <w:pPr>
        <w:pStyle w:val="ListParagraph"/>
        <w:numPr>
          <w:ilvl w:val="0"/>
          <w:numId w:val="14"/>
        </w:numPr>
        <w:spacing w:afterLines="80" w:after="192"/>
        <w:contextualSpacing w:val="0"/>
        <w:rPr>
          <w:rFonts w:asciiTheme="minorHAnsi" w:hAnsiTheme="minorHAnsi"/>
        </w:rPr>
      </w:pPr>
      <w:r w:rsidRPr="00746C45">
        <w:rPr>
          <w:rFonts w:asciiTheme="minorHAnsi" w:hAnsiTheme="minorHAnsi"/>
        </w:rPr>
        <w:t>Implementation indicators for measures that reduce GHG emissions (e.g. additional low-carbon power generation capacity, roll-out of loft, cavity wall and solid wall insulation, take up of electric cars);</w:t>
      </w:r>
    </w:p>
    <w:p w14:paraId="7D7319C2" w14:textId="77777777" w:rsidR="003A1C4F" w:rsidRPr="00746C45" w:rsidRDefault="003A1C4F" w:rsidP="008721C9">
      <w:pPr>
        <w:pStyle w:val="ListParagraph"/>
        <w:numPr>
          <w:ilvl w:val="0"/>
          <w:numId w:val="14"/>
        </w:numPr>
        <w:spacing w:afterLines="80" w:after="192"/>
        <w:contextualSpacing w:val="0"/>
        <w:rPr>
          <w:rFonts w:asciiTheme="minorHAnsi" w:hAnsiTheme="minorHAnsi"/>
        </w:rPr>
      </w:pPr>
      <w:r w:rsidRPr="00746C45">
        <w:rPr>
          <w:rFonts w:asciiTheme="minorHAnsi" w:hAnsiTheme="minorHAnsi"/>
        </w:rPr>
        <w:t>Forward indicators to measure progress in advance of implementation (e.g. progress deploying power generation investments can be measured through progress through various pre-deployment phases, e.g. planning application, construction, etc.);</w:t>
      </w:r>
    </w:p>
    <w:p w14:paraId="43B02309" w14:textId="77777777" w:rsidR="003A1C4F" w:rsidRPr="00746C45" w:rsidRDefault="003A1C4F" w:rsidP="008721C9">
      <w:pPr>
        <w:pStyle w:val="ListParagraph"/>
        <w:numPr>
          <w:ilvl w:val="0"/>
          <w:numId w:val="14"/>
        </w:numPr>
        <w:spacing w:afterLines="80" w:after="192"/>
        <w:contextualSpacing w:val="0"/>
        <w:rPr>
          <w:rFonts w:asciiTheme="minorHAnsi" w:hAnsiTheme="minorHAnsi"/>
        </w:rPr>
      </w:pPr>
      <w:r w:rsidRPr="00746C45">
        <w:rPr>
          <w:rFonts w:asciiTheme="minorHAnsi" w:hAnsiTheme="minorHAnsi"/>
        </w:rPr>
        <w:t>Policy milestones for an appropriate framework enabling future implementation of measures.</w:t>
      </w:r>
    </w:p>
    <w:p w14:paraId="573CD7FA" w14:textId="77777777" w:rsidR="003A1C4F" w:rsidRPr="00746C45"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Our indicators represent our best assessment of the technologies and behaviours required to meet the cost-effective path to the 2050 target and the fourth carbon budget, based on the latest evidence. However, it is important to acknowledge that there is inevitable uncertainty over the rates at which technologies will become available and their future costs, and at which behaviour change will be taken up. It is likely that new evidence will lead to a reassessment of these technologies and behaviours over time, and that we will revise our indicators, and include new indicators, accordingly. The indicators, therefore, are generally not prescriptive (it may be possible to meet near-term carbon budgets while underperforming in some indicators, provided the increase in emissions is offset by outperformance of other indicators) and not exhaustive (it is possible that some technologies that are not currently included in our indicator framework become more cost-effective than we originally envisaged).</w:t>
      </w:r>
    </w:p>
    <w:p w14:paraId="54366524" w14:textId="4DCEA3CA" w:rsidR="003A1C4F" w:rsidRPr="00746C45" w:rsidRDefault="003A1C4F" w:rsidP="009138B2">
      <w:pPr>
        <w:spacing w:afterLines="80" w:after="192" w:line="276" w:lineRule="auto"/>
        <w:rPr>
          <w:rFonts w:asciiTheme="minorHAnsi" w:hAnsiTheme="minorHAnsi"/>
          <w:sz w:val="22"/>
          <w:szCs w:val="22"/>
        </w:rPr>
      </w:pPr>
      <w:proofErr w:type="gramStart"/>
      <w:r w:rsidRPr="00746C45">
        <w:rPr>
          <w:rFonts w:asciiTheme="minorHAnsi" w:hAnsiTheme="minorHAnsi"/>
          <w:sz w:val="22"/>
          <w:szCs w:val="22"/>
        </w:rPr>
        <w:t>We have periodically updated and revised our indicator framework to take account of the latest evidence on technology performance and cost.</w:t>
      </w:r>
      <w:proofErr w:type="gramEnd"/>
      <w:r w:rsidRPr="00746C45">
        <w:rPr>
          <w:rFonts w:asciiTheme="minorHAnsi" w:hAnsiTheme="minorHAnsi"/>
          <w:sz w:val="22"/>
          <w:szCs w:val="22"/>
        </w:rPr>
        <w:t xml:space="preserve"> Our indicator framework now covers the first four carbon budget periods (2008-2027), and we are currently updating this to cover the fifth carbon budget period (2028-2032), to feed into publication of our 2017 Progress Report to Parliament. As part of this update, we intend to develop a</w:t>
      </w:r>
      <w:r w:rsidR="00EC4652" w:rsidRPr="00746C45">
        <w:rPr>
          <w:rFonts w:asciiTheme="minorHAnsi" w:hAnsiTheme="minorHAnsi"/>
          <w:sz w:val="22"/>
          <w:szCs w:val="22"/>
        </w:rPr>
        <w:t>n indicator framework</w:t>
      </w:r>
      <w:r w:rsidRPr="00746C45">
        <w:rPr>
          <w:rFonts w:asciiTheme="minorHAnsi" w:hAnsiTheme="minorHAnsi"/>
          <w:sz w:val="22"/>
          <w:szCs w:val="22"/>
        </w:rPr>
        <w:t xml:space="preserve"> to monitor progress in enabling flexibility services to participate fully in the GB electricity markets.</w:t>
      </w:r>
    </w:p>
    <w:p w14:paraId="45D2EF51" w14:textId="77777777" w:rsidR="003A1C4F" w:rsidRPr="00746C45" w:rsidRDefault="003A1C4F" w:rsidP="009138B2">
      <w:pPr>
        <w:pStyle w:val="Heading3"/>
        <w:spacing w:afterLines="80" w:after="192" w:line="276" w:lineRule="auto"/>
        <w:rPr>
          <w:rFonts w:asciiTheme="minorHAnsi" w:hAnsiTheme="minorHAnsi"/>
          <w:szCs w:val="22"/>
        </w:rPr>
      </w:pPr>
      <w:bookmarkStart w:id="10" w:name="_Toc465328871"/>
      <w:r w:rsidRPr="00746C45">
        <w:rPr>
          <w:rFonts w:asciiTheme="minorHAnsi" w:hAnsiTheme="minorHAnsi"/>
          <w:szCs w:val="22"/>
        </w:rPr>
        <w:lastRenderedPageBreak/>
        <w:t>CCC power sector recommendations</w:t>
      </w:r>
      <w:bookmarkEnd w:id="10"/>
    </w:p>
    <w:p w14:paraId="4833DD14" w14:textId="77777777" w:rsidR="003A1C4F" w:rsidRPr="00746C45"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 xml:space="preserve">The Committee have emphasised the importance of decarbonising the power sector to achieve the UK’s carbon targets. That reflects both that power is an important source of emissions and that low-carbon power can be used to decarbonise other sectors (e.g. via electric vehicles and heat pumps). </w:t>
      </w:r>
    </w:p>
    <w:p w14:paraId="08B51C44" w14:textId="77777777" w:rsidR="003A1C4F" w:rsidRPr="00746C45"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 xml:space="preserve">Given this analysis, we have recommended that the aim should be to reduce the carbon intensity of power generation from current levels </w:t>
      </w:r>
      <w:proofErr w:type="gramStart"/>
      <w:r w:rsidRPr="00746C45">
        <w:rPr>
          <w:rFonts w:asciiTheme="minorHAnsi" w:hAnsiTheme="minorHAnsi"/>
          <w:sz w:val="22"/>
          <w:szCs w:val="22"/>
        </w:rPr>
        <w:t>of around 350 gCO2/kWh</w:t>
      </w:r>
      <w:proofErr w:type="gramEnd"/>
      <w:r w:rsidRPr="00746C45">
        <w:rPr>
          <w:rFonts w:asciiTheme="minorHAnsi" w:hAnsiTheme="minorHAnsi"/>
          <w:sz w:val="22"/>
          <w:szCs w:val="22"/>
        </w:rPr>
        <w:t xml:space="preserve"> to around 100 gCO2/kWh in 2030 through investment in a portfolio of low-carbon technologies.</w:t>
      </w:r>
    </w:p>
    <w:p w14:paraId="270A0192" w14:textId="77777777" w:rsidR="003A1C4F" w:rsidRPr="00746C45"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In particular, the aim should be to invest in cost-effective technologies (i.e. those able to meet electricity demand more cheaply over their lifetimes than unabated gas facing a rising carbon price), and in less-mature technologies with a view to these becoming cost-effective in the 2020s – both emerging technologies like offshore wind and technologies that are yet to be demonstrated like large-scale CCS.</w:t>
      </w:r>
    </w:p>
    <w:p w14:paraId="45EAFF9A" w14:textId="77777777" w:rsidR="003A1C4F" w:rsidRPr="00746C45" w:rsidRDefault="003A1C4F" w:rsidP="009138B2">
      <w:pPr>
        <w:pStyle w:val="Heading3"/>
        <w:spacing w:afterLines="80" w:after="192" w:line="276" w:lineRule="auto"/>
        <w:rPr>
          <w:rFonts w:asciiTheme="minorHAnsi" w:hAnsiTheme="minorHAnsi"/>
          <w:szCs w:val="22"/>
        </w:rPr>
      </w:pPr>
      <w:bookmarkStart w:id="11" w:name="_Toc465328872"/>
      <w:r w:rsidRPr="00746C45">
        <w:rPr>
          <w:rFonts w:asciiTheme="minorHAnsi" w:hAnsiTheme="minorHAnsi"/>
          <w:szCs w:val="22"/>
        </w:rPr>
        <w:t>The need for low-carbon electricity system flexibility</w:t>
      </w:r>
      <w:bookmarkEnd w:id="11"/>
    </w:p>
    <w:p w14:paraId="635C8E4F" w14:textId="77777777" w:rsidR="003A1C4F" w:rsidRPr="00746C45"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Alongside roll-out of low-carbon power generation, there will need to be an increase in low-carbon electricity system flexibility if carbon objectives are to be met and costs minimised (Box 1).</w:t>
      </w:r>
    </w:p>
    <w:p w14:paraId="70CC64F5" w14:textId="77777777" w:rsidR="003A1C4F" w:rsidRPr="00746C45"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 xml:space="preserve">Box 1 – the need for low-carbon electricity system flexibility </w:t>
      </w:r>
    </w:p>
    <w:tbl>
      <w:tblPr>
        <w:tblStyle w:val="TableGrid"/>
        <w:tblW w:w="0" w:type="auto"/>
        <w:tblLook w:val="04A0" w:firstRow="1" w:lastRow="0" w:firstColumn="1" w:lastColumn="0" w:noHBand="0" w:noVBand="1"/>
      </w:tblPr>
      <w:tblGrid>
        <w:gridCol w:w="9242"/>
      </w:tblGrid>
      <w:tr w:rsidR="003A1C4F" w:rsidRPr="00746C45" w14:paraId="2EAD504C" w14:textId="77777777" w:rsidTr="003A1C4F">
        <w:tc>
          <w:tcPr>
            <w:tcW w:w="9242" w:type="dxa"/>
            <w:tcBorders>
              <w:top w:val="single" w:sz="4" w:space="0" w:color="auto"/>
              <w:left w:val="single" w:sz="4" w:space="0" w:color="auto"/>
              <w:bottom w:val="single" w:sz="4" w:space="0" w:color="auto"/>
              <w:right w:val="single" w:sz="4" w:space="0" w:color="auto"/>
            </w:tcBorders>
            <w:hideMark/>
          </w:tcPr>
          <w:p w14:paraId="6C49F94C" w14:textId="77777777" w:rsidR="003A1C4F" w:rsidRPr="00746C45" w:rsidRDefault="003A1C4F" w:rsidP="009138B2">
            <w:pPr>
              <w:spacing w:afterLines="80" w:after="192" w:line="276" w:lineRule="auto"/>
              <w:rPr>
                <w:rFonts w:asciiTheme="minorHAnsi" w:hAnsiTheme="minorHAnsi"/>
              </w:rPr>
            </w:pPr>
            <w:r w:rsidRPr="00746C45">
              <w:rPr>
                <w:rFonts w:asciiTheme="minorHAnsi" w:hAnsiTheme="minorHAnsi"/>
              </w:rPr>
              <w:t>Electricity system demand and total generation must be balanced on a second-by-second (real time) basis in order to ensure electricity is available to end users as required, and to maintain system frequency within the narrow (±1%) limits of nominal system frequency (50Hz).</w:t>
            </w:r>
          </w:p>
          <w:p w14:paraId="6CEDC0D5" w14:textId="77777777" w:rsidR="003A1C4F" w:rsidRPr="00746C45" w:rsidRDefault="003A1C4F" w:rsidP="009138B2">
            <w:pPr>
              <w:spacing w:afterLines="80" w:after="192" w:line="276" w:lineRule="auto"/>
              <w:rPr>
                <w:rFonts w:asciiTheme="minorHAnsi" w:hAnsiTheme="minorHAnsi"/>
              </w:rPr>
            </w:pPr>
            <w:r w:rsidRPr="00746C45">
              <w:rPr>
                <w:rFonts w:asciiTheme="minorHAnsi" w:hAnsiTheme="minorHAnsi"/>
              </w:rPr>
              <w:t xml:space="preserve">Balancing the system therefore requires </w:t>
            </w:r>
            <w:r w:rsidRPr="00746C45">
              <w:rPr>
                <w:rFonts w:asciiTheme="minorHAnsi" w:hAnsiTheme="minorHAnsi"/>
                <w:b/>
              </w:rPr>
              <w:t>flexibility</w:t>
            </w:r>
            <w:r w:rsidRPr="00746C45">
              <w:rPr>
                <w:rFonts w:asciiTheme="minorHAnsi" w:hAnsiTheme="minorHAnsi"/>
              </w:rPr>
              <w:t xml:space="preserve"> in generation or demand, such that either generation, demand or both can be increased or decreased as required. In the past, the dominant source of flexibility was through conventional fossil (gas and coal) generators that could be ramped up and down to match the demand profile, with a degree of demand response provided by large industrial consumers.</w:t>
            </w:r>
          </w:p>
          <w:p w14:paraId="780B9EB1" w14:textId="77777777" w:rsidR="003A1C4F" w:rsidRPr="00746C45" w:rsidRDefault="003A1C4F" w:rsidP="009138B2">
            <w:pPr>
              <w:spacing w:afterLines="80" w:after="192" w:line="276" w:lineRule="auto"/>
              <w:rPr>
                <w:rFonts w:asciiTheme="minorHAnsi" w:hAnsiTheme="minorHAnsi"/>
              </w:rPr>
            </w:pPr>
            <w:r w:rsidRPr="00746C45">
              <w:rPr>
                <w:rFonts w:asciiTheme="minorHAnsi" w:hAnsiTheme="minorHAnsi"/>
              </w:rPr>
              <w:t>Work carried out by Imperial College London for our 2015 report Power sector scenarios for the fifth carbon budget indicated that decarbonising electricity generation, though an increase in inflexible low-carbon generation (nuclear, wind, solar) and corresponding decrease in flexible conventional generation (fossil gas and coal), will require new sources of flexibility to balance supply and demand cost-effectively.</w:t>
            </w:r>
          </w:p>
          <w:p w14:paraId="0A8A009E" w14:textId="77777777" w:rsidR="003A1C4F" w:rsidRPr="00746C45" w:rsidRDefault="003A1C4F" w:rsidP="009138B2">
            <w:pPr>
              <w:spacing w:afterLines="80" w:after="192" w:line="276" w:lineRule="auto"/>
              <w:rPr>
                <w:rFonts w:asciiTheme="minorHAnsi" w:hAnsiTheme="minorHAnsi"/>
              </w:rPr>
            </w:pPr>
            <w:r w:rsidRPr="00746C45">
              <w:rPr>
                <w:rFonts w:asciiTheme="minorHAnsi" w:hAnsiTheme="minorHAnsi"/>
              </w:rPr>
              <w:t>This is due to the increase in system balancing requirements of high levels of intermittent generation. Balancing requirements include:</w:t>
            </w:r>
          </w:p>
          <w:p w14:paraId="6B466478" w14:textId="77777777" w:rsidR="003A1C4F" w:rsidRPr="00746C45" w:rsidRDefault="003A1C4F" w:rsidP="008721C9">
            <w:pPr>
              <w:pStyle w:val="ListParagraph"/>
              <w:numPr>
                <w:ilvl w:val="0"/>
                <w:numId w:val="15"/>
              </w:numPr>
              <w:spacing w:afterLines="80" w:after="192"/>
              <w:contextualSpacing w:val="0"/>
              <w:rPr>
                <w:rFonts w:asciiTheme="minorHAnsi" w:hAnsiTheme="minorHAnsi"/>
              </w:rPr>
            </w:pPr>
            <w:r w:rsidRPr="00746C45">
              <w:rPr>
                <w:rFonts w:asciiTheme="minorHAnsi" w:hAnsiTheme="minorHAnsi"/>
                <w:i/>
              </w:rPr>
              <w:t>Back-up capacity requirements</w:t>
            </w:r>
            <w:r w:rsidRPr="00746C45">
              <w:rPr>
                <w:rFonts w:asciiTheme="minorHAnsi" w:hAnsiTheme="minorHAnsi"/>
              </w:rPr>
              <w:t>. As wind and solar are intermittent and do not reliably generate at times of peak demand, back-up capacity is required to ensure that generation and demand can be balanced.</w:t>
            </w:r>
          </w:p>
          <w:p w14:paraId="06893CD8" w14:textId="77777777" w:rsidR="003A1C4F" w:rsidRPr="00746C45" w:rsidRDefault="003A1C4F" w:rsidP="008721C9">
            <w:pPr>
              <w:pStyle w:val="ListParagraph"/>
              <w:numPr>
                <w:ilvl w:val="0"/>
                <w:numId w:val="15"/>
              </w:numPr>
              <w:spacing w:afterLines="80" w:after="192"/>
              <w:contextualSpacing w:val="0"/>
              <w:rPr>
                <w:rFonts w:asciiTheme="minorHAnsi" w:hAnsiTheme="minorHAnsi"/>
              </w:rPr>
            </w:pPr>
            <w:r w:rsidRPr="00746C45">
              <w:rPr>
                <w:rFonts w:asciiTheme="minorHAnsi" w:hAnsiTheme="minorHAnsi"/>
                <w:i/>
              </w:rPr>
              <w:t>Reserve requirements</w:t>
            </w:r>
            <w:r w:rsidRPr="00746C45">
              <w:rPr>
                <w:rFonts w:asciiTheme="minorHAnsi" w:hAnsiTheme="minorHAnsi"/>
              </w:rPr>
              <w:t xml:space="preserve">. Due to errors in forecasting the outputs of renewable generation, additional reserves must be scheduled to ensure that generation and demand can be </w:t>
            </w:r>
            <w:r w:rsidRPr="00746C45">
              <w:rPr>
                <w:rFonts w:asciiTheme="minorHAnsi" w:hAnsiTheme="minorHAnsi"/>
              </w:rPr>
              <w:lastRenderedPageBreak/>
              <w:t>balanced in the event of an underestimate in output.</w:t>
            </w:r>
          </w:p>
          <w:p w14:paraId="59EFD7A6" w14:textId="77777777" w:rsidR="003A1C4F" w:rsidRPr="00746C45" w:rsidRDefault="003A1C4F" w:rsidP="008721C9">
            <w:pPr>
              <w:pStyle w:val="ListParagraph"/>
              <w:numPr>
                <w:ilvl w:val="0"/>
                <w:numId w:val="15"/>
              </w:numPr>
              <w:spacing w:afterLines="80" w:after="192"/>
              <w:contextualSpacing w:val="0"/>
              <w:rPr>
                <w:rFonts w:asciiTheme="minorHAnsi" w:hAnsiTheme="minorHAnsi"/>
              </w:rPr>
            </w:pPr>
            <w:r w:rsidRPr="00746C45">
              <w:rPr>
                <w:rFonts w:asciiTheme="minorHAnsi" w:hAnsiTheme="minorHAnsi"/>
                <w:i/>
              </w:rPr>
              <w:t>System inertia</w:t>
            </w:r>
            <w:r w:rsidRPr="00746C45">
              <w:rPr>
                <w:rFonts w:asciiTheme="minorHAnsi" w:hAnsiTheme="minorHAnsi"/>
              </w:rPr>
              <w:t>. At present renewable generation does not contribute to the provision of system inertia. The increase in non-synchronous low-carbon generation (nuclear, wind, solar) and corresponding decrease in conventional synchronous generation (fossil gas and coal) will therefore reduce the level of system inertia.</w:t>
            </w:r>
          </w:p>
          <w:p w14:paraId="6130E973" w14:textId="77777777" w:rsidR="003A1C4F" w:rsidRPr="00746C45" w:rsidRDefault="003A1C4F" w:rsidP="009138B2">
            <w:pPr>
              <w:spacing w:afterLines="80" w:after="192" w:line="276" w:lineRule="auto"/>
              <w:rPr>
                <w:rFonts w:asciiTheme="minorHAnsi" w:hAnsiTheme="minorHAnsi"/>
              </w:rPr>
            </w:pPr>
            <w:r w:rsidRPr="00746C45">
              <w:rPr>
                <w:rFonts w:asciiTheme="minorHAnsi" w:hAnsiTheme="minorHAnsi"/>
              </w:rPr>
              <w:t>If these system balancing requirements are met by conventional generating plant, which must run part-loaded in order to be available when needed, overall conventional generation will increase, increasing GHG emissions and the proportion of renewable generation that must be curtailed.</w:t>
            </w:r>
          </w:p>
          <w:p w14:paraId="2C78BB11" w14:textId="1E320505" w:rsidR="003A1C4F" w:rsidRPr="00746C45" w:rsidRDefault="003A1C4F" w:rsidP="009138B2">
            <w:pPr>
              <w:spacing w:afterLines="80" w:after="192" w:line="276" w:lineRule="auto"/>
              <w:rPr>
                <w:rFonts w:asciiTheme="minorHAnsi" w:hAnsiTheme="minorHAnsi"/>
              </w:rPr>
            </w:pPr>
            <w:r w:rsidRPr="00746C45">
              <w:rPr>
                <w:rFonts w:asciiTheme="minorHAnsi" w:hAnsiTheme="minorHAnsi"/>
              </w:rPr>
              <w:t>Decarbonising electricity generation will therefore require alternative sources of flexibility.</w:t>
            </w:r>
          </w:p>
        </w:tc>
      </w:tr>
    </w:tbl>
    <w:p w14:paraId="49EE3446" w14:textId="77777777" w:rsidR="003A1C4F" w:rsidRPr="00746C45" w:rsidRDefault="003A1C4F" w:rsidP="009138B2">
      <w:pPr>
        <w:spacing w:afterLines="80" w:after="192" w:line="276" w:lineRule="auto"/>
        <w:rPr>
          <w:rFonts w:asciiTheme="minorHAnsi" w:hAnsiTheme="minorHAnsi"/>
          <w:sz w:val="22"/>
          <w:szCs w:val="22"/>
          <w:lang w:eastAsia="en-US"/>
        </w:rPr>
      </w:pPr>
    </w:p>
    <w:p w14:paraId="525831E7" w14:textId="77777777" w:rsidR="003A1C4F" w:rsidRPr="00746C45"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Sources of low-carbon electricity system flexibility include:</w:t>
      </w:r>
    </w:p>
    <w:p w14:paraId="1C7F47E8" w14:textId="77777777" w:rsidR="003A1C4F" w:rsidRPr="00746C45" w:rsidRDefault="003A1C4F" w:rsidP="008721C9">
      <w:pPr>
        <w:numPr>
          <w:ilvl w:val="0"/>
          <w:numId w:val="16"/>
        </w:numPr>
        <w:spacing w:afterLines="80" w:after="192" w:line="276" w:lineRule="auto"/>
        <w:rPr>
          <w:rFonts w:asciiTheme="minorHAnsi" w:hAnsiTheme="minorHAnsi"/>
          <w:sz w:val="22"/>
          <w:szCs w:val="22"/>
        </w:rPr>
      </w:pPr>
      <w:r w:rsidRPr="00746C45">
        <w:rPr>
          <w:rFonts w:asciiTheme="minorHAnsi" w:hAnsiTheme="minorHAnsi"/>
          <w:sz w:val="22"/>
          <w:szCs w:val="22"/>
        </w:rPr>
        <w:t>demand-side response capable of providing primary and secondary frequency response, short term operating reserve, services for network congestion management services and security of supply;</w:t>
      </w:r>
    </w:p>
    <w:p w14:paraId="59F652B7" w14:textId="77777777" w:rsidR="003A1C4F" w:rsidRPr="00746C45" w:rsidRDefault="003A1C4F" w:rsidP="008721C9">
      <w:pPr>
        <w:numPr>
          <w:ilvl w:val="0"/>
          <w:numId w:val="16"/>
        </w:numPr>
        <w:spacing w:afterLines="80" w:after="192" w:line="276" w:lineRule="auto"/>
        <w:rPr>
          <w:rFonts w:asciiTheme="minorHAnsi" w:hAnsiTheme="minorHAnsi"/>
          <w:sz w:val="22"/>
          <w:szCs w:val="22"/>
        </w:rPr>
      </w:pPr>
      <w:r w:rsidRPr="00746C45">
        <w:rPr>
          <w:rFonts w:asciiTheme="minorHAnsi" w:hAnsiTheme="minorHAnsi"/>
          <w:sz w:val="22"/>
          <w:szCs w:val="22"/>
        </w:rPr>
        <w:t>electricity storage technologies that can deliver ancillary services (e.g. reserve and response) thereby reducing the need for part-loaded plant, additional back-up generation and network infrastructure reinforcement;</w:t>
      </w:r>
    </w:p>
    <w:p w14:paraId="59D0229A" w14:textId="77777777" w:rsidR="003A1C4F" w:rsidRPr="00746C45" w:rsidRDefault="003A1C4F" w:rsidP="008721C9">
      <w:pPr>
        <w:numPr>
          <w:ilvl w:val="0"/>
          <w:numId w:val="16"/>
        </w:numPr>
        <w:spacing w:afterLines="80" w:after="192" w:line="276" w:lineRule="auto"/>
        <w:rPr>
          <w:rFonts w:asciiTheme="minorHAnsi" w:hAnsiTheme="minorHAnsi"/>
          <w:sz w:val="22"/>
          <w:szCs w:val="22"/>
        </w:rPr>
      </w:pPr>
      <w:r w:rsidRPr="00746C45">
        <w:rPr>
          <w:rFonts w:asciiTheme="minorHAnsi" w:hAnsiTheme="minorHAnsi"/>
          <w:sz w:val="22"/>
          <w:szCs w:val="22"/>
        </w:rPr>
        <w:t>increased interconnection (e.g. with mainland Europe);</w:t>
      </w:r>
    </w:p>
    <w:p w14:paraId="20CC4BE8" w14:textId="77777777" w:rsidR="003A1C4F" w:rsidRPr="00746C45" w:rsidRDefault="003A1C4F" w:rsidP="008721C9">
      <w:pPr>
        <w:numPr>
          <w:ilvl w:val="0"/>
          <w:numId w:val="16"/>
        </w:numPr>
        <w:spacing w:afterLines="80" w:after="192" w:line="276" w:lineRule="auto"/>
        <w:rPr>
          <w:rFonts w:asciiTheme="minorHAnsi" w:hAnsiTheme="minorHAnsi"/>
          <w:sz w:val="22"/>
          <w:szCs w:val="22"/>
        </w:rPr>
      </w:pPr>
      <w:r w:rsidRPr="00746C45">
        <w:rPr>
          <w:rFonts w:asciiTheme="minorHAnsi" w:hAnsiTheme="minorHAnsi"/>
          <w:sz w:val="22"/>
          <w:szCs w:val="22"/>
        </w:rPr>
        <w:t>flexible fossil generating technologies capable of operating as required (e.g. for peaking or balancing) rather than permanently part-loaded, i.e. with lower minimum stable generation and higher maximum potential ramp rate than conventional alternatives; and/or</w:t>
      </w:r>
    </w:p>
    <w:p w14:paraId="5888D494" w14:textId="77777777" w:rsidR="003A1C4F" w:rsidRPr="00746C45" w:rsidRDefault="003A1C4F" w:rsidP="008721C9">
      <w:pPr>
        <w:numPr>
          <w:ilvl w:val="0"/>
          <w:numId w:val="16"/>
        </w:numPr>
        <w:spacing w:afterLines="80" w:after="192" w:line="276" w:lineRule="auto"/>
        <w:rPr>
          <w:rFonts w:asciiTheme="minorHAnsi" w:hAnsiTheme="minorHAnsi"/>
          <w:sz w:val="22"/>
          <w:szCs w:val="22"/>
        </w:rPr>
      </w:pPr>
      <w:proofErr w:type="gramStart"/>
      <w:r w:rsidRPr="00746C45">
        <w:rPr>
          <w:rFonts w:asciiTheme="minorHAnsi" w:hAnsiTheme="minorHAnsi"/>
          <w:sz w:val="22"/>
          <w:szCs w:val="22"/>
        </w:rPr>
        <w:t>fossil</w:t>
      </w:r>
      <w:proofErr w:type="gramEnd"/>
      <w:r w:rsidRPr="00746C45">
        <w:rPr>
          <w:rFonts w:asciiTheme="minorHAnsi" w:hAnsiTheme="minorHAnsi"/>
          <w:sz w:val="22"/>
          <w:szCs w:val="22"/>
        </w:rPr>
        <w:t xml:space="preserve"> generation with carbon capture and storage (CCS).</w:t>
      </w:r>
    </w:p>
    <w:p w14:paraId="14500EAE" w14:textId="77777777" w:rsidR="003A1C4F" w:rsidRPr="00746C45"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The optimal mix of flexibility technologies will depend on developments in their technical performance or cost, which are subject to considerable uncertainty. Therefore it would not be sensible now to set targets for deployment to 2032. Instead, Government should aim to ensure that flexibility services are able to participate fully in the GB electricity markets as necessary. Specifically:</w:t>
      </w:r>
    </w:p>
    <w:p w14:paraId="5E4FE5AD" w14:textId="77777777" w:rsidR="003A1C4F" w:rsidRPr="00746C45" w:rsidRDefault="003A1C4F" w:rsidP="008721C9">
      <w:pPr>
        <w:pStyle w:val="ListParagraph"/>
        <w:numPr>
          <w:ilvl w:val="0"/>
          <w:numId w:val="17"/>
        </w:numPr>
        <w:spacing w:afterLines="80" w:after="192"/>
        <w:contextualSpacing w:val="0"/>
        <w:rPr>
          <w:rFonts w:asciiTheme="minorHAnsi" w:hAnsiTheme="minorHAnsi"/>
        </w:rPr>
      </w:pPr>
      <w:r w:rsidRPr="00746C45">
        <w:rPr>
          <w:rFonts w:asciiTheme="minorHAnsi" w:hAnsiTheme="minorHAnsi"/>
        </w:rPr>
        <w:t>Markets for flexibility services should exist and be available to all relevant flexibility technologies.</w:t>
      </w:r>
    </w:p>
    <w:p w14:paraId="3A2B0E17" w14:textId="77777777" w:rsidR="003A1C4F" w:rsidRPr="00746C45" w:rsidRDefault="003A1C4F" w:rsidP="008721C9">
      <w:pPr>
        <w:pStyle w:val="ListParagraph"/>
        <w:numPr>
          <w:ilvl w:val="0"/>
          <w:numId w:val="17"/>
        </w:numPr>
        <w:spacing w:afterLines="80" w:after="192"/>
        <w:contextualSpacing w:val="0"/>
        <w:rPr>
          <w:rFonts w:asciiTheme="minorHAnsi" w:hAnsiTheme="minorHAnsi"/>
        </w:rPr>
      </w:pPr>
      <w:r w:rsidRPr="00746C45">
        <w:rPr>
          <w:rFonts w:asciiTheme="minorHAnsi" w:hAnsiTheme="minorHAnsi"/>
        </w:rPr>
        <w:t>There should be a “level playing field” in the incentives for the provision of flexibility services, so that low-carbon technologies providing flexibility do not face lower remuneration, greater costs or otherwise less favourable conditions (e.g. contract length, bidding costs, etc.) than conventional generation technologies providing the same services.</w:t>
      </w:r>
    </w:p>
    <w:p w14:paraId="20C865F1" w14:textId="77777777" w:rsidR="003A1C4F" w:rsidRPr="00746C45" w:rsidRDefault="003A1C4F" w:rsidP="008721C9">
      <w:pPr>
        <w:pStyle w:val="ListParagraph"/>
        <w:numPr>
          <w:ilvl w:val="0"/>
          <w:numId w:val="17"/>
        </w:numPr>
        <w:spacing w:afterLines="80" w:after="192"/>
        <w:contextualSpacing w:val="0"/>
        <w:rPr>
          <w:rFonts w:asciiTheme="minorHAnsi" w:hAnsiTheme="minorHAnsi"/>
        </w:rPr>
      </w:pPr>
      <w:r w:rsidRPr="00746C45">
        <w:rPr>
          <w:rFonts w:asciiTheme="minorHAnsi" w:hAnsiTheme="minorHAnsi"/>
        </w:rPr>
        <w:t xml:space="preserve">Incentives should appropriately reward low-carbon flexibility technologies relative to those that emit CO2 both during provision of the flexibility service, and also as a consequence of their availability (e.g. plant operating part-loaded to ensure availability). While most UK fossil generation incurs a carbon price through the EU ETS and the UK’s carbon price floor, </w:t>
      </w:r>
      <w:r w:rsidRPr="00746C45">
        <w:rPr>
          <w:rFonts w:asciiTheme="minorHAnsi" w:hAnsiTheme="minorHAnsi"/>
        </w:rPr>
        <w:lastRenderedPageBreak/>
        <w:t>the current carbon price is too low to be consistent with the UK’s 2050 target, and some generation (e.g. embedded generation) does not face a carbon price.</w:t>
      </w:r>
    </w:p>
    <w:p w14:paraId="42FBA35F" w14:textId="77777777" w:rsidR="003A1C4F" w:rsidRPr="00746C45" w:rsidRDefault="003A1C4F" w:rsidP="008721C9">
      <w:pPr>
        <w:pStyle w:val="ListParagraph"/>
        <w:numPr>
          <w:ilvl w:val="0"/>
          <w:numId w:val="17"/>
        </w:numPr>
        <w:spacing w:afterLines="80" w:after="192"/>
        <w:contextualSpacing w:val="0"/>
        <w:rPr>
          <w:rFonts w:asciiTheme="minorHAnsi" w:hAnsiTheme="minorHAnsi"/>
        </w:rPr>
      </w:pPr>
      <w:r w:rsidRPr="00746C45">
        <w:rPr>
          <w:rFonts w:asciiTheme="minorHAnsi" w:hAnsiTheme="minorHAnsi"/>
        </w:rPr>
        <w:t>Similarly, incentives should appropriately reward low-carbon flexibility technologies that provide a higher quality of flexibility service than do conventional generation technologies (e.g. electricity storage providing enhanced frequency response).</w:t>
      </w:r>
    </w:p>
    <w:p w14:paraId="4AB73EAA" w14:textId="77777777" w:rsidR="003A1C4F" w:rsidRPr="00746C45" w:rsidRDefault="003A1C4F" w:rsidP="008721C9">
      <w:pPr>
        <w:pStyle w:val="ListParagraph"/>
        <w:numPr>
          <w:ilvl w:val="0"/>
          <w:numId w:val="17"/>
        </w:numPr>
        <w:spacing w:afterLines="80" w:after="192"/>
        <w:contextualSpacing w:val="0"/>
        <w:rPr>
          <w:rFonts w:asciiTheme="minorHAnsi" w:hAnsiTheme="minorHAnsi"/>
        </w:rPr>
      </w:pPr>
      <w:r w:rsidRPr="00746C45">
        <w:rPr>
          <w:rFonts w:asciiTheme="minorHAnsi" w:hAnsiTheme="minorHAnsi"/>
        </w:rPr>
        <w:t>Key emerging technologies should be developed, deployed and commercialised, potentially with a role for innovation support (support for research and development, demonstration and deployment).</w:t>
      </w:r>
    </w:p>
    <w:p w14:paraId="72EBE0B6" w14:textId="77777777" w:rsidR="003A1C4F" w:rsidRPr="00746C45" w:rsidRDefault="003A1C4F" w:rsidP="009138B2">
      <w:pPr>
        <w:spacing w:afterLines="80" w:after="192" w:line="276" w:lineRule="auto"/>
        <w:rPr>
          <w:rFonts w:asciiTheme="minorHAnsi" w:hAnsiTheme="minorHAnsi"/>
          <w:sz w:val="22"/>
          <w:szCs w:val="22"/>
        </w:rPr>
      </w:pPr>
      <w:r w:rsidRPr="00746C45">
        <w:rPr>
          <w:rFonts w:asciiTheme="minorHAnsi" w:hAnsiTheme="minorHAnsi"/>
          <w:sz w:val="22"/>
          <w:szCs w:val="22"/>
        </w:rPr>
        <w:t>It is generally accepted that low-carbon flexibility services are not able to participate fully in the GB electricity markets. This may be due to technical characteristics or current high costs of flexibility technologies, or the lack of a supportive policy framework.</w:t>
      </w:r>
    </w:p>
    <w:p w14:paraId="5E18A7F7" w14:textId="77777777" w:rsidR="003A1C4F" w:rsidRPr="00746C45" w:rsidRDefault="003A1C4F" w:rsidP="009138B2">
      <w:pPr>
        <w:pStyle w:val="Heading3"/>
        <w:spacing w:afterLines="80" w:after="192" w:line="276" w:lineRule="auto"/>
        <w:rPr>
          <w:rFonts w:asciiTheme="minorHAnsi" w:hAnsiTheme="minorHAnsi"/>
          <w:szCs w:val="22"/>
        </w:rPr>
      </w:pPr>
      <w:bookmarkStart w:id="12" w:name="_Toc465328873"/>
      <w:r w:rsidRPr="00746C45">
        <w:rPr>
          <w:rFonts w:asciiTheme="minorHAnsi" w:hAnsiTheme="minorHAnsi"/>
          <w:szCs w:val="22"/>
        </w:rPr>
        <w:t>The potential from Demand-side response (DSR)</w:t>
      </w:r>
      <w:bookmarkEnd w:id="12"/>
    </w:p>
    <w:p w14:paraId="0CFA12F0" w14:textId="18DCE37A" w:rsidR="009138B2" w:rsidRPr="00746C45" w:rsidRDefault="009138B2" w:rsidP="009138B2">
      <w:pPr>
        <w:spacing w:afterLines="80" w:after="192" w:line="276" w:lineRule="auto"/>
        <w:rPr>
          <w:rFonts w:asciiTheme="minorHAnsi" w:hAnsiTheme="minorHAnsi"/>
        </w:rPr>
      </w:pPr>
      <w:r w:rsidRPr="00746C45">
        <w:rPr>
          <w:rFonts w:asciiTheme="minorHAnsi" w:hAnsiTheme="minorHAnsi"/>
          <w:sz w:val="22"/>
          <w:szCs w:val="22"/>
        </w:rPr>
        <w:t>One of the greatest uncertainties regarding the possible evolution of the UK electricity system is the degree to which demand-side response could be used to manage electricity demand. In previous research, we have used consultants’ assumptions on the potential for demand-side response to manage electricity demand (see, for example, Imperial College and NERA Consulting (2015): Value of flexibility in a decarbonised grid and system externalities of low-carbon generation technologies). We are now looking to review the evidence on the potential for DSR and to update our assumptions for further work.</w:t>
      </w:r>
    </w:p>
    <w:p w14:paraId="5EA8755A" w14:textId="77777777" w:rsidR="00FE1227" w:rsidRPr="00746C45" w:rsidRDefault="00016416" w:rsidP="008721C9">
      <w:pPr>
        <w:pStyle w:val="Heading1"/>
        <w:numPr>
          <w:ilvl w:val="0"/>
          <w:numId w:val="1"/>
        </w:numPr>
        <w:spacing w:afterLines="80" w:after="192" w:line="276" w:lineRule="auto"/>
        <w:jc w:val="both"/>
        <w:rPr>
          <w:rFonts w:asciiTheme="minorHAnsi" w:hAnsiTheme="minorHAnsi" w:cs="Arial"/>
          <w:sz w:val="24"/>
          <w:szCs w:val="24"/>
        </w:rPr>
      </w:pPr>
      <w:bookmarkStart w:id="13" w:name="_Ref357535689"/>
      <w:bookmarkStart w:id="14" w:name="_Toc381969508"/>
      <w:bookmarkStart w:id="15" w:name="_Toc405888457"/>
      <w:bookmarkStart w:id="16" w:name="_Toc465328874"/>
      <w:r w:rsidRPr="00746C45">
        <w:rPr>
          <w:rFonts w:asciiTheme="minorHAnsi" w:hAnsiTheme="minorHAnsi" w:cs="Arial"/>
          <w:sz w:val="24"/>
          <w:szCs w:val="24"/>
        </w:rPr>
        <w:t>Aims and Objectives</w:t>
      </w:r>
      <w:bookmarkEnd w:id="13"/>
      <w:bookmarkEnd w:id="14"/>
      <w:bookmarkEnd w:id="15"/>
      <w:bookmarkEnd w:id="16"/>
    </w:p>
    <w:p w14:paraId="667F5498" w14:textId="0525A9E1" w:rsidR="009138B2" w:rsidRPr="00746C45" w:rsidRDefault="009138B2" w:rsidP="00EC4652">
      <w:pPr>
        <w:spacing w:afterLines="80" w:after="192" w:line="276" w:lineRule="auto"/>
        <w:rPr>
          <w:rFonts w:asciiTheme="minorHAnsi" w:hAnsiTheme="minorHAnsi"/>
          <w:sz w:val="22"/>
          <w:szCs w:val="22"/>
        </w:rPr>
      </w:pPr>
      <w:r w:rsidRPr="00746C45">
        <w:rPr>
          <w:rFonts w:asciiTheme="minorHAnsi" w:hAnsiTheme="minorHAnsi"/>
          <w:sz w:val="22"/>
          <w:szCs w:val="22"/>
        </w:rPr>
        <w:t xml:space="preserve">The aim of this project is to develop a </w:t>
      </w:r>
      <w:r w:rsidRPr="00746C45">
        <w:rPr>
          <w:rFonts w:asciiTheme="minorHAnsi" w:hAnsiTheme="minorHAnsi"/>
          <w:b/>
          <w:sz w:val="22"/>
          <w:szCs w:val="22"/>
        </w:rPr>
        <w:t xml:space="preserve">roadmap </w:t>
      </w:r>
      <w:r w:rsidR="00EC4652" w:rsidRPr="00746C45">
        <w:rPr>
          <w:rFonts w:asciiTheme="minorHAnsi" w:hAnsiTheme="minorHAnsi"/>
          <w:b/>
          <w:sz w:val="22"/>
          <w:szCs w:val="22"/>
        </w:rPr>
        <w:t xml:space="preserve">and indicator framework </w:t>
      </w:r>
      <w:r w:rsidRPr="00746C45">
        <w:rPr>
          <w:rFonts w:asciiTheme="minorHAnsi" w:hAnsiTheme="minorHAnsi"/>
          <w:b/>
          <w:sz w:val="22"/>
          <w:szCs w:val="22"/>
        </w:rPr>
        <w:t>for enabling low-carbon flexibility services to participate fully in the GB electricity markets towards 2030</w:t>
      </w:r>
      <w:r w:rsidRPr="00746C45">
        <w:rPr>
          <w:rFonts w:asciiTheme="minorHAnsi" w:hAnsiTheme="minorHAnsi"/>
          <w:sz w:val="22"/>
          <w:szCs w:val="22"/>
        </w:rPr>
        <w:t xml:space="preserve">. A roadmap is a strategic plan that describes the technical, policy, legal, financial, market, and organisational </w:t>
      </w:r>
      <w:r w:rsidRPr="00746C45">
        <w:rPr>
          <w:rFonts w:asciiTheme="minorHAnsi" w:hAnsiTheme="minorHAnsi"/>
          <w:b/>
          <w:sz w:val="22"/>
          <w:szCs w:val="22"/>
        </w:rPr>
        <w:t>conditions</w:t>
      </w:r>
      <w:r w:rsidRPr="00746C45">
        <w:rPr>
          <w:rFonts w:asciiTheme="minorHAnsi" w:hAnsiTheme="minorHAnsi"/>
          <w:sz w:val="22"/>
          <w:szCs w:val="22"/>
        </w:rPr>
        <w:t xml:space="preserve"> required to ensure the desired outcome, and the actions required to meet these </w:t>
      </w:r>
      <w:r w:rsidRPr="00746C45">
        <w:rPr>
          <w:rFonts w:asciiTheme="minorHAnsi" w:hAnsiTheme="minorHAnsi"/>
          <w:b/>
          <w:sz w:val="22"/>
          <w:szCs w:val="22"/>
        </w:rPr>
        <w:t>outcomes</w:t>
      </w:r>
      <w:r w:rsidRPr="00746C45">
        <w:rPr>
          <w:rFonts w:asciiTheme="minorHAnsi" w:hAnsiTheme="minorHAnsi"/>
          <w:sz w:val="22"/>
          <w:szCs w:val="22"/>
        </w:rPr>
        <w:t xml:space="preserve">. This roadmap will </w:t>
      </w:r>
      <w:r w:rsidR="00EC4652" w:rsidRPr="00746C45">
        <w:rPr>
          <w:rFonts w:asciiTheme="minorHAnsi" w:hAnsiTheme="minorHAnsi"/>
          <w:sz w:val="22"/>
          <w:szCs w:val="22"/>
        </w:rPr>
        <w:t xml:space="preserve">inform our recommendations to the Government on actions required to ensure that flexibility services are able to participate fully in the GB electricity markets in future. Emerging from the roadmap, the </w:t>
      </w:r>
      <w:r w:rsidR="00EC4652" w:rsidRPr="00746C45">
        <w:rPr>
          <w:rFonts w:asciiTheme="minorHAnsi" w:hAnsiTheme="minorHAnsi"/>
          <w:b/>
          <w:sz w:val="22"/>
          <w:szCs w:val="22"/>
        </w:rPr>
        <w:t>indicator framework</w:t>
      </w:r>
      <w:r w:rsidR="00EC4652" w:rsidRPr="00746C45">
        <w:rPr>
          <w:rFonts w:asciiTheme="minorHAnsi" w:hAnsiTheme="minorHAnsi"/>
          <w:sz w:val="22"/>
          <w:szCs w:val="22"/>
        </w:rPr>
        <w:t xml:space="preserve"> will allow us to </w:t>
      </w:r>
      <w:r w:rsidRPr="00746C45">
        <w:rPr>
          <w:rFonts w:asciiTheme="minorHAnsi" w:hAnsiTheme="minorHAnsi"/>
          <w:sz w:val="22"/>
          <w:szCs w:val="22"/>
        </w:rPr>
        <w:t xml:space="preserve">monitor Government progress in achieving this outcome. See </w:t>
      </w:r>
      <w:r w:rsidR="00EC4652" w:rsidRPr="00746C45">
        <w:rPr>
          <w:rFonts w:asciiTheme="minorHAnsi" w:hAnsiTheme="minorHAnsi"/>
          <w:sz w:val="22"/>
          <w:szCs w:val="22"/>
        </w:rPr>
        <w:t xml:space="preserve">Section 2 </w:t>
      </w:r>
      <w:r w:rsidRPr="00746C45">
        <w:rPr>
          <w:rFonts w:asciiTheme="minorHAnsi" w:hAnsiTheme="minorHAnsi"/>
          <w:sz w:val="22"/>
          <w:szCs w:val="22"/>
        </w:rPr>
        <w:t>for more information on the Committee’s indicator framework.</w:t>
      </w:r>
    </w:p>
    <w:p w14:paraId="392847FC" w14:textId="27FA43DB" w:rsidR="009138B2" w:rsidRPr="00746C45" w:rsidRDefault="009138B2" w:rsidP="009138B2">
      <w:pPr>
        <w:spacing w:afterLines="80" w:after="192" w:line="276" w:lineRule="auto"/>
        <w:rPr>
          <w:rFonts w:asciiTheme="minorHAnsi" w:hAnsiTheme="minorHAnsi"/>
          <w:sz w:val="22"/>
          <w:szCs w:val="22"/>
        </w:rPr>
      </w:pPr>
      <w:r w:rsidRPr="00746C45">
        <w:rPr>
          <w:rFonts w:asciiTheme="minorHAnsi" w:hAnsiTheme="minorHAnsi"/>
          <w:sz w:val="22"/>
          <w:szCs w:val="22"/>
        </w:rPr>
        <w:t>The specific objectives are to:</w:t>
      </w:r>
    </w:p>
    <w:p w14:paraId="23B4FA62" w14:textId="25BD3529" w:rsidR="009138B2" w:rsidRPr="00746C45" w:rsidRDefault="009138B2" w:rsidP="008721C9">
      <w:pPr>
        <w:pStyle w:val="ListParagraph"/>
        <w:numPr>
          <w:ilvl w:val="0"/>
          <w:numId w:val="18"/>
        </w:numPr>
        <w:spacing w:afterLines="80" w:after="192"/>
        <w:rPr>
          <w:rFonts w:asciiTheme="minorHAnsi" w:hAnsiTheme="minorHAnsi"/>
        </w:rPr>
      </w:pPr>
      <w:r w:rsidRPr="00746C45">
        <w:rPr>
          <w:rFonts w:asciiTheme="minorHAnsi" w:hAnsiTheme="minorHAnsi"/>
        </w:rPr>
        <w:t>Characterise the flexibility technologies capable of providing flexibility services in the UK electricity system.</w:t>
      </w:r>
    </w:p>
    <w:p w14:paraId="70F64EED" w14:textId="7FC52259" w:rsidR="009138B2" w:rsidRPr="00746C45" w:rsidRDefault="009138B2" w:rsidP="008721C9">
      <w:pPr>
        <w:pStyle w:val="ListParagraph"/>
        <w:numPr>
          <w:ilvl w:val="0"/>
          <w:numId w:val="18"/>
        </w:numPr>
        <w:spacing w:afterLines="80" w:after="192"/>
        <w:rPr>
          <w:rFonts w:asciiTheme="minorHAnsi" w:hAnsiTheme="minorHAnsi"/>
        </w:rPr>
      </w:pPr>
      <w:r w:rsidRPr="00746C45">
        <w:rPr>
          <w:rFonts w:asciiTheme="minorHAnsi" w:hAnsiTheme="minorHAnsi"/>
        </w:rPr>
        <w:t>Identify the full range of important barriers to deployment of flexibility services, and actions to address these barriers.</w:t>
      </w:r>
    </w:p>
    <w:p w14:paraId="343EC552" w14:textId="6E9272B3" w:rsidR="009138B2" w:rsidRPr="00E168B7" w:rsidRDefault="00E168B7" w:rsidP="00E168B7">
      <w:pPr>
        <w:pStyle w:val="ListParagraph"/>
        <w:numPr>
          <w:ilvl w:val="0"/>
          <w:numId w:val="18"/>
        </w:numPr>
        <w:spacing w:afterLines="80" w:after="192"/>
        <w:rPr>
          <w:rFonts w:asciiTheme="minorHAnsi" w:hAnsiTheme="minorHAnsi"/>
        </w:rPr>
      </w:pPr>
      <w:r>
        <w:rPr>
          <w:rFonts w:asciiTheme="minorHAnsi" w:hAnsiTheme="minorHAnsi"/>
        </w:rPr>
        <w:t>D</w:t>
      </w:r>
      <w:r w:rsidRPr="00E168B7">
        <w:rPr>
          <w:rFonts w:asciiTheme="minorHAnsi" w:hAnsiTheme="minorHAnsi"/>
        </w:rPr>
        <w:t>evelop</w:t>
      </w:r>
      <w:r>
        <w:rPr>
          <w:rFonts w:asciiTheme="minorHAnsi" w:hAnsiTheme="minorHAnsi"/>
        </w:rPr>
        <w:t xml:space="preserve"> </w:t>
      </w:r>
      <w:r w:rsidRPr="00E168B7">
        <w:rPr>
          <w:rFonts w:asciiTheme="minorHAnsi" w:hAnsiTheme="minorHAnsi"/>
        </w:rPr>
        <w:t>a roadmap for enabling low-carbon flexibility services to participate fully in the GB electricity markets towards 2030 and associated indicator framework to track progress</w:t>
      </w:r>
      <w:r>
        <w:rPr>
          <w:rFonts w:asciiTheme="minorHAnsi" w:hAnsiTheme="minorHAnsi"/>
        </w:rPr>
        <w:t>.</w:t>
      </w:r>
    </w:p>
    <w:p w14:paraId="301DFBB3" w14:textId="29C86528" w:rsidR="009138B2" w:rsidRPr="00746C45" w:rsidRDefault="009138B2" w:rsidP="008721C9">
      <w:pPr>
        <w:pStyle w:val="ListParagraph"/>
        <w:numPr>
          <w:ilvl w:val="0"/>
          <w:numId w:val="18"/>
        </w:numPr>
        <w:spacing w:afterLines="80" w:after="192"/>
        <w:contextualSpacing w:val="0"/>
        <w:rPr>
          <w:rFonts w:asciiTheme="minorHAnsi" w:hAnsiTheme="minorHAnsi"/>
        </w:rPr>
      </w:pPr>
      <w:r w:rsidRPr="00746C45">
        <w:rPr>
          <w:rFonts w:asciiTheme="minorHAnsi" w:hAnsiTheme="minorHAnsi"/>
        </w:rPr>
        <w:t>Develop a set of assumptions on the potential for Demand-Side Response (DSR).</w:t>
      </w:r>
    </w:p>
    <w:p w14:paraId="7797EB4F" w14:textId="77777777" w:rsidR="00327969" w:rsidRPr="00746C45" w:rsidRDefault="00327969">
      <w:pPr>
        <w:rPr>
          <w:rFonts w:asciiTheme="minorHAnsi" w:eastAsia="Times New Roman" w:hAnsiTheme="minorHAnsi" w:cs="Arial"/>
          <w:b/>
          <w:bCs/>
          <w:kern w:val="32"/>
          <w:sz w:val="24"/>
          <w:szCs w:val="24"/>
        </w:rPr>
      </w:pPr>
      <w:bookmarkStart w:id="17" w:name="_Toc381969509"/>
      <w:bookmarkStart w:id="18" w:name="_Toc405888458"/>
      <w:r w:rsidRPr="00746C45">
        <w:rPr>
          <w:rFonts w:asciiTheme="minorHAnsi" w:hAnsiTheme="minorHAnsi" w:cs="Arial"/>
          <w:sz w:val="24"/>
          <w:szCs w:val="24"/>
        </w:rPr>
        <w:br w:type="page"/>
      </w:r>
    </w:p>
    <w:p w14:paraId="5EA8755C" w14:textId="4AAD5B64" w:rsidR="00C4141B" w:rsidRPr="00746C45" w:rsidRDefault="00E85ED1" w:rsidP="008721C9">
      <w:pPr>
        <w:pStyle w:val="Heading1"/>
        <w:numPr>
          <w:ilvl w:val="0"/>
          <w:numId w:val="3"/>
        </w:numPr>
        <w:spacing w:afterLines="80" w:after="192" w:line="276" w:lineRule="auto"/>
        <w:rPr>
          <w:rFonts w:asciiTheme="minorHAnsi" w:hAnsiTheme="minorHAnsi" w:cs="Arial"/>
          <w:sz w:val="24"/>
          <w:szCs w:val="24"/>
        </w:rPr>
      </w:pPr>
      <w:bookmarkStart w:id="19" w:name="_Toc465328875"/>
      <w:r w:rsidRPr="00746C45">
        <w:rPr>
          <w:rFonts w:asciiTheme="minorHAnsi" w:hAnsiTheme="minorHAnsi" w:cs="Arial"/>
          <w:sz w:val="24"/>
          <w:szCs w:val="24"/>
        </w:rPr>
        <w:lastRenderedPageBreak/>
        <w:t>Methodology</w:t>
      </w:r>
      <w:bookmarkEnd w:id="17"/>
      <w:bookmarkEnd w:id="18"/>
      <w:bookmarkEnd w:id="19"/>
    </w:p>
    <w:p w14:paraId="061092B0" w14:textId="77777777"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In this section we set out an approach which we envisage would adequately meet our research requirements. Our approach involves a task corresponding to each of the project objectives set out in the preceding section. We describe these tasks in detail below:</w:t>
      </w:r>
    </w:p>
    <w:p w14:paraId="44D81386" w14:textId="77777777" w:rsidR="0008350B" w:rsidRPr="00746C45" w:rsidRDefault="0008350B" w:rsidP="009138B2">
      <w:pPr>
        <w:spacing w:afterLines="80" w:after="192" w:line="276" w:lineRule="auto"/>
        <w:rPr>
          <w:rFonts w:asciiTheme="minorHAnsi" w:hAnsiTheme="minorHAnsi"/>
          <w:b/>
          <w:sz w:val="22"/>
          <w:szCs w:val="22"/>
        </w:rPr>
      </w:pPr>
      <w:r w:rsidRPr="00746C45">
        <w:rPr>
          <w:rFonts w:asciiTheme="minorHAnsi" w:hAnsiTheme="minorHAnsi"/>
          <w:b/>
          <w:sz w:val="22"/>
          <w:szCs w:val="22"/>
        </w:rPr>
        <w:t>Task 1: Characterise the flexibility technologies capable of providing flexibility services in the UK electricity system.</w:t>
      </w:r>
    </w:p>
    <w:p w14:paraId="3071CE40" w14:textId="77777777"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The list of flexibility technologies and flexibility services to be included within the project scope will be agreed on inception. Consultants should provide in their proposal an indicative list of the flexibility technologies and services they propose to consider (e.g. Box 2).</w:t>
      </w:r>
    </w:p>
    <w:p w14:paraId="19024D89" w14:textId="748BF5E9"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For the flexibility technologies and flexibility services defined in the project scope, consultants should set out clearly which services the technologies can and cannot in principle provide, explaining why certain technologies are not suitable to provide certain flexibility services.</w:t>
      </w:r>
    </w:p>
    <w:p w14:paraId="086543E9" w14:textId="77777777"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Where information is available, consultants should set out current levels of deployment and use of these technologies in the UK and globally, and characterise their technical performance and cost. In doing so, consultants should:</w:t>
      </w:r>
    </w:p>
    <w:p w14:paraId="2FEAEB88" w14:textId="77777777" w:rsidR="0008350B" w:rsidRPr="00746C45" w:rsidRDefault="0008350B" w:rsidP="008721C9">
      <w:pPr>
        <w:pStyle w:val="ListParagraph"/>
        <w:numPr>
          <w:ilvl w:val="0"/>
          <w:numId w:val="6"/>
        </w:numPr>
        <w:spacing w:afterLines="80" w:after="192"/>
        <w:contextualSpacing w:val="0"/>
        <w:rPr>
          <w:rFonts w:asciiTheme="minorHAnsi" w:hAnsiTheme="minorHAnsi"/>
        </w:rPr>
      </w:pPr>
      <w:r w:rsidRPr="00746C45">
        <w:rPr>
          <w:rFonts w:asciiTheme="minorHAnsi" w:hAnsiTheme="minorHAnsi"/>
        </w:rPr>
        <w:t>set out the technology’s development status (e.g. under development, demonstrated, early stage commercialisation, fully commercialised)</w:t>
      </w:r>
    </w:p>
    <w:p w14:paraId="625A887C" w14:textId="77777777" w:rsidR="0008350B" w:rsidRPr="00746C45" w:rsidRDefault="0008350B" w:rsidP="008721C9">
      <w:pPr>
        <w:pStyle w:val="ListParagraph"/>
        <w:numPr>
          <w:ilvl w:val="0"/>
          <w:numId w:val="6"/>
        </w:numPr>
        <w:spacing w:afterLines="80" w:after="192"/>
        <w:contextualSpacing w:val="0"/>
        <w:rPr>
          <w:rFonts w:asciiTheme="minorHAnsi" w:hAnsiTheme="minorHAnsi"/>
        </w:rPr>
      </w:pPr>
      <w:r w:rsidRPr="00746C45">
        <w:rPr>
          <w:rFonts w:asciiTheme="minorHAnsi" w:hAnsiTheme="minorHAnsi"/>
        </w:rPr>
        <w:t>select the most appropriate metric for characterising technical performance and cost to enable comparison across technologies (e.g. minimum stable generation, maximum potential ramp rate, £/MW, £/</w:t>
      </w:r>
      <w:proofErr w:type="spellStart"/>
      <w:r w:rsidRPr="00746C45">
        <w:rPr>
          <w:rFonts w:asciiTheme="minorHAnsi" w:hAnsiTheme="minorHAnsi"/>
        </w:rPr>
        <w:t>MWh</w:t>
      </w:r>
      <w:proofErr w:type="spellEnd"/>
      <w:r w:rsidRPr="00746C45">
        <w:rPr>
          <w:rFonts w:asciiTheme="minorHAnsi" w:hAnsiTheme="minorHAnsi"/>
        </w:rPr>
        <w:t>)</w:t>
      </w:r>
    </w:p>
    <w:p w14:paraId="4632F335" w14:textId="77777777" w:rsidR="0008350B" w:rsidRPr="00746C45" w:rsidRDefault="0008350B" w:rsidP="008721C9">
      <w:pPr>
        <w:pStyle w:val="ListParagraph"/>
        <w:numPr>
          <w:ilvl w:val="0"/>
          <w:numId w:val="6"/>
        </w:numPr>
        <w:spacing w:afterLines="80" w:after="192"/>
        <w:contextualSpacing w:val="0"/>
        <w:rPr>
          <w:rFonts w:asciiTheme="minorHAnsi" w:hAnsiTheme="minorHAnsi"/>
        </w:rPr>
      </w:pPr>
      <w:r w:rsidRPr="00746C45">
        <w:rPr>
          <w:rFonts w:asciiTheme="minorHAnsi" w:hAnsiTheme="minorHAnsi"/>
        </w:rPr>
        <w:t>identify key uncertainties over current or potential future technical performance and cost of flexibility technologies</w:t>
      </w:r>
    </w:p>
    <w:p w14:paraId="2BA92341" w14:textId="77777777" w:rsidR="0008350B" w:rsidRPr="00746C45" w:rsidRDefault="0008350B" w:rsidP="008721C9">
      <w:pPr>
        <w:pStyle w:val="ListParagraph"/>
        <w:numPr>
          <w:ilvl w:val="0"/>
          <w:numId w:val="6"/>
        </w:numPr>
        <w:spacing w:afterLines="80" w:after="192"/>
        <w:contextualSpacing w:val="0"/>
        <w:rPr>
          <w:rFonts w:asciiTheme="minorHAnsi" w:hAnsiTheme="minorHAnsi"/>
        </w:rPr>
      </w:pPr>
      <w:proofErr w:type="gramStart"/>
      <w:r w:rsidRPr="00746C45">
        <w:rPr>
          <w:rFonts w:asciiTheme="minorHAnsi" w:hAnsiTheme="minorHAnsi"/>
        </w:rPr>
        <w:t>identify</w:t>
      </w:r>
      <w:proofErr w:type="gramEnd"/>
      <w:r w:rsidRPr="00746C45">
        <w:rPr>
          <w:rFonts w:asciiTheme="minorHAnsi" w:hAnsiTheme="minorHAnsi"/>
        </w:rPr>
        <w:t xml:space="preserve"> target levels of technical performance and cost which would allow the technology to compete with conventional generation in the provision of flexibility services.</w:t>
      </w:r>
    </w:p>
    <w:p w14:paraId="12BA36C7" w14:textId="77777777"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Box 2 - flexibility technologies and services</w:t>
      </w:r>
    </w:p>
    <w:tbl>
      <w:tblPr>
        <w:tblStyle w:val="TableGrid"/>
        <w:tblW w:w="0" w:type="auto"/>
        <w:tblLook w:val="04A0" w:firstRow="1" w:lastRow="0" w:firstColumn="1" w:lastColumn="0" w:noHBand="0" w:noVBand="1"/>
      </w:tblPr>
      <w:tblGrid>
        <w:gridCol w:w="9242"/>
      </w:tblGrid>
      <w:tr w:rsidR="0008350B" w:rsidRPr="00746C45" w14:paraId="2C2B86DE" w14:textId="77777777" w:rsidTr="0008350B">
        <w:tc>
          <w:tcPr>
            <w:tcW w:w="9242" w:type="dxa"/>
            <w:tcBorders>
              <w:top w:val="single" w:sz="4" w:space="0" w:color="auto"/>
              <w:left w:val="single" w:sz="4" w:space="0" w:color="auto"/>
              <w:bottom w:val="single" w:sz="4" w:space="0" w:color="auto"/>
              <w:right w:val="single" w:sz="4" w:space="0" w:color="auto"/>
            </w:tcBorders>
            <w:hideMark/>
          </w:tcPr>
          <w:p w14:paraId="0CD432AF" w14:textId="77777777" w:rsidR="0008350B" w:rsidRPr="00746C45" w:rsidRDefault="0008350B" w:rsidP="009138B2">
            <w:pPr>
              <w:spacing w:afterLines="80" w:after="192" w:line="276" w:lineRule="auto"/>
              <w:rPr>
                <w:rFonts w:asciiTheme="minorHAnsi" w:hAnsiTheme="minorHAnsi"/>
              </w:rPr>
            </w:pPr>
            <w:r w:rsidRPr="00746C45">
              <w:rPr>
                <w:rFonts w:asciiTheme="minorHAnsi" w:hAnsiTheme="minorHAnsi"/>
              </w:rPr>
              <w:t>Low-carbon flexibility technologies include, but are not limited to:</w:t>
            </w:r>
          </w:p>
          <w:p w14:paraId="43A91481" w14:textId="77777777" w:rsidR="0008350B" w:rsidRPr="00746C45" w:rsidRDefault="0008350B" w:rsidP="008721C9">
            <w:pPr>
              <w:numPr>
                <w:ilvl w:val="0"/>
                <w:numId w:val="7"/>
              </w:numPr>
              <w:spacing w:afterLines="80" w:after="192" w:line="276" w:lineRule="auto"/>
              <w:rPr>
                <w:rFonts w:asciiTheme="minorHAnsi" w:hAnsiTheme="minorHAnsi"/>
              </w:rPr>
            </w:pPr>
            <w:r w:rsidRPr="00746C45">
              <w:rPr>
                <w:rFonts w:asciiTheme="minorHAnsi" w:hAnsiTheme="minorHAnsi"/>
              </w:rPr>
              <w:t xml:space="preserve">flexible fossil generating technologies capable of operating as required (e.g. for peaking or balancing) rather than permanently part-loaded, i.e. with lower minimum stable generation and higher maximum potential ramp rate than conventional alternatives; </w:t>
            </w:r>
          </w:p>
          <w:p w14:paraId="488463CB" w14:textId="77777777" w:rsidR="0008350B" w:rsidRPr="00746C45" w:rsidRDefault="0008350B" w:rsidP="008721C9">
            <w:pPr>
              <w:numPr>
                <w:ilvl w:val="0"/>
                <w:numId w:val="7"/>
              </w:numPr>
              <w:spacing w:afterLines="80" w:after="192" w:line="276" w:lineRule="auto"/>
              <w:rPr>
                <w:rFonts w:asciiTheme="minorHAnsi" w:hAnsiTheme="minorHAnsi"/>
              </w:rPr>
            </w:pPr>
            <w:r w:rsidRPr="00746C45">
              <w:rPr>
                <w:rFonts w:asciiTheme="minorHAnsi" w:hAnsiTheme="minorHAnsi"/>
              </w:rPr>
              <w:t>demand-side response capable of providing primary and secondary frequency response, short term operating reserve, services for network congestion management services and security of supply;</w:t>
            </w:r>
          </w:p>
          <w:p w14:paraId="19F52ECD" w14:textId="77777777" w:rsidR="0008350B" w:rsidRPr="00746C45" w:rsidRDefault="0008350B" w:rsidP="008721C9">
            <w:pPr>
              <w:numPr>
                <w:ilvl w:val="0"/>
                <w:numId w:val="7"/>
              </w:numPr>
              <w:spacing w:afterLines="80" w:after="192" w:line="276" w:lineRule="auto"/>
              <w:rPr>
                <w:rFonts w:asciiTheme="minorHAnsi" w:hAnsiTheme="minorHAnsi"/>
              </w:rPr>
            </w:pPr>
            <w:r w:rsidRPr="00746C45">
              <w:rPr>
                <w:rFonts w:asciiTheme="minorHAnsi" w:hAnsiTheme="minorHAnsi"/>
              </w:rPr>
              <w:t xml:space="preserve">electricity storage technologies including bulk storage, distributed storage, fast storage (e.g. flywheels, </w:t>
            </w:r>
            <w:proofErr w:type="spellStart"/>
            <w:r w:rsidRPr="00746C45">
              <w:rPr>
                <w:rFonts w:asciiTheme="minorHAnsi" w:hAnsiTheme="minorHAnsi"/>
              </w:rPr>
              <w:t>supercapacitors</w:t>
            </w:r>
            <w:proofErr w:type="spellEnd"/>
            <w:r w:rsidRPr="00746C45">
              <w:rPr>
                <w:rFonts w:asciiTheme="minorHAnsi" w:hAnsiTheme="minorHAnsi"/>
              </w:rPr>
              <w:t>)</w:t>
            </w:r>
          </w:p>
          <w:p w14:paraId="6E112FF5" w14:textId="77777777" w:rsidR="0008350B" w:rsidRPr="00746C45" w:rsidRDefault="0008350B" w:rsidP="008721C9">
            <w:pPr>
              <w:numPr>
                <w:ilvl w:val="0"/>
                <w:numId w:val="7"/>
              </w:numPr>
              <w:spacing w:afterLines="80" w:after="192" w:line="276" w:lineRule="auto"/>
              <w:rPr>
                <w:rFonts w:asciiTheme="minorHAnsi" w:hAnsiTheme="minorHAnsi"/>
              </w:rPr>
            </w:pPr>
            <w:r w:rsidRPr="00746C45">
              <w:rPr>
                <w:rFonts w:asciiTheme="minorHAnsi" w:hAnsiTheme="minorHAnsi"/>
              </w:rPr>
              <w:lastRenderedPageBreak/>
              <w:t>interconnection</w:t>
            </w:r>
          </w:p>
          <w:p w14:paraId="2469C0C4" w14:textId="77777777" w:rsidR="0008350B" w:rsidRPr="00746C45" w:rsidRDefault="0008350B" w:rsidP="009138B2">
            <w:pPr>
              <w:spacing w:afterLines="80" w:after="192" w:line="276" w:lineRule="auto"/>
              <w:rPr>
                <w:rFonts w:asciiTheme="minorHAnsi" w:hAnsiTheme="minorHAnsi"/>
              </w:rPr>
            </w:pPr>
            <w:r w:rsidRPr="00746C45">
              <w:rPr>
                <w:rFonts w:asciiTheme="minorHAnsi" w:hAnsiTheme="minorHAnsi"/>
              </w:rPr>
              <w:t>Flexibility services include, but are not limited to:</w:t>
            </w:r>
          </w:p>
          <w:p w14:paraId="0814F54D" w14:textId="77777777" w:rsidR="0008350B" w:rsidRPr="00746C45" w:rsidRDefault="0008350B" w:rsidP="008721C9">
            <w:pPr>
              <w:numPr>
                <w:ilvl w:val="0"/>
                <w:numId w:val="8"/>
              </w:numPr>
              <w:spacing w:afterLines="80" w:after="192" w:line="276" w:lineRule="auto"/>
              <w:rPr>
                <w:rFonts w:asciiTheme="minorHAnsi" w:hAnsiTheme="minorHAnsi"/>
              </w:rPr>
            </w:pPr>
            <w:r w:rsidRPr="00746C45">
              <w:rPr>
                <w:rFonts w:asciiTheme="minorHAnsi" w:hAnsiTheme="minorHAnsi"/>
              </w:rPr>
              <w:t>contracting for generation or demand reduction in the wholesale market, and operating to provide the generation or demand reduction contracted;</w:t>
            </w:r>
          </w:p>
          <w:p w14:paraId="27133323" w14:textId="77777777" w:rsidR="0008350B" w:rsidRPr="00746C45" w:rsidRDefault="0008350B" w:rsidP="008721C9">
            <w:pPr>
              <w:numPr>
                <w:ilvl w:val="0"/>
                <w:numId w:val="8"/>
              </w:numPr>
              <w:spacing w:afterLines="80" w:after="192" w:line="276" w:lineRule="auto"/>
              <w:rPr>
                <w:rFonts w:asciiTheme="minorHAnsi" w:hAnsiTheme="minorHAnsi"/>
              </w:rPr>
            </w:pPr>
            <w:r w:rsidRPr="00746C45">
              <w:rPr>
                <w:rFonts w:asciiTheme="minorHAnsi" w:hAnsiTheme="minorHAnsi"/>
              </w:rPr>
              <w:t>balancing services, including ancillary services</w:t>
            </w:r>
            <w:r w:rsidRPr="00746C45">
              <w:rPr>
                <w:rStyle w:val="FootnoteReference"/>
                <w:rFonts w:asciiTheme="minorHAnsi" w:hAnsiTheme="minorHAnsi"/>
              </w:rPr>
              <w:footnoteReference w:id="1"/>
            </w:r>
          </w:p>
          <w:p w14:paraId="269D86FB" w14:textId="77777777" w:rsidR="0008350B" w:rsidRPr="00746C45" w:rsidRDefault="0008350B" w:rsidP="008721C9">
            <w:pPr>
              <w:numPr>
                <w:ilvl w:val="0"/>
                <w:numId w:val="8"/>
              </w:numPr>
              <w:spacing w:afterLines="80" w:after="192" w:line="276" w:lineRule="auto"/>
              <w:rPr>
                <w:rFonts w:asciiTheme="minorHAnsi" w:hAnsiTheme="minorHAnsi"/>
              </w:rPr>
            </w:pPr>
            <w:r w:rsidRPr="00746C45">
              <w:rPr>
                <w:rFonts w:asciiTheme="minorHAnsi" w:hAnsiTheme="minorHAnsi"/>
              </w:rPr>
              <w:t>deferral of investments in transmission and distribution network reinforcement</w:t>
            </w:r>
          </w:p>
          <w:p w14:paraId="045006AE" w14:textId="77777777" w:rsidR="0008350B" w:rsidRPr="00746C45" w:rsidRDefault="0008350B" w:rsidP="008721C9">
            <w:pPr>
              <w:numPr>
                <w:ilvl w:val="0"/>
                <w:numId w:val="8"/>
              </w:numPr>
              <w:spacing w:afterLines="80" w:after="192" w:line="276" w:lineRule="auto"/>
              <w:rPr>
                <w:rFonts w:asciiTheme="minorHAnsi" w:hAnsiTheme="minorHAnsi"/>
              </w:rPr>
            </w:pPr>
            <w:r w:rsidRPr="00746C45">
              <w:rPr>
                <w:rFonts w:asciiTheme="minorHAnsi" w:hAnsiTheme="minorHAnsi"/>
              </w:rPr>
              <w:t>capacity</w:t>
            </w:r>
          </w:p>
          <w:p w14:paraId="0D1CFD3B" w14:textId="77777777" w:rsidR="0008350B" w:rsidRPr="00746C45" w:rsidRDefault="0008350B" w:rsidP="008721C9">
            <w:pPr>
              <w:numPr>
                <w:ilvl w:val="0"/>
                <w:numId w:val="8"/>
              </w:numPr>
              <w:spacing w:afterLines="80" w:after="192" w:line="276" w:lineRule="auto"/>
              <w:rPr>
                <w:rFonts w:asciiTheme="minorHAnsi" w:hAnsiTheme="minorHAnsi"/>
              </w:rPr>
            </w:pPr>
            <w:r w:rsidRPr="00746C45">
              <w:rPr>
                <w:rFonts w:asciiTheme="minorHAnsi" w:hAnsiTheme="minorHAnsi"/>
              </w:rPr>
              <w:t>contribution to system inertia</w:t>
            </w:r>
          </w:p>
        </w:tc>
      </w:tr>
    </w:tbl>
    <w:p w14:paraId="1CE1C299" w14:textId="77777777" w:rsidR="0008350B" w:rsidRPr="00746C45" w:rsidRDefault="0008350B" w:rsidP="009138B2">
      <w:pPr>
        <w:spacing w:afterLines="80" w:after="192" w:line="276" w:lineRule="auto"/>
        <w:rPr>
          <w:rFonts w:asciiTheme="minorHAnsi" w:hAnsiTheme="minorHAnsi"/>
          <w:sz w:val="22"/>
          <w:szCs w:val="22"/>
          <w:lang w:eastAsia="en-US"/>
        </w:rPr>
      </w:pPr>
      <w:r w:rsidRPr="00746C45">
        <w:rPr>
          <w:rFonts w:asciiTheme="minorHAnsi" w:hAnsiTheme="minorHAnsi"/>
          <w:sz w:val="22"/>
          <w:szCs w:val="22"/>
        </w:rPr>
        <w:lastRenderedPageBreak/>
        <w:t>Note: while renewables are not considered flexibility technologies, they are nevertheless in principle capable of providing some degree of flexibility services, e.g. system reserve and response, or system inertia with “synthetic” inertia. Provision of flexibility services by renewables should also be considered in Task 1 and subsequent tasks.</w:t>
      </w:r>
    </w:p>
    <w:p w14:paraId="1BF33A28" w14:textId="77777777" w:rsidR="0008350B" w:rsidRPr="00746C45" w:rsidRDefault="0008350B" w:rsidP="009138B2">
      <w:pPr>
        <w:spacing w:afterLines="80" w:after="192" w:line="276" w:lineRule="auto"/>
        <w:rPr>
          <w:rFonts w:asciiTheme="minorHAnsi" w:hAnsiTheme="minorHAnsi"/>
          <w:b/>
          <w:sz w:val="22"/>
          <w:szCs w:val="22"/>
        </w:rPr>
      </w:pPr>
      <w:r w:rsidRPr="00746C45">
        <w:rPr>
          <w:rFonts w:asciiTheme="minorHAnsi" w:hAnsiTheme="minorHAnsi"/>
          <w:b/>
          <w:sz w:val="22"/>
          <w:szCs w:val="22"/>
        </w:rPr>
        <w:t>Task 2: Identify the full range of important barriers to deployment of flexibility services, and actions to address these barriers.</w:t>
      </w:r>
    </w:p>
    <w:p w14:paraId="5D0ACA73" w14:textId="77777777"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Consultants should identify and describe the technical, policy, legal, financial, market, and organisational conditions required to ensure that flexibility services are able to participate fully in the GB electricity markets in future.</w:t>
      </w:r>
    </w:p>
    <w:p w14:paraId="02058748" w14:textId="77777777"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We expect that the necessary conditions will include the existence of a functioning market for each flexibility service, in which each relevant flexibility technology is able to participate. A market for flexibility services is defined as an incentive mechanism that remunerates a flexibility technology for providing a flexibility service. Examples include the wholesale electricity market, markets for balancing services, and the capacity market. For each flexibility technology and each flexibility service (e.g. battery storage providing balancing services), this task should specify whether a market exists, and if so, set out details of this market (e.g. National Grid’s Enhanced Frequency Response services is open, and considered to be particularly suited, to battery storage).</w:t>
      </w:r>
    </w:p>
    <w:p w14:paraId="29237F0B" w14:textId="77777777"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Consultants should then identify and describe all relevant barriers to achievement of the conditions identified, and therefore to ensuring that flexibility services are able to participate fully in the GB electricity markets in future. Barriers identified in the literature include, but are not limited to:</w:t>
      </w:r>
    </w:p>
    <w:p w14:paraId="51CD9114" w14:textId="77777777" w:rsidR="0008350B" w:rsidRPr="00746C45" w:rsidRDefault="0008350B" w:rsidP="008721C9">
      <w:pPr>
        <w:pStyle w:val="ListParagraph"/>
        <w:numPr>
          <w:ilvl w:val="0"/>
          <w:numId w:val="9"/>
        </w:numPr>
        <w:spacing w:afterLines="80" w:after="192"/>
        <w:contextualSpacing w:val="0"/>
        <w:rPr>
          <w:rFonts w:asciiTheme="minorHAnsi" w:hAnsiTheme="minorHAnsi"/>
        </w:rPr>
      </w:pPr>
      <w:r w:rsidRPr="00746C45">
        <w:rPr>
          <w:rFonts w:asciiTheme="minorHAnsi" w:hAnsiTheme="minorHAnsi"/>
        </w:rPr>
        <w:t>Missing markets</w:t>
      </w:r>
    </w:p>
    <w:p w14:paraId="56439311" w14:textId="77777777" w:rsidR="0008350B" w:rsidRPr="00746C45" w:rsidRDefault="0008350B" w:rsidP="008721C9">
      <w:pPr>
        <w:pStyle w:val="ListParagraph"/>
        <w:numPr>
          <w:ilvl w:val="0"/>
          <w:numId w:val="9"/>
        </w:numPr>
        <w:spacing w:afterLines="80" w:after="192"/>
        <w:contextualSpacing w:val="0"/>
        <w:rPr>
          <w:rFonts w:asciiTheme="minorHAnsi" w:hAnsiTheme="minorHAnsi"/>
        </w:rPr>
      </w:pPr>
      <w:r w:rsidRPr="00746C45">
        <w:rPr>
          <w:rFonts w:asciiTheme="minorHAnsi" w:hAnsiTheme="minorHAnsi"/>
        </w:rPr>
        <w:t>Current technical performance and cost, and uncertainty around future technical performance and cost</w:t>
      </w:r>
    </w:p>
    <w:p w14:paraId="796DD51B" w14:textId="77777777" w:rsidR="0008350B" w:rsidRPr="00746C45" w:rsidRDefault="0008350B" w:rsidP="008721C9">
      <w:pPr>
        <w:pStyle w:val="ListParagraph"/>
        <w:numPr>
          <w:ilvl w:val="0"/>
          <w:numId w:val="9"/>
        </w:numPr>
        <w:spacing w:afterLines="80" w:after="192"/>
        <w:contextualSpacing w:val="0"/>
        <w:rPr>
          <w:rFonts w:asciiTheme="minorHAnsi" w:hAnsiTheme="minorHAnsi"/>
        </w:rPr>
      </w:pPr>
      <w:r w:rsidRPr="00746C45">
        <w:rPr>
          <w:rFonts w:asciiTheme="minorHAnsi" w:hAnsiTheme="minorHAnsi"/>
        </w:rPr>
        <w:t>Lack of cost-reflecting charging, e.g.</w:t>
      </w:r>
    </w:p>
    <w:p w14:paraId="05955629" w14:textId="77777777" w:rsidR="0008350B" w:rsidRPr="00746C45" w:rsidRDefault="0008350B" w:rsidP="008721C9">
      <w:pPr>
        <w:pStyle w:val="ListParagraph"/>
        <w:numPr>
          <w:ilvl w:val="1"/>
          <w:numId w:val="9"/>
        </w:numPr>
        <w:spacing w:afterLines="80" w:after="192"/>
        <w:contextualSpacing w:val="0"/>
        <w:rPr>
          <w:rFonts w:asciiTheme="minorHAnsi" w:hAnsiTheme="minorHAnsi"/>
        </w:rPr>
      </w:pPr>
      <w:r w:rsidRPr="00746C45">
        <w:rPr>
          <w:rFonts w:asciiTheme="minorHAnsi" w:hAnsiTheme="minorHAnsi"/>
        </w:rPr>
        <w:lastRenderedPageBreak/>
        <w:t>imposition of transmission charges designed to recover a system cost to services (e.g. storage) that provide a system benefit</w:t>
      </w:r>
    </w:p>
    <w:p w14:paraId="4D17255B" w14:textId="77777777" w:rsidR="0008350B" w:rsidRPr="00746C45" w:rsidRDefault="0008350B" w:rsidP="008721C9">
      <w:pPr>
        <w:pStyle w:val="ListParagraph"/>
        <w:numPr>
          <w:ilvl w:val="1"/>
          <w:numId w:val="9"/>
        </w:numPr>
        <w:spacing w:afterLines="80" w:after="192"/>
        <w:contextualSpacing w:val="0"/>
        <w:rPr>
          <w:rFonts w:asciiTheme="minorHAnsi" w:hAnsiTheme="minorHAnsi"/>
        </w:rPr>
      </w:pPr>
      <w:r w:rsidRPr="00746C45">
        <w:rPr>
          <w:rFonts w:asciiTheme="minorHAnsi" w:hAnsiTheme="minorHAnsi"/>
        </w:rPr>
        <w:t>regulatory treatment of storage as both generation and consumption, such that charges (e.g. transmission charges) for stored electricity are incurred twice for the same electricity;</w:t>
      </w:r>
    </w:p>
    <w:p w14:paraId="0C00F252" w14:textId="77777777" w:rsidR="0008350B" w:rsidRPr="00746C45" w:rsidRDefault="0008350B" w:rsidP="008721C9">
      <w:pPr>
        <w:pStyle w:val="ListParagraph"/>
        <w:numPr>
          <w:ilvl w:val="1"/>
          <w:numId w:val="9"/>
        </w:numPr>
        <w:spacing w:afterLines="80" w:after="192"/>
        <w:contextualSpacing w:val="0"/>
        <w:rPr>
          <w:rFonts w:asciiTheme="minorHAnsi" w:hAnsiTheme="minorHAnsi"/>
        </w:rPr>
      </w:pPr>
      <w:proofErr w:type="gramStart"/>
      <w:r w:rsidRPr="00746C45">
        <w:rPr>
          <w:rFonts w:asciiTheme="minorHAnsi" w:hAnsiTheme="minorHAnsi"/>
        </w:rPr>
        <w:t>while</w:t>
      </w:r>
      <w:proofErr w:type="gramEnd"/>
      <w:r w:rsidRPr="00746C45">
        <w:rPr>
          <w:rFonts w:asciiTheme="minorHAnsi" w:hAnsiTheme="minorHAnsi"/>
        </w:rPr>
        <w:t xml:space="preserve"> most UK fossil generation incurs a carbon price through the EU ETS and the UK’s carbon price floor, the current carbon price is too low to be consistent with the UK’s 2050 target, and some generation (e.g. embedded generation) does not face a carbon price.</w:t>
      </w:r>
    </w:p>
    <w:p w14:paraId="1B5CFA99" w14:textId="77777777" w:rsidR="0008350B" w:rsidRPr="00746C45" w:rsidRDefault="0008350B" w:rsidP="008721C9">
      <w:pPr>
        <w:pStyle w:val="ListParagraph"/>
        <w:numPr>
          <w:ilvl w:val="0"/>
          <w:numId w:val="9"/>
        </w:numPr>
        <w:spacing w:afterLines="80" w:after="192"/>
        <w:contextualSpacing w:val="0"/>
        <w:rPr>
          <w:rFonts w:asciiTheme="minorHAnsi" w:hAnsiTheme="minorHAnsi"/>
        </w:rPr>
      </w:pPr>
      <w:r w:rsidRPr="00746C45">
        <w:rPr>
          <w:rFonts w:asciiTheme="minorHAnsi" w:hAnsiTheme="minorHAnsi"/>
        </w:rPr>
        <w:t>Procurement practices for flexibility services that disadvantage low-carbon providers or new entrants due to e.g. lack of transparency, contract length, etc.</w:t>
      </w:r>
    </w:p>
    <w:p w14:paraId="59068C02" w14:textId="77777777" w:rsidR="0008350B" w:rsidRPr="00746C45" w:rsidRDefault="0008350B" w:rsidP="008721C9">
      <w:pPr>
        <w:pStyle w:val="ListParagraph"/>
        <w:numPr>
          <w:ilvl w:val="0"/>
          <w:numId w:val="9"/>
        </w:numPr>
        <w:spacing w:afterLines="80" w:after="192"/>
        <w:contextualSpacing w:val="0"/>
        <w:rPr>
          <w:rFonts w:asciiTheme="minorHAnsi" w:hAnsiTheme="minorHAnsi"/>
        </w:rPr>
      </w:pPr>
      <w:r w:rsidRPr="00746C45">
        <w:rPr>
          <w:rFonts w:asciiTheme="minorHAnsi" w:hAnsiTheme="minorHAnsi"/>
        </w:rPr>
        <w:t>Consumer resistance to new flexibility technologies</w:t>
      </w:r>
    </w:p>
    <w:p w14:paraId="6B360D0E" w14:textId="77777777" w:rsidR="0008350B" w:rsidRPr="00746C45" w:rsidRDefault="0008350B" w:rsidP="008721C9">
      <w:pPr>
        <w:pStyle w:val="ListParagraph"/>
        <w:numPr>
          <w:ilvl w:val="0"/>
          <w:numId w:val="9"/>
        </w:numPr>
        <w:spacing w:afterLines="80" w:after="192"/>
        <w:contextualSpacing w:val="0"/>
        <w:rPr>
          <w:rFonts w:asciiTheme="minorHAnsi" w:hAnsiTheme="minorHAnsi"/>
        </w:rPr>
      </w:pPr>
      <w:r w:rsidRPr="00746C45">
        <w:rPr>
          <w:rFonts w:asciiTheme="minorHAnsi" w:hAnsiTheme="minorHAnsi"/>
        </w:rPr>
        <w:t>Impact of flexibility services on complexity of electricity system operation</w:t>
      </w:r>
    </w:p>
    <w:p w14:paraId="139FB43F" w14:textId="77777777" w:rsidR="0008350B" w:rsidRPr="00746C45" w:rsidRDefault="0008350B" w:rsidP="008721C9">
      <w:pPr>
        <w:pStyle w:val="ListParagraph"/>
        <w:numPr>
          <w:ilvl w:val="0"/>
          <w:numId w:val="9"/>
        </w:numPr>
        <w:spacing w:afterLines="80" w:after="192"/>
        <w:contextualSpacing w:val="0"/>
        <w:rPr>
          <w:rFonts w:asciiTheme="minorHAnsi" w:hAnsiTheme="minorHAnsi"/>
        </w:rPr>
      </w:pPr>
      <w:r w:rsidRPr="00746C45">
        <w:rPr>
          <w:rFonts w:asciiTheme="minorHAnsi" w:hAnsiTheme="minorHAnsi"/>
        </w:rPr>
        <w:t>Regulations preventing flexibility technologies from providing multiple (“layered”) flexibility services</w:t>
      </w:r>
    </w:p>
    <w:p w14:paraId="6F54CAC1" w14:textId="388DF008" w:rsidR="00576B46" w:rsidRPr="00746C45" w:rsidRDefault="0008350B" w:rsidP="007F086E">
      <w:pPr>
        <w:spacing w:afterLines="80" w:after="192" w:line="276" w:lineRule="auto"/>
        <w:rPr>
          <w:rFonts w:asciiTheme="minorHAnsi" w:hAnsiTheme="minorHAnsi"/>
          <w:sz w:val="22"/>
          <w:szCs w:val="22"/>
        </w:rPr>
      </w:pPr>
      <w:r w:rsidRPr="00746C45">
        <w:rPr>
          <w:rFonts w:asciiTheme="minorHAnsi" w:hAnsiTheme="minorHAnsi"/>
          <w:sz w:val="22"/>
          <w:szCs w:val="22"/>
        </w:rPr>
        <w:t xml:space="preserve">For each barrier, consultants should </w:t>
      </w:r>
      <w:r w:rsidR="00576B46" w:rsidRPr="00746C45">
        <w:rPr>
          <w:rFonts w:asciiTheme="minorHAnsi" w:hAnsiTheme="minorHAnsi"/>
          <w:sz w:val="22"/>
          <w:szCs w:val="22"/>
        </w:rPr>
        <w:t>then identify the action or actions needed to address the barrier and create the technical, policy, legal, financial, market, and organisational conditions to enable provision of flexibility services. Actions may include technology development and deployment; development of enabling infrastructure, regulations and standards, financing mechanisms, institutional framework or institutional capacity, supply chains; public engagement, etc.</w:t>
      </w:r>
      <w:r w:rsidR="007F086E" w:rsidRPr="00746C45">
        <w:rPr>
          <w:rFonts w:asciiTheme="minorHAnsi" w:hAnsiTheme="minorHAnsi"/>
          <w:sz w:val="22"/>
          <w:szCs w:val="22"/>
        </w:rPr>
        <w:t xml:space="preserve"> </w:t>
      </w:r>
    </w:p>
    <w:p w14:paraId="1C64C996" w14:textId="57EA6A1C" w:rsidR="0008350B" w:rsidRPr="00E168B7" w:rsidRDefault="0008350B" w:rsidP="009138B2">
      <w:pPr>
        <w:spacing w:afterLines="80" w:after="192" w:line="276" w:lineRule="auto"/>
        <w:rPr>
          <w:rFonts w:asciiTheme="minorHAnsi" w:hAnsiTheme="minorHAnsi"/>
          <w:b/>
          <w:sz w:val="22"/>
          <w:szCs w:val="22"/>
        </w:rPr>
      </w:pPr>
      <w:r w:rsidRPr="00E168B7">
        <w:rPr>
          <w:rFonts w:asciiTheme="minorHAnsi" w:hAnsiTheme="minorHAnsi"/>
          <w:b/>
          <w:sz w:val="22"/>
          <w:szCs w:val="22"/>
        </w:rPr>
        <w:t xml:space="preserve">Task 3: </w:t>
      </w:r>
      <w:r w:rsidR="00E168B7" w:rsidRPr="00E168B7">
        <w:rPr>
          <w:rFonts w:asciiTheme="minorHAnsi" w:hAnsiTheme="minorHAnsi"/>
          <w:b/>
        </w:rPr>
        <w:t>Develop a roadmap for enabling low-carbon flexibility services to participate fully in the GB electricity markets towards 2030 and associated indicator framework to track progress</w:t>
      </w:r>
    </w:p>
    <w:p w14:paraId="61964446" w14:textId="25DBBF19"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 xml:space="preserve">As set out in Section </w:t>
      </w:r>
      <w:r w:rsidR="00A1747D" w:rsidRPr="00746C45">
        <w:rPr>
          <w:rFonts w:asciiTheme="minorHAnsi" w:hAnsiTheme="minorHAnsi"/>
          <w:sz w:val="22"/>
          <w:szCs w:val="22"/>
        </w:rPr>
        <w:t>3</w:t>
      </w:r>
      <w:r w:rsidRPr="00746C45">
        <w:rPr>
          <w:rFonts w:asciiTheme="minorHAnsi" w:hAnsiTheme="minorHAnsi"/>
          <w:sz w:val="22"/>
          <w:szCs w:val="22"/>
        </w:rPr>
        <w:t xml:space="preserve"> – aims and </w:t>
      </w:r>
      <w:proofErr w:type="gramStart"/>
      <w:r w:rsidRPr="00746C45">
        <w:rPr>
          <w:rFonts w:asciiTheme="minorHAnsi" w:hAnsiTheme="minorHAnsi"/>
          <w:sz w:val="22"/>
          <w:szCs w:val="22"/>
        </w:rPr>
        <w:t>objectives ,</w:t>
      </w:r>
      <w:proofErr w:type="gramEnd"/>
      <w:r w:rsidRPr="00746C45">
        <w:rPr>
          <w:rFonts w:asciiTheme="minorHAnsi" w:hAnsiTheme="minorHAnsi"/>
          <w:sz w:val="22"/>
          <w:szCs w:val="22"/>
        </w:rPr>
        <w:t xml:space="preserve"> a roadmap is a strategic plan that describes the technical, policy, legal, financial, market, and organisational conditions required to ensure the desired outcome, and the actions required to meet these outcomes.</w:t>
      </w:r>
    </w:p>
    <w:p w14:paraId="5CC627E4" w14:textId="77777777" w:rsidR="0008350B" w:rsidRPr="00746C45" w:rsidRDefault="0008350B" w:rsidP="009138B2">
      <w:pPr>
        <w:spacing w:afterLines="80" w:after="192" w:line="276" w:lineRule="auto"/>
        <w:rPr>
          <w:rFonts w:asciiTheme="minorHAnsi" w:hAnsiTheme="minorHAnsi"/>
          <w:sz w:val="22"/>
          <w:szCs w:val="22"/>
        </w:rPr>
      </w:pPr>
      <w:r w:rsidRPr="00746C45">
        <w:rPr>
          <w:rFonts w:asciiTheme="minorHAnsi" w:hAnsiTheme="minorHAnsi"/>
          <w:sz w:val="22"/>
          <w:szCs w:val="22"/>
        </w:rPr>
        <w:t>This roadmap should consider:</w:t>
      </w:r>
    </w:p>
    <w:p w14:paraId="38F53656" w14:textId="3865E002" w:rsidR="0008350B" w:rsidRPr="00746C45" w:rsidRDefault="0008350B" w:rsidP="008721C9">
      <w:pPr>
        <w:pStyle w:val="ListParagraph"/>
        <w:numPr>
          <w:ilvl w:val="0"/>
          <w:numId w:val="10"/>
        </w:numPr>
        <w:spacing w:afterLines="80" w:after="192"/>
        <w:contextualSpacing w:val="0"/>
        <w:rPr>
          <w:rFonts w:asciiTheme="minorHAnsi" w:hAnsiTheme="minorHAnsi"/>
        </w:rPr>
      </w:pPr>
      <w:r w:rsidRPr="00746C45">
        <w:rPr>
          <w:rFonts w:asciiTheme="minorHAnsi" w:hAnsiTheme="minorHAnsi"/>
        </w:rPr>
        <w:t xml:space="preserve">The </w:t>
      </w:r>
      <w:r w:rsidRPr="00746C45">
        <w:rPr>
          <w:rFonts w:asciiTheme="minorHAnsi" w:hAnsiTheme="minorHAnsi"/>
          <w:b/>
        </w:rPr>
        <w:t>conditions</w:t>
      </w:r>
      <w:r w:rsidR="007F086E" w:rsidRPr="00746C45">
        <w:rPr>
          <w:rFonts w:asciiTheme="minorHAnsi" w:hAnsiTheme="minorHAnsi"/>
        </w:rPr>
        <w:t xml:space="preserve">, </w:t>
      </w:r>
      <w:r w:rsidR="007F086E" w:rsidRPr="00746C45">
        <w:rPr>
          <w:rFonts w:asciiTheme="minorHAnsi" w:hAnsiTheme="minorHAnsi"/>
          <w:b/>
        </w:rPr>
        <w:t>barriers</w:t>
      </w:r>
      <w:r w:rsidR="007F086E" w:rsidRPr="00746C45">
        <w:rPr>
          <w:rFonts w:asciiTheme="minorHAnsi" w:hAnsiTheme="minorHAnsi"/>
        </w:rPr>
        <w:t xml:space="preserve"> and </w:t>
      </w:r>
      <w:r w:rsidR="007F086E" w:rsidRPr="00746C45">
        <w:rPr>
          <w:rFonts w:asciiTheme="minorHAnsi" w:hAnsiTheme="minorHAnsi"/>
          <w:b/>
        </w:rPr>
        <w:t>actions</w:t>
      </w:r>
      <w:r w:rsidR="007F086E" w:rsidRPr="00746C45">
        <w:rPr>
          <w:rFonts w:asciiTheme="minorHAnsi" w:hAnsiTheme="minorHAnsi"/>
        </w:rPr>
        <w:t xml:space="preserve"> identified in Task 2, and the relative </w:t>
      </w:r>
      <w:r w:rsidR="007F086E" w:rsidRPr="00746C45">
        <w:rPr>
          <w:rFonts w:asciiTheme="minorHAnsi" w:hAnsiTheme="minorHAnsi"/>
          <w:b/>
        </w:rPr>
        <w:t>importance</w:t>
      </w:r>
      <w:r w:rsidR="007F086E" w:rsidRPr="00746C45">
        <w:rPr>
          <w:rFonts w:asciiTheme="minorHAnsi" w:hAnsiTheme="minorHAnsi"/>
        </w:rPr>
        <w:t xml:space="preserve"> of each barrier. The roadmap should include a clear hierarchy of importance, and potentially exclude some actions that address barriers that are of lower importance.</w:t>
      </w:r>
    </w:p>
    <w:p w14:paraId="32325949" w14:textId="422BF890" w:rsidR="0008350B" w:rsidRPr="00746C45" w:rsidRDefault="0008350B" w:rsidP="008721C9">
      <w:pPr>
        <w:pStyle w:val="ListParagraph"/>
        <w:numPr>
          <w:ilvl w:val="0"/>
          <w:numId w:val="10"/>
        </w:numPr>
        <w:spacing w:afterLines="80" w:after="192"/>
        <w:contextualSpacing w:val="0"/>
        <w:rPr>
          <w:rFonts w:asciiTheme="minorHAnsi" w:hAnsiTheme="minorHAnsi"/>
        </w:rPr>
      </w:pPr>
      <w:r w:rsidRPr="00746C45">
        <w:rPr>
          <w:rFonts w:asciiTheme="minorHAnsi" w:hAnsiTheme="minorHAnsi"/>
        </w:rPr>
        <w:t xml:space="preserve">The </w:t>
      </w:r>
      <w:r w:rsidRPr="00746C45">
        <w:rPr>
          <w:rFonts w:asciiTheme="minorHAnsi" w:hAnsiTheme="minorHAnsi"/>
          <w:b/>
        </w:rPr>
        <w:t>actions</w:t>
      </w:r>
      <w:r w:rsidRPr="00746C45">
        <w:rPr>
          <w:rFonts w:asciiTheme="minorHAnsi" w:hAnsiTheme="minorHAnsi"/>
        </w:rPr>
        <w:t xml:space="preserve"> required to address the barriers to deployment of flexibility services, as identified in Task </w:t>
      </w:r>
      <w:r w:rsidR="007F086E" w:rsidRPr="00746C45">
        <w:rPr>
          <w:rFonts w:asciiTheme="minorHAnsi" w:hAnsiTheme="minorHAnsi"/>
        </w:rPr>
        <w:t>2</w:t>
      </w:r>
      <w:r w:rsidRPr="00746C45">
        <w:rPr>
          <w:rFonts w:asciiTheme="minorHAnsi" w:hAnsiTheme="minorHAnsi"/>
        </w:rPr>
        <w:t>, and the time taken to carry out these actions</w:t>
      </w:r>
    </w:p>
    <w:p w14:paraId="50980967" w14:textId="77777777" w:rsidR="0008350B" w:rsidRPr="00746C45" w:rsidRDefault="0008350B" w:rsidP="008721C9">
      <w:pPr>
        <w:pStyle w:val="ListParagraph"/>
        <w:numPr>
          <w:ilvl w:val="0"/>
          <w:numId w:val="10"/>
        </w:numPr>
        <w:spacing w:afterLines="80" w:after="192"/>
        <w:contextualSpacing w:val="0"/>
        <w:rPr>
          <w:rFonts w:asciiTheme="minorHAnsi" w:hAnsiTheme="minorHAnsi"/>
        </w:rPr>
      </w:pPr>
      <w:r w:rsidRPr="00746C45">
        <w:rPr>
          <w:rFonts w:asciiTheme="minorHAnsi" w:hAnsiTheme="minorHAnsi"/>
        </w:rPr>
        <w:t xml:space="preserve">Any </w:t>
      </w:r>
      <w:r w:rsidRPr="00746C45">
        <w:rPr>
          <w:rFonts w:asciiTheme="minorHAnsi" w:hAnsiTheme="minorHAnsi"/>
          <w:b/>
        </w:rPr>
        <w:t>interdependencies</w:t>
      </w:r>
      <w:r w:rsidRPr="00746C45">
        <w:rPr>
          <w:rFonts w:asciiTheme="minorHAnsi" w:hAnsiTheme="minorHAnsi"/>
        </w:rPr>
        <w:t xml:space="preserve"> between the conditions and actions that determine the </w:t>
      </w:r>
      <w:r w:rsidRPr="00746C45">
        <w:rPr>
          <w:rFonts w:asciiTheme="minorHAnsi" w:hAnsiTheme="minorHAnsi"/>
          <w:b/>
        </w:rPr>
        <w:t>sequence</w:t>
      </w:r>
      <w:r w:rsidRPr="00746C45">
        <w:rPr>
          <w:rFonts w:asciiTheme="minorHAnsi" w:hAnsiTheme="minorHAnsi"/>
        </w:rPr>
        <w:t xml:space="preserve"> in which conditions should be achieved and actions carried out.</w:t>
      </w:r>
    </w:p>
    <w:p w14:paraId="5AC6104F" w14:textId="77BEF4E6" w:rsidR="007F086E" w:rsidRPr="00746C45" w:rsidRDefault="007F086E" w:rsidP="008721C9">
      <w:pPr>
        <w:pStyle w:val="ListParagraph"/>
        <w:numPr>
          <w:ilvl w:val="0"/>
          <w:numId w:val="10"/>
        </w:numPr>
        <w:spacing w:afterLines="80" w:after="192"/>
        <w:contextualSpacing w:val="0"/>
        <w:rPr>
          <w:rFonts w:asciiTheme="minorHAnsi" w:hAnsiTheme="minorHAnsi"/>
        </w:rPr>
      </w:pPr>
      <w:r w:rsidRPr="00746C45">
        <w:rPr>
          <w:rFonts w:asciiTheme="minorHAnsi" w:hAnsiTheme="minorHAnsi"/>
        </w:rPr>
        <w:t xml:space="preserve">The appropriate </w:t>
      </w:r>
      <w:r w:rsidRPr="00746C45">
        <w:rPr>
          <w:rFonts w:asciiTheme="minorHAnsi" w:hAnsiTheme="minorHAnsi"/>
          <w:b/>
        </w:rPr>
        <w:t>timing</w:t>
      </w:r>
      <w:r w:rsidRPr="00746C45">
        <w:rPr>
          <w:rFonts w:asciiTheme="minorHAnsi" w:hAnsiTheme="minorHAnsi"/>
        </w:rPr>
        <w:t xml:space="preserve"> of each action, given the sequence in which actions should be carried out, and the time required to implement them, and </w:t>
      </w:r>
      <w:r w:rsidRPr="00746C45">
        <w:rPr>
          <w:rFonts w:asciiTheme="minorHAnsi" w:hAnsiTheme="minorHAnsi"/>
          <w:b/>
        </w:rPr>
        <w:t>dates</w:t>
      </w:r>
      <w:r w:rsidRPr="00746C45">
        <w:rPr>
          <w:rFonts w:asciiTheme="minorHAnsi" w:hAnsiTheme="minorHAnsi"/>
        </w:rPr>
        <w:t xml:space="preserve"> by which targets and milestones should be achieved to ensure the desired outcome </w:t>
      </w:r>
    </w:p>
    <w:p w14:paraId="7B6C8D1F" w14:textId="77777777" w:rsidR="007F086E" w:rsidRPr="00746C45" w:rsidRDefault="007F086E" w:rsidP="008721C9">
      <w:pPr>
        <w:pStyle w:val="ListParagraph"/>
        <w:numPr>
          <w:ilvl w:val="0"/>
          <w:numId w:val="10"/>
        </w:numPr>
        <w:spacing w:afterLines="80" w:after="192"/>
        <w:contextualSpacing w:val="0"/>
        <w:rPr>
          <w:rFonts w:asciiTheme="minorHAnsi" w:hAnsiTheme="minorHAnsi"/>
        </w:rPr>
      </w:pPr>
      <w:r w:rsidRPr="00746C45">
        <w:rPr>
          <w:rFonts w:asciiTheme="minorHAnsi" w:hAnsiTheme="minorHAnsi"/>
        </w:rPr>
        <w:lastRenderedPageBreak/>
        <w:t xml:space="preserve">The </w:t>
      </w:r>
      <w:r w:rsidRPr="00746C45">
        <w:rPr>
          <w:rFonts w:asciiTheme="minorHAnsi" w:hAnsiTheme="minorHAnsi"/>
          <w:b/>
        </w:rPr>
        <w:t>agent(s)</w:t>
      </w:r>
      <w:r w:rsidRPr="00746C45">
        <w:rPr>
          <w:rFonts w:asciiTheme="minorHAnsi" w:hAnsiTheme="minorHAnsi"/>
        </w:rPr>
        <w:t xml:space="preserve"> responsible for achieving targets and milestones implementing these actions, e.g. Government, industry, consumers</w:t>
      </w:r>
    </w:p>
    <w:p w14:paraId="73ADA3FC" w14:textId="77777777" w:rsidR="0008350B" w:rsidRPr="00746C45" w:rsidRDefault="0008350B" w:rsidP="008721C9">
      <w:pPr>
        <w:pStyle w:val="ListParagraph"/>
        <w:numPr>
          <w:ilvl w:val="0"/>
          <w:numId w:val="10"/>
        </w:numPr>
        <w:spacing w:afterLines="80" w:after="192"/>
        <w:contextualSpacing w:val="0"/>
        <w:rPr>
          <w:rFonts w:asciiTheme="minorHAnsi" w:hAnsiTheme="minorHAnsi"/>
        </w:rPr>
      </w:pPr>
      <w:r w:rsidRPr="00746C45">
        <w:rPr>
          <w:rFonts w:asciiTheme="minorHAnsi" w:hAnsiTheme="minorHAnsi"/>
        </w:rPr>
        <w:t xml:space="preserve">Appropriate </w:t>
      </w:r>
      <w:r w:rsidRPr="00746C45">
        <w:rPr>
          <w:rFonts w:asciiTheme="minorHAnsi" w:hAnsiTheme="minorHAnsi"/>
          <w:b/>
        </w:rPr>
        <w:t>targets</w:t>
      </w:r>
      <w:r w:rsidRPr="00746C45">
        <w:rPr>
          <w:rFonts w:asciiTheme="minorHAnsi" w:hAnsiTheme="minorHAnsi"/>
        </w:rPr>
        <w:t>, for example targets for deployment of flexibility technology capacity to commercialise the technology and/or resolve key uncertainties relating to potential technical performance or cost.</w:t>
      </w:r>
    </w:p>
    <w:p w14:paraId="6034EAF9" w14:textId="640F0363" w:rsidR="0008350B" w:rsidRPr="00746C45" w:rsidRDefault="0008350B" w:rsidP="008721C9">
      <w:pPr>
        <w:pStyle w:val="ListParagraph"/>
        <w:numPr>
          <w:ilvl w:val="0"/>
          <w:numId w:val="10"/>
        </w:numPr>
        <w:spacing w:afterLines="80" w:after="192"/>
        <w:contextualSpacing w:val="0"/>
        <w:rPr>
          <w:rFonts w:asciiTheme="minorHAnsi" w:hAnsiTheme="minorHAnsi"/>
        </w:rPr>
      </w:pPr>
      <w:r w:rsidRPr="00746C45">
        <w:rPr>
          <w:rFonts w:asciiTheme="minorHAnsi" w:hAnsiTheme="minorHAnsi"/>
          <w:b/>
        </w:rPr>
        <w:t>Milestones</w:t>
      </w:r>
      <w:r w:rsidRPr="00746C45">
        <w:rPr>
          <w:rFonts w:asciiTheme="minorHAnsi" w:hAnsiTheme="minorHAnsi"/>
        </w:rPr>
        <w:t xml:space="preserve"> specifying delivery of key technical, policy, legal, financial, market, and organisational conditions</w:t>
      </w:r>
    </w:p>
    <w:p w14:paraId="6927397B" w14:textId="06899628" w:rsidR="00327969" w:rsidRPr="00746C45" w:rsidRDefault="00327969" w:rsidP="00327969">
      <w:pPr>
        <w:spacing w:afterLines="80" w:after="192" w:line="276" w:lineRule="auto"/>
        <w:rPr>
          <w:rFonts w:asciiTheme="minorHAnsi" w:hAnsiTheme="minorHAnsi"/>
          <w:sz w:val="22"/>
          <w:szCs w:val="22"/>
        </w:rPr>
      </w:pPr>
      <w:r w:rsidRPr="00746C45">
        <w:rPr>
          <w:rFonts w:asciiTheme="minorHAnsi" w:hAnsiTheme="minorHAnsi"/>
          <w:sz w:val="22"/>
          <w:szCs w:val="22"/>
        </w:rPr>
        <w:t xml:space="preserve">We envisage that the roadmap should include an </w:t>
      </w:r>
      <w:r w:rsidRPr="00746C45">
        <w:rPr>
          <w:rFonts w:asciiTheme="minorHAnsi" w:hAnsiTheme="minorHAnsi"/>
          <w:b/>
          <w:sz w:val="22"/>
          <w:szCs w:val="22"/>
        </w:rPr>
        <w:t>indicative scenario</w:t>
      </w:r>
      <w:r w:rsidRPr="00746C45">
        <w:rPr>
          <w:rFonts w:asciiTheme="minorHAnsi" w:hAnsiTheme="minorHAnsi"/>
          <w:sz w:val="22"/>
          <w:szCs w:val="22"/>
        </w:rPr>
        <w:t xml:space="preserve"> characterising progress towards achieving a flexible electricity system, with </w:t>
      </w:r>
      <w:r w:rsidR="0008350B" w:rsidRPr="00746C45">
        <w:rPr>
          <w:rFonts w:asciiTheme="minorHAnsi" w:hAnsiTheme="minorHAnsi"/>
          <w:sz w:val="22"/>
          <w:szCs w:val="22"/>
        </w:rPr>
        <w:t>a detailed timeline</w:t>
      </w:r>
      <w:r w:rsidRPr="00746C45">
        <w:rPr>
          <w:rFonts w:asciiTheme="minorHAnsi" w:hAnsiTheme="minorHAnsi"/>
          <w:sz w:val="22"/>
          <w:szCs w:val="22"/>
        </w:rPr>
        <w:t xml:space="preserve"> for the above factors, and clear </w:t>
      </w:r>
      <w:r w:rsidR="0008350B" w:rsidRPr="00746C45">
        <w:rPr>
          <w:rFonts w:asciiTheme="minorHAnsi" w:hAnsiTheme="minorHAnsi"/>
          <w:sz w:val="22"/>
          <w:szCs w:val="22"/>
        </w:rPr>
        <w:t>actions and milestones</w:t>
      </w:r>
      <w:r w:rsidRPr="00746C45">
        <w:rPr>
          <w:rFonts w:asciiTheme="minorHAnsi" w:hAnsiTheme="minorHAnsi"/>
          <w:sz w:val="22"/>
          <w:szCs w:val="22"/>
        </w:rPr>
        <w:t xml:space="preserve">. The purpose of this scenario is to identify indicators </w:t>
      </w:r>
      <w:r w:rsidR="00136570" w:rsidRPr="00746C45">
        <w:rPr>
          <w:rFonts w:asciiTheme="minorHAnsi" w:hAnsiTheme="minorHAnsi"/>
          <w:sz w:val="22"/>
          <w:szCs w:val="22"/>
        </w:rPr>
        <w:t>to monitor progress (see below), and not to set targets for deployment of flexibility technologies.</w:t>
      </w:r>
    </w:p>
    <w:p w14:paraId="2C1F0984" w14:textId="5BEEFA34" w:rsidR="0008350B" w:rsidRPr="00746C45" w:rsidRDefault="00136570" w:rsidP="009138B2">
      <w:pPr>
        <w:spacing w:afterLines="80" w:after="192" w:line="276" w:lineRule="auto"/>
        <w:rPr>
          <w:rFonts w:asciiTheme="minorHAnsi" w:hAnsiTheme="minorHAnsi"/>
          <w:sz w:val="22"/>
          <w:szCs w:val="22"/>
        </w:rPr>
      </w:pPr>
      <w:r w:rsidRPr="00746C45">
        <w:rPr>
          <w:rFonts w:asciiTheme="minorHAnsi" w:hAnsiTheme="minorHAnsi"/>
          <w:sz w:val="22"/>
          <w:szCs w:val="22"/>
        </w:rPr>
        <w:t>Finally, c</w:t>
      </w:r>
      <w:r w:rsidR="0008350B" w:rsidRPr="00746C45">
        <w:rPr>
          <w:rFonts w:asciiTheme="minorHAnsi" w:hAnsiTheme="minorHAnsi"/>
          <w:sz w:val="22"/>
          <w:szCs w:val="22"/>
        </w:rPr>
        <w:t xml:space="preserve">onsultants should </w:t>
      </w:r>
      <w:r w:rsidRPr="00746C45">
        <w:rPr>
          <w:rFonts w:asciiTheme="minorHAnsi" w:hAnsiTheme="minorHAnsi"/>
          <w:sz w:val="22"/>
          <w:szCs w:val="22"/>
        </w:rPr>
        <w:t xml:space="preserve">develop an </w:t>
      </w:r>
      <w:r w:rsidRPr="00746C45">
        <w:rPr>
          <w:rFonts w:asciiTheme="minorHAnsi" w:hAnsiTheme="minorHAnsi"/>
          <w:b/>
          <w:sz w:val="22"/>
          <w:szCs w:val="22"/>
        </w:rPr>
        <w:t>indicator framework</w:t>
      </w:r>
      <w:r w:rsidRPr="00746C45">
        <w:rPr>
          <w:rFonts w:asciiTheme="minorHAnsi" w:hAnsiTheme="minorHAnsi"/>
          <w:sz w:val="22"/>
          <w:szCs w:val="22"/>
        </w:rPr>
        <w:t xml:space="preserve"> for electricity system flexibility </w:t>
      </w:r>
      <w:r w:rsidR="0008350B" w:rsidRPr="00746C45">
        <w:rPr>
          <w:rFonts w:asciiTheme="minorHAnsi" w:hAnsiTheme="minorHAnsi"/>
          <w:sz w:val="22"/>
          <w:szCs w:val="22"/>
        </w:rPr>
        <w:t xml:space="preserve">to facilitate monitoring of progress towards enabling flexibility services to participate fully in the GB electricity markets by 2030. </w:t>
      </w:r>
      <w:r w:rsidRPr="00746C45">
        <w:rPr>
          <w:rFonts w:asciiTheme="minorHAnsi" w:hAnsiTheme="minorHAnsi"/>
          <w:sz w:val="22"/>
          <w:szCs w:val="22"/>
        </w:rPr>
        <w:t xml:space="preserve">The indicator framework should be consistent with the CCC’s wider indicator framework, and implementation indicators, forward indicators and policy milestones. </w:t>
      </w:r>
      <w:r w:rsidR="0008350B" w:rsidRPr="00746C45">
        <w:rPr>
          <w:rFonts w:asciiTheme="minorHAnsi" w:hAnsiTheme="minorHAnsi"/>
          <w:sz w:val="22"/>
          <w:szCs w:val="22"/>
        </w:rPr>
        <w:t>For example, indicators might include:</w:t>
      </w:r>
    </w:p>
    <w:p w14:paraId="3DBCE60B" w14:textId="77777777" w:rsidR="0008350B" w:rsidRPr="00746C45" w:rsidRDefault="0008350B" w:rsidP="008721C9">
      <w:pPr>
        <w:pStyle w:val="ListParagraph"/>
        <w:numPr>
          <w:ilvl w:val="0"/>
          <w:numId w:val="11"/>
        </w:numPr>
        <w:spacing w:afterLines="80" w:after="192"/>
        <w:contextualSpacing w:val="0"/>
        <w:rPr>
          <w:rFonts w:asciiTheme="minorHAnsi" w:hAnsiTheme="minorHAnsi"/>
        </w:rPr>
      </w:pPr>
      <w:r w:rsidRPr="00746C45">
        <w:rPr>
          <w:rFonts w:asciiTheme="minorHAnsi" w:hAnsiTheme="minorHAnsi"/>
        </w:rPr>
        <w:t xml:space="preserve">Demand-side response: successful completion of trials; deployment of smart meters; reform of market </w:t>
      </w:r>
      <w:proofErr w:type="spellStart"/>
      <w:r w:rsidRPr="00746C45">
        <w:rPr>
          <w:rFonts w:asciiTheme="minorHAnsi" w:hAnsiTheme="minorHAnsi"/>
        </w:rPr>
        <w:t>arragements</w:t>
      </w:r>
      <w:proofErr w:type="spellEnd"/>
      <w:r w:rsidRPr="00746C45">
        <w:rPr>
          <w:rFonts w:asciiTheme="minorHAnsi" w:hAnsiTheme="minorHAnsi"/>
        </w:rPr>
        <w:t xml:space="preserve"> in markets for flexibility services; development of an aggregator market of sufficient size; size and value of contracts awarded</w:t>
      </w:r>
    </w:p>
    <w:p w14:paraId="12D20CB7" w14:textId="77777777" w:rsidR="0008350B" w:rsidRPr="00746C45" w:rsidRDefault="0008350B" w:rsidP="008721C9">
      <w:pPr>
        <w:pStyle w:val="ListParagraph"/>
        <w:numPr>
          <w:ilvl w:val="0"/>
          <w:numId w:val="11"/>
        </w:numPr>
        <w:spacing w:afterLines="80" w:after="192"/>
        <w:contextualSpacing w:val="0"/>
        <w:rPr>
          <w:rFonts w:asciiTheme="minorHAnsi" w:hAnsiTheme="minorHAnsi"/>
        </w:rPr>
      </w:pPr>
      <w:r w:rsidRPr="00746C45">
        <w:rPr>
          <w:rFonts w:asciiTheme="minorHAnsi" w:hAnsiTheme="minorHAnsi"/>
        </w:rPr>
        <w:t>Electricity storage: achievement of key battery technical characteristics and cost reductions; successful completion of trials; deployed storage capacity; size and value of contracts awarded</w:t>
      </w:r>
    </w:p>
    <w:p w14:paraId="7FF74C88" w14:textId="4EF9C798" w:rsidR="007B71F3" w:rsidRDefault="005073E4" w:rsidP="00E168B7">
      <w:pPr>
        <w:spacing w:afterLines="80" w:after="192"/>
        <w:rPr>
          <w:rFonts w:asciiTheme="minorHAnsi" w:hAnsiTheme="minorHAnsi"/>
          <w:sz w:val="22"/>
          <w:szCs w:val="22"/>
        </w:rPr>
      </w:pPr>
      <w:r>
        <w:rPr>
          <w:rFonts w:asciiTheme="minorHAnsi" w:hAnsiTheme="minorHAnsi"/>
          <w:sz w:val="22"/>
          <w:szCs w:val="22"/>
        </w:rPr>
        <w:t>Where indicators relate to quantifiable information, consultants should specify the level of the indicator that is consistent with the roadmap.</w:t>
      </w:r>
    </w:p>
    <w:p w14:paraId="1F3E7E5B" w14:textId="29B36367" w:rsidR="0008350B" w:rsidRPr="00746C45" w:rsidRDefault="0008350B" w:rsidP="009138B2">
      <w:pPr>
        <w:spacing w:afterLines="80" w:after="192" w:line="276" w:lineRule="auto"/>
        <w:rPr>
          <w:rFonts w:asciiTheme="minorHAnsi" w:hAnsiTheme="minorHAnsi"/>
          <w:b/>
          <w:sz w:val="22"/>
          <w:szCs w:val="22"/>
        </w:rPr>
      </w:pPr>
      <w:r w:rsidRPr="00746C45">
        <w:rPr>
          <w:rFonts w:asciiTheme="minorHAnsi" w:hAnsiTheme="minorHAnsi"/>
          <w:b/>
          <w:sz w:val="22"/>
          <w:szCs w:val="22"/>
        </w:rPr>
        <w:t>Task 4: Develop a set of assumptions on the potential</w:t>
      </w:r>
      <w:r w:rsidR="007F086E" w:rsidRPr="00746C45">
        <w:rPr>
          <w:rFonts w:asciiTheme="minorHAnsi" w:hAnsiTheme="minorHAnsi"/>
          <w:b/>
          <w:sz w:val="22"/>
          <w:szCs w:val="22"/>
        </w:rPr>
        <w:t xml:space="preserve"> for Demand-Side Response (DSR)</w:t>
      </w:r>
    </w:p>
    <w:p w14:paraId="38D7CEA8" w14:textId="2DB9B2D1" w:rsidR="009138B2" w:rsidRPr="00746C45" w:rsidRDefault="009138B2" w:rsidP="009138B2">
      <w:pPr>
        <w:spacing w:afterLines="80" w:after="192" w:line="276" w:lineRule="auto"/>
        <w:rPr>
          <w:rFonts w:asciiTheme="minorHAnsi" w:hAnsiTheme="minorHAnsi"/>
          <w:sz w:val="22"/>
          <w:szCs w:val="22"/>
        </w:rPr>
      </w:pPr>
      <w:r w:rsidRPr="00746C45">
        <w:rPr>
          <w:rFonts w:asciiTheme="minorHAnsi" w:hAnsiTheme="minorHAnsi"/>
          <w:sz w:val="22"/>
          <w:szCs w:val="22"/>
        </w:rPr>
        <w:t>We anticipate that Task 4 will take the form of a review and analysis of the research literature</w:t>
      </w:r>
      <w:r w:rsidR="00A1747D" w:rsidRPr="00746C45">
        <w:rPr>
          <w:rFonts w:asciiTheme="minorHAnsi" w:hAnsiTheme="minorHAnsi"/>
          <w:sz w:val="22"/>
          <w:szCs w:val="22"/>
        </w:rPr>
        <w:t>, though we would consider an alternative approach if appropriate.</w:t>
      </w:r>
    </w:p>
    <w:p w14:paraId="0DDF30CA" w14:textId="10C1D32E" w:rsidR="007F5D75" w:rsidRPr="00746C45" w:rsidRDefault="007F5D75" w:rsidP="009138B2">
      <w:pPr>
        <w:spacing w:afterLines="80" w:after="192" w:line="276" w:lineRule="auto"/>
        <w:rPr>
          <w:rFonts w:asciiTheme="minorHAnsi" w:hAnsiTheme="minorHAnsi"/>
          <w:sz w:val="22"/>
          <w:szCs w:val="22"/>
        </w:rPr>
      </w:pPr>
      <w:r w:rsidRPr="00746C45">
        <w:rPr>
          <w:rFonts w:asciiTheme="minorHAnsi" w:hAnsiTheme="minorHAnsi"/>
          <w:sz w:val="22"/>
          <w:szCs w:val="22"/>
        </w:rPr>
        <w:t xml:space="preserve">Consultants should </w:t>
      </w:r>
      <w:r w:rsidR="00A1747D" w:rsidRPr="00746C45">
        <w:rPr>
          <w:rFonts w:asciiTheme="minorHAnsi" w:hAnsiTheme="minorHAnsi"/>
          <w:sz w:val="22"/>
          <w:szCs w:val="22"/>
        </w:rPr>
        <w:t xml:space="preserve">specify </w:t>
      </w:r>
      <w:r w:rsidRPr="00746C45">
        <w:rPr>
          <w:rFonts w:asciiTheme="minorHAnsi" w:hAnsiTheme="minorHAnsi"/>
          <w:sz w:val="22"/>
          <w:szCs w:val="22"/>
        </w:rPr>
        <w:t>the sources of electricity demand that have the potential for management through demand-side response, for example:</w:t>
      </w:r>
    </w:p>
    <w:p w14:paraId="58068D5B" w14:textId="0661F194" w:rsidR="007F5D75" w:rsidRPr="00746C45" w:rsidRDefault="007F5D75" w:rsidP="008721C9">
      <w:pPr>
        <w:pStyle w:val="ListParagraph"/>
        <w:numPr>
          <w:ilvl w:val="0"/>
          <w:numId w:val="12"/>
        </w:numPr>
        <w:spacing w:afterLines="80" w:after="192"/>
        <w:contextualSpacing w:val="0"/>
        <w:rPr>
          <w:rFonts w:asciiTheme="minorHAnsi" w:hAnsiTheme="minorHAnsi"/>
        </w:rPr>
      </w:pPr>
      <w:r w:rsidRPr="00746C45">
        <w:rPr>
          <w:rFonts w:asciiTheme="minorHAnsi" w:hAnsiTheme="minorHAnsi"/>
        </w:rPr>
        <w:t>Charging of electric cars and vans</w:t>
      </w:r>
    </w:p>
    <w:p w14:paraId="271D3D3B" w14:textId="77777777" w:rsidR="007F5D75" w:rsidRPr="00746C45" w:rsidRDefault="0008350B" w:rsidP="008721C9">
      <w:pPr>
        <w:pStyle w:val="ListParagraph"/>
        <w:numPr>
          <w:ilvl w:val="0"/>
          <w:numId w:val="12"/>
        </w:numPr>
        <w:spacing w:afterLines="80" w:after="192"/>
        <w:contextualSpacing w:val="0"/>
        <w:rPr>
          <w:rFonts w:asciiTheme="minorHAnsi" w:hAnsiTheme="minorHAnsi"/>
        </w:rPr>
      </w:pPr>
      <w:r w:rsidRPr="00746C45">
        <w:rPr>
          <w:rFonts w:asciiTheme="minorHAnsi" w:hAnsiTheme="minorHAnsi"/>
        </w:rPr>
        <w:t>Smart appliances</w:t>
      </w:r>
      <w:r w:rsidR="007F5D75" w:rsidRPr="00746C45">
        <w:rPr>
          <w:rFonts w:asciiTheme="minorHAnsi" w:hAnsiTheme="minorHAnsi"/>
        </w:rPr>
        <w:t xml:space="preserve"> </w:t>
      </w:r>
      <w:r w:rsidRPr="00746C45">
        <w:rPr>
          <w:rFonts w:asciiTheme="minorHAnsi" w:hAnsiTheme="minorHAnsi"/>
        </w:rPr>
        <w:t>(washing machines, dishwashers, tumble dryers)</w:t>
      </w:r>
    </w:p>
    <w:p w14:paraId="593CC0E4" w14:textId="0B4BEFD2" w:rsidR="0008350B" w:rsidRPr="00746C45" w:rsidRDefault="007F5D75" w:rsidP="008721C9">
      <w:pPr>
        <w:pStyle w:val="ListParagraph"/>
        <w:numPr>
          <w:ilvl w:val="0"/>
          <w:numId w:val="12"/>
        </w:numPr>
        <w:spacing w:afterLines="80" w:after="192"/>
        <w:contextualSpacing w:val="0"/>
        <w:rPr>
          <w:rFonts w:asciiTheme="minorHAnsi" w:hAnsiTheme="minorHAnsi"/>
        </w:rPr>
      </w:pPr>
      <w:r w:rsidRPr="00746C45">
        <w:rPr>
          <w:rFonts w:asciiTheme="minorHAnsi" w:hAnsiTheme="minorHAnsi"/>
        </w:rPr>
        <w:t>Industrial demand</w:t>
      </w:r>
    </w:p>
    <w:p w14:paraId="4AD5E8AC" w14:textId="7B3BFCE3" w:rsidR="007F5D75" w:rsidRPr="00746C45" w:rsidRDefault="007F5D75" w:rsidP="008721C9">
      <w:pPr>
        <w:pStyle w:val="ListParagraph"/>
        <w:numPr>
          <w:ilvl w:val="0"/>
          <w:numId w:val="12"/>
        </w:numPr>
        <w:spacing w:afterLines="80" w:after="192"/>
        <w:contextualSpacing w:val="0"/>
        <w:rPr>
          <w:rFonts w:asciiTheme="minorHAnsi" w:hAnsiTheme="minorHAnsi"/>
        </w:rPr>
      </w:pPr>
      <w:r w:rsidRPr="00746C45">
        <w:rPr>
          <w:rFonts w:asciiTheme="minorHAnsi" w:hAnsiTheme="minorHAnsi"/>
        </w:rPr>
        <w:t>Commercial demand</w:t>
      </w:r>
    </w:p>
    <w:p w14:paraId="5082CD4D" w14:textId="77777777" w:rsidR="003A1C4F" w:rsidRPr="00746C45" w:rsidRDefault="007F5D75" w:rsidP="009138B2">
      <w:pPr>
        <w:spacing w:afterLines="80" w:after="192" w:line="276" w:lineRule="auto"/>
        <w:rPr>
          <w:rFonts w:asciiTheme="minorHAnsi" w:hAnsiTheme="minorHAnsi"/>
          <w:sz w:val="22"/>
          <w:szCs w:val="22"/>
        </w:rPr>
      </w:pPr>
      <w:r w:rsidRPr="00746C45">
        <w:rPr>
          <w:rFonts w:asciiTheme="minorHAnsi" w:hAnsiTheme="minorHAnsi"/>
          <w:sz w:val="22"/>
          <w:szCs w:val="22"/>
        </w:rPr>
        <w:lastRenderedPageBreak/>
        <w:t xml:space="preserve">Consultants should then review the research literature on the </w:t>
      </w:r>
      <w:r w:rsidR="003A1C4F" w:rsidRPr="00746C45">
        <w:rPr>
          <w:rFonts w:asciiTheme="minorHAnsi" w:hAnsiTheme="minorHAnsi"/>
          <w:sz w:val="22"/>
          <w:szCs w:val="22"/>
        </w:rPr>
        <w:t xml:space="preserve">potential for demand-side response to manage </w:t>
      </w:r>
      <w:r w:rsidRPr="00746C45">
        <w:rPr>
          <w:rFonts w:asciiTheme="minorHAnsi" w:hAnsiTheme="minorHAnsi"/>
          <w:sz w:val="22"/>
          <w:szCs w:val="22"/>
        </w:rPr>
        <w:t>each of these sources of demand</w:t>
      </w:r>
      <w:r w:rsidR="003A1C4F" w:rsidRPr="00746C45">
        <w:rPr>
          <w:rFonts w:asciiTheme="minorHAnsi" w:hAnsiTheme="minorHAnsi"/>
          <w:sz w:val="22"/>
          <w:szCs w:val="22"/>
        </w:rPr>
        <w:t>. Consultants should set out, for each source of electricity demand:</w:t>
      </w:r>
    </w:p>
    <w:p w14:paraId="5ED5EDB4" w14:textId="47A13D30" w:rsidR="007F5D75" w:rsidRPr="00746C45" w:rsidRDefault="003A1C4F" w:rsidP="008721C9">
      <w:pPr>
        <w:pStyle w:val="ListParagraph"/>
        <w:numPr>
          <w:ilvl w:val="0"/>
          <w:numId w:val="13"/>
        </w:numPr>
        <w:spacing w:afterLines="80" w:after="192"/>
        <w:contextualSpacing w:val="0"/>
        <w:rPr>
          <w:rFonts w:asciiTheme="minorHAnsi" w:hAnsiTheme="minorHAnsi"/>
        </w:rPr>
      </w:pPr>
      <w:r w:rsidRPr="00746C45">
        <w:rPr>
          <w:rFonts w:asciiTheme="minorHAnsi" w:hAnsiTheme="minorHAnsi"/>
        </w:rPr>
        <w:t xml:space="preserve">the </w:t>
      </w:r>
      <w:r w:rsidR="007B71F3" w:rsidRPr="00746C45">
        <w:rPr>
          <w:rFonts w:asciiTheme="minorHAnsi" w:hAnsiTheme="minorHAnsi"/>
        </w:rPr>
        <w:t xml:space="preserve">maximum </w:t>
      </w:r>
      <w:r w:rsidRPr="00746C45">
        <w:rPr>
          <w:rFonts w:asciiTheme="minorHAnsi" w:hAnsiTheme="minorHAnsi"/>
        </w:rPr>
        <w:t>likely potential for management through demand-side response</w:t>
      </w:r>
    </w:p>
    <w:p w14:paraId="59D9F74B" w14:textId="19F0D828" w:rsidR="007B71F3" w:rsidRPr="00746C45" w:rsidRDefault="007B71F3" w:rsidP="008721C9">
      <w:pPr>
        <w:pStyle w:val="ListParagraph"/>
        <w:numPr>
          <w:ilvl w:val="0"/>
          <w:numId w:val="13"/>
        </w:numPr>
        <w:spacing w:afterLines="80" w:after="192"/>
        <w:contextualSpacing w:val="0"/>
        <w:rPr>
          <w:rFonts w:asciiTheme="minorHAnsi" w:hAnsiTheme="minorHAnsi"/>
        </w:rPr>
      </w:pPr>
      <w:r w:rsidRPr="00746C45">
        <w:rPr>
          <w:rFonts w:asciiTheme="minorHAnsi" w:hAnsiTheme="minorHAnsi"/>
        </w:rPr>
        <w:t>the conditions and actions necessary to realise this maximum potential</w:t>
      </w:r>
    </w:p>
    <w:p w14:paraId="6C22FD15" w14:textId="3A7D3261" w:rsidR="003A1C4F" w:rsidRPr="00746C45" w:rsidRDefault="003A1C4F" w:rsidP="008721C9">
      <w:pPr>
        <w:pStyle w:val="ListParagraph"/>
        <w:numPr>
          <w:ilvl w:val="0"/>
          <w:numId w:val="13"/>
        </w:numPr>
        <w:spacing w:afterLines="80" w:after="192"/>
        <w:contextualSpacing w:val="0"/>
        <w:rPr>
          <w:rFonts w:asciiTheme="minorHAnsi" w:hAnsiTheme="minorHAnsi"/>
        </w:rPr>
      </w:pPr>
      <w:r w:rsidRPr="00746C45">
        <w:rPr>
          <w:rFonts w:asciiTheme="minorHAnsi" w:hAnsiTheme="minorHAnsi"/>
        </w:rPr>
        <w:t>the confidence with which this potential can be assumed to exist</w:t>
      </w:r>
    </w:p>
    <w:p w14:paraId="2A8E91D4" w14:textId="75706444" w:rsidR="003A1C4F" w:rsidRDefault="003A1C4F" w:rsidP="008721C9">
      <w:pPr>
        <w:pStyle w:val="ListParagraph"/>
        <w:numPr>
          <w:ilvl w:val="0"/>
          <w:numId w:val="13"/>
        </w:numPr>
        <w:spacing w:afterLines="80" w:after="192"/>
        <w:contextualSpacing w:val="0"/>
        <w:rPr>
          <w:rFonts w:asciiTheme="minorHAnsi" w:hAnsiTheme="minorHAnsi"/>
        </w:rPr>
      </w:pPr>
      <w:proofErr w:type="gramStart"/>
      <w:r w:rsidRPr="00746C45">
        <w:rPr>
          <w:rFonts w:asciiTheme="minorHAnsi" w:hAnsiTheme="minorHAnsi"/>
        </w:rPr>
        <w:t>key</w:t>
      </w:r>
      <w:proofErr w:type="gramEnd"/>
      <w:r w:rsidRPr="00746C45">
        <w:rPr>
          <w:rFonts w:asciiTheme="minorHAnsi" w:hAnsiTheme="minorHAnsi"/>
        </w:rPr>
        <w:t xml:space="preserve"> uncertainties in the potential for management</w:t>
      </w:r>
      <w:r w:rsidR="005F190E" w:rsidRPr="00746C45">
        <w:rPr>
          <w:rFonts w:asciiTheme="minorHAnsi" w:hAnsiTheme="minorHAnsi"/>
        </w:rPr>
        <w:t>.</w:t>
      </w:r>
    </w:p>
    <w:p w14:paraId="016E7467" w14:textId="5A9D0626" w:rsidR="001C53DA" w:rsidRDefault="001C53DA" w:rsidP="001C53DA">
      <w:pPr>
        <w:spacing w:afterLines="80" w:after="192"/>
        <w:rPr>
          <w:rFonts w:asciiTheme="minorHAnsi" w:hAnsiTheme="minorHAnsi"/>
        </w:rPr>
      </w:pPr>
    </w:p>
    <w:p w14:paraId="7A633905" w14:textId="267AE506" w:rsidR="00C922AB" w:rsidRPr="00746C45" w:rsidRDefault="00C922AB" w:rsidP="00C922AB">
      <w:pPr>
        <w:spacing w:afterLines="80" w:after="192" w:line="276" w:lineRule="auto"/>
        <w:rPr>
          <w:rFonts w:asciiTheme="minorHAnsi" w:hAnsiTheme="minorHAnsi"/>
          <w:b/>
          <w:sz w:val="22"/>
          <w:szCs w:val="22"/>
        </w:rPr>
      </w:pPr>
      <w:r w:rsidRPr="00C922AB">
        <w:rPr>
          <w:rFonts w:asciiTheme="minorHAnsi" w:hAnsiTheme="minorHAnsi"/>
          <w:b/>
          <w:sz w:val="22"/>
          <w:szCs w:val="22"/>
        </w:rPr>
        <w:t>All tasks: stakeholder engagement</w:t>
      </w:r>
    </w:p>
    <w:p w14:paraId="3F802399" w14:textId="7364A16D" w:rsidR="005073E4" w:rsidRDefault="005073E4" w:rsidP="001C53DA">
      <w:pPr>
        <w:spacing w:afterLines="80" w:after="192"/>
        <w:rPr>
          <w:rFonts w:asciiTheme="minorHAnsi" w:hAnsiTheme="minorHAnsi"/>
          <w:sz w:val="22"/>
          <w:szCs w:val="22"/>
        </w:rPr>
      </w:pPr>
      <w:r w:rsidRPr="004967F9">
        <w:rPr>
          <w:rFonts w:asciiTheme="minorHAnsi" w:hAnsiTheme="minorHAnsi"/>
          <w:sz w:val="22"/>
          <w:szCs w:val="22"/>
        </w:rPr>
        <w:t xml:space="preserve">Consultants should consider how best to engage with </w:t>
      </w:r>
      <w:r w:rsidR="004967F9" w:rsidRPr="004967F9">
        <w:rPr>
          <w:rFonts w:asciiTheme="minorHAnsi" w:hAnsiTheme="minorHAnsi"/>
          <w:sz w:val="22"/>
          <w:szCs w:val="22"/>
        </w:rPr>
        <w:t>the expert community across tasks 1-4 to ensure the relevant expertise is feeding into the project and to secure wider buy-in to project conclusions. Options include engaging stakeholders individually, or a stakeholder workshop mid-project.</w:t>
      </w:r>
    </w:p>
    <w:p w14:paraId="7CEF8BAE" w14:textId="77777777" w:rsidR="004967F9" w:rsidRPr="004967F9" w:rsidRDefault="004967F9" w:rsidP="001C53DA">
      <w:pPr>
        <w:spacing w:afterLines="80" w:after="192"/>
        <w:rPr>
          <w:rFonts w:asciiTheme="minorHAnsi" w:hAnsiTheme="minorHAnsi"/>
          <w:sz w:val="22"/>
          <w:szCs w:val="22"/>
        </w:rPr>
      </w:pPr>
    </w:p>
    <w:p w14:paraId="5EA8755E" w14:textId="77777777" w:rsidR="0034658D" w:rsidRPr="00746C45" w:rsidRDefault="0034658D" w:rsidP="008721C9">
      <w:pPr>
        <w:pStyle w:val="Heading1"/>
        <w:numPr>
          <w:ilvl w:val="0"/>
          <w:numId w:val="3"/>
        </w:numPr>
        <w:spacing w:afterLines="80" w:after="192" w:line="276" w:lineRule="auto"/>
        <w:rPr>
          <w:rFonts w:asciiTheme="minorHAnsi" w:hAnsiTheme="minorHAnsi" w:cs="Arial"/>
          <w:sz w:val="24"/>
          <w:szCs w:val="24"/>
        </w:rPr>
      </w:pPr>
      <w:bookmarkStart w:id="20" w:name="_Ref357541705"/>
      <w:bookmarkStart w:id="21" w:name="_Toc381969510"/>
      <w:bookmarkStart w:id="22" w:name="_Toc405888459"/>
      <w:bookmarkStart w:id="23" w:name="_Toc465328876"/>
      <w:r w:rsidRPr="00746C45">
        <w:rPr>
          <w:rFonts w:asciiTheme="minorHAnsi" w:hAnsiTheme="minorHAnsi" w:cs="Arial"/>
          <w:sz w:val="24"/>
          <w:szCs w:val="24"/>
        </w:rPr>
        <w:t xml:space="preserve">Outputs </w:t>
      </w:r>
      <w:r w:rsidR="00104197" w:rsidRPr="00746C45">
        <w:rPr>
          <w:rFonts w:asciiTheme="minorHAnsi" w:hAnsiTheme="minorHAnsi" w:cs="Arial"/>
          <w:sz w:val="24"/>
          <w:szCs w:val="24"/>
        </w:rPr>
        <w:t>Required</w:t>
      </w:r>
      <w:bookmarkEnd w:id="20"/>
      <w:bookmarkEnd w:id="21"/>
      <w:bookmarkEnd w:id="22"/>
      <w:bookmarkEnd w:id="23"/>
    </w:p>
    <w:p w14:paraId="54D9D7B7" w14:textId="4F135821" w:rsidR="00DD521A" w:rsidRPr="00746C45" w:rsidRDefault="005F190E" w:rsidP="005F190E">
      <w:pPr>
        <w:pStyle w:val="Norma"/>
        <w:spacing w:afterLines="80" w:after="192" w:line="276" w:lineRule="auto"/>
        <w:rPr>
          <w:rFonts w:asciiTheme="minorHAnsi" w:hAnsiTheme="minorHAnsi"/>
        </w:rPr>
      </w:pPr>
      <w:r w:rsidRPr="00746C45">
        <w:rPr>
          <w:rFonts w:asciiTheme="minorHAnsi" w:hAnsiTheme="minorHAnsi"/>
        </w:rPr>
        <w:t>The key deliverables for this project will be agreed at the project meeting but include a summary report, slides, supporting spreadsheets and minutes from project meetings.</w:t>
      </w:r>
    </w:p>
    <w:p w14:paraId="1D0DA8A6" w14:textId="77777777" w:rsidR="00746C45" w:rsidRPr="00746C45" w:rsidRDefault="00746C45" w:rsidP="005F190E">
      <w:pPr>
        <w:pStyle w:val="Norma"/>
        <w:spacing w:afterLines="80" w:after="192" w:line="276" w:lineRule="auto"/>
        <w:rPr>
          <w:rFonts w:asciiTheme="minorHAnsi" w:hAnsiTheme="minorHAnsi"/>
        </w:rPr>
      </w:pPr>
    </w:p>
    <w:p w14:paraId="5EA87560" w14:textId="77777777" w:rsidR="00936F29" w:rsidRPr="00746C45" w:rsidRDefault="00F042F9" w:rsidP="008721C9">
      <w:pPr>
        <w:pStyle w:val="Heading1"/>
        <w:numPr>
          <w:ilvl w:val="0"/>
          <w:numId w:val="3"/>
        </w:numPr>
        <w:spacing w:afterLines="80" w:after="192" w:line="276" w:lineRule="auto"/>
        <w:rPr>
          <w:rFonts w:asciiTheme="minorHAnsi" w:hAnsiTheme="minorHAnsi" w:cs="Arial"/>
          <w:sz w:val="24"/>
          <w:szCs w:val="24"/>
        </w:rPr>
      </w:pPr>
      <w:bookmarkStart w:id="24" w:name="_Toc381969511"/>
      <w:bookmarkStart w:id="25" w:name="_Toc405888460"/>
      <w:bookmarkStart w:id="26" w:name="_Toc465328877"/>
      <w:bookmarkStart w:id="27" w:name="_Ref373505205"/>
      <w:bookmarkStart w:id="28" w:name="_Ref357541720"/>
      <w:r w:rsidRPr="00746C45">
        <w:rPr>
          <w:rFonts w:asciiTheme="minorHAnsi" w:hAnsiTheme="minorHAnsi" w:cs="Arial"/>
          <w:sz w:val="24"/>
          <w:szCs w:val="24"/>
        </w:rPr>
        <w:t>O</w:t>
      </w:r>
      <w:r w:rsidR="006700D3" w:rsidRPr="00746C45">
        <w:rPr>
          <w:rFonts w:asciiTheme="minorHAnsi" w:hAnsiTheme="minorHAnsi" w:cs="Arial"/>
          <w:sz w:val="24"/>
          <w:szCs w:val="24"/>
        </w:rPr>
        <w:t>wnership and Publication</w:t>
      </w:r>
      <w:bookmarkEnd w:id="24"/>
      <w:bookmarkEnd w:id="25"/>
      <w:bookmarkEnd w:id="26"/>
    </w:p>
    <w:p w14:paraId="53C8200E" w14:textId="06064AD8" w:rsidR="00DD521A" w:rsidRPr="00746C45" w:rsidRDefault="005F190E" w:rsidP="009138B2">
      <w:pPr>
        <w:pStyle w:val="Norma"/>
        <w:spacing w:afterLines="80" w:after="192" w:line="276" w:lineRule="auto"/>
        <w:rPr>
          <w:rFonts w:asciiTheme="minorHAnsi" w:hAnsiTheme="minorHAnsi"/>
        </w:rPr>
      </w:pPr>
      <w:r w:rsidRPr="00746C45">
        <w:rPr>
          <w:rFonts w:asciiTheme="minorHAnsi" w:hAnsiTheme="minorHAnsi"/>
        </w:rPr>
        <w:t>The key deliverables will be handed over to the CCC, who may choose to publish these as supporting evidence on their website. Spreadsheets should be open access and unrestricted, to enable full QA of results and assumptions.</w:t>
      </w:r>
    </w:p>
    <w:p w14:paraId="300BBAE1" w14:textId="77777777" w:rsidR="00746C45" w:rsidRPr="00746C45" w:rsidRDefault="00746C45" w:rsidP="009138B2">
      <w:pPr>
        <w:pStyle w:val="Norma"/>
        <w:spacing w:afterLines="80" w:after="192" w:line="276" w:lineRule="auto"/>
        <w:rPr>
          <w:rFonts w:asciiTheme="minorHAnsi" w:hAnsiTheme="minorHAnsi"/>
        </w:rPr>
      </w:pPr>
    </w:p>
    <w:p w14:paraId="5EA87562" w14:textId="77777777" w:rsidR="006700D3" w:rsidRPr="00746C45" w:rsidRDefault="00936F29" w:rsidP="008721C9">
      <w:pPr>
        <w:pStyle w:val="Heading1"/>
        <w:numPr>
          <w:ilvl w:val="0"/>
          <w:numId w:val="3"/>
        </w:numPr>
        <w:spacing w:afterLines="80" w:after="192" w:line="276" w:lineRule="auto"/>
        <w:rPr>
          <w:rFonts w:asciiTheme="minorHAnsi" w:hAnsiTheme="minorHAnsi" w:cs="Arial"/>
          <w:sz w:val="24"/>
          <w:szCs w:val="24"/>
        </w:rPr>
      </w:pPr>
      <w:bookmarkStart w:id="29" w:name="_Toc465328878"/>
      <w:r w:rsidRPr="00746C45">
        <w:rPr>
          <w:rFonts w:asciiTheme="minorHAnsi" w:hAnsiTheme="minorHAnsi" w:cs="Arial"/>
          <w:sz w:val="24"/>
          <w:szCs w:val="24"/>
        </w:rPr>
        <w:t>Quality Assurance</w:t>
      </w:r>
      <w:bookmarkEnd w:id="29"/>
      <w:r w:rsidR="00AB7905" w:rsidRPr="00746C45">
        <w:rPr>
          <w:rFonts w:asciiTheme="minorHAnsi" w:hAnsiTheme="minorHAnsi" w:cs="Arial"/>
          <w:sz w:val="24"/>
          <w:szCs w:val="24"/>
        </w:rPr>
        <w:t xml:space="preserve"> </w:t>
      </w:r>
      <w:bookmarkEnd w:id="27"/>
    </w:p>
    <w:p w14:paraId="64396851" w14:textId="7DF542A4" w:rsidR="005F190E" w:rsidRPr="00746C45" w:rsidRDefault="005F190E" w:rsidP="005F190E">
      <w:pPr>
        <w:pStyle w:val="Norma"/>
        <w:spacing w:afterLines="80" w:after="192" w:line="276" w:lineRule="auto"/>
        <w:jc w:val="both"/>
        <w:rPr>
          <w:rFonts w:asciiTheme="minorHAnsi" w:hAnsiTheme="minorHAnsi"/>
        </w:rPr>
      </w:pPr>
      <w:r w:rsidRPr="00746C45">
        <w:rPr>
          <w:rFonts w:asciiTheme="minorHAnsi" w:hAnsiTheme="minorHAnsi"/>
        </w:rPr>
        <w:t xml:space="preserve">This project must comply with the </w:t>
      </w:r>
      <w:r w:rsidRPr="00746C45">
        <w:rPr>
          <w:rFonts w:asciiTheme="minorHAnsi" w:hAnsiTheme="minorHAnsi"/>
          <w:i/>
        </w:rPr>
        <w:t>CCC – Quality Assurance of Evidence and Analysis</w:t>
      </w:r>
      <w:r w:rsidRPr="00746C45">
        <w:rPr>
          <w:rFonts w:asciiTheme="minorHAnsi" w:hAnsiTheme="minorHAnsi"/>
        </w:rPr>
        <w:t xml:space="preserve"> guidance and bidders must set out their approach to quality assurance in their response to this ITT.  </w:t>
      </w:r>
    </w:p>
    <w:p w14:paraId="542BEC85" w14:textId="77777777" w:rsidR="005F190E" w:rsidRPr="00746C45" w:rsidRDefault="005F190E" w:rsidP="005F190E">
      <w:pPr>
        <w:pStyle w:val="Norma"/>
        <w:spacing w:afterLines="80" w:after="192" w:line="276" w:lineRule="auto"/>
        <w:jc w:val="both"/>
        <w:rPr>
          <w:rFonts w:asciiTheme="minorHAnsi" w:hAnsiTheme="minorHAnsi"/>
        </w:rPr>
      </w:pPr>
      <w:r w:rsidRPr="00746C45">
        <w:rPr>
          <w:rFonts w:asciiTheme="minorHAnsi" w:hAnsiTheme="minorHAnsi"/>
        </w:rPr>
        <w:t xml:space="preserve">All research tasks and modelling must be quality assured and documented. Contractors should: </w:t>
      </w:r>
    </w:p>
    <w:p w14:paraId="6D15D0AC" w14:textId="3E0E300D" w:rsidR="005F190E" w:rsidRPr="00746C45" w:rsidRDefault="005F190E" w:rsidP="005F190E">
      <w:pPr>
        <w:pStyle w:val="Norma"/>
        <w:numPr>
          <w:ilvl w:val="0"/>
          <w:numId w:val="19"/>
        </w:numPr>
        <w:spacing w:afterLines="80" w:after="192" w:line="276" w:lineRule="auto"/>
        <w:jc w:val="both"/>
        <w:rPr>
          <w:rFonts w:asciiTheme="minorHAnsi" w:hAnsiTheme="minorHAnsi"/>
        </w:rPr>
      </w:pPr>
      <w:r w:rsidRPr="00746C45">
        <w:rPr>
          <w:rFonts w:asciiTheme="minorHAnsi" w:hAnsiTheme="minorHAnsi"/>
        </w:rPr>
        <w:t xml:space="preserve">Include a quality assurance (QA) plan that they will apply to all of the research tasks and modelling, </w:t>
      </w:r>
    </w:p>
    <w:p w14:paraId="78F34DC4" w14:textId="225029A7" w:rsidR="005F190E" w:rsidRPr="00746C45" w:rsidRDefault="005F190E" w:rsidP="005F190E">
      <w:pPr>
        <w:pStyle w:val="Norma"/>
        <w:numPr>
          <w:ilvl w:val="0"/>
          <w:numId w:val="19"/>
        </w:numPr>
        <w:spacing w:afterLines="80" w:after="192" w:line="276" w:lineRule="auto"/>
        <w:jc w:val="both"/>
        <w:rPr>
          <w:rFonts w:asciiTheme="minorHAnsi" w:hAnsiTheme="minorHAnsi"/>
        </w:rPr>
      </w:pPr>
      <w:r w:rsidRPr="00746C45">
        <w:rPr>
          <w:rFonts w:asciiTheme="minorHAnsi" w:hAnsiTheme="minorHAnsi"/>
        </w:rPr>
        <w:t>Specify who will be responsible for quality assurance and ensure that this is done by individuals who were not directly involved in the research, analysis or model development,</w:t>
      </w:r>
    </w:p>
    <w:p w14:paraId="28FB5F00" w14:textId="4B4F954E" w:rsidR="005F190E" w:rsidRPr="00746C45" w:rsidRDefault="005F190E" w:rsidP="005F190E">
      <w:pPr>
        <w:pStyle w:val="Norma"/>
        <w:numPr>
          <w:ilvl w:val="0"/>
          <w:numId w:val="19"/>
        </w:numPr>
        <w:spacing w:afterLines="80" w:after="192" w:line="276" w:lineRule="auto"/>
        <w:jc w:val="both"/>
        <w:rPr>
          <w:rFonts w:asciiTheme="minorHAnsi" w:hAnsiTheme="minorHAnsi"/>
        </w:rPr>
      </w:pPr>
      <w:r w:rsidRPr="00746C45">
        <w:rPr>
          <w:rFonts w:asciiTheme="minorHAnsi" w:hAnsiTheme="minorHAnsi"/>
        </w:rPr>
        <w:t xml:space="preserve">Provide QA log to demonstrate the QA undertaken, including who undertook the QA and the </w:t>
      </w:r>
      <w:r w:rsidRPr="00746C45">
        <w:rPr>
          <w:rFonts w:asciiTheme="minorHAnsi" w:hAnsiTheme="minorHAnsi"/>
        </w:rPr>
        <w:lastRenderedPageBreak/>
        <w:t xml:space="preserve">scope, type and level of QA that has been undertaken (e.g. a log entry only stating ‘the data was checked’ will not be sufficient) </w:t>
      </w:r>
    </w:p>
    <w:p w14:paraId="794104C7" w14:textId="77777777" w:rsidR="005F190E" w:rsidRPr="00746C45" w:rsidRDefault="005F190E" w:rsidP="005F190E">
      <w:pPr>
        <w:pStyle w:val="Norma"/>
        <w:spacing w:afterLines="80" w:after="192" w:line="276" w:lineRule="auto"/>
        <w:jc w:val="both"/>
        <w:rPr>
          <w:rFonts w:asciiTheme="minorHAnsi" w:hAnsiTheme="minorHAnsi"/>
        </w:rPr>
      </w:pPr>
      <w:r w:rsidRPr="00746C45">
        <w:rPr>
          <w:rFonts w:asciiTheme="minorHAnsi" w:hAnsiTheme="minorHAnsi"/>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01AFAC5C" w14:textId="77777777" w:rsidR="005F190E" w:rsidRPr="00746C45" w:rsidRDefault="005F190E" w:rsidP="005F190E">
      <w:pPr>
        <w:pStyle w:val="Norma"/>
        <w:spacing w:afterLines="80" w:after="192" w:line="276" w:lineRule="auto"/>
        <w:jc w:val="both"/>
        <w:rPr>
          <w:rFonts w:asciiTheme="minorHAnsi" w:hAnsiTheme="minorHAnsi"/>
        </w:rPr>
      </w:pPr>
      <w:r w:rsidRPr="00746C45">
        <w:rPr>
          <w:rFonts w:asciiTheme="minorHAnsi" w:hAnsiTheme="minorHAnsi"/>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5EA87563" w14:textId="4E0E0CB2" w:rsidR="006700D3" w:rsidRPr="00746C45" w:rsidRDefault="005F190E" w:rsidP="005F190E">
      <w:pPr>
        <w:pStyle w:val="Norma"/>
        <w:spacing w:afterLines="80" w:after="192" w:line="276" w:lineRule="auto"/>
        <w:jc w:val="both"/>
        <w:rPr>
          <w:rFonts w:asciiTheme="minorHAnsi" w:hAnsiTheme="minorHAnsi"/>
        </w:rPr>
      </w:pPr>
      <w:r w:rsidRPr="00746C45">
        <w:rPr>
          <w:rFonts w:asciiTheme="minorHAnsi" w:hAnsiTheme="minorHAnsi"/>
        </w:rPr>
        <w:t>For primary research, contractors should be willing to facilitate CCC research staff to attend interviews or listen in to telephone surveys as part of the quality assurance process.</w:t>
      </w:r>
    </w:p>
    <w:p w14:paraId="5EA87564" w14:textId="77777777" w:rsidR="0038006D" w:rsidRPr="00746C45" w:rsidRDefault="0038006D" w:rsidP="008721C9">
      <w:pPr>
        <w:pStyle w:val="Heading1"/>
        <w:numPr>
          <w:ilvl w:val="0"/>
          <w:numId w:val="3"/>
        </w:numPr>
        <w:spacing w:afterLines="80" w:after="192" w:line="276" w:lineRule="auto"/>
        <w:rPr>
          <w:rFonts w:asciiTheme="minorHAnsi" w:hAnsiTheme="minorHAnsi" w:cs="Arial"/>
          <w:sz w:val="24"/>
          <w:szCs w:val="24"/>
        </w:rPr>
      </w:pPr>
      <w:bookmarkStart w:id="30" w:name="_Ref373505215"/>
      <w:bookmarkStart w:id="31" w:name="_Toc381969513"/>
      <w:bookmarkStart w:id="32" w:name="_Toc405888462"/>
      <w:bookmarkStart w:id="33" w:name="_Toc465328879"/>
      <w:r w:rsidRPr="00746C45">
        <w:rPr>
          <w:rFonts w:asciiTheme="minorHAnsi" w:hAnsiTheme="minorHAnsi" w:cs="Arial"/>
          <w:sz w:val="24"/>
          <w:szCs w:val="24"/>
        </w:rPr>
        <w:t>Timetable</w:t>
      </w:r>
      <w:bookmarkEnd w:id="28"/>
      <w:bookmarkEnd w:id="30"/>
      <w:bookmarkEnd w:id="31"/>
      <w:bookmarkEnd w:id="32"/>
      <w:bookmarkEnd w:id="33"/>
    </w:p>
    <w:p w14:paraId="0CCE9A95" w14:textId="79706CC4" w:rsidR="004967F9" w:rsidRPr="00746C45" w:rsidRDefault="001C7F0D" w:rsidP="00F01D0A">
      <w:pPr>
        <w:pStyle w:val="Norma"/>
        <w:spacing w:afterLines="80" w:after="192" w:line="276" w:lineRule="auto"/>
        <w:rPr>
          <w:rFonts w:asciiTheme="minorHAnsi" w:hAnsiTheme="minorHAnsi"/>
        </w:rPr>
      </w:pPr>
      <w:r w:rsidRPr="00746C45">
        <w:rPr>
          <w:rFonts w:asciiTheme="minorHAnsi" w:hAnsiTheme="minorHAnsi"/>
        </w:rPr>
        <w:t>We envisage the following timetable:</w:t>
      </w:r>
    </w:p>
    <w:tbl>
      <w:tblPr>
        <w:tblStyle w:val="TableGrid"/>
        <w:tblW w:w="0" w:type="auto"/>
        <w:tblLook w:val="04A0" w:firstRow="1" w:lastRow="0" w:firstColumn="1" w:lastColumn="0" w:noHBand="0" w:noVBand="1"/>
      </w:tblPr>
      <w:tblGrid>
        <w:gridCol w:w="1951"/>
        <w:gridCol w:w="7291"/>
      </w:tblGrid>
      <w:tr w:rsidR="00F01D0A" w14:paraId="7531B7CD" w14:textId="77777777" w:rsidTr="00F01D0A">
        <w:tc>
          <w:tcPr>
            <w:tcW w:w="1951" w:type="dxa"/>
          </w:tcPr>
          <w:p w14:paraId="6C39AF58" w14:textId="7C0D7CDA" w:rsidR="00F01D0A" w:rsidRPr="00F01D0A" w:rsidRDefault="00F01D0A" w:rsidP="00F01D0A">
            <w:pPr>
              <w:pStyle w:val="Norma"/>
              <w:spacing w:afterLines="80" w:after="192" w:line="276" w:lineRule="auto"/>
              <w:rPr>
                <w:rFonts w:asciiTheme="minorHAnsi" w:hAnsiTheme="minorHAnsi"/>
              </w:rPr>
            </w:pPr>
            <w:r w:rsidRPr="004967F9">
              <w:rPr>
                <w:rFonts w:asciiTheme="minorHAnsi" w:hAnsiTheme="minorHAnsi"/>
              </w:rPr>
              <w:t>18</w:t>
            </w:r>
            <w:r>
              <w:rPr>
                <w:rFonts w:asciiTheme="minorHAnsi" w:hAnsiTheme="minorHAnsi"/>
              </w:rPr>
              <w:t xml:space="preserve"> Nov 2016</w:t>
            </w:r>
          </w:p>
        </w:tc>
        <w:tc>
          <w:tcPr>
            <w:tcW w:w="7291" w:type="dxa"/>
          </w:tcPr>
          <w:p w14:paraId="7C08B5C1" w14:textId="0FAC8287" w:rsidR="00F01D0A" w:rsidRDefault="00F01D0A" w:rsidP="009138B2">
            <w:pPr>
              <w:pStyle w:val="Norma"/>
              <w:spacing w:afterLines="80" w:after="192" w:line="276" w:lineRule="auto"/>
              <w:jc w:val="both"/>
              <w:rPr>
                <w:rFonts w:asciiTheme="minorHAnsi" w:hAnsiTheme="minorHAnsi" w:cs="Arial"/>
                <w:b/>
                <w:bCs/>
                <w:iCs/>
                <w:sz w:val="24"/>
                <w:szCs w:val="24"/>
              </w:rPr>
            </w:pPr>
            <w:r w:rsidRPr="00746C45">
              <w:rPr>
                <w:rFonts w:asciiTheme="minorHAnsi" w:hAnsiTheme="minorHAnsi"/>
              </w:rPr>
              <w:t>Deadline for proposals</w:t>
            </w:r>
          </w:p>
        </w:tc>
      </w:tr>
      <w:tr w:rsidR="00F01D0A" w14:paraId="51550C54" w14:textId="77777777" w:rsidTr="00F01D0A">
        <w:tc>
          <w:tcPr>
            <w:tcW w:w="1951" w:type="dxa"/>
          </w:tcPr>
          <w:p w14:paraId="0F653C12" w14:textId="76D591D2" w:rsidR="00F01D0A" w:rsidRPr="00F01D0A" w:rsidRDefault="00F01D0A" w:rsidP="00F01D0A">
            <w:pPr>
              <w:pStyle w:val="Norma"/>
              <w:spacing w:afterLines="80" w:after="192" w:line="276" w:lineRule="auto"/>
              <w:rPr>
                <w:rFonts w:asciiTheme="minorHAnsi" w:hAnsiTheme="minorHAnsi"/>
              </w:rPr>
            </w:pPr>
            <w:r w:rsidRPr="004967F9">
              <w:rPr>
                <w:rFonts w:asciiTheme="minorHAnsi" w:hAnsiTheme="minorHAnsi"/>
              </w:rPr>
              <w:t>w/c 21</w:t>
            </w:r>
            <w:r>
              <w:rPr>
                <w:rFonts w:asciiTheme="minorHAnsi" w:hAnsiTheme="minorHAnsi"/>
              </w:rPr>
              <w:t xml:space="preserve"> Nov</w:t>
            </w:r>
          </w:p>
        </w:tc>
        <w:tc>
          <w:tcPr>
            <w:tcW w:w="7291" w:type="dxa"/>
          </w:tcPr>
          <w:p w14:paraId="39BE371C" w14:textId="6FAC7FF4" w:rsidR="00F01D0A" w:rsidRDefault="00F01D0A" w:rsidP="009138B2">
            <w:pPr>
              <w:pStyle w:val="Norma"/>
              <w:spacing w:afterLines="80" w:after="192" w:line="276" w:lineRule="auto"/>
              <w:jc w:val="both"/>
              <w:rPr>
                <w:rFonts w:asciiTheme="minorHAnsi" w:hAnsiTheme="minorHAnsi" w:cs="Arial"/>
                <w:b/>
                <w:bCs/>
                <w:iCs/>
                <w:sz w:val="24"/>
                <w:szCs w:val="24"/>
              </w:rPr>
            </w:pPr>
            <w:r w:rsidRPr="00746C45">
              <w:rPr>
                <w:rFonts w:asciiTheme="minorHAnsi" w:hAnsiTheme="minorHAnsi"/>
              </w:rPr>
              <w:t>Interviews; consultants appointed</w:t>
            </w:r>
          </w:p>
        </w:tc>
      </w:tr>
      <w:tr w:rsidR="00F01D0A" w14:paraId="2FF3F50E" w14:textId="77777777" w:rsidTr="00F01D0A">
        <w:tc>
          <w:tcPr>
            <w:tcW w:w="1951" w:type="dxa"/>
          </w:tcPr>
          <w:p w14:paraId="46C6E694" w14:textId="4C638EE8" w:rsidR="00F01D0A" w:rsidRPr="00F01D0A" w:rsidRDefault="00F01D0A" w:rsidP="00F01D0A">
            <w:pPr>
              <w:pStyle w:val="Norma"/>
              <w:spacing w:afterLines="80" w:after="192" w:line="276" w:lineRule="auto"/>
              <w:rPr>
                <w:rFonts w:asciiTheme="minorHAnsi" w:hAnsiTheme="minorHAnsi"/>
              </w:rPr>
            </w:pPr>
            <w:r w:rsidRPr="004967F9">
              <w:rPr>
                <w:rFonts w:asciiTheme="minorHAnsi" w:hAnsiTheme="minorHAnsi"/>
              </w:rPr>
              <w:t>w/c 28</w:t>
            </w:r>
            <w:r>
              <w:rPr>
                <w:rFonts w:asciiTheme="minorHAnsi" w:hAnsiTheme="minorHAnsi"/>
              </w:rPr>
              <w:t xml:space="preserve"> Nov</w:t>
            </w:r>
          </w:p>
        </w:tc>
        <w:tc>
          <w:tcPr>
            <w:tcW w:w="7291" w:type="dxa"/>
          </w:tcPr>
          <w:p w14:paraId="5788A377" w14:textId="5F112FEF" w:rsidR="00F01D0A" w:rsidRDefault="00F01D0A" w:rsidP="009138B2">
            <w:pPr>
              <w:pStyle w:val="Norma"/>
              <w:spacing w:afterLines="80" w:after="192" w:line="276" w:lineRule="auto"/>
              <w:jc w:val="both"/>
              <w:rPr>
                <w:rFonts w:asciiTheme="minorHAnsi" w:hAnsiTheme="minorHAnsi" w:cs="Arial"/>
                <w:b/>
                <w:bCs/>
                <w:iCs/>
                <w:sz w:val="24"/>
                <w:szCs w:val="24"/>
              </w:rPr>
            </w:pPr>
            <w:r>
              <w:rPr>
                <w:rFonts w:asciiTheme="minorHAnsi" w:hAnsiTheme="minorHAnsi"/>
              </w:rPr>
              <w:t>Inception meeting</w:t>
            </w:r>
          </w:p>
        </w:tc>
      </w:tr>
      <w:tr w:rsidR="00F01D0A" w14:paraId="5E237281" w14:textId="77777777" w:rsidTr="00F01D0A">
        <w:tc>
          <w:tcPr>
            <w:tcW w:w="1951" w:type="dxa"/>
          </w:tcPr>
          <w:p w14:paraId="3D0CF859" w14:textId="0FADA785" w:rsidR="00F01D0A" w:rsidRPr="00F01D0A" w:rsidRDefault="00F01D0A" w:rsidP="00F01D0A">
            <w:pPr>
              <w:pStyle w:val="Norma"/>
              <w:spacing w:afterLines="80" w:after="192" w:line="276" w:lineRule="auto"/>
              <w:rPr>
                <w:rFonts w:asciiTheme="minorHAnsi" w:hAnsiTheme="minorHAnsi"/>
              </w:rPr>
            </w:pPr>
            <w:r w:rsidRPr="004967F9">
              <w:rPr>
                <w:rFonts w:asciiTheme="minorHAnsi" w:hAnsiTheme="minorHAnsi"/>
              </w:rPr>
              <w:t>w/c 09</w:t>
            </w:r>
            <w:r>
              <w:rPr>
                <w:rFonts w:asciiTheme="minorHAnsi" w:hAnsiTheme="minorHAnsi"/>
              </w:rPr>
              <w:t xml:space="preserve"> </w:t>
            </w:r>
            <w:r w:rsidRPr="004967F9">
              <w:rPr>
                <w:rFonts w:asciiTheme="minorHAnsi" w:hAnsiTheme="minorHAnsi"/>
              </w:rPr>
              <w:t xml:space="preserve">Jan </w:t>
            </w:r>
            <w:r>
              <w:rPr>
                <w:rFonts w:asciiTheme="minorHAnsi" w:hAnsiTheme="minorHAnsi"/>
              </w:rPr>
              <w:t>2017</w:t>
            </w:r>
          </w:p>
        </w:tc>
        <w:tc>
          <w:tcPr>
            <w:tcW w:w="7291" w:type="dxa"/>
          </w:tcPr>
          <w:p w14:paraId="35A03524" w14:textId="14004A9F" w:rsidR="00F01D0A" w:rsidRDefault="00F01D0A" w:rsidP="009138B2">
            <w:pPr>
              <w:pStyle w:val="Norma"/>
              <w:spacing w:afterLines="80" w:after="192" w:line="276" w:lineRule="auto"/>
              <w:jc w:val="both"/>
              <w:rPr>
                <w:rFonts w:asciiTheme="minorHAnsi" w:hAnsiTheme="minorHAnsi" w:cs="Arial"/>
                <w:b/>
                <w:bCs/>
                <w:iCs/>
                <w:sz w:val="24"/>
                <w:szCs w:val="24"/>
              </w:rPr>
            </w:pPr>
            <w:r>
              <w:rPr>
                <w:rFonts w:asciiTheme="minorHAnsi" w:hAnsiTheme="minorHAnsi"/>
              </w:rPr>
              <w:t>Interim meeting</w:t>
            </w:r>
          </w:p>
        </w:tc>
      </w:tr>
      <w:tr w:rsidR="00F01D0A" w14:paraId="0D233EE6" w14:textId="77777777" w:rsidTr="00F01D0A">
        <w:tc>
          <w:tcPr>
            <w:tcW w:w="1951" w:type="dxa"/>
          </w:tcPr>
          <w:p w14:paraId="10ECA332" w14:textId="33B92D9F" w:rsidR="00F01D0A" w:rsidRPr="00F01D0A" w:rsidRDefault="00F01D0A" w:rsidP="00F01D0A">
            <w:pPr>
              <w:pStyle w:val="Norma"/>
              <w:spacing w:afterLines="80" w:after="192" w:line="276" w:lineRule="auto"/>
              <w:rPr>
                <w:rFonts w:asciiTheme="minorHAnsi" w:hAnsiTheme="minorHAnsi"/>
              </w:rPr>
            </w:pPr>
            <w:r>
              <w:rPr>
                <w:rFonts w:asciiTheme="minorHAnsi" w:hAnsiTheme="minorHAnsi"/>
              </w:rPr>
              <w:t>w/c 6 Feb</w:t>
            </w:r>
          </w:p>
        </w:tc>
        <w:tc>
          <w:tcPr>
            <w:tcW w:w="7291" w:type="dxa"/>
          </w:tcPr>
          <w:p w14:paraId="613D70F5" w14:textId="5A2047BA" w:rsidR="00F01D0A" w:rsidRDefault="00F01D0A" w:rsidP="009138B2">
            <w:pPr>
              <w:pStyle w:val="Norma"/>
              <w:spacing w:afterLines="80" w:after="192" w:line="276" w:lineRule="auto"/>
              <w:jc w:val="both"/>
              <w:rPr>
                <w:rFonts w:asciiTheme="minorHAnsi" w:hAnsiTheme="minorHAnsi" w:cs="Arial"/>
                <w:b/>
                <w:bCs/>
                <w:iCs/>
                <w:sz w:val="24"/>
                <w:szCs w:val="24"/>
              </w:rPr>
            </w:pPr>
            <w:r>
              <w:rPr>
                <w:rFonts w:asciiTheme="minorHAnsi" w:hAnsiTheme="minorHAnsi"/>
              </w:rPr>
              <w:t>Final project meeting</w:t>
            </w:r>
          </w:p>
        </w:tc>
      </w:tr>
      <w:tr w:rsidR="00F01D0A" w14:paraId="5ECE1A8C" w14:textId="77777777" w:rsidTr="00F01D0A">
        <w:tc>
          <w:tcPr>
            <w:tcW w:w="1951" w:type="dxa"/>
          </w:tcPr>
          <w:p w14:paraId="1C30B381" w14:textId="78B52B7A" w:rsidR="00F01D0A" w:rsidRPr="00F01D0A" w:rsidRDefault="00F01D0A" w:rsidP="00F01D0A">
            <w:pPr>
              <w:pStyle w:val="Norma"/>
              <w:spacing w:afterLines="80" w:after="192" w:line="276" w:lineRule="auto"/>
              <w:rPr>
                <w:rFonts w:asciiTheme="minorHAnsi" w:hAnsiTheme="minorHAnsi"/>
              </w:rPr>
            </w:pPr>
            <w:r>
              <w:rPr>
                <w:rFonts w:asciiTheme="minorHAnsi" w:hAnsiTheme="minorHAnsi"/>
              </w:rPr>
              <w:t>10-Feb</w:t>
            </w:r>
          </w:p>
        </w:tc>
        <w:tc>
          <w:tcPr>
            <w:tcW w:w="7291" w:type="dxa"/>
          </w:tcPr>
          <w:p w14:paraId="13632D50" w14:textId="48134FF4" w:rsidR="00F01D0A" w:rsidRDefault="00F01D0A" w:rsidP="009138B2">
            <w:pPr>
              <w:pStyle w:val="Norma"/>
              <w:spacing w:afterLines="80" w:after="192" w:line="276" w:lineRule="auto"/>
              <w:jc w:val="both"/>
              <w:rPr>
                <w:rFonts w:asciiTheme="minorHAnsi" w:hAnsiTheme="minorHAnsi" w:cs="Arial"/>
                <w:b/>
                <w:bCs/>
                <w:iCs/>
                <w:sz w:val="24"/>
                <w:szCs w:val="24"/>
              </w:rPr>
            </w:pPr>
            <w:r>
              <w:rPr>
                <w:rFonts w:asciiTheme="minorHAnsi" w:hAnsiTheme="minorHAnsi"/>
              </w:rPr>
              <w:t>Draft final report</w:t>
            </w:r>
          </w:p>
        </w:tc>
      </w:tr>
      <w:tr w:rsidR="00F01D0A" w14:paraId="69105952" w14:textId="77777777" w:rsidTr="00F01D0A">
        <w:tc>
          <w:tcPr>
            <w:tcW w:w="1951" w:type="dxa"/>
          </w:tcPr>
          <w:p w14:paraId="23DD4773" w14:textId="423ACD0C" w:rsidR="00F01D0A" w:rsidRDefault="00F01D0A" w:rsidP="00F01D0A">
            <w:pPr>
              <w:pStyle w:val="Norma"/>
              <w:spacing w:afterLines="80" w:after="192" w:line="276" w:lineRule="auto"/>
              <w:jc w:val="both"/>
              <w:rPr>
                <w:rFonts w:asciiTheme="minorHAnsi" w:hAnsiTheme="minorHAnsi" w:cs="Arial"/>
                <w:b/>
                <w:bCs/>
                <w:iCs/>
                <w:sz w:val="24"/>
                <w:szCs w:val="24"/>
              </w:rPr>
            </w:pPr>
            <w:r>
              <w:rPr>
                <w:rFonts w:asciiTheme="minorHAnsi" w:hAnsiTheme="minorHAnsi"/>
              </w:rPr>
              <w:t>24-Feb</w:t>
            </w:r>
          </w:p>
        </w:tc>
        <w:tc>
          <w:tcPr>
            <w:tcW w:w="7291" w:type="dxa"/>
          </w:tcPr>
          <w:p w14:paraId="7B0AD167" w14:textId="0B885EF8" w:rsidR="00F01D0A" w:rsidRDefault="00F01D0A" w:rsidP="009138B2">
            <w:pPr>
              <w:pStyle w:val="Norma"/>
              <w:spacing w:afterLines="80" w:after="192" w:line="276" w:lineRule="auto"/>
              <w:jc w:val="both"/>
              <w:rPr>
                <w:rFonts w:asciiTheme="minorHAnsi" w:hAnsiTheme="minorHAnsi" w:cs="Arial"/>
                <w:b/>
                <w:bCs/>
                <w:iCs/>
                <w:sz w:val="24"/>
                <w:szCs w:val="24"/>
              </w:rPr>
            </w:pPr>
            <w:r w:rsidRPr="004967F9">
              <w:rPr>
                <w:rFonts w:asciiTheme="minorHAnsi" w:hAnsiTheme="minorHAnsi"/>
              </w:rPr>
              <w:t>Final report</w:t>
            </w:r>
          </w:p>
        </w:tc>
      </w:tr>
    </w:tbl>
    <w:p w14:paraId="5EA87567" w14:textId="77777777" w:rsidR="00585DA5" w:rsidRPr="00746C45" w:rsidRDefault="00585DA5" w:rsidP="009138B2">
      <w:pPr>
        <w:pStyle w:val="Norma"/>
        <w:spacing w:afterLines="80" w:after="192" w:line="276" w:lineRule="auto"/>
        <w:jc w:val="both"/>
        <w:rPr>
          <w:rFonts w:asciiTheme="minorHAnsi" w:hAnsiTheme="minorHAnsi" w:cs="Arial"/>
          <w:b/>
          <w:bCs/>
          <w:iCs/>
          <w:sz w:val="24"/>
          <w:szCs w:val="24"/>
        </w:rPr>
      </w:pPr>
    </w:p>
    <w:p w14:paraId="5EA87568" w14:textId="709D503F" w:rsidR="008F4BEB" w:rsidRPr="00746C45" w:rsidRDefault="008F4BEB" w:rsidP="008721C9">
      <w:pPr>
        <w:pStyle w:val="Heading1"/>
        <w:numPr>
          <w:ilvl w:val="0"/>
          <w:numId w:val="3"/>
        </w:numPr>
        <w:spacing w:afterLines="80" w:after="192" w:line="276" w:lineRule="auto"/>
        <w:rPr>
          <w:rFonts w:asciiTheme="minorHAnsi" w:hAnsiTheme="minorHAnsi" w:cs="Arial"/>
          <w:sz w:val="24"/>
          <w:szCs w:val="24"/>
        </w:rPr>
      </w:pPr>
      <w:bookmarkStart w:id="34" w:name="_Toc381969515"/>
      <w:bookmarkStart w:id="35" w:name="_Toc405888464"/>
      <w:bookmarkStart w:id="36" w:name="_Toc465328880"/>
      <w:bookmarkStart w:id="37" w:name="_Toc271272913"/>
      <w:r w:rsidRPr="00746C45">
        <w:rPr>
          <w:rFonts w:asciiTheme="minorHAnsi" w:hAnsiTheme="minorHAnsi" w:cs="Arial"/>
          <w:sz w:val="24"/>
          <w:szCs w:val="24"/>
        </w:rPr>
        <w:t>Ethics</w:t>
      </w:r>
      <w:bookmarkEnd w:id="34"/>
      <w:bookmarkEnd w:id="35"/>
      <w:bookmarkEnd w:id="36"/>
    </w:p>
    <w:p w14:paraId="5EA8756A" w14:textId="77777777" w:rsidR="005C0467" w:rsidRPr="00746C45" w:rsidRDefault="008F4BEB" w:rsidP="00746C45">
      <w:pPr>
        <w:pStyle w:val="ListParagraph"/>
        <w:spacing w:afterLines="80" w:after="192"/>
        <w:ind w:left="0"/>
        <w:contextualSpacing w:val="0"/>
        <w:jc w:val="both"/>
        <w:rPr>
          <w:rFonts w:asciiTheme="minorHAnsi" w:hAnsiTheme="minorHAnsi" w:cs="Arial"/>
        </w:rPr>
      </w:pPr>
      <w:r w:rsidRPr="00746C45">
        <w:rPr>
          <w:rFonts w:asciiTheme="minorHAnsi" w:hAnsiTheme="minorHAnsi" w:cs="Arial"/>
        </w:rPr>
        <w:t>All applicants will need to identify and propose arrangements for initial scrutiny and on-going monitoring of ethical issues.</w:t>
      </w:r>
      <w:r w:rsidR="00BF74E5" w:rsidRPr="00746C45">
        <w:rPr>
          <w:rFonts w:asciiTheme="minorHAnsi" w:hAnsiTheme="minorHAnsi" w:cs="Arial"/>
        </w:rPr>
        <w:t xml:space="preserve"> </w:t>
      </w:r>
      <w:r w:rsidR="005C0467" w:rsidRPr="00746C45">
        <w:rPr>
          <w:rFonts w:asciiTheme="minorHAnsi" w:hAnsiTheme="minorHAnsi" w:cs="Arial"/>
        </w:rPr>
        <w:t>The appropriate handling of ethical issues is part of the tender assessment exercise and proposals will be evaluated on this as part of the ‘addressing challenges and risks’ criterion.</w:t>
      </w:r>
    </w:p>
    <w:p w14:paraId="5EA8756C" w14:textId="77777777" w:rsidR="00D75586" w:rsidRPr="00746C45" w:rsidRDefault="00BF74E5" w:rsidP="00746C45">
      <w:pPr>
        <w:pStyle w:val="ListParagraph"/>
        <w:spacing w:afterLines="80" w:after="192"/>
        <w:ind w:left="0"/>
        <w:contextualSpacing w:val="0"/>
        <w:jc w:val="both"/>
        <w:rPr>
          <w:rFonts w:asciiTheme="minorHAnsi" w:hAnsiTheme="minorHAnsi" w:cs="Arial"/>
        </w:rPr>
      </w:pPr>
      <w:r w:rsidRPr="00746C45">
        <w:rPr>
          <w:rFonts w:asciiTheme="minorHAnsi" w:hAnsiTheme="minorHAnsi" w:cs="Arial"/>
        </w:rPr>
        <w:t>We expect contractors to adhere to the</w:t>
      </w:r>
      <w:r w:rsidR="00D75586" w:rsidRPr="00746C45">
        <w:rPr>
          <w:rFonts w:asciiTheme="minorHAnsi" w:hAnsiTheme="minorHAnsi" w:cs="Arial"/>
        </w:rPr>
        <w:t xml:space="preserve"> following</w:t>
      </w:r>
      <w:r w:rsidRPr="00746C45">
        <w:rPr>
          <w:rFonts w:asciiTheme="minorHAnsi" w:hAnsiTheme="minorHAnsi" w:cs="Arial"/>
        </w:rPr>
        <w:t xml:space="preserve"> GSR</w:t>
      </w:r>
      <w:r w:rsidR="00D75586" w:rsidRPr="00746C45">
        <w:rPr>
          <w:rFonts w:asciiTheme="minorHAnsi" w:hAnsiTheme="minorHAnsi" w:cs="Arial"/>
        </w:rPr>
        <w:t xml:space="preserve"> Principals:</w:t>
      </w:r>
    </w:p>
    <w:p w14:paraId="5EA8756D" w14:textId="77777777" w:rsidR="00D75586" w:rsidRPr="00746C45" w:rsidRDefault="00D75586" w:rsidP="00746C45">
      <w:pPr>
        <w:pStyle w:val="ListParagraph"/>
        <w:numPr>
          <w:ilvl w:val="0"/>
          <w:numId w:val="2"/>
        </w:numPr>
        <w:spacing w:afterLines="80" w:after="192"/>
        <w:ind w:left="851"/>
        <w:contextualSpacing w:val="0"/>
        <w:rPr>
          <w:rFonts w:asciiTheme="minorHAnsi" w:hAnsiTheme="minorHAnsi" w:cs="Arial"/>
          <w:iCs/>
        </w:rPr>
      </w:pPr>
      <w:r w:rsidRPr="00746C45">
        <w:rPr>
          <w:rFonts w:asciiTheme="minorHAnsi" w:hAnsiTheme="minorHAnsi" w:cs="Arial"/>
          <w:iCs/>
        </w:rPr>
        <w:t>Sound application</w:t>
      </w:r>
      <w:r w:rsidR="009E2B4B" w:rsidRPr="00746C45">
        <w:rPr>
          <w:rFonts w:asciiTheme="minorHAnsi" w:hAnsiTheme="minorHAnsi" w:cs="Arial"/>
          <w:iCs/>
        </w:rPr>
        <w:t xml:space="preserve"> and conduct of social research </w:t>
      </w:r>
      <w:r w:rsidRPr="00746C45">
        <w:rPr>
          <w:rFonts w:asciiTheme="minorHAnsi" w:hAnsiTheme="minorHAnsi" w:cs="Arial"/>
          <w:iCs/>
        </w:rPr>
        <w:t>methods and appropriate dissemination and utilisation of findings</w:t>
      </w:r>
    </w:p>
    <w:p w14:paraId="5EA8756E" w14:textId="77777777" w:rsidR="00D75586" w:rsidRPr="00746C45" w:rsidRDefault="00D75586" w:rsidP="00746C45">
      <w:pPr>
        <w:pStyle w:val="ListParagraph"/>
        <w:numPr>
          <w:ilvl w:val="0"/>
          <w:numId w:val="2"/>
        </w:numPr>
        <w:spacing w:afterLines="80" w:after="192"/>
        <w:ind w:left="851"/>
        <w:contextualSpacing w:val="0"/>
        <w:jc w:val="both"/>
        <w:rPr>
          <w:rFonts w:asciiTheme="minorHAnsi" w:hAnsiTheme="minorHAnsi" w:cs="Arial"/>
          <w:iCs/>
        </w:rPr>
      </w:pPr>
      <w:r w:rsidRPr="00746C45">
        <w:rPr>
          <w:rFonts w:asciiTheme="minorHAnsi" w:hAnsiTheme="minorHAnsi" w:cs="Arial"/>
          <w:iCs/>
        </w:rPr>
        <w:t>Participation based on valid consent</w:t>
      </w:r>
    </w:p>
    <w:p w14:paraId="5EA8756F" w14:textId="77777777" w:rsidR="00D75586" w:rsidRPr="00746C45" w:rsidRDefault="00D75586" w:rsidP="00746C45">
      <w:pPr>
        <w:pStyle w:val="ListParagraph"/>
        <w:numPr>
          <w:ilvl w:val="0"/>
          <w:numId w:val="2"/>
        </w:numPr>
        <w:spacing w:afterLines="80" w:after="192"/>
        <w:ind w:left="851"/>
        <w:contextualSpacing w:val="0"/>
        <w:jc w:val="both"/>
        <w:rPr>
          <w:rFonts w:asciiTheme="minorHAnsi" w:hAnsiTheme="minorHAnsi" w:cs="Arial"/>
          <w:iCs/>
        </w:rPr>
      </w:pPr>
      <w:r w:rsidRPr="00746C45">
        <w:rPr>
          <w:rFonts w:asciiTheme="minorHAnsi" w:hAnsiTheme="minorHAnsi" w:cs="Arial"/>
          <w:iCs/>
        </w:rPr>
        <w:t>Enabling participation</w:t>
      </w:r>
    </w:p>
    <w:p w14:paraId="5EA87570" w14:textId="77777777" w:rsidR="00D75586" w:rsidRPr="00746C45" w:rsidRDefault="00D75586" w:rsidP="00746C45">
      <w:pPr>
        <w:pStyle w:val="ListParagraph"/>
        <w:numPr>
          <w:ilvl w:val="0"/>
          <w:numId w:val="2"/>
        </w:numPr>
        <w:spacing w:afterLines="80" w:after="192"/>
        <w:ind w:left="851"/>
        <w:contextualSpacing w:val="0"/>
        <w:jc w:val="both"/>
        <w:rPr>
          <w:rFonts w:asciiTheme="minorHAnsi" w:hAnsiTheme="minorHAnsi" w:cs="Arial"/>
          <w:iCs/>
        </w:rPr>
      </w:pPr>
      <w:r w:rsidRPr="00746C45">
        <w:rPr>
          <w:rFonts w:asciiTheme="minorHAnsi" w:hAnsiTheme="minorHAnsi" w:cs="Arial"/>
          <w:iCs/>
        </w:rPr>
        <w:t>Avoidance of personal harm</w:t>
      </w:r>
    </w:p>
    <w:p w14:paraId="5EA87571" w14:textId="77777777" w:rsidR="00D75586" w:rsidRPr="00746C45" w:rsidRDefault="00D75586" w:rsidP="00746C45">
      <w:pPr>
        <w:pStyle w:val="ListParagraph"/>
        <w:numPr>
          <w:ilvl w:val="0"/>
          <w:numId w:val="2"/>
        </w:numPr>
        <w:spacing w:afterLines="80" w:after="192"/>
        <w:ind w:left="851"/>
        <w:contextualSpacing w:val="0"/>
        <w:jc w:val="both"/>
        <w:rPr>
          <w:rFonts w:asciiTheme="minorHAnsi" w:hAnsiTheme="minorHAnsi" w:cs="Arial"/>
          <w:iCs/>
          <w:sz w:val="24"/>
          <w:szCs w:val="24"/>
        </w:rPr>
      </w:pPr>
      <w:r w:rsidRPr="00746C45">
        <w:rPr>
          <w:rFonts w:asciiTheme="minorHAnsi" w:hAnsiTheme="minorHAnsi" w:cs="Arial"/>
          <w:iCs/>
        </w:rPr>
        <w:lastRenderedPageBreak/>
        <w:t>Non-disclosure of identity and personal information</w:t>
      </w:r>
    </w:p>
    <w:p w14:paraId="5E1C7433" w14:textId="77777777" w:rsidR="00746C45" w:rsidRPr="00746C45" w:rsidRDefault="00746C45" w:rsidP="00746C45">
      <w:pPr>
        <w:spacing w:afterLines="80" w:after="192"/>
        <w:jc w:val="both"/>
        <w:rPr>
          <w:rFonts w:asciiTheme="minorHAnsi" w:hAnsiTheme="minorHAnsi" w:cs="Arial"/>
          <w:iCs/>
          <w:sz w:val="24"/>
          <w:szCs w:val="24"/>
        </w:rPr>
      </w:pPr>
    </w:p>
    <w:p w14:paraId="5EA87573" w14:textId="77777777" w:rsidR="00E070AD" w:rsidRPr="00746C45" w:rsidRDefault="00E070AD" w:rsidP="008721C9">
      <w:pPr>
        <w:pStyle w:val="Heading1"/>
        <w:numPr>
          <w:ilvl w:val="0"/>
          <w:numId w:val="3"/>
        </w:numPr>
        <w:spacing w:afterLines="80" w:after="192" w:line="276" w:lineRule="auto"/>
        <w:rPr>
          <w:rFonts w:asciiTheme="minorHAnsi" w:hAnsiTheme="minorHAnsi" w:cs="Arial"/>
          <w:sz w:val="24"/>
          <w:szCs w:val="24"/>
        </w:rPr>
      </w:pPr>
      <w:bookmarkStart w:id="38" w:name="_Ref338852517"/>
      <w:bookmarkStart w:id="39" w:name="_Toc381969516"/>
      <w:bookmarkStart w:id="40" w:name="_Toc405888465"/>
      <w:bookmarkStart w:id="41" w:name="_Toc465328881"/>
      <w:bookmarkEnd w:id="37"/>
      <w:r w:rsidRPr="00746C45">
        <w:rPr>
          <w:rFonts w:asciiTheme="minorHAnsi" w:hAnsiTheme="minorHAnsi" w:cs="Arial"/>
          <w:sz w:val="24"/>
          <w:szCs w:val="24"/>
        </w:rPr>
        <w:t>Working Arrangements</w:t>
      </w:r>
      <w:bookmarkEnd w:id="38"/>
      <w:bookmarkEnd w:id="39"/>
      <w:bookmarkEnd w:id="40"/>
      <w:bookmarkEnd w:id="41"/>
    </w:p>
    <w:p w14:paraId="5EA87575" w14:textId="016847B5" w:rsidR="00AA62E8" w:rsidRPr="00746C45" w:rsidRDefault="00AA62E8" w:rsidP="005F190E">
      <w:pPr>
        <w:pStyle w:val="Norma"/>
        <w:spacing w:afterLines="80" w:after="192" w:line="276" w:lineRule="auto"/>
        <w:jc w:val="both"/>
        <w:rPr>
          <w:rFonts w:asciiTheme="minorHAnsi" w:hAnsiTheme="minorHAnsi" w:cs="Arial"/>
          <w:bCs/>
        </w:rPr>
      </w:pPr>
      <w:r w:rsidRPr="00746C45">
        <w:rPr>
          <w:rFonts w:asciiTheme="minorHAnsi" w:hAnsiTheme="minorHAnsi" w:cs="Arial"/>
          <w:bCs/>
        </w:rPr>
        <w:t>The successful contractor will be expected to identify one named point of contract through</w:t>
      </w:r>
      <w:r w:rsidR="005A7FBC" w:rsidRPr="00746C45">
        <w:rPr>
          <w:rFonts w:asciiTheme="minorHAnsi" w:hAnsiTheme="minorHAnsi" w:cs="Arial"/>
          <w:bCs/>
        </w:rPr>
        <w:t xml:space="preserve"> </w:t>
      </w:r>
      <w:r w:rsidRPr="00746C45">
        <w:rPr>
          <w:rFonts w:asciiTheme="minorHAnsi" w:hAnsiTheme="minorHAnsi" w:cs="Arial"/>
          <w:bCs/>
        </w:rPr>
        <w:t>whom all e</w:t>
      </w:r>
      <w:r w:rsidR="0097210C" w:rsidRPr="00746C45">
        <w:rPr>
          <w:rFonts w:asciiTheme="minorHAnsi" w:hAnsiTheme="minorHAnsi" w:cs="Arial"/>
          <w:bCs/>
        </w:rPr>
        <w:t>nquiries can be filtered. A CCC</w:t>
      </w:r>
      <w:r w:rsidRPr="00746C45">
        <w:rPr>
          <w:rFonts w:asciiTheme="minorHAnsi" w:hAnsiTheme="minorHAnsi" w:cs="Arial"/>
          <w:bCs/>
        </w:rPr>
        <w:t xml:space="preserve"> project manager will be assigned to the project and will be the central point of contact. </w:t>
      </w:r>
    </w:p>
    <w:p w14:paraId="5EA87578" w14:textId="51C5AD09" w:rsidR="00AA62E8" w:rsidRPr="00746C45" w:rsidRDefault="005073E4" w:rsidP="009138B2">
      <w:pPr>
        <w:pStyle w:val="ListParagraph"/>
        <w:spacing w:afterLines="80" w:after="192"/>
        <w:ind w:left="0"/>
        <w:contextualSpacing w:val="0"/>
        <w:rPr>
          <w:rFonts w:asciiTheme="minorHAnsi" w:eastAsia="Times New Roman" w:hAnsiTheme="minorHAnsi" w:cs="Calibri"/>
        </w:rPr>
      </w:pPr>
      <w:r>
        <w:rPr>
          <w:rFonts w:asciiTheme="minorHAnsi" w:eastAsia="Times New Roman" w:hAnsiTheme="minorHAnsi" w:cs="Calibri"/>
        </w:rPr>
        <w:t>The project will have a steering group</w:t>
      </w:r>
      <w:r w:rsidR="004967F9">
        <w:rPr>
          <w:rFonts w:asciiTheme="minorHAnsi" w:eastAsia="Times New Roman" w:hAnsiTheme="minorHAnsi" w:cs="Calibri"/>
        </w:rPr>
        <w:t xml:space="preserve">, composed of CCC staff as well as a small number of wider stakeholders, e.g. representatives from BEIS and </w:t>
      </w:r>
      <w:proofErr w:type="spellStart"/>
      <w:r w:rsidR="004967F9">
        <w:rPr>
          <w:rFonts w:asciiTheme="minorHAnsi" w:eastAsia="Times New Roman" w:hAnsiTheme="minorHAnsi" w:cs="Calibri"/>
        </w:rPr>
        <w:t>Ofgem</w:t>
      </w:r>
      <w:proofErr w:type="spellEnd"/>
      <w:r w:rsidR="004967F9">
        <w:rPr>
          <w:rFonts w:asciiTheme="minorHAnsi" w:eastAsia="Times New Roman" w:hAnsiTheme="minorHAnsi" w:cs="Calibri"/>
        </w:rPr>
        <w:t>. The steering group will be present at the inception, interim and final project meeting.</w:t>
      </w:r>
    </w:p>
    <w:p w14:paraId="5EA87579" w14:textId="77777777" w:rsidR="003C1CE8" w:rsidRPr="00746C45" w:rsidRDefault="007A7010" w:rsidP="008721C9">
      <w:pPr>
        <w:pStyle w:val="Heading1"/>
        <w:numPr>
          <w:ilvl w:val="0"/>
          <w:numId w:val="3"/>
        </w:numPr>
        <w:spacing w:afterLines="80" w:after="192" w:line="276" w:lineRule="auto"/>
        <w:rPr>
          <w:rFonts w:asciiTheme="minorHAnsi" w:hAnsiTheme="minorHAnsi" w:cs="Arial"/>
          <w:sz w:val="24"/>
          <w:szCs w:val="24"/>
        </w:rPr>
      </w:pPr>
      <w:bookmarkStart w:id="42" w:name="_Toc465328882"/>
      <w:r w:rsidRPr="00746C45">
        <w:rPr>
          <w:rFonts w:asciiTheme="minorHAnsi" w:hAnsiTheme="minorHAnsi" w:cs="Arial"/>
          <w:sz w:val="24"/>
          <w:szCs w:val="24"/>
        </w:rPr>
        <w:t>Skills and experience</w:t>
      </w:r>
      <w:bookmarkEnd w:id="42"/>
    </w:p>
    <w:p w14:paraId="5EA8757B" w14:textId="5FB8080B" w:rsidR="00FA702B" w:rsidRPr="00746C45" w:rsidRDefault="0097210C" w:rsidP="005F190E">
      <w:pPr>
        <w:pStyle w:val="PTablebodyCharCharChar"/>
        <w:tabs>
          <w:tab w:val="clear" w:pos="7823"/>
          <w:tab w:val="right" w:pos="709"/>
        </w:tabs>
        <w:spacing w:afterLines="80" w:after="192" w:line="276" w:lineRule="auto"/>
        <w:ind w:left="0"/>
        <w:rPr>
          <w:rFonts w:asciiTheme="minorHAnsi" w:hAnsiTheme="minorHAnsi" w:cs="Arial"/>
          <w:sz w:val="22"/>
          <w:szCs w:val="22"/>
          <w:highlight w:val="yellow"/>
        </w:rPr>
      </w:pPr>
      <w:r w:rsidRPr="00746C45">
        <w:rPr>
          <w:rFonts w:asciiTheme="minorHAnsi" w:hAnsiTheme="minorHAnsi" w:cs="Arial"/>
          <w:sz w:val="22"/>
          <w:szCs w:val="22"/>
        </w:rPr>
        <w:t>C</w:t>
      </w:r>
      <w:r w:rsidR="004B3AD5" w:rsidRPr="00746C45">
        <w:rPr>
          <w:rFonts w:asciiTheme="minorHAnsi" w:hAnsiTheme="minorHAnsi" w:cs="Arial"/>
          <w:sz w:val="22"/>
          <w:szCs w:val="22"/>
        </w:rPr>
        <w:t xml:space="preserve">CC </w:t>
      </w:r>
      <w:r w:rsidR="007A7010" w:rsidRPr="00746C45">
        <w:rPr>
          <w:rFonts w:asciiTheme="minorHAnsi" w:hAnsiTheme="minorHAnsi" w:cs="Arial"/>
          <w:sz w:val="22"/>
          <w:szCs w:val="22"/>
        </w:rPr>
        <w:t xml:space="preserve">would like you to demonstrate that you have </w:t>
      </w:r>
      <w:r w:rsidR="009F7CC0" w:rsidRPr="00746C45">
        <w:rPr>
          <w:rFonts w:asciiTheme="minorHAnsi" w:hAnsiTheme="minorHAnsi" w:cs="Arial"/>
          <w:sz w:val="22"/>
          <w:szCs w:val="22"/>
        </w:rPr>
        <w:t>the experience and capabilities to undertake the project</w:t>
      </w:r>
      <w:r w:rsidR="007A7010" w:rsidRPr="00746C45">
        <w:rPr>
          <w:rFonts w:asciiTheme="minorHAnsi" w:hAnsiTheme="minorHAnsi" w:cs="Arial"/>
          <w:sz w:val="22"/>
          <w:szCs w:val="22"/>
        </w:rPr>
        <w:t xml:space="preserve">. Your tender response should include a summary of </w:t>
      </w:r>
      <w:r w:rsidR="009F7CC0" w:rsidRPr="00746C45">
        <w:rPr>
          <w:rFonts w:asciiTheme="minorHAnsi" w:hAnsiTheme="minorHAnsi" w:cs="Arial"/>
          <w:sz w:val="22"/>
          <w:szCs w:val="22"/>
        </w:rPr>
        <w:t>each proposed team members experience</w:t>
      </w:r>
      <w:r w:rsidR="007A7010" w:rsidRPr="00746C45">
        <w:rPr>
          <w:rFonts w:asciiTheme="minorHAnsi" w:hAnsiTheme="minorHAnsi" w:cs="Arial"/>
          <w:sz w:val="22"/>
          <w:szCs w:val="22"/>
        </w:rPr>
        <w:t xml:space="preserve"> </w:t>
      </w:r>
      <w:r w:rsidR="009F7CC0" w:rsidRPr="00746C45">
        <w:rPr>
          <w:rFonts w:asciiTheme="minorHAnsi" w:hAnsiTheme="minorHAnsi" w:cs="Arial"/>
          <w:sz w:val="22"/>
          <w:szCs w:val="22"/>
        </w:rPr>
        <w:t>and capabilities</w:t>
      </w:r>
      <w:r w:rsidR="007A7010" w:rsidRPr="00746C45">
        <w:rPr>
          <w:rFonts w:asciiTheme="minorHAnsi" w:hAnsiTheme="minorHAnsi" w:cs="Arial"/>
          <w:sz w:val="22"/>
          <w:szCs w:val="22"/>
        </w:rPr>
        <w:t>.</w:t>
      </w:r>
      <w:r w:rsidR="00816371" w:rsidRPr="00746C45">
        <w:rPr>
          <w:rFonts w:asciiTheme="minorHAnsi" w:hAnsiTheme="minorHAnsi" w:cs="Arial"/>
          <w:sz w:val="22"/>
          <w:szCs w:val="22"/>
          <w:highlight w:val="yellow"/>
        </w:rPr>
        <w:t xml:space="preserve"> </w:t>
      </w:r>
    </w:p>
    <w:p w14:paraId="5EA8757D" w14:textId="77777777" w:rsidR="003C1CE8" w:rsidRPr="00746C45" w:rsidRDefault="003C1CE8" w:rsidP="005F190E">
      <w:pPr>
        <w:pStyle w:val="PTablebodyCharCharChar"/>
        <w:tabs>
          <w:tab w:val="clear" w:pos="7823"/>
          <w:tab w:val="right" w:pos="709"/>
        </w:tabs>
        <w:spacing w:afterLines="80" w:after="192" w:line="276" w:lineRule="auto"/>
        <w:ind w:left="0"/>
        <w:rPr>
          <w:rFonts w:asciiTheme="minorHAnsi" w:hAnsiTheme="minorHAnsi" w:cs="Arial"/>
          <w:sz w:val="22"/>
          <w:szCs w:val="22"/>
        </w:rPr>
      </w:pPr>
      <w:r w:rsidRPr="00746C45">
        <w:rPr>
          <w:rFonts w:asciiTheme="minorHAnsi" w:hAnsiTheme="minorHAnsi"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F" w14:textId="77777777" w:rsidR="00D64BB0" w:rsidRPr="00746C45" w:rsidRDefault="003C1CE8" w:rsidP="005F190E">
      <w:pPr>
        <w:pStyle w:val="Norma"/>
        <w:spacing w:afterLines="80" w:after="192" w:line="276" w:lineRule="auto"/>
        <w:jc w:val="both"/>
        <w:rPr>
          <w:rFonts w:asciiTheme="minorHAnsi" w:hAnsiTheme="minorHAnsi" w:cs="Arial"/>
        </w:rPr>
      </w:pPr>
      <w:r w:rsidRPr="00746C45">
        <w:rPr>
          <w:rFonts w:asciiTheme="minorHAnsi" w:hAnsiTheme="minorHAnsi" w:cs="Arial"/>
        </w:rPr>
        <w:t>Contractors should identify the individual(s) who will be responsible for managing the project.</w:t>
      </w:r>
      <w:bookmarkStart w:id="43" w:name="_Ref338852499"/>
    </w:p>
    <w:p w14:paraId="5EA87580" w14:textId="77777777" w:rsidR="00986070" w:rsidRPr="00746C45" w:rsidRDefault="00986070" w:rsidP="009138B2">
      <w:pPr>
        <w:pStyle w:val="Norma"/>
        <w:spacing w:afterLines="80" w:after="192" w:line="276" w:lineRule="auto"/>
        <w:jc w:val="both"/>
        <w:rPr>
          <w:rFonts w:asciiTheme="minorHAnsi" w:hAnsiTheme="minorHAnsi" w:cs="Calibri"/>
        </w:rPr>
      </w:pPr>
    </w:p>
    <w:p w14:paraId="5EA87581" w14:textId="77777777" w:rsidR="003043AD" w:rsidRPr="00746C45" w:rsidRDefault="00D64BB0" w:rsidP="008721C9">
      <w:pPr>
        <w:pStyle w:val="Heading1"/>
        <w:numPr>
          <w:ilvl w:val="0"/>
          <w:numId w:val="3"/>
        </w:numPr>
        <w:spacing w:afterLines="80" w:after="192" w:line="276" w:lineRule="auto"/>
        <w:rPr>
          <w:rFonts w:asciiTheme="minorHAnsi" w:hAnsiTheme="minorHAnsi" w:cs="Arial"/>
          <w:sz w:val="24"/>
          <w:szCs w:val="24"/>
        </w:rPr>
      </w:pPr>
      <w:bookmarkStart w:id="44" w:name="_Ref373505239"/>
      <w:bookmarkStart w:id="45" w:name="_Toc381969518"/>
      <w:bookmarkStart w:id="46" w:name="_Toc405888467"/>
      <w:bookmarkStart w:id="47" w:name="_Toc465328883"/>
      <w:r w:rsidRPr="00746C45">
        <w:rPr>
          <w:rFonts w:asciiTheme="minorHAnsi" w:hAnsiTheme="minorHAnsi" w:cs="Arial"/>
          <w:sz w:val="24"/>
          <w:szCs w:val="24"/>
        </w:rPr>
        <w:t>C</w:t>
      </w:r>
      <w:r w:rsidR="00A64B82" w:rsidRPr="00746C45">
        <w:rPr>
          <w:rFonts w:asciiTheme="minorHAnsi" w:hAnsiTheme="minorHAnsi" w:cs="Arial"/>
          <w:sz w:val="24"/>
          <w:szCs w:val="24"/>
        </w:rPr>
        <w:t>onsortium Bids</w:t>
      </w:r>
      <w:bookmarkEnd w:id="44"/>
      <w:bookmarkEnd w:id="45"/>
      <w:bookmarkEnd w:id="46"/>
      <w:bookmarkEnd w:id="47"/>
    </w:p>
    <w:p w14:paraId="5EA87583" w14:textId="77777777" w:rsidR="00D65A99" w:rsidRPr="00746C45" w:rsidRDefault="003043AD" w:rsidP="005F190E">
      <w:pPr>
        <w:pStyle w:val="FootnoteText"/>
        <w:spacing w:afterLines="80" w:after="192" w:line="276" w:lineRule="auto"/>
        <w:jc w:val="both"/>
        <w:rPr>
          <w:rFonts w:asciiTheme="minorHAnsi" w:hAnsiTheme="minorHAnsi" w:cs="Arial"/>
          <w:sz w:val="22"/>
          <w:szCs w:val="22"/>
          <w:lang w:eastAsia="en-GB"/>
        </w:rPr>
      </w:pPr>
      <w:r w:rsidRPr="00746C45">
        <w:rPr>
          <w:rFonts w:asciiTheme="minorHAnsi" w:hAnsiTheme="minorHAnsi"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746C45">
        <w:rPr>
          <w:rFonts w:asciiTheme="minorHAnsi" w:hAnsiTheme="minorHAnsi" w:cs="Arial"/>
          <w:sz w:val="22"/>
          <w:szCs w:val="22"/>
          <w:lang w:eastAsia="en-GB"/>
        </w:rPr>
        <w:t xml:space="preserve">  We </w:t>
      </w:r>
      <w:r w:rsidR="00D65A99" w:rsidRPr="00746C45">
        <w:rPr>
          <w:rFonts w:asciiTheme="minorHAnsi" w:hAnsiTheme="minorHAnsi" w:cs="Arial"/>
          <w:sz w:val="22"/>
          <w:szCs w:val="22"/>
        </w:rPr>
        <w:t>expect the bidder to indicate who in the consortium will be th</w:t>
      </w:r>
      <w:r w:rsidR="00CD651A" w:rsidRPr="00746C45">
        <w:rPr>
          <w:rFonts w:asciiTheme="minorHAnsi" w:hAnsiTheme="minorHAnsi" w:cs="Arial"/>
          <w:sz w:val="22"/>
          <w:szCs w:val="22"/>
        </w:rPr>
        <w:t xml:space="preserve">e </w:t>
      </w:r>
      <w:r w:rsidR="00CD651A" w:rsidRPr="00746C45">
        <w:rPr>
          <w:rFonts w:asciiTheme="minorHAnsi" w:hAnsiTheme="minorHAnsi" w:cs="Arial"/>
          <w:sz w:val="22"/>
          <w:szCs w:val="22"/>
          <w:lang w:eastAsia="en-GB"/>
        </w:rPr>
        <w:t>lead contact for this project, and the organisation and governance associated with the consortia.</w:t>
      </w:r>
    </w:p>
    <w:p w14:paraId="5EA87585" w14:textId="77777777" w:rsidR="003043AD" w:rsidRPr="00746C45" w:rsidRDefault="003043AD" w:rsidP="005F190E">
      <w:pPr>
        <w:pStyle w:val="FootnoteText"/>
        <w:spacing w:afterLines="80" w:after="192" w:line="276" w:lineRule="auto"/>
        <w:jc w:val="both"/>
        <w:rPr>
          <w:rFonts w:asciiTheme="minorHAnsi" w:hAnsiTheme="minorHAnsi" w:cs="Arial"/>
          <w:sz w:val="22"/>
          <w:szCs w:val="22"/>
          <w:lang w:eastAsia="en-GB"/>
        </w:rPr>
      </w:pPr>
      <w:r w:rsidRPr="00746C45">
        <w:rPr>
          <w:rFonts w:asciiTheme="minorHAnsi" w:hAnsiTheme="minorHAnsi" w:cs="Arial"/>
          <w:sz w:val="22"/>
          <w:szCs w:val="22"/>
          <w:lang w:eastAsia="en-GB"/>
        </w:rPr>
        <w:t>Contractors must provide details as to how they will manage any sub-contractors and what percentage of the tendered activity (in terms of monetary value) will be sub-contracted.</w:t>
      </w:r>
    </w:p>
    <w:p w14:paraId="5EA87587" w14:textId="79EB2CDE" w:rsidR="00AD130E" w:rsidRPr="00746C45" w:rsidRDefault="00AD130E" w:rsidP="005F190E">
      <w:pPr>
        <w:pStyle w:val="NoSpacing"/>
        <w:spacing w:afterLines="80" w:after="192" w:line="276" w:lineRule="auto"/>
        <w:jc w:val="both"/>
        <w:rPr>
          <w:rFonts w:asciiTheme="minorHAnsi" w:hAnsiTheme="minorHAnsi" w:cs="Arial"/>
        </w:rPr>
      </w:pPr>
      <w:r w:rsidRPr="00746C45">
        <w:rPr>
          <w:rFonts w:asciiTheme="minorHAnsi" w:hAnsiTheme="minorHAnsi" w:cs="Arial"/>
        </w:rPr>
        <w:t>If a consortium is not proposing to form a corporate entity, full details of alternative proposed arran</w:t>
      </w:r>
      <w:r w:rsidR="007A11CB" w:rsidRPr="00746C45">
        <w:rPr>
          <w:rFonts w:asciiTheme="minorHAnsi" w:hAnsiTheme="minorHAnsi" w:cs="Arial"/>
        </w:rPr>
        <w:t>gements should be provided</w:t>
      </w:r>
      <w:r w:rsidR="0097210C" w:rsidRPr="00746C45">
        <w:rPr>
          <w:rFonts w:asciiTheme="minorHAnsi" w:hAnsiTheme="minorHAnsi" w:cs="Arial"/>
        </w:rPr>
        <w:t>. However, please note C</w:t>
      </w:r>
      <w:r w:rsidRPr="00746C45">
        <w:rPr>
          <w:rFonts w:asciiTheme="minorHAnsi" w:hAnsiTheme="minorHAnsi" w:cs="Arial"/>
        </w:rPr>
        <w:t xml:space="preserve">CC reserves the right to require a successful consortium to form a single legal entity in accordance with Regulation 28 of the Public Contracts Regulations 2006. </w:t>
      </w:r>
    </w:p>
    <w:p w14:paraId="5EA87589" w14:textId="40024243" w:rsidR="00AD130E" w:rsidRPr="00746C45" w:rsidRDefault="0097210C" w:rsidP="005F190E">
      <w:pPr>
        <w:pStyle w:val="NoSpacing"/>
        <w:spacing w:afterLines="80" w:after="192" w:line="276" w:lineRule="auto"/>
        <w:jc w:val="both"/>
        <w:rPr>
          <w:rFonts w:asciiTheme="minorHAnsi" w:hAnsiTheme="minorHAnsi" w:cs="Arial"/>
        </w:rPr>
      </w:pPr>
      <w:r w:rsidRPr="00746C45">
        <w:rPr>
          <w:rFonts w:asciiTheme="minorHAnsi" w:hAnsiTheme="minorHAnsi" w:cs="Arial"/>
        </w:rPr>
        <w:t>C</w:t>
      </w:r>
      <w:r w:rsidR="00AD130E" w:rsidRPr="00746C45">
        <w:rPr>
          <w:rFonts w:asciiTheme="minorHAnsi" w:hAnsiTheme="minorHAnsi"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746C45">
        <w:rPr>
          <w:rFonts w:asciiTheme="minorHAnsi" w:hAnsiTheme="minorHAnsi" w:cs="Arial"/>
        </w:rPr>
        <w:t>consortia must be notified to C</w:t>
      </w:r>
      <w:r w:rsidR="00AD130E" w:rsidRPr="00746C45">
        <w:rPr>
          <w:rFonts w:asciiTheme="minorHAnsi" w:hAnsiTheme="minorHAnsi" w:cs="Arial"/>
        </w:rPr>
        <w:t xml:space="preserve">CC so that it can make a further assessment by applying the selection criteria to the new information provided. </w:t>
      </w:r>
    </w:p>
    <w:p w14:paraId="5EA8758A" w14:textId="77777777" w:rsidR="004A2B75" w:rsidRPr="00746C45" w:rsidRDefault="004A2B75" w:rsidP="009138B2">
      <w:pPr>
        <w:pStyle w:val="FootnoteText"/>
        <w:spacing w:afterLines="80" w:after="192" w:line="276" w:lineRule="auto"/>
        <w:rPr>
          <w:rFonts w:asciiTheme="minorHAnsi" w:hAnsiTheme="minorHAnsi" w:cs="Calibri"/>
          <w:sz w:val="22"/>
          <w:szCs w:val="22"/>
          <w:lang w:eastAsia="en-GB"/>
        </w:rPr>
      </w:pPr>
    </w:p>
    <w:p w14:paraId="5EA8758B" w14:textId="77777777" w:rsidR="00F0291F" w:rsidRPr="00746C45" w:rsidRDefault="00F0291F" w:rsidP="005F190E">
      <w:pPr>
        <w:pStyle w:val="Heading1"/>
        <w:numPr>
          <w:ilvl w:val="0"/>
          <w:numId w:val="3"/>
        </w:numPr>
        <w:spacing w:afterLines="80" w:after="192" w:line="276" w:lineRule="auto"/>
        <w:rPr>
          <w:rFonts w:asciiTheme="minorHAnsi" w:hAnsiTheme="minorHAnsi" w:cs="Arial"/>
          <w:sz w:val="24"/>
          <w:szCs w:val="24"/>
        </w:rPr>
      </w:pPr>
      <w:bookmarkStart w:id="48" w:name="_Ref357541811"/>
      <w:bookmarkStart w:id="49" w:name="_Toc381969519"/>
      <w:bookmarkStart w:id="50" w:name="_Toc405888468"/>
      <w:bookmarkStart w:id="51" w:name="_Toc465328884"/>
      <w:bookmarkStart w:id="52" w:name="_Toc246831559"/>
      <w:bookmarkStart w:id="53" w:name="_Toc271272917"/>
      <w:bookmarkStart w:id="54" w:name="_Ref338852577"/>
      <w:bookmarkEnd w:id="43"/>
      <w:r w:rsidRPr="00746C45">
        <w:rPr>
          <w:rFonts w:asciiTheme="minorHAnsi" w:hAnsiTheme="minorHAnsi" w:cs="Arial"/>
          <w:sz w:val="24"/>
          <w:szCs w:val="24"/>
        </w:rPr>
        <w:t>Budget</w:t>
      </w:r>
      <w:bookmarkEnd w:id="48"/>
      <w:bookmarkEnd w:id="49"/>
      <w:bookmarkEnd w:id="50"/>
      <w:bookmarkEnd w:id="51"/>
      <w:r w:rsidRPr="00746C45">
        <w:rPr>
          <w:rFonts w:asciiTheme="minorHAnsi" w:hAnsiTheme="minorHAnsi" w:cs="Arial"/>
          <w:sz w:val="24"/>
          <w:szCs w:val="24"/>
        </w:rPr>
        <w:t xml:space="preserve"> </w:t>
      </w:r>
    </w:p>
    <w:p w14:paraId="5EA8758D" w14:textId="77F534FD" w:rsidR="003C1CE8" w:rsidRPr="00746C45" w:rsidRDefault="003C1CE8" w:rsidP="00824F55">
      <w:pPr>
        <w:pStyle w:val="Paragraph"/>
      </w:pPr>
      <w:r w:rsidRPr="00824F55">
        <w:t xml:space="preserve">The budget for this project is </w:t>
      </w:r>
      <w:r w:rsidR="004A2B75" w:rsidRPr="00824F55">
        <w:t>£</w:t>
      </w:r>
      <w:r w:rsidR="00824F55" w:rsidRPr="00824F55">
        <w:t>55</w:t>
      </w:r>
      <w:r w:rsidR="0008350B" w:rsidRPr="00824F55">
        <w:t>,000</w:t>
      </w:r>
      <w:r w:rsidR="004A2B75" w:rsidRPr="00824F55">
        <w:t xml:space="preserve"> </w:t>
      </w:r>
      <w:r w:rsidRPr="00824F55">
        <w:t>to</w:t>
      </w:r>
      <w:r w:rsidR="00526862" w:rsidRPr="00824F55">
        <w:t xml:space="preserve"> </w:t>
      </w:r>
      <w:r w:rsidR="00293D12" w:rsidRPr="00824F55">
        <w:t>£</w:t>
      </w:r>
      <w:r w:rsidR="00824F55" w:rsidRPr="00824F55">
        <w:t>7</w:t>
      </w:r>
      <w:r w:rsidR="0008350B" w:rsidRPr="00824F55">
        <w:t>0,000</w:t>
      </w:r>
      <w:r w:rsidR="00685B87" w:rsidRPr="00824F55">
        <w:t xml:space="preserve"> excluding VAT</w:t>
      </w:r>
      <w:r w:rsidRPr="00824F55">
        <w:t>.</w:t>
      </w:r>
    </w:p>
    <w:p w14:paraId="5EA8758F" w14:textId="77777777" w:rsidR="0089058C" w:rsidRPr="00746C45" w:rsidRDefault="003C1CE8" w:rsidP="005F190E">
      <w:pPr>
        <w:pStyle w:val="ListParagraph"/>
        <w:spacing w:afterLines="80" w:after="192"/>
        <w:ind w:left="0"/>
        <w:contextualSpacing w:val="0"/>
        <w:jc w:val="both"/>
        <w:rPr>
          <w:rFonts w:asciiTheme="minorHAnsi" w:hAnsiTheme="minorHAnsi" w:cs="Arial"/>
        </w:rPr>
      </w:pPr>
      <w:r w:rsidRPr="00746C45">
        <w:rPr>
          <w:rFonts w:asciiTheme="minorHAnsi" w:hAnsiTheme="minorHAnsi" w:cs="Arial"/>
        </w:rPr>
        <w:t xml:space="preserve">Contractors should provide a full and detailed breakdown of costs (including options where appropriate). This should include staff (and day rate) allocated to specific tasks. </w:t>
      </w:r>
      <w:bookmarkEnd w:id="52"/>
      <w:bookmarkEnd w:id="53"/>
      <w:bookmarkEnd w:id="54"/>
    </w:p>
    <w:p w14:paraId="5EA87591" w14:textId="77777777" w:rsidR="00220792" w:rsidRPr="00746C45" w:rsidRDefault="00220792" w:rsidP="005F190E">
      <w:pPr>
        <w:pStyle w:val="ListParagraph"/>
        <w:spacing w:afterLines="80" w:after="192"/>
        <w:ind w:left="0"/>
        <w:contextualSpacing w:val="0"/>
        <w:jc w:val="both"/>
        <w:rPr>
          <w:rFonts w:asciiTheme="minorHAnsi" w:hAnsiTheme="minorHAnsi" w:cs="Arial"/>
        </w:rPr>
      </w:pPr>
      <w:r w:rsidRPr="00746C45">
        <w:rPr>
          <w:rFonts w:asciiTheme="minorHAnsi" w:hAnsiTheme="minorHAnsi" w:cs="Arial"/>
        </w:rPr>
        <w:t>Cost will be a criterion against which bids which will be assessed.</w:t>
      </w:r>
    </w:p>
    <w:p w14:paraId="5EA87593" w14:textId="4D3B8DF5" w:rsidR="00272E19" w:rsidRPr="00746C45" w:rsidRDefault="00272E19" w:rsidP="005F190E">
      <w:pPr>
        <w:pStyle w:val="ListParagraph"/>
        <w:spacing w:afterLines="80" w:after="192"/>
        <w:ind w:left="0"/>
        <w:contextualSpacing w:val="0"/>
        <w:jc w:val="both"/>
        <w:rPr>
          <w:rFonts w:asciiTheme="minorHAnsi" w:hAnsiTheme="minorHAnsi" w:cs="Arial"/>
        </w:rPr>
      </w:pPr>
      <w:r w:rsidRPr="00746C45">
        <w:rPr>
          <w:rFonts w:asciiTheme="minorHAnsi" w:hAnsiTheme="minorHAnsi" w:cs="Arial"/>
        </w:rPr>
        <w:t xml:space="preserve">Payments will be linked to delivery of key milestones. The indicative milestones and phasing of payments </w:t>
      </w:r>
      <w:r w:rsidR="00DC39C6" w:rsidRPr="00746C45">
        <w:rPr>
          <w:rFonts w:asciiTheme="minorHAnsi" w:hAnsiTheme="minorHAnsi" w:cs="Arial"/>
        </w:rPr>
        <w:t>can be adjusted and agreed with the contractor</w:t>
      </w:r>
      <w:r w:rsidR="007A11CB" w:rsidRPr="00746C45">
        <w:rPr>
          <w:rFonts w:asciiTheme="minorHAnsi" w:hAnsiTheme="minorHAnsi" w:cs="Arial"/>
        </w:rPr>
        <w:t xml:space="preserve"> and Project Manager. </w:t>
      </w:r>
      <w:r w:rsidR="00E41E71" w:rsidRPr="00746C45">
        <w:rPr>
          <w:rFonts w:asciiTheme="minorHAnsi" w:hAnsiTheme="minorHAnsi" w:cs="Arial"/>
        </w:rPr>
        <w:t>P</w:t>
      </w:r>
      <w:r w:rsidR="00DC39C6" w:rsidRPr="00746C45">
        <w:rPr>
          <w:rFonts w:asciiTheme="minorHAnsi" w:hAnsiTheme="minorHAnsi" w:cs="Arial"/>
        </w:rPr>
        <w:t>lease advise in your tender response how this breakdown reflects your usual payment processes</w:t>
      </w:r>
      <w:r w:rsidRPr="00746C45">
        <w:rPr>
          <w:rFonts w:asciiTheme="minorHAnsi" w:hAnsiTheme="minorHAnsi" w:cs="Arial"/>
        </w:rPr>
        <w:t>:</w:t>
      </w:r>
    </w:p>
    <w:p w14:paraId="5EA87595" w14:textId="77777777" w:rsidR="008261E0" w:rsidRPr="00746C45" w:rsidRDefault="003C06AA" w:rsidP="005F190E">
      <w:pPr>
        <w:pStyle w:val="Norma"/>
        <w:spacing w:afterLines="80" w:after="192" w:line="276" w:lineRule="auto"/>
        <w:jc w:val="both"/>
        <w:rPr>
          <w:rFonts w:asciiTheme="minorHAnsi" w:eastAsia="MS Mincho" w:hAnsiTheme="minorHAnsi" w:cs="Arial"/>
          <w:lang w:eastAsia="en-US"/>
        </w:rPr>
      </w:pPr>
      <w:r w:rsidRPr="00746C45">
        <w:rPr>
          <w:rFonts w:asciiTheme="minorHAnsi" w:eastAsia="MS Mincho" w:hAnsiTheme="minorHAnsi"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7" w14:textId="77777777" w:rsidR="00443DE6" w:rsidRPr="00746C45" w:rsidRDefault="008261E0" w:rsidP="005F190E">
      <w:pPr>
        <w:pStyle w:val="Norma"/>
        <w:spacing w:afterLines="80" w:after="192" w:line="276" w:lineRule="auto"/>
        <w:jc w:val="both"/>
        <w:rPr>
          <w:rFonts w:asciiTheme="minorHAnsi" w:eastAsia="MS Mincho" w:hAnsiTheme="minorHAnsi" w:cs="Arial"/>
          <w:lang w:eastAsia="en-US"/>
        </w:rPr>
      </w:pPr>
      <w:r w:rsidRPr="00746C45">
        <w:rPr>
          <w:rFonts w:asciiTheme="minorHAnsi" w:eastAsia="MS Mincho" w:hAnsiTheme="minorHAnsi" w:cs="Arial"/>
          <w:lang w:eastAsia="en-US"/>
        </w:rPr>
        <w:t>The Department aims to pay all correctly submitted invoices as soon as possible with a target of 10 days from the date of receipt and within 30 days at the latest in line with standard terms and conditions of contract</w:t>
      </w:r>
      <w:r w:rsidR="00443DE6" w:rsidRPr="00746C45">
        <w:rPr>
          <w:rFonts w:asciiTheme="minorHAnsi" w:eastAsia="MS Mincho" w:hAnsiTheme="minorHAnsi" w:cs="Arial"/>
          <w:lang w:eastAsia="en-US"/>
        </w:rPr>
        <w:t>.</w:t>
      </w:r>
    </w:p>
    <w:p w14:paraId="5EA87598" w14:textId="77777777" w:rsidR="003C06AA" w:rsidRPr="00746C45" w:rsidRDefault="003C06AA" w:rsidP="009138B2">
      <w:pPr>
        <w:pStyle w:val="Norma"/>
        <w:spacing w:afterLines="80" w:after="192" w:line="276" w:lineRule="auto"/>
        <w:jc w:val="both"/>
        <w:rPr>
          <w:rFonts w:asciiTheme="minorHAnsi" w:hAnsiTheme="minorHAnsi" w:cs="Calibri"/>
          <w:highlight w:val="yellow"/>
        </w:rPr>
      </w:pPr>
    </w:p>
    <w:p w14:paraId="5EA87599" w14:textId="77777777" w:rsidR="003C1CE8" w:rsidRPr="00746C45" w:rsidRDefault="005C6FBA" w:rsidP="008721C9">
      <w:pPr>
        <w:pStyle w:val="Heading1"/>
        <w:numPr>
          <w:ilvl w:val="0"/>
          <w:numId w:val="3"/>
        </w:numPr>
        <w:spacing w:afterLines="80" w:after="192" w:line="276" w:lineRule="auto"/>
        <w:rPr>
          <w:rFonts w:asciiTheme="minorHAnsi" w:hAnsiTheme="minorHAnsi" w:cs="Arial"/>
          <w:sz w:val="24"/>
          <w:szCs w:val="24"/>
        </w:rPr>
      </w:pPr>
      <w:bookmarkStart w:id="55" w:name="_Ref357541836"/>
      <w:bookmarkStart w:id="56" w:name="_Toc381969520"/>
      <w:bookmarkStart w:id="57" w:name="_Toc405888469"/>
      <w:bookmarkStart w:id="58" w:name="_Toc465328885"/>
      <w:r w:rsidRPr="00746C45">
        <w:rPr>
          <w:rFonts w:asciiTheme="minorHAnsi" w:hAnsiTheme="minorHAnsi" w:cs="Arial"/>
          <w:sz w:val="24"/>
          <w:szCs w:val="24"/>
        </w:rPr>
        <w:t>Evaluation of Tenders</w:t>
      </w:r>
      <w:bookmarkEnd w:id="55"/>
      <w:bookmarkEnd w:id="56"/>
      <w:bookmarkEnd w:id="57"/>
      <w:bookmarkEnd w:id="58"/>
    </w:p>
    <w:p w14:paraId="5EA8759B" w14:textId="1446E943" w:rsidR="005C788B" w:rsidRPr="00746C45" w:rsidRDefault="003C1CE8" w:rsidP="005F190E">
      <w:pPr>
        <w:pStyle w:val="Norma"/>
        <w:spacing w:afterLines="80" w:after="192" w:line="276" w:lineRule="auto"/>
        <w:jc w:val="both"/>
        <w:rPr>
          <w:rFonts w:asciiTheme="minorHAnsi" w:hAnsiTheme="minorHAnsi" w:cs="Arial"/>
          <w:sz w:val="24"/>
          <w:szCs w:val="24"/>
        </w:rPr>
      </w:pPr>
      <w:r w:rsidRPr="00746C45">
        <w:rPr>
          <w:rFonts w:asciiTheme="minorHAnsi" w:hAnsiTheme="minorHAnsi" w:cs="Arial"/>
          <w:sz w:val="24"/>
          <w:szCs w:val="24"/>
        </w:rPr>
        <w:t>Contractors are invited to submit full tenders of no more than</w:t>
      </w:r>
      <w:r w:rsidRPr="00746C45">
        <w:rPr>
          <w:rFonts w:asciiTheme="minorHAnsi" w:hAnsiTheme="minorHAnsi" w:cs="Arial"/>
          <w:color w:val="0000FF"/>
          <w:sz w:val="24"/>
          <w:szCs w:val="24"/>
        </w:rPr>
        <w:t xml:space="preserve"> </w:t>
      </w:r>
      <w:r w:rsidR="0008350B" w:rsidRPr="001C53DA">
        <w:rPr>
          <w:rFonts w:asciiTheme="minorHAnsi" w:hAnsiTheme="minorHAnsi" w:cs="Arial"/>
          <w:sz w:val="24"/>
          <w:szCs w:val="24"/>
        </w:rPr>
        <w:t>20</w:t>
      </w:r>
      <w:r w:rsidR="00832B02" w:rsidRPr="00746C45">
        <w:rPr>
          <w:rFonts w:asciiTheme="minorHAnsi" w:hAnsiTheme="minorHAnsi" w:cs="Arial"/>
          <w:color w:val="FF0000"/>
          <w:sz w:val="24"/>
          <w:szCs w:val="24"/>
        </w:rPr>
        <w:t xml:space="preserve"> </w:t>
      </w:r>
      <w:r w:rsidRPr="00746C45">
        <w:rPr>
          <w:rFonts w:asciiTheme="minorHAnsi" w:hAnsiTheme="minorHAnsi" w:cs="Arial"/>
          <w:sz w:val="24"/>
          <w:szCs w:val="24"/>
        </w:rPr>
        <w:t>pages</w:t>
      </w:r>
      <w:r w:rsidR="008036AA" w:rsidRPr="00746C45">
        <w:rPr>
          <w:rFonts w:asciiTheme="minorHAnsi" w:hAnsiTheme="minorHAnsi" w:cs="Arial"/>
          <w:sz w:val="24"/>
          <w:szCs w:val="24"/>
        </w:rPr>
        <w:t>, excluding declarations</w:t>
      </w:r>
      <w:r w:rsidR="001C53DA">
        <w:rPr>
          <w:rFonts w:asciiTheme="minorHAnsi" w:hAnsiTheme="minorHAnsi" w:cs="Arial"/>
          <w:sz w:val="24"/>
          <w:szCs w:val="24"/>
        </w:rPr>
        <w:t xml:space="preserve"> and other supplementary documentation</w:t>
      </w:r>
      <w:r w:rsidRPr="00746C45">
        <w:rPr>
          <w:rFonts w:asciiTheme="minorHAnsi" w:hAnsiTheme="minorHAnsi" w:cs="Arial"/>
          <w:sz w:val="24"/>
          <w:szCs w:val="24"/>
        </w:rPr>
        <w:t>.</w:t>
      </w:r>
      <w:r w:rsidR="00E4650D" w:rsidRPr="00746C45">
        <w:rPr>
          <w:rFonts w:asciiTheme="minorHAnsi" w:hAnsiTheme="minorHAnsi" w:cs="Arial"/>
          <w:sz w:val="24"/>
          <w:szCs w:val="24"/>
        </w:rPr>
        <w:t xml:space="preserve"> </w:t>
      </w:r>
      <w:r w:rsidR="003C54D5" w:rsidRPr="00746C45">
        <w:rPr>
          <w:rFonts w:asciiTheme="minorHAnsi" w:hAnsiTheme="minorHAnsi" w:cs="Arial"/>
          <w:sz w:val="24"/>
          <w:szCs w:val="24"/>
        </w:rPr>
        <w:t xml:space="preserve">Tenders will be evaluated by at least three </w:t>
      </w:r>
      <w:r w:rsidR="0097210C" w:rsidRPr="00746C45">
        <w:rPr>
          <w:rFonts w:asciiTheme="minorHAnsi" w:hAnsiTheme="minorHAnsi" w:cs="Arial"/>
          <w:sz w:val="24"/>
          <w:szCs w:val="24"/>
        </w:rPr>
        <w:t>C</w:t>
      </w:r>
      <w:r w:rsidR="003C54D5" w:rsidRPr="00746C45">
        <w:rPr>
          <w:rFonts w:asciiTheme="minorHAnsi" w:hAnsiTheme="minorHAnsi" w:cs="Arial"/>
          <w:sz w:val="24"/>
          <w:szCs w:val="24"/>
        </w:rPr>
        <w:t>CC staff</w:t>
      </w:r>
      <w:r w:rsidR="005C788B" w:rsidRPr="00746C45">
        <w:rPr>
          <w:rFonts w:asciiTheme="minorHAnsi" w:hAnsiTheme="minorHAnsi" w:cs="Arial"/>
          <w:sz w:val="24"/>
          <w:szCs w:val="24"/>
        </w:rPr>
        <w:t>.</w:t>
      </w:r>
    </w:p>
    <w:p w14:paraId="5EA8759F" w14:textId="66D1713C" w:rsidR="00002825" w:rsidRPr="00746C45" w:rsidRDefault="0097210C" w:rsidP="00746C45">
      <w:pPr>
        <w:pStyle w:val="NoSpacing"/>
        <w:spacing w:afterLines="80" w:after="192" w:line="276" w:lineRule="auto"/>
        <w:rPr>
          <w:rFonts w:asciiTheme="minorHAnsi" w:hAnsiTheme="minorHAnsi" w:cs="Arial"/>
          <w:sz w:val="24"/>
          <w:szCs w:val="24"/>
        </w:rPr>
      </w:pPr>
      <w:r w:rsidRPr="00746C45">
        <w:rPr>
          <w:rFonts w:asciiTheme="minorHAnsi" w:hAnsiTheme="minorHAnsi" w:cs="Arial"/>
          <w:sz w:val="24"/>
          <w:szCs w:val="24"/>
        </w:rPr>
        <w:t>C</w:t>
      </w:r>
      <w:r w:rsidR="003C54D5" w:rsidRPr="00746C45">
        <w:rPr>
          <w:rFonts w:asciiTheme="minorHAnsi" w:hAnsiTheme="minorHAnsi" w:cs="Arial"/>
          <w:sz w:val="24"/>
          <w:szCs w:val="24"/>
        </w:rPr>
        <w:t xml:space="preserve">CC will select the bidder that </w:t>
      </w:r>
      <w:r w:rsidR="007C2B17" w:rsidRPr="00746C45">
        <w:rPr>
          <w:rFonts w:asciiTheme="minorHAnsi" w:hAnsiTheme="minorHAnsi" w:cs="Arial"/>
          <w:sz w:val="24"/>
          <w:szCs w:val="24"/>
        </w:rPr>
        <w:t>scores highest against the</w:t>
      </w:r>
      <w:r w:rsidR="003C54D5" w:rsidRPr="00746C45">
        <w:rPr>
          <w:rFonts w:asciiTheme="minorHAnsi" w:hAnsiTheme="minorHAnsi" w:cs="Arial"/>
          <w:sz w:val="24"/>
          <w:szCs w:val="24"/>
        </w:rPr>
        <w:t xml:space="preserve"> crit</w:t>
      </w:r>
      <w:r w:rsidR="00804221" w:rsidRPr="00746C45">
        <w:rPr>
          <w:rFonts w:asciiTheme="minorHAnsi" w:hAnsiTheme="minorHAnsi" w:cs="Arial"/>
          <w:sz w:val="24"/>
          <w:szCs w:val="24"/>
        </w:rPr>
        <w:t>eria and weighting listed below, s</w:t>
      </w:r>
      <w:r w:rsidR="00002825" w:rsidRPr="00746C45">
        <w:rPr>
          <w:rFonts w:asciiTheme="minorHAnsi" w:hAnsiTheme="minorHAnsi" w:cs="Arial"/>
          <w:sz w:val="24"/>
          <w:szCs w:val="24"/>
        </w:rPr>
        <w:t xml:space="preserve">ee </w:t>
      </w:r>
      <w:r w:rsidR="00EE50B0" w:rsidRPr="00746C45">
        <w:rPr>
          <w:rFonts w:asciiTheme="minorHAnsi" w:hAnsiTheme="minorHAnsi" w:cs="Arial"/>
          <w:sz w:val="24"/>
          <w:szCs w:val="24"/>
        </w:rPr>
        <w:t>the ITT</w:t>
      </w:r>
      <w:r w:rsidR="00002825" w:rsidRPr="00746C45">
        <w:rPr>
          <w:rFonts w:asciiTheme="minorHAnsi" w:hAnsiTheme="minorHAnsi" w:cs="Arial"/>
          <w:sz w:val="24"/>
          <w:szCs w:val="24"/>
        </w:rPr>
        <w:t xml:space="preserve"> for further information</w:t>
      </w:r>
      <w:r w:rsidR="00804221" w:rsidRPr="00746C45">
        <w:rPr>
          <w:rFonts w:asciiTheme="minorHAnsi" w:hAnsiTheme="minorHAnsi" w:cs="Arial"/>
          <w:sz w:val="24"/>
          <w:szCs w:val="24"/>
        </w:rPr>
        <w:t>.</w:t>
      </w:r>
    </w:p>
    <w:p w14:paraId="5EA875A1" w14:textId="77777777" w:rsidR="001623B7" w:rsidRPr="00746C45" w:rsidRDefault="001623B7" w:rsidP="009138B2">
      <w:pPr>
        <w:pStyle w:val="Norma"/>
        <w:spacing w:afterLines="80" w:after="192" w:line="276" w:lineRule="auto"/>
        <w:rPr>
          <w:rFonts w:asciiTheme="minorHAnsi" w:hAnsiTheme="minorHAnsi" w:cs="Arial"/>
          <w:b/>
        </w:rPr>
      </w:pPr>
    </w:p>
    <w:p w14:paraId="5EA875A2" w14:textId="77777777" w:rsidR="001623B7" w:rsidRPr="00746C45" w:rsidRDefault="001623B7" w:rsidP="009138B2">
      <w:pPr>
        <w:pStyle w:val="Norma"/>
        <w:spacing w:afterLines="80" w:after="192" w:line="276" w:lineRule="auto"/>
        <w:ind w:left="360"/>
        <w:rPr>
          <w:rFonts w:asciiTheme="minorHAnsi" w:hAnsiTheme="minorHAnsi" w:cs="Arial"/>
          <w:b/>
        </w:rPr>
      </w:pPr>
      <w:r w:rsidRPr="00746C45">
        <w:rPr>
          <w:rFonts w:asciiTheme="minorHAnsi" w:hAnsiTheme="minorHAnsi" w:cs="Arial"/>
          <w:b/>
        </w:rPr>
        <w:t>EVALUATION CRITERIA AND SCORING METHODOLOGY</w:t>
      </w:r>
    </w:p>
    <w:tbl>
      <w:tblPr>
        <w:tblStyle w:val="NormalTable0"/>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840"/>
        <w:gridCol w:w="2099"/>
      </w:tblGrid>
      <w:tr w:rsidR="0069387B" w:rsidRPr="00C6546D" w14:paraId="2177E9D2" w14:textId="77777777" w:rsidTr="003B649D">
        <w:tc>
          <w:tcPr>
            <w:tcW w:w="1133" w:type="dxa"/>
          </w:tcPr>
          <w:p w14:paraId="720AA8CC" w14:textId="77777777" w:rsidR="0069387B" w:rsidRPr="00F7796D" w:rsidRDefault="0069387B" w:rsidP="003B649D">
            <w:pPr>
              <w:pStyle w:val="Heading4"/>
              <w:jc w:val="center"/>
              <w:rPr>
                <w:rFonts w:ascii="Arial" w:hAnsi="Arial" w:cs="Arial"/>
              </w:rPr>
            </w:pPr>
            <w:r w:rsidRPr="00F7796D">
              <w:rPr>
                <w:rFonts w:ascii="Arial" w:hAnsi="Arial" w:cs="Arial"/>
              </w:rPr>
              <w:t>Criterion</w:t>
            </w:r>
          </w:p>
        </w:tc>
        <w:tc>
          <w:tcPr>
            <w:tcW w:w="5840" w:type="dxa"/>
            <w:shd w:val="clear" w:color="auto" w:fill="auto"/>
          </w:tcPr>
          <w:p w14:paraId="1DFA8868" w14:textId="77777777" w:rsidR="0069387B" w:rsidRPr="00F7796D" w:rsidRDefault="0069387B" w:rsidP="003B649D">
            <w:pPr>
              <w:pStyle w:val="Heading4"/>
              <w:rPr>
                <w:rFonts w:ascii="Arial" w:hAnsi="Arial" w:cs="Arial"/>
              </w:rPr>
            </w:pPr>
            <w:r w:rsidRPr="00F7796D">
              <w:rPr>
                <w:rFonts w:ascii="Arial" w:hAnsi="Arial" w:cs="Arial"/>
              </w:rPr>
              <w:t>Description</w:t>
            </w:r>
          </w:p>
        </w:tc>
        <w:tc>
          <w:tcPr>
            <w:tcW w:w="2099" w:type="dxa"/>
            <w:shd w:val="clear" w:color="auto" w:fill="auto"/>
          </w:tcPr>
          <w:p w14:paraId="2F4FBFA5" w14:textId="77777777" w:rsidR="0069387B" w:rsidRPr="00F7796D" w:rsidRDefault="0069387B" w:rsidP="003B649D">
            <w:pPr>
              <w:pStyle w:val="Heading4"/>
              <w:jc w:val="center"/>
              <w:rPr>
                <w:rFonts w:ascii="Arial" w:hAnsi="Arial" w:cs="Arial"/>
              </w:rPr>
            </w:pPr>
            <w:r w:rsidRPr="00F7796D">
              <w:rPr>
                <w:rFonts w:ascii="Arial" w:hAnsi="Arial" w:cs="Arial"/>
              </w:rPr>
              <w:t>Weighting</w:t>
            </w:r>
          </w:p>
        </w:tc>
      </w:tr>
      <w:tr w:rsidR="0069387B" w:rsidRPr="00C6546D" w14:paraId="39DDB525" w14:textId="77777777" w:rsidTr="003B649D">
        <w:tc>
          <w:tcPr>
            <w:tcW w:w="1133" w:type="dxa"/>
          </w:tcPr>
          <w:p w14:paraId="1051DEB4" w14:textId="77777777" w:rsidR="0069387B" w:rsidRPr="00F7796D" w:rsidRDefault="0069387B" w:rsidP="003B649D">
            <w:pPr>
              <w:pStyle w:val="Norma"/>
              <w:jc w:val="center"/>
              <w:rPr>
                <w:rFonts w:cs="Arial"/>
              </w:rPr>
            </w:pPr>
            <w:r>
              <w:rPr>
                <w:rFonts w:cs="Arial"/>
              </w:rPr>
              <w:t>1</w:t>
            </w:r>
          </w:p>
        </w:tc>
        <w:tc>
          <w:tcPr>
            <w:tcW w:w="5840" w:type="dxa"/>
            <w:shd w:val="clear" w:color="auto" w:fill="auto"/>
          </w:tcPr>
          <w:p w14:paraId="2FD968D2" w14:textId="77777777" w:rsidR="0069387B" w:rsidRPr="00F7796D" w:rsidRDefault="0069387B" w:rsidP="003B649D">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099" w:type="dxa"/>
            <w:shd w:val="clear" w:color="auto" w:fill="auto"/>
          </w:tcPr>
          <w:p w14:paraId="42971A6E" w14:textId="77777777" w:rsidR="0069387B" w:rsidRPr="00F7796D" w:rsidRDefault="0069387B" w:rsidP="003B649D">
            <w:pPr>
              <w:pStyle w:val="Norma"/>
              <w:jc w:val="center"/>
              <w:rPr>
                <w:rFonts w:cs="Arial"/>
              </w:rPr>
            </w:pPr>
            <w:r>
              <w:rPr>
                <w:rFonts w:cs="Arial"/>
              </w:rPr>
              <w:t>15%</w:t>
            </w:r>
          </w:p>
        </w:tc>
      </w:tr>
      <w:tr w:rsidR="0069387B" w:rsidRPr="00C6546D" w14:paraId="3F766D2E" w14:textId="77777777" w:rsidTr="003B649D">
        <w:tc>
          <w:tcPr>
            <w:tcW w:w="1133" w:type="dxa"/>
          </w:tcPr>
          <w:p w14:paraId="097B155A" w14:textId="77777777" w:rsidR="0069387B" w:rsidRPr="00F7796D" w:rsidRDefault="0069387B" w:rsidP="003B649D">
            <w:pPr>
              <w:pStyle w:val="Norma"/>
              <w:jc w:val="center"/>
              <w:rPr>
                <w:rFonts w:cs="Arial"/>
              </w:rPr>
            </w:pPr>
            <w:r>
              <w:rPr>
                <w:rFonts w:cs="Arial"/>
              </w:rPr>
              <w:t>2</w:t>
            </w:r>
          </w:p>
        </w:tc>
        <w:tc>
          <w:tcPr>
            <w:tcW w:w="5840" w:type="dxa"/>
            <w:shd w:val="clear" w:color="auto" w:fill="auto"/>
          </w:tcPr>
          <w:p w14:paraId="51EEC70E" w14:textId="77777777" w:rsidR="0069387B" w:rsidRPr="00F7796D" w:rsidRDefault="0069387B" w:rsidP="003B649D">
            <w:pPr>
              <w:pStyle w:val="Norma"/>
              <w:rPr>
                <w:rFonts w:cs="Arial"/>
              </w:rPr>
            </w:pPr>
            <w:r w:rsidRPr="00334AEE">
              <w:rPr>
                <w:rFonts w:ascii="Calibri" w:hAnsi="Calibri"/>
                <w:b/>
              </w:rPr>
              <w:t>PROJECT TEAM</w:t>
            </w:r>
            <w:r>
              <w:rPr>
                <w:rFonts w:ascii="Calibri" w:hAnsi="Calibri"/>
                <w:b/>
              </w:rPr>
              <w:t xml:space="preserve"> – SKILLS AND KNOWLEDGE</w:t>
            </w:r>
          </w:p>
        </w:tc>
        <w:tc>
          <w:tcPr>
            <w:tcW w:w="2099" w:type="dxa"/>
            <w:shd w:val="clear" w:color="auto" w:fill="auto"/>
          </w:tcPr>
          <w:p w14:paraId="5057481D" w14:textId="77777777" w:rsidR="0069387B" w:rsidRPr="00F7796D" w:rsidRDefault="0069387B" w:rsidP="003B649D">
            <w:pPr>
              <w:pStyle w:val="Norma"/>
              <w:jc w:val="center"/>
              <w:rPr>
                <w:rFonts w:cs="Arial"/>
              </w:rPr>
            </w:pPr>
            <w:r>
              <w:rPr>
                <w:rFonts w:cs="Arial"/>
              </w:rPr>
              <w:t>20%</w:t>
            </w:r>
          </w:p>
        </w:tc>
      </w:tr>
      <w:tr w:rsidR="0069387B" w:rsidRPr="00C6546D" w14:paraId="0A03E0C5" w14:textId="77777777" w:rsidTr="003B649D">
        <w:tc>
          <w:tcPr>
            <w:tcW w:w="1133" w:type="dxa"/>
          </w:tcPr>
          <w:p w14:paraId="3D476616" w14:textId="77777777" w:rsidR="0069387B" w:rsidRPr="00F7796D" w:rsidRDefault="0069387B" w:rsidP="003B649D">
            <w:pPr>
              <w:pStyle w:val="Norma"/>
              <w:jc w:val="center"/>
              <w:rPr>
                <w:rFonts w:cs="Arial"/>
              </w:rPr>
            </w:pPr>
            <w:r>
              <w:rPr>
                <w:rFonts w:cs="Arial"/>
              </w:rPr>
              <w:t>3</w:t>
            </w:r>
          </w:p>
        </w:tc>
        <w:tc>
          <w:tcPr>
            <w:tcW w:w="5840" w:type="dxa"/>
            <w:shd w:val="clear" w:color="auto" w:fill="auto"/>
          </w:tcPr>
          <w:p w14:paraId="772434CD" w14:textId="77777777" w:rsidR="0069387B" w:rsidRPr="00F7796D" w:rsidRDefault="0069387B" w:rsidP="003B649D">
            <w:pPr>
              <w:pStyle w:val="Norma"/>
              <w:rPr>
                <w:rFonts w:cs="Arial"/>
              </w:rPr>
            </w:pPr>
            <w:r w:rsidRPr="00334AEE">
              <w:rPr>
                <w:rFonts w:ascii="Calibri" w:hAnsi="Calibri"/>
                <w:b/>
              </w:rPr>
              <w:t>UNDERSTANDING OF REQUIREMENTS</w:t>
            </w:r>
          </w:p>
        </w:tc>
        <w:tc>
          <w:tcPr>
            <w:tcW w:w="2099" w:type="dxa"/>
            <w:shd w:val="clear" w:color="auto" w:fill="auto"/>
          </w:tcPr>
          <w:p w14:paraId="430AA25F" w14:textId="77777777" w:rsidR="0069387B" w:rsidRPr="00F7796D" w:rsidRDefault="0069387B" w:rsidP="003B649D">
            <w:pPr>
              <w:pStyle w:val="Norma"/>
              <w:jc w:val="center"/>
              <w:rPr>
                <w:rFonts w:cs="Arial"/>
              </w:rPr>
            </w:pPr>
            <w:r>
              <w:rPr>
                <w:rFonts w:cs="Arial"/>
              </w:rPr>
              <w:t>10%</w:t>
            </w:r>
          </w:p>
        </w:tc>
      </w:tr>
      <w:tr w:rsidR="0069387B" w:rsidRPr="00C6546D" w14:paraId="28D0C16D" w14:textId="77777777" w:rsidTr="003B649D">
        <w:tc>
          <w:tcPr>
            <w:tcW w:w="1133" w:type="dxa"/>
          </w:tcPr>
          <w:p w14:paraId="51D29944" w14:textId="77777777" w:rsidR="0069387B" w:rsidRPr="00F7796D" w:rsidRDefault="0069387B" w:rsidP="003B649D">
            <w:pPr>
              <w:pStyle w:val="Norma"/>
              <w:jc w:val="center"/>
              <w:rPr>
                <w:rFonts w:cs="Arial"/>
              </w:rPr>
            </w:pPr>
            <w:r>
              <w:rPr>
                <w:rFonts w:cs="Arial"/>
              </w:rPr>
              <w:t>4</w:t>
            </w:r>
          </w:p>
        </w:tc>
        <w:tc>
          <w:tcPr>
            <w:tcW w:w="5840" w:type="dxa"/>
            <w:shd w:val="clear" w:color="auto" w:fill="auto"/>
          </w:tcPr>
          <w:p w14:paraId="174EAC48" w14:textId="77777777" w:rsidR="0069387B" w:rsidRPr="00F7796D" w:rsidRDefault="0069387B" w:rsidP="003B649D">
            <w:pPr>
              <w:pStyle w:val="Norma"/>
              <w:rPr>
                <w:rFonts w:cs="Arial"/>
              </w:rPr>
            </w:pPr>
            <w:r w:rsidRPr="00334AEE">
              <w:rPr>
                <w:rFonts w:ascii="Calibri" w:hAnsi="Calibri"/>
                <w:b/>
              </w:rPr>
              <w:t>METHOD, ABILITY AND TECHNICAL CAPACITY</w:t>
            </w:r>
          </w:p>
        </w:tc>
        <w:tc>
          <w:tcPr>
            <w:tcW w:w="2099" w:type="dxa"/>
            <w:shd w:val="clear" w:color="auto" w:fill="auto"/>
          </w:tcPr>
          <w:p w14:paraId="4034132F" w14:textId="77777777" w:rsidR="0069387B" w:rsidRPr="00F7796D" w:rsidRDefault="0069387B" w:rsidP="003B649D">
            <w:pPr>
              <w:pStyle w:val="Norma"/>
              <w:jc w:val="center"/>
              <w:rPr>
                <w:rFonts w:cs="Arial"/>
              </w:rPr>
            </w:pPr>
            <w:r>
              <w:rPr>
                <w:rFonts w:cs="Arial"/>
              </w:rPr>
              <w:t>30%</w:t>
            </w:r>
          </w:p>
        </w:tc>
      </w:tr>
      <w:tr w:rsidR="0069387B" w:rsidRPr="00C6546D" w14:paraId="37230706" w14:textId="77777777" w:rsidTr="003B649D">
        <w:tc>
          <w:tcPr>
            <w:tcW w:w="1133" w:type="dxa"/>
          </w:tcPr>
          <w:p w14:paraId="6B9933C8" w14:textId="77777777" w:rsidR="0069387B" w:rsidRPr="00F7796D" w:rsidRDefault="0069387B" w:rsidP="003B649D">
            <w:pPr>
              <w:pStyle w:val="Norma"/>
              <w:jc w:val="center"/>
              <w:rPr>
                <w:rFonts w:cs="Arial"/>
              </w:rPr>
            </w:pPr>
            <w:r>
              <w:rPr>
                <w:rFonts w:cs="Arial"/>
              </w:rPr>
              <w:t>5</w:t>
            </w:r>
          </w:p>
        </w:tc>
        <w:tc>
          <w:tcPr>
            <w:tcW w:w="5840" w:type="dxa"/>
            <w:shd w:val="clear" w:color="auto" w:fill="auto"/>
          </w:tcPr>
          <w:p w14:paraId="6F6480E8" w14:textId="77777777" w:rsidR="0069387B" w:rsidRPr="00F7796D" w:rsidRDefault="0069387B" w:rsidP="003B649D">
            <w:pPr>
              <w:pStyle w:val="Norma"/>
              <w:rPr>
                <w:rFonts w:cs="Arial"/>
              </w:rPr>
            </w:pPr>
            <w:r w:rsidRPr="00334AEE">
              <w:rPr>
                <w:rFonts w:ascii="Calibri" w:hAnsi="Calibri"/>
                <w:b/>
              </w:rPr>
              <w:t xml:space="preserve">MANAGING YOUR </w:t>
            </w:r>
            <w:r>
              <w:rPr>
                <w:rFonts w:ascii="Calibri" w:hAnsi="Calibri"/>
                <w:b/>
              </w:rPr>
              <w:t>RELATIONSHIP WITH THE CCC</w:t>
            </w:r>
          </w:p>
        </w:tc>
        <w:tc>
          <w:tcPr>
            <w:tcW w:w="2099" w:type="dxa"/>
            <w:shd w:val="clear" w:color="auto" w:fill="auto"/>
          </w:tcPr>
          <w:p w14:paraId="7DB22ADB" w14:textId="77777777" w:rsidR="0069387B" w:rsidRPr="00F7796D" w:rsidRDefault="0069387B" w:rsidP="003B649D">
            <w:pPr>
              <w:pStyle w:val="Norma"/>
              <w:jc w:val="center"/>
              <w:rPr>
                <w:rFonts w:cs="Arial"/>
              </w:rPr>
            </w:pPr>
            <w:r>
              <w:rPr>
                <w:rFonts w:cs="Arial"/>
              </w:rPr>
              <w:t>5%</w:t>
            </w:r>
          </w:p>
        </w:tc>
      </w:tr>
      <w:tr w:rsidR="0069387B" w:rsidRPr="00C6546D" w14:paraId="7F48315E" w14:textId="77777777" w:rsidTr="003B649D">
        <w:tc>
          <w:tcPr>
            <w:tcW w:w="1133" w:type="dxa"/>
          </w:tcPr>
          <w:p w14:paraId="55D14792" w14:textId="77777777" w:rsidR="0069387B" w:rsidRPr="00F7796D" w:rsidRDefault="0069387B" w:rsidP="003B649D">
            <w:pPr>
              <w:pStyle w:val="Norma"/>
              <w:jc w:val="center"/>
              <w:rPr>
                <w:rFonts w:cs="Arial"/>
              </w:rPr>
            </w:pPr>
            <w:r>
              <w:rPr>
                <w:rFonts w:cs="Arial"/>
              </w:rPr>
              <w:t>6</w:t>
            </w:r>
          </w:p>
        </w:tc>
        <w:tc>
          <w:tcPr>
            <w:tcW w:w="5840" w:type="dxa"/>
            <w:shd w:val="clear" w:color="auto" w:fill="auto"/>
          </w:tcPr>
          <w:p w14:paraId="58B39670" w14:textId="77777777" w:rsidR="0069387B" w:rsidRPr="00F7796D" w:rsidRDefault="0069387B" w:rsidP="003B649D">
            <w:pPr>
              <w:pStyle w:val="Norma"/>
              <w:rPr>
                <w:rFonts w:cs="Arial"/>
              </w:rPr>
            </w:pPr>
            <w:r w:rsidRPr="00334AEE">
              <w:rPr>
                <w:rFonts w:ascii="Calibri" w:hAnsi="Calibri"/>
                <w:b/>
              </w:rPr>
              <w:t>QUALITY ASSURING THE SERVICES YOU PROVIDE</w:t>
            </w:r>
          </w:p>
        </w:tc>
        <w:tc>
          <w:tcPr>
            <w:tcW w:w="2099" w:type="dxa"/>
            <w:shd w:val="clear" w:color="auto" w:fill="auto"/>
          </w:tcPr>
          <w:p w14:paraId="7C9F1DD3" w14:textId="77777777" w:rsidR="0069387B" w:rsidRPr="00F7796D" w:rsidRDefault="0069387B" w:rsidP="003B649D">
            <w:pPr>
              <w:pStyle w:val="Norma"/>
              <w:jc w:val="center"/>
              <w:rPr>
                <w:rFonts w:cs="Arial"/>
              </w:rPr>
            </w:pPr>
            <w:r>
              <w:rPr>
                <w:rFonts w:cs="Arial"/>
              </w:rPr>
              <w:t>20%</w:t>
            </w:r>
          </w:p>
        </w:tc>
      </w:tr>
      <w:tr w:rsidR="0069387B" w:rsidRPr="00C6546D" w14:paraId="41CFD7A6" w14:textId="77777777" w:rsidTr="003B649D">
        <w:tc>
          <w:tcPr>
            <w:tcW w:w="1133" w:type="dxa"/>
          </w:tcPr>
          <w:p w14:paraId="0F9ADDF6" w14:textId="77777777" w:rsidR="0069387B" w:rsidRPr="00F7796D" w:rsidRDefault="0069387B" w:rsidP="003B649D">
            <w:pPr>
              <w:pStyle w:val="Norma"/>
              <w:jc w:val="center"/>
              <w:rPr>
                <w:rFonts w:cs="Arial"/>
              </w:rPr>
            </w:pPr>
          </w:p>
        </w:tc>
        <w:tc>
          <w:tcPr>
            <w:tcW w:w="5840" w:type="dxa"/>
            <w:shd w:val="clear" w:color="auto" w:fill="auto"/>
          </w:tcPr>
          <w:p w14:paraId="4341CEC1" w14:textId="77777777" w:rsidR="0069387B" w:rsidRPr="00F7796D" w:rsidRDefault="0069387B" w:rsidP="003B649D">
            <w:pPr>
              <w:pStyle w:val="Norma"/>
              <w:rPr>
                <w:rFonts w:cs="Arial"/>
              </w:rPr>
            </w:pPr>
          </w:p>
        </w:tc>
        <w:tc>
          <w:tcPr>
            <w:tcW w:w="2099" w:type="dxa"/>
            <w:shd w:val="clear" w:color="auto" w:fill="auto"/>
          </w:tcPr>
          <w:p w14:paraId="4EA59848" w14:textId="77777777" w:rsidR="0069387B" w:rsidRPr="00F7796D" w:rsidRDefault="0069387B" w:rsidP="003B649D">
            <w:pPr>
              <w:pStyle w:val="Norma"/>
              <w:jc w:val="center"/>
              <w:rPr>
                <w:rFonts w:cs="Arial"/>
              </w:rPr>
            </w:pPr>
          </w:p>
        </w:tc>
      </w:tr>
      <w:tr w:rsidR="0069387B" w:rsidRPr="00C6546D" w14:paraId="0AFE93D3" w14:textId="77777777" w:rsidTr="003B649D">
        <w:tc>
          <w:tcPr>
            <w:tcW w:w="6973" w:type="dxa"/>
            <w:gridSpan w:val="2"/>
          </w:tcPr>
          <w:p w14:paraId="5D90DECF" w14:textId="77777777" w:rsidR="0069387B" w:rsidRPr="00F7796D" w:rsidRDefault="0069387B" w:rsidP="003B649D">
            <w:pPr>
              <w:pStyle w:val="Norma"/>
              <w:rPr>
                <w:rFonts w:cs="Arial"/>
              </w:rPr>
            </w:pPr>
          </w:p>
        </w:tc>
        <w:tc>
          <w:tcPr>
            <w:tcW w:w="2099" w:type="dxa"/>
            <w:shd w:val="clear" w:color="auto" w:fill="auto"/>
          </w:tcPr>
          <w:p w14:paraId="19C08D6F" w14:textId="77777777" w:rsidR="0069387B" w:rsidRPr="00F7796D" w:rsidRDefault="0069387B" w:rsidP="003B649D">
            <w:pPr>
              <w:pStyle w:val="Norma"/>
              <w:jc w:val="center"/>
              <w:rPr>
                <w:rFonts w:cs="Arial"/>
              </w:rPr>
            </w:pPr>
            <w:r w:rsidRPr="00F7796D">
              <w:rPr>
                <w:rFonts w:cs="Arial"/>
              </w:rPr>
              <w:t>100%</w:t>
            </w:r>
          </w:p>
        </w:tc>
      </w:tr>
    </w:tbl>
    <w:p w14:paraId="1D4C831D" w14:textId="77777777" w:rsidR="00824F55" w:rsidRDefault="00824F55" w:rsidP="009138B2">
      <w:pPr>
        <w:pStyle w:val="Norma"/>
        <w:spacing w:afterLines="80" w:after="192" w:line="276" w:lineRule="auto"/>
        <w:jc w:val="both"/>
        <w:rPr>
          <w:rFonts w:asciiTheme="minorHAnsi" w:hAnsiTheme="minorHAnsi" w:cs="Arial"/>
          <w:b/>
          <w:bCs/>
          <w:sz w:val="24"/>
          <w:szCs w:val="24"/>
        </w:rPr>
      </w:pPr>
    </w:p>
    <w:p w14:paraId="1B4EA350" w14:textId="77777777" w:rsidR="00824F55" w:rsidRPr="00746C45" w:rsidRDefault="00824F55" w:rsidP="009138B2">
      <w:pPr>
        <w:pStyle w:val="Norma"/>
        <w:spacing w:afterLines="80" w:after="192" w:line="276" w:lineRule="auto"/>
        <w:jc w:val="both"/>
        <w:rPr>
          <w:rFonts w:asciiTheme="minorHAnsi" w:hAnsiTheme="minorHAnsi" w:cs="Arial"/>
          <w:b/>
          <w:bCs/>
          <w:sz w:val="24"/>
          <w:szCs w:val="24"/>
        </w:rPr>
      </w:pPr>
    </w:p>
    <w:p w14:paraId="5EA875CE" w14:textId="77777777" w:rsidR="00F129F3" w:rsidRPr="00746C45" w:rsidRDefault="00F129F3" w:rsidP="009138B2">
      <w:pPr>
        <w:pStyle w:val="Norma"/>
        <w:spacing w:afterLines="80" w:after="192" w:line="276" w:lineRule="auto"/>
        <w:jc w:val="both"/>
        <w:rPr>
          <w:rFonts w:asciiTheme="minorHAnsi" w:hAnsiTheme="minorHAnsi" w:cs="Arial"/>
          <w:b/>
          <w:bCs/>
          <w:sz w:val="24"/>
          <w:szCs w:val="24"/>
        </w:rPr>
      </w:pPr>
      <w:r w:rsidRPr="00746C45">
        <w:rPr>
          <w:rFonts w:asciiTheme="minorHAnsi" w:hAnsiTheme="minorHAnsi" w:cs="Arial"/>
          <w:b/>
          <w:bCs/>
          <w:sz w:val="24"/>
          <w:szCs w:val="24"/>
        </w:rPr>
        <w:lastRenderedPageBreak/>
        <w:t>Scoring Method</w:t>
      </w:r>
    </w:p>
    <w:p w14:paraId="5EA875D0" w14:textId="77777777" w:rsidR="00F129F3" w:rsidRPr="00746C45" w:rsidRDefault="00F129F3" w:rsidP="009138B2">
      <w:pPr>
        <w:pStyle w:val="Norma"/>
        <w:spacing w:afterLines="80" w:after="192" w:line="276" w:lineRule="auto"/>
        <w:jc w:val="both"/>
        <w:rPr>
          <w:rFonts w:asciiTheme="minorHAnsi" w:hAnsiTheme="minorHAnsi" w:cs="Arial"/>
          <w:bCs/>
          <w:sz w:val="24"/>
          <w:szCs w:val="24"/>
        </w:rPr>
      </w:pPr>
      <w:r w:rsidRPr="00746C45">
        <w:rPr>
          <w:rFonts w:asciiTheme="minorHAnsi" w:hAnsiTheme="minorHAnsi" w:cs="Arial"/>
          <w:bCs/>
          <w:sz w:val="24"/>
          <w:szCs w:val="24"/>
        </w:rPr>
        <w:t xml:space="preserve">Tenders will be scored against each of the criteria above, according to the extent to which they meet the requirements of the tender. The meaning of each score is outlined in the table below. </w:t>
      </w:r>
    </w:p>
    <w:p w14:paraId="5EA875D2" w14:textId="77777777" w:rsidR="00F129F3" w:rsidRPr="00746C45" w:rsidRDefault="00F129F3" w:rsidP="009138B2">
      <w:pPr>
        <w:pStyle w:val="Norma"/>
        <w:spacing w:afterLines="80" w:after="192" w:line="276" w:lineRule="auto"/>
        <w:jc w:val="both"/>
        <w:rPr>
          <w:rFonts w:asciiTheme="minorHAnsi" w:hAnsiTheme="minorHAnsi" w:cs="Arial"/>
          <w:sz w:val="24"/>
          <w:szCs w:val="24"/>
        </w:rPr>
      </w:pPr>
      <w:r w:rsidRPr="00746C45">
        <w:rPr>
          <w:rFonts w:asciiTheme="minorHAnsi" w:hAnsiTheme="minorHAnsi"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746C45" w14:paraId="5EA875D6" w14:textId="77777777" w:rsidTr="005F190E">
        <w:tc>
          <w:tcPr>
            <w:tcW w:w="884" w:type="dxa"/>
          </w:tcPr>
          <w:p w14:paraId="5EA875D4" w14:textId="77777777" w:rsidR="00F129F3" w:rsidRPr="00746C45" w:rsidRDefault="00F129F3" w:rsidP="009138B2">
            <w:pPr>
              <w:pStyle w:val="Norma"/>
              <w:spacing w:afterLines="80" w:after="192" w:line="276" w:lineRule="auto"/>
              <w:jc w:val="both"/>
              <w:rPr>
                <w:rFonts w:asciiTheme="minorHAnsi" w:hAnsiTheme="minorHAnsi" w:cs="Arial"/>
                <w:b/>
                <w:sz w:val="24"/>
                <w:szCs w:val="24"/>
              </w:rPr>
            </w:pPr>
            <w:r w:rsidRPr="00746C45">
              <w:rPr>
                <w:rFonts w:asciiTheme="minorHAnsi" w:hAnsiTheme="minorHAnsi" w:cs="Arial"/>
                <w:b/>
                <w:sz w:val="24"/>
                <w:szCs w:val="24"/>
              </w:rPr>
              <w:t>Score</w:t>
            </w:r>
          </w:p>
        </w:tc>
        <w:tc>
          <w:tcPr>
            <w:tcW w:w="7939" w:type="dxa"/>
          </w:tcPr>
          <w:p w14:paraId="5EA875D5" w14:textId="77777777" w:rsidR="00F129F3" w:rsidRPr="00746C45" w:rsidRDefault="00F129F3" w:rsidP="009138B2">
            <w:pPr>
              <w:pStyle w:val="Norma"/>
              <w:spacing w:afterLines="80" w:after="192" w:line="276" w:lineRule="auto"/>
              <w:jc w:val="both"/>
              <w:rPr>
                <w:rFonts w:asciiTheme="minorHAnsi" w:hAnsiTheme="minorHAnsi" w:cs="Arial"/>
                <w:b/>
                <w:sz w:val="24"/>
                <w:szCs w:val="24"/>
              </w:rPr>
            </w:pPr>
            <w:r w:rsidRPr="00746C45">
              <w:rPr>
                <w:rFonts w:asciiTheme="minorHAnsi" w:hAnsiTheme="minorHAnsi" w:cs="Arial"/>
                <w:b/>
                <w:sz w:val="24"/>
                <w:szCs w:val="24"/>
              </w:rPr>
              <w:t>Description</w:t>
            </w:r>
          </w:p>
        </w:tc>
      </w:tr>
      <w:tr w:rsidR="00F129F3" w:rsidRPr="00746C45" w14:paraId="5EA875D9" w14:textId="77777777" w:rsidTr="005F190E">
        <w:trPr>
          <w:trHeight w:val="313"/>
        </w:trPr>
        <w:tc>
          <w:tcPr>
            <w:tcW w:w="884" w:type="dxa"/>
          </w:tcPr>
          <w:p w14:paraId="5EA875D7" w14:textId="77777777" w:rsidR="00F129F3" w:rsidRPr="00746C45" w:rsidRDefault="00F129F3" w:rsidP="009138B2">
            <w:pPr>
              <w:pStyle w:val="Norma"/>
              <w:spacing w:afterLines="80" w:after="192" w:line="276" w:lineRule="auto"/>
              <w:jc w:val="both"/>
              <w:rPr>
                <w:rFonts w:asciiTheme="minorHAnsi" w:hAnsiTheme="minorHAnsi" w:cs="Arial"/>
                <w:sz w:val="24"/>
                <w:szCs w:val="24"/>
              </w:rPr>
            </w:pPr>
            <w:r w:rsidRPr="00746C45">
              <w:rPr>
                <w:rFonts w:asciiTheme="minorHAnsi" w:hAnsiTheme="minorHAnsi" w:cs="Arial"/>
                <w:sz w:val="24"/>
                <w:szCs w:val="24"/>
              </w:rPr>
              <w:t>1</w:t>
            </w:r>
          </w:p>
        </w:tc>
        <w:tc>
          <w:tcPr>
            <w:tcW w:w="7939" w:type="dxa"/>
          </w:tcPr>
          <w:p w14:paraId="5EA875D8" w14:textId="77777777" w:rsidR="00F129F3" w:rsidRPr="00746C45" w:rsidRDefault="00F129F3" w:rsidP="009138B2">
            <w:pPr>
              <w:pStyle w:val="NoSpacing"/>
              <w:spacing w:afterLines="80" w:after="192" w:line="276" w:lineRule="auto"/>
              <w:rPr>
                <w:rFonts w:asciiTheme="minorHAnsi" w:hAnsiTheme="minorHAnsi" w:cs="Arial"/>
                <w:sz w:val="24"/>
                <w:szCs w:val="24"/>
              </w:rPr>
            </w:pPr>
            <w:r w:rsidRPr="00746C45">
              <w:rPr>
                <w:rFonts w:asciiTheme="minorHAnsi" w:hAnsiTheme="minorHAnsi" w:cs="Arial"/>
                <w:sz w:val="24"/>
                <w:szCs w:val="24"/>
              </w:rPr>
              <w:t>Not Satisfactory: Proposal contains significant shortcomings and does not meet the required standard</w:t>
            </w:r>
          </w:p>
        </w:tc>
      </w:tr>
      <w:tr w:rsidR="00F129F3" w:rsidRPr="00746C45" w14:paraId="5EA875DC" w14:textId="77777777" w:rsidTr="005F190E">
        <w:tc>
          <w:tcPr>
            <w:tcW w:w="884" w:type="dxa"/>
          </w:tcPr>
          <w:p w14:paraId="5EA875DA" w14:textId="77777777" w:rsidR="00F129F3" w:rsidRPr="00746C45" w:rsidRDefault="00F129F3" w:rsidP="009138B2">
            <w:pPr>
              <w:pStyle w:val="Norma"/>
              <w:spacing w:afterLines="80" w:after="192" w:line="276" w:lineRule="auto"/>
              <w:jc w:val="both"/>
              <w:rPr>
                <w:rFonts w:asciiTheme="minorHAnsi" w:hAnsiTheme="minorHAnsi" w:cs="Arial"/>
                <w:sz w:val="24"/>
                <w:szCs w:val="24"/>
              </w:rPr>
            </w:pPr>
            <w:r w:rsidRPr="00746C45">
              <w:rPr>
                <w:rFonts w:asciiTheme="minorHAnsi" w:hAnsiTheme="minorHAnsi" w:cs="Arial"/>
                <w:sz w:val="24"/>
                <w:szCs w:val="24"/>
              </w:rPr>
              <w:t>2</w:t>
            </w:r>
          </w:p>
        </w:tc>
        <w:tc>
          <w:tcPr>
            <w:tcW w:w="7939" w:type="dxa"/>
          </w:tcPr>
          <w:p w14:paraId="5EA875DB" w14:textId="77777777" w:rsidR="00F129F3" w:rsidRPr="00746C45" w:rsidRDefault="00F129F3" w:rsidP="009138B2">
            <w:pPr>
              <w:pStyle w:val="NoSpacing"/>
              <w:spacing w:afterLines="80" w:after="192" w:line="276" w:lineRule="auto"/>
              <w:rPr>
                <w:rFonts w:asciiTheme="minorHAnsi" w:hAnsiTheme="minorHAnsi" w:cs="Arial"/>
                <w:sz w:val="24"/>
                <w:szCs w:val="24"/>
              </w:rPr>
            </w:pPr>
            <w:r w:rsidRPr="00746C45">
              <w:rPr>
                <w:rFonts w:asciiTheme="minorHAnsi" w:hAnsiTheme="minorHAnsi" w:cs="Arial"/>
                <w:sz w:val="24"/>
                <w:szCs w:val="24"/>
              </w:rPr>
              <w:t xml:space="preserve">Partially Satisfactory: Proposal partially meets the required standard, with one or more moderate weaknesses or gaps </w:t>
            </w:r>
          </w:p>
        </w:tc>
      </w:tr>
      <w:tr w:rsidR="00F129F3" w:rsidRPr="00746C45" w14:paraId="5EA875DF" w14:textId="77777777" w:rsidTr="005F190E">
        <w:tc>
          <w:tcPr>
            <w:tcW w:w="884" w:type="dxa"/>
          </w:tcPr>
          <w:p w14:paraId="5EA875DD" w14:textId="77777777" w:rsidR="00F129F3" w:rsidRPr="00746C45" w:rsidRDefault="00F129F3" w:rsidP="009138B2">
            <w:pPr>
              <w:pStyle w:val="Norma"/>
              <w:spacing w:afterLines="80" w:after="192" w:line="276" w:lineRule="auto"/>
              <w:jc w:val="both"/>
              <w:rPr>
                <w:rFonts w:asciiTheme="minorHAnsi" w:hAnsiTheme="minorHAnsi" w:cs="Arial"/>
                <w:sz w:val="24"/>
                <w:szCs w:val="24"/>
              </w:rPr>
            </w:pPr>
            <w:r w:rsidRPr="00746C45">
              <w:rPr>
                <w:rFonts w:asciiTheme="minorHAnsi" w:hAnsiTheme="minorHAnsi" w:cs="Arial"/>
                <w:sz w:val="24"/>
                <w:szCs w:val="24"/>
              </w:rPr>
              <w:t>3</w:t>
            </w:r>
          </w:p>
        </w:tc>
        <w:tc>
          <w:tcPr>
            <w:tcW w:w="7939" w:type="dxa"/>
          </w:tcPr>
          <w:p w14:paraId="5EA875DE" w14:textId="77777777" w:rsidR="00F129F3" w:rsidRPr="00746C45" w:rsidRDefault="00F129F3" w:rsidP="009138B2">
            <w:pPr>
              <w:pStyle w:val="NoSpacing"/>
              <w:spacing w:afterLines="80" w:after="192" w:line="276" w:lineRule="auto"/>
              <w:rPr>
                <w:rFonts w:asciiTheme="minorHAnsi" w:hAnsiTheme="minorHAnsi" w:cs="Arial"/>
                <w:sz w:val="24"/>
                <w:szCs w:val="24"/>
              </w:rPr>
            </w:pPr>
            <w:r w:rsidRPr="00746C45">
              <w:rPr>
                <w:rFonts w:asciiTheme="minorHAnsi" w:hAnsiTheme="minorHAnsi" w:cs="Arial"/>
                <w:sz w:val="24"/>
                <w:szCs w:val="24"/>
              </w:rPr>
              <w:t>Satisfactory: Proposal mostly meets the required standard, with one or more minor weaknesses or gaps.</w:t>
            </w:r>
          </w:p>
        </w:tc>
      </w:tr>
      <w:tr w:rsidR="00F129F3" w:rsidRPr="00746C45" w14:paraId="5EA875E2" w14:textId="77777777" w:rsidTr="005F190E">
        <w:tc>
          <w:tcPr>
            <w:tcW w:w="884" w:type="dxa"/>
          </w:tcPr>
          <w:p w14:paraId="5EA875E0" w14:textId="77777777" w:rsidR="00F129F3" w:rsidRPr="00746C45" w:rsidRDefault="00F129F3" w:rsidP="009138B2">
            <w:pPr>
              <w:pStyle w:val="Norma"/>
              <w:spacing w:afterLines="80" w:after="192" w:line="276" w:lineRule="auto"/>
              <w:jc w:val="both"/>
              <w:rPr>
                <w:rFonts w:asciiTheme="minorHAnsi" w:hAnsiTheme="minorHAnsi" w:cs="Arial"/>
                <w:sz w:val="24"/>
                <w:szCs w:val="24"/>
              </w:rPr>
            </w:pPr>
            <w:r w:rsidRPr="00746C45">
              <w:rPr>
                <w:rFonts w:asciiTheme="minorHAnsi" w:hAnsiTheme="minorHAnsi" w:cs="Arial"/>
                <w:sz w:val="24"/>
                <w:szCs w:val="24"/>
              </w:rPr>
              <w:t>4</w:t>
            </w:r>
          </w:p>
        </w:tc>
        <w:tc>
          <w:tcPr>
            <w:tcW w:w="7939" w:type="dxa"/>
          </w:tcPr>
          <w:p w14:paraId="5EA875E1" w14:textId="77777777" w:rsidR="00F129F3" w:rsidRPr="00746C45" w:rsidRDefault="00F129F3" w:rsidP="009138B2">
            <w:pPr>
              <w:pStyle w:val="NoSpacing"/>
              <w:spacing w:afterLines="80" w:after="192" w:line="276" w:lineRule="auto"/>
              <w:rPr>
                <w:rFonts w:asciiTheme="minorHAnsi" w:hAnsiTheme="minorHAnsi" w:cs="Arial"/>
                <w:sz w:val="24"/>
                <w:szCs w:val="24"/>
              </w:rPr>
            </w:pPr>
            <w:r w:rsidRPr="00746C45">
              <w:rPr>
                <w:rFonts w:asciiTheme="minorHAnsi" w:hAnsiTheme="minorHAnsi" w:cs="Arial"/>
                <w:sz w:val="24"/>
                <w:szCs w:val="24"/>
              </w:rPr>
              <w:t>Good: Proposal meets the required standard, with moderate levels of assurance</w:t>
            </w:r>
          </w:p>
        </w:tc>
      </w:tr>
      <w:tr w:rsidR="00F129F3" w:rsidRPr="00746C45" w14:paraId="5EA875E5" w14:textId="77777777" w:rsidTr="005F190E">
        <w:tc>
          <w:tcPr>
            <w:tcW w:w="884" w:type="dxa"/>
          </w:tcPr>
          <w:p w14:paraId="5EA875E3" w14:textId="77777777" w:rsidR="00F129F3" w:rsidRPr="00746C45" w:rsidRDefault="00F129F3" w:rsidP="009138B2">
            <w:pPr>
              <w:pStyle w:val="Norma"/>
              <w:spacing w:afterLines="80" w:after="192" w:line="276" w:lineRule="auto"/>
              <w:jc w:val="both"/>
              <w:rPr>
                <w:rFonts w:asciiTheme="minorHAnsi" w:hAnsiTheme="minorHAnsi" w:cs="Arial"/>
                <w:sz w:val="24"/>
                <w:szCs w:val="24"/>
              </w:rPr>
            </w:pPr>
            <w:r w:rsidRPr="00746C45">
              <w:rPr>
                <w:rFonts w:asciiTheme="minorHAnsi" w:hAnsiTheme="minorHAnsi" w:cs="Arial"/>
                <w:sz w:val="24"/>
                <w:szCs w:val="24"/>
              </w:rPr>
              <w:t>5</w:t>
            </w:r>
          </w:p>
        </w:tc>
        <w:tc>
          <w:tcPr>
            <w:tcW w:w="7939" w:type="dxa"/>
          </w:tcPr>
          <w:p w14:paraId="5EA875E4" w14:textId="77777777" w:rsidR="00F129F3" w:rsidRPr="00746C45" w:rsidRDefault="00F129F3" w:rsidP="009138B2">
            <w:pPr>
              <w:pStyle w:val="NoSpacing"/>
              <w:spacing w:afterLines="80" w:after="192" w:line="276" w:lineRule="auto"/>
              <w:rPr>
                <w:rFonts w:asciiTheme="minorHAnsi" w:hAnsiTheme="minorHAnsi" w:cs="Arial"/>
                <w:sz w:val="24"/>
                <w:szCs w:val="24"/>
              </w:rPr>
            </w:pPr>
            <w:r w:rsidRPr="00746C45">
              <w:rPr>
                <w:rFonts w:asciiTheme="minorHAnsi" w:hAnsiTheme="minorHAnsi" w:cs="Arial"/>
                <w:sz w:val="24"/>
                <w:szCs w:val="24"/>
              </w:rPr>
              <w:t>Excellent: Proposal fully meets the required standard with high levels of assurance</w:t>
            </w:r>
          </w:p>
        </w:tc>
      </w:tr>
    </w:tbl>
    <w:p w14:paraId="5EA87615" w14:textId="77777777" w:rsidR="004A2B75" w:rsidRPr="00746C45" w:rsidRDefault="004A2B75" w:rsidP="009138B2">
      <w:pPr>
        <w:pStyle w:val="Norma"/>
        <w:spacing w:afterLines="80" w:after="192" w:line="276" w:lineRule="auto"/>
        <w:jc w:val="both"/>
        <w:rPr>
          <w:rFonts w:asciiTheme="minorHAnsi" w:hAnsiTheme="minorHAnsi" w:cs="Arial"/>
          <w:b/>
          <w:sz w:val="24"/>
          <w:szCs w:val="24"/>
        </w:rPr>
      </w:pPr>
      <w:bookmarkStart w:id="59" w:name="nine01"/>
      <w:bookmarkEnd w:id="59"/>
    </w:p>
    <w:p w14:paraId="5EA87616" w14:textId="77777777" w:rsidR="00BD1875" w:rsidRPr="00746C45" w:rsidRDefault="00BD1875" w:rsidP="009138B2">
      <w:pPr>
        <w:pStyle w:val="Norma"/>
        <w:spacing w:afterLines="80" w:after="192" w:line="276" w:lineRule="auto"/>
        <w:jc w:val="both"/>
        <w:rPr>
          <w:rFonts w:asciiTheme="minorHAnsi" w:hAnsiTheme="minorHAnsi" w:cs="Arial"/>
          <w:b/>
          <w:sz w:val="24"/>
          <w:szCs w:val="24"/>
        </w:rPr>
      </w:pPr>
      <w:r w:rsidRPr="00746C45">
        <w:rPr>
          <w:rFonts w:asciiTheme="minorHAnsi" w:hAnsiTheme="minorHAnsi" w:cs="Arial"/>
          <w:b/>
          <w:sz w:val="24"/>
          <w:szCs w:val="24"/>
        </w:rPr>
        <w:t>Structure of Tenders</w:t>
      </w:r>
    </w:p>
    <w:p w14:paraId="5EA87618" w14:textId="6E218984" w:rsidR="00D648EC" w:rsidRPr="00746C45" w:rsidRDefault="007B668D" w:rsidP="009138B2">
      <w:pPr>
        <w:pStyle w:val="Norma"/>
        <w:spacing w:afterLines="80" w:after="192" w:line="276" w:lineRule="auto"/>
        <w:jc w:val="both"/>
        <w:rPr>
          <w:rFonts w:asciiTheme="minorHAnsi" w:eastAsia="Calibri" w:hAnsiTheme="minorHAnsi" w:cs="Arial"/>
          <w:sz w:val="24"/>
          <w:szCs w:val="24"/>
          <w:lang w:eastAsia="en-US"/>
        </w:rPr>
      </w:pPr>
      <w:r w:rsidRPr="00746C45">
        <w:rPr>
          <w:rFonts w:asciiTheme="minorHAnsi" w:hAnsiTheme="minorHAnsi" w:cs="Arial"/>
          <w:sz w:val="24"/>
          <w:szCs w:val="24"/>
        </w:rPr>
        <w:t>Contractors are strongly advised to structure their tender submissions to cover</w:t>
      </w:r>
      <w:r w:rsidR="000B765B" w:rsidRPr="00746C45">
        <w:rPr>
          <w:rFonts w:asciiTheme="minorHAnsi" w:hAnsiTheme="minorHAnsi" w:cs="Arial"/>
          <w:sz w:val="24"/>
          <w:szCs w:val="24"/>
        </w:rPr>
        <w:t xml:space="preserve"> each of</w:t>
      </w:r>
      <w:r w:rsidRPr="00746C45">
        <w:rPr>
          <w:rFonts w:asciiTheme="minorHAnsi" w:hAnsiTheme="minorHAnsi" w:cs="Arial"/>
          <w:sz w:val="24"/>
          <w:szCs w:val="24"/>
        </w:rPr>
        <w:t xml:space="preserve"> the criteria above</w:t>
      </w:r>
      <w:r w:rsidR="00F81BC1" w:rsidRPr="00746C45">
        <w:rPr>
          <w:rFonts w:asciiTheme="minorHAnsi" w:hAnsiTheme="minorHAnsi" w:cs="Arial"/>
          <w:sz w:val="24"/>
          <w:szCs w:val="24"/>
        </w:rPr>
        <w:t xml:space="preserve"> and supply a price </w:t>
      </w:r>
      <w:r w:rsidR="006D62F6" w:rsidRPr="00746C45">
        <w:rPr>
          <w:rFonts w:asciiTheme="minorHAnsi" w:eastAsia="Calibri" w:hAnsiTheme="minorHAnsi" w:cs="Arial"/>
          <w:sz w:val="24"/>
          <w:szCs w:val="24"/>
          <w:lang w:eastAsia="en-US"/>
        </w:rPr>
        <w:t xml:space="preserve">schedule </w:t>
      </w:r>
      <w:r w:rsidR="00D648EC" w:rsidRPr="00746C45">
        <w:rPr>
          <w:rFonts w:asciiTheme="minorHAnsi" w:eastAsia="Calibri" w:hAnsiTheme="minorHAnsi" w:cs="Arial"/>
          <w:sz w:val="24"/>
          <w:szCs w:val="24"/>
          <w:lang w:eastAsia="en-US"/>
        </w:rPr>
        <w:t xml:space="preserve">specifying the daily rates (ex-VAT) you will charge for each level of your staff. </w:t>
      </w:r>
    </w:p>
    <w:p w14:paraId="5EA8761A" w14:textId="77777777" w:rsidR="003B5CAF" w:rsidRPr="00746C45" w:rsidRDefault="003B5CAF" w:rsidP="009138B2">
      <w:pPr>
        <w:pStyle w:val="Norma"/>
        <w:spacing w:afterLines="80" w:after="192" w:line="276" w:lineRule="auto"/>
        <w:jc w:val="both"/>
        <w:rPr>
          <w:rFonts w:asciiTheme="minorHAnsi" w:hAnsiTheme="minorHAnsi" w:cs="Calibri"/>
          <w:b/>
        </w:rPr>
      </w:pPr>
    </w:p>
    <w:p w14:paraId="5EA8761B" w14:textId="77777777" w:rsidR="000B02C5" w:rsidRPr="00746C45" w:rsidRDefault="000B02C5" w:rsidP="009138B2">
      <w:pPr>
        <w:pStyle w:val="Norma"/>
        <w:spacing w:afterLines="80" w:after="192" w:line="276" w:lineRule="auto"/>
        <w:jc w:val="both"/>
        <w:rPr>
          <w:rFonts w:asciiTheme="minorHAnsi" w:hAnsiTheme="minorHAnsi" w:cs="Arial"/>
          <w:b/>
          <w:sz w:val="24"/>
          <w:szCs w:val="24"/>
        </w:rPr>
      </w:pPr>
      <w:r w:rsidRPr="00746C45">
        <w:rPr>
          <w:rFonts w:asciiTheme="minorHAnsi" w:hAnsiTheme="minorHAnsi" w:cs="Arial"/>
          <w:b/>
          <w:sz w:val="24"/>
          <w:szCs w:val="24"/>
        </w:rPr>
        <w:t>Evaluation for Interviews</w:t>
      </w:r>
      <w:r w:rsidR="00CF00CA" w:rsidRPr="00746C45">
        <w:rPr>
          <w:rFonts w:asciiTheme="minorHAnsi" w:hAnsiTheme="minorHAnsi" w:cs="Arial"/>
          <w:b/>
          <w:sz w:val="24"/>
          <w:szCs w:val="24"/>
        </w:rPr>
        <w:t>, if held</w:t>
      </w:r>
      <w:r w:rsidRPr="00746C45">
        <w:rPr>
          <w:rFonts w:asciiTheme="minorHAnsi" w:hAnsiTheme="minorHAnsi" w:cs="Arial"/>
          <w:b/>
          <w:sz w:val="24"/>
          <w:szCs w:val="24"/>
        </w:rPr>
        <w:t xml:space="preserve"> </w:t>
      </w:r>
    </w:p>
    <w:p w14:paraId="5EA8761D" w14:textId="4BB87FDC" w:rsidR="002E198B" w:rsidRPr="00746C45" w:rsidRDefault="0097210C" w:rsidP="009138B2">
      <w:pPr>
        <w:pStyle w:val="Norma"/>
        <w:spacing w:afterLines="80" w:after="192" w:line="276" w:lineRule="auto"/>
        <w:jc w:val="both"/>
        <w:rPr>
          <w:rFonts w:asciiTheme="minorHAnsi" w:hAnsiTheme="minorHAnsi" w:cs="Arial"/>
          <w:sz w:val="24"/>
          <w:szCs w:val="24"/>
        </w:rPr>
      </w:pPr>
      <w:r w:rsidRPr="00746C45">
        <w:rPr>
          <w:rFonts w:asciiTheme="minorHAnsi" w:hAnsiTheme="minorHAnsi" w:cs="Arial"/>
          <w:sz w:val="24"/>
          <w:szCs w:val="24"/>
        </w:rPr>
        <w:t>C</w:t>
      </w:r>
      <w:r w:rsidR="00222DF8" w:rsidRPr="00746C45">
        <w:rPr>
          <w:rFonts w:asciiTheme="minorHAnsi" w:hAnsiTheme="minorHAnsi" w:cs="Arial"/>
          <w:sz w:val="24"/>
          <w:szCs w:val="24"/>
        </w:rPr>
        <w:t xml:space="preserve">CC reserves the right to award the contract based on applicants’ written evaluation only if one candidate emerges from the evaluation stage as significantly stronger than the others.  </w:t>
      </w:r>
    </w:p>
    <w:p w14:paraId="3DADA445" w14:textId="0AA8A3A5" w:rsidR="00802C0A" w:rsidRPr="00746C45" w:rsidRDefault="00802C0A" w:rsidP="009138B2">
      <w:pPr>
        <w:pStyle w:val="Norma"/>
        <w:spacing w:afterLines="80" w:after="192" w:line="276" w:lineRule="auto"/>
        <w:jc w:val="both"/>
        <w:rPr>
          <w:rFonts w:asciiTheme="minorHAnsi" w:hAnsiTheme="minorHAnsi" w:cs="Arial"/>
          <w:sz w:val="24"/>
          <w:szCs w:val="24"/>
        </w:rPr>
      </w:pPr>
      <w:r w:rsidRPr="00746C45">
        <w:rPr>
          <w:rFonts w:asciiTheme="minorHAnsi" w:hAnsiTheme="minorHAnsi" w:cs="Arial"/>
          <w:sz w:val="24"/>
          <w:szCs w:val="24"/>
        </w:rPr>
        <w:t xml:space="preserve">Should interviews go ahead, CCC will shortlist the top three suppliers with the highest marks from the written proposals. Interviews are provisionally expected to be held </w:t>
      </w:r>
      <w:r w:rsidR="0008350B" w:rsidRPr="00746C45">
        <w:rPr>
          <w:rFonts w:asciiTheme="minorHAnsi" w:hAnsiTheme="minorHAnsi" w:cs="Arial"/>
          <w:sz w:val="24"/>
          <w:szCs w:val="24"/>
        </w:rPr>
        <w:t>in the</w:t>
      </w:r>
      <w:r w:rsidRPr="00746C45">
        <w:rPr>
          <w:rFonts w:asciiTheme="minorHAnsi" w:hAnsiTheme="minorHAnsi" w:cs="Arial"/>
          <w:sz w:val="24"/>
          <w:szCs w:val="24"/>
        </w:rPr>
        <w:t xml:space="preserve"> </w:t>
      </w:r>
      <w:r w:rsidR="0008350B" w:rsidRPr="00824F55">
        <w:rPr>
          <w:rFonts w:asciiTheme="minorHAnsi" w:hAnsiTheme="minorHAnsi" w:cs="Arial"/>
          <w:sz w:val="24"/>
          <w:szCs w:val="24"/>
        </w:rPr>
        <w:t>week commencing 21 November</w:t>
      </w:r>
      <w:r w:rsidRPr="00746C45">
        <w:rPr>
          <w:rFonts w:asciiTheme="minorHAnsi" w:hAnsiTheme="minorHAnsi" w:cs="Arial"/>
          <w:sz w:val="24"/>
          <w:szCs w:val="24"/>
        </w:rPr>
        <w:t xml:space="preserve">. If this date changes, CCC will notify applicants. </w:t>
      </w:r>
    </w:p>
    <w:p w14:paraId="5EA87621" w14:textId="335D7D1B" w:rsidR="006C44C2" w:rsidRPr="00746C45" w:rsidRDefault="006C44C2" w:rsidP="009138B2">
      <w:pPr>
        <w:pStyle w:val="Norma"/>
        <w:spacing w:afterLines="80" w:after="192" w:line="276" w:lineRule="auto"/>
        <w:jc w:val="both"/>
        <w:rPr>
          <w:rFonts w:asciiTheme="minorHAnsi" w:hAnsiTheme="minorHAnsi" w:cs="Arial"/>
          <w:sz w:val="24"/>
          <w:szCs w:val="24"/>
        </w:rPr>
      </w:pPr>
      <w:r w:rsidRPr="00746C45">
        <w:rPr>
          <w:rFonts w:asciiTheme="minorHAnsi" w:hAnsiTheme="minorHAnsi" w:cs="Arial"/>
          <w:sz w:val="24"/>
          <w:szCs w:val="24"/>
        </w:rPr>
        <w:t>The areas to be covered in the interview, and markings allocated to each topic area will be sent to the shortlisted supplier prior to interview.</w:t>
      </w:r>
    </w:p>
    <w:p w14:paraId="5EA87623" w14:textId="77777777" w:rsidR="00A54FFC" w:rsidRPr="00746C45" w:rsidRDefault="00222DF8" w:rsidP="009138B2">
      <w:pPr>
        <w:pStyle w:val="Norma"/>
        <w:spacing w:afterLines="80" w:after="192" w:line="276" w:lineRule="auto"/>
        <w:jc w:val="both"/>
        <w:rPr>
          <w:rFonts w:asciiTheme="minorHAnsi" w:hAnsiTheme="minorHAnsi" w:cs="Arial"/>
          <w:sz w:val="24"/>
          <w:szCs w:val="24"/>
        </w:rPr>
      </w:pPr>
      <w:r w:rsidRPr="00746C45">
        <w:rPr>
          <w:rFonts w:asciiTheme="minorHAnsi" w:hAnsiTheme="minorHAnsi" w:cs="Arial"/>
          <w:sz w:val="24"/>
          <w:szCs w:val="24"/>
        </w:rPr>
        <w:lastRenderedPageBreak/>
        <w:t>Further details of interview</w:t>
      </w:r>
      <w:r w:rsidR="000967DA" w:rsidRPr="00746C45">
        <w:rPr>
          <w:rFonts w:asciiTheme="minorHAnsi" w:hAnsiTheme="minorHAnsi" w:cs="Arial"/>
          <w:sz w:val="24"/>
          <w:szCs w:val="24"/>
        </w:rPr>
        <w:t>s</w:t>
      </w:r>
      <w:r w:rsidRPr="00746C45">
        <w:rPr>
          <w:rFonts w:asciiTheme="minorHAnsi" w:hAnsiTheme="minorHAnsi" w:cs="Arial"/>
          <w:sz w:val="24"/>
          <w:szCs w:val="24"/>
        </w:rPr>
        <w:t xml:space="preserve"> will be sent to successful applicants on selection.</w:t>
      </w:r>
      <w:r w:rsidR="001C6E36" w:rsidRPr="00746C45">
        <w:rPr>
          <w:rFonts w:asciiTheme="minorHAnsi" w:hAnsiTheme="minorHAnsi" w:cs="Arial"/>
          <w:sz w:val="24"/>
          <w:szCs w:val="24"/>
        </w:rPr>
        <w:t xml:space="preserve"> </w:t>
      </w:r>
    </w:p>
    <w:p w14:paraId="5EA87625" w14:textId="77777777" w:rsidR="003C1CE8" w:rsidRPr="00746C45" w:rsidRDefault="003C1CE8" w:rsidP="009138B2">
      <w:pPr>
        <w:pStyle w:val="Norma"/>
        <w:spacing w:afterLines="80" w:after="192" w:line="276" w:lineRule="auto"/>
        <w:jc w:val="both"/>
        <w:rPr>
          <w:rFonts w:asciiTheme="minorHAnsi" w:hAnsiTheme="minorHAnsi" w:cs="Calibri"/>
        </w:rPr>
      </w:pPr>
    </w:p>
    <w:p w14:paraId="5EA87626" w14:textId="77777777" w:rsidR="00480D1F" w:rsidRPr="00746C45" w:rsidRDefault="00480D1F" w:rsidP="009138B2">
      <w:pPr>
        <w:pStyle w:val="Norma"/>
        <w:widowControl/>
        <w:tabs>
          <w:tab w:val="left" w:pos="-1440"/>
          <w:tab w:val="left" w:pos="-720"/>
          <w:tab w:val="left" w:pos="0"/>
        </w:tabs>
        <w:suppressAutoHyphens/>
        <w:overflowPunct/>
        <w:autoSpaceDE/>
        <w:autoSpaceDN/>
        <w:adjustRightInd/>
        <w:spacing w:afterLines="80" w:after="192" w:line="276" w:lineRule="auto"/>
        <w:textAlignment w:val="auto"/>
        <w:rPr>
          <w:rFonts w:asciiTheme="minorHAnsi" w:hAnsiTheme="minorHAnsi" w:cs="Arial"/>
          <w:b/>
          <w:sz w:val="24"/>
          <w:szCs w:val="24"/>
        </w:rPr>
      </w:pPr>
      <w:r w:rsidRPr="00746C45">
        <w:rPr>
          <w:rFonts w:asciiTheme="minorHAnsi" w:hAnsiTheme="minorHAnsi" w:cs="Arial"/>
          <w:b/>
          <w:sz w:val="24"/>
          <w:szCs w:val="24"/>
        </w:rPr>
        <w:t>Feedback</w:t>
      </w:r>
    </w:p>
    <w:p w14:paraId="5EA87629" w14:textId="14FE8B10" w:rsidR="00A10F62" w:rsidRPr="00746C45" w:rsidRDefault="00AA6AF5" w:rsidP="009138B2">
      <w:pPr>
        <w:pStyle w:val="Norma"/>
        <w:widowControl/>
        <w:tabs>
          <w:tab w:val="left" w:pos="-1440"/>
          <w:tab w:val="left" w:pos="-720"/>
          <w:tab w:val="left" w:pos="0"/>
        </w:tabs>
        <w:suppressAutoHyphens/>
        <w:overflowPunct/>
        <w:autoSpaceDE/>
        <w:autoSpaceDN/>
        <w:adjustRightInd/>
        <w:spacing w:afterLines="80" w:after="192" w:line="276" w:lineRule="auto"/>
        <w:textAlignment w:val="auto"/>
        <w:rPr>
          <w:rFonts w:asciiTheme="minorHAnsi" w:hAnsiTheme="minorHAnsi" w:cs="Arial"/>
          <w:sz w:val="24"/>
          <w:szCs w:val="24"/>
        </w:rPr>
      </w:pPr>
      <w:r w:rsidRPr="00746C45">
        <w:rPr>
          <w:rFonts w:asciiTheme="minorHAnsi" w:hAnsiTheme="minorHAnsi" w:cs="Arial"/>
          <w:sz w:val="24"/>
          <w:szCs w:val="24"/>
        </w:rPr>
        <w:t>F</w:t>
      </w:r>
      <w:r w:rsidR="00480D1F" w:rsidRPr="00746C45">
        <w:rPr>
          <w:rFonts w:asciiTheme="minorHAnsi" w:hAnsiTheme="minorHAnsi" w:cs="Arial"/>
          <w:sz w:val="24"/>
          <w:szCs w:val="24"/>
        </w:rPr>
        <w:t xml:space="preserve">eedback </w:t>
      </w:r>
      <w:r w:rsidR="000967DA" w:rsidRPr="00746C45">
        <w:rPr>
          <w:rFonts w:asciiTheme="minorHAnsi" w:hAnsiTheme="minorHAnsi" w:cs="Arial"/>
          <w:sz w:val="24"/>
          <w:szCs w:val="24"/>
        </w:rPr>
        <w:t>will be given in the</w:t>
      </w:r>
      <w:r w:rsidRPr="00746C45">
        <w:rPr>
          <w:rFonts w:asciiTheme="minorHAnsi" w:hAnsiTheme="minorHAnsi" w:cs="Arial"/>
          <w:sz w:val="24"/>
          <w:szCs w:val="24"/>
        </w:rPr>
        <w:t xml:space="preserve"> unsuccessful letters</w:t>
      </w:r>
      <w:r w:rsidRPr="00746C45" w:rsidDel="00AA6AF5">
        <w:rPr>
          <w:rFonts w:asciiTheme="minorHAnsi" w:hAnsiTheme="minorHAnsi" w:cs="Arial"/>
          <w:sz w:val="24"/>
          <w:szCs w:val="24"/>
        </w:rPr>
        <w:t xml:space="preserve"> </w:t>
      </w:r>
      <w:r w:rsidR="000967DA" w:rsidRPr="00746C45">
        <w:rPr>
          <w:rFonts w:asciiTheme="minorHAnsi" w:hAnsiTheme="minorHAnsi" w:cs="Arial"/>
          <w:sz w:val="24"/>
          <w:szCs w:val="24"/>
        </w:rPr>
        <w:t>or emails.</w:t>
      </w:r>
      <w:bookmarkEnd w:id="4"/>
    </w:p>
    <w:sectPr w:rsidR="00A10F62" w:rsidRPr="00746C45" w:rsidSect="005F738A">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34166" w14:textId="77777777" w:rsidR="0076574A" w:rsidRDefault="0076574A" w:rsidP="00EB43D8">
      <w:pPr>
        <w:pStyle w:val="Norma"/>
      </w:pPr>
      <w:r>
        <w:separator/>
      </w:r>
    </w:p>
  </w:endnote>
  <w:endnote w:type="continuationSeparator" w:id="0">
    <w:p w14:paraId="391C1E1F" w14:textId="77777777" w:rsidR="0076574A" w:rsidRDefault="0076574A"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9B12A9">
      <w:rPr>
        <w:noProof/>
      </w:rPr>
      <w:t>2</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787AE" w14:textId="77777777" w:rsidR="0076574A" w:rsidRDefault="0076574A" w:rsidP="00EB43D8">
      <w:pPr>
        <w:pStyle w:val="Norma"/>
      </w:pPr>
      <w:r>
        <w:separator/>
      </w:r>
    </w:p>
  </w:footnote>
  <w:footnote w:type="continuationSeparator" w:id="0">
    <w:p w14:paraId="45382204" w14:textId="77777777" w:rsidR="0076574A" w:rsidRDefault="0076574A" w:rsidP="00EB43D8">
      <w:pPr>
        <w:pStyle w:val="Norma"/>
      </w:pPr>
      <w:r>
        <w:continuationSeparator/>
      </w:r>
    </w:p>
  </w:footnote>
  <w:footnote w:id="1">
    <w:p w14:paraId="53B615DF" w14:textId="77777777" w:rsidR="0008350B" w:rsidRDefault="0008350B" w:rsidP="0008350B">
      <w:pPr>
        <w:pStyle w:val="FootnoteText"/>
      </w:pPr>
      <w:r>
        <w:rPr>
          <w:rStyle w:val="FootnoteReference"/>
        </w:rPr>
        <w:footnoteRef/>
      </w:r>
      <w:r>
        <w:t xml:space="preserve"> All relevant balancing services should be identified. A list of balancing services is given in National Grid's monthly balancing services report: </w:t>
      </w:r>
      <w:hyperlink r:id="rId1" w:history="1">
        <w:r>
          <w:rPr>
            <w:rStyle w:val="Hyperlink"/>
          </w:rPr>
          <w:t>http://www2.nationalgrid.com/UK/Industry-information/Electricity-transmission-operational-data/Report-explorer/Services-Reports/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A50"/>
    <w:multiLevelType w:val="hybridMultilevel"/>
    <w:tmpl w:val="DB6C7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6F12E49"/>
    <w:multiLevelType w:val="hybridMultilevel"/>
    <w:tmpl w:val="B174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F75861"/>
    <w:multiLevelType w:val="hybridMultilevel"/>
    <w:tmpl w:val="8B583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B073814"/>
    <w:multiLevelType w:val="hybridMultilevel"/>
    <w:tmpl w:val="1326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nsid w:val="40AC3522"/>
    <w:multiLevelType w:val="hybridMultilevel"/>
    <w:tmpl w:val="1F24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1F2774"/>
    <w:multiLevelType w:val="hybridMultilevel"/>
    <w:tmpl w:val="8F68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EE0B77"/>
    <w:multiLevelType w:val="hybridMultilevel"/>
    <w:tmpl w:val="26783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B81DBD"/>
    <w:multiLevelType w:val="hybridMultilevel"/>
    <w:tmpl w:val="0E543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4312C4E"/>
    <w:multiLevelType w:val="hybridMultilevel"/>
    <w:tmpl w:val="C9CAF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F6D2091"/>
    <w:multiLevelType w:val="hybridMultilevel"/>
    <w:tmpl w:val="3A36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B81F1F"/>
    <w:multiLevelType w:val="hybridMultilevel"/>
    <w:tmpl w:val="B5983C6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51828BC"/>
    <w:multiLevelType w:val="hybridMultilevel"/>
    <w:tmpl w:val="FB6AB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71132BEB"/>
    <w:multiLevelType w:val="hybridMultilevel"/>
    <w:tmpl w:val="18EC9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767C42E1"/>
    <w:multiLevelType w:val="hybridMultilevel"/>
    <w:tmpl w:val="C30A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830582"/>
    <w:multiLevelType w:val="hybridMultilevel"/>
    <w:tmpl w:val="E18A2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7CF62CDD"/>
    <w:multiLevelType w:val="hybridMultilevel"/>
    <w:tmpl w:val="D08AF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2"/>
  </w:num>
  <w:num w:numId="5">
    <w:abstractNumId w:val="5"/>
  </w:num>
  <w:num w:numId="6">
    <w:abstractNumId w:val="8"/>
  </w:num>
  <w:num w:numId="7">
    <w:abstractNumId w:val="15"/>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10"/>
  </w:num>
  <w:num w:numId="12">
    <w:abstractNumId w:val="16"/>
  </w:num>
  <w:num w:numId="13">
    <w:abstractNumId w:val="1"/>
  </w:num>
  <w:num w:numId="14">
    <w:abstractNumId w:val="0"/>
  </w:num>
  <w:num w:numId="15">
    <w:abstractNumId w:val="2"/>
  </w:num>
  <w:num w:numId="16">
    <w:abstractNumId w:val="17"/>
  </w:num>
  <w:num w:numId="17">
    <w:abstractNumId w:val="18"/>
  </w:num>
  <w:num w:numId="18">
    <w:abstractNumId w:val="3"/>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0B"/>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38D"/>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570"/>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53DA"/>
    <w:rsid w:val="001C687B"/>
    <w:rsid w:val="001C6E36"/>
    <w:rsid w:val="001C6F7B"/>
    <w:rsid w:val="001C7A0A"/>
    <w:rsid w:val="001C7F0D"/>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0872"/>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969"/>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C4F"/>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1BBB"/>
    <w:rsid w:val="00492A89"/>
    <w:rsid w:val="00492ED8"/>
    <w:rsid w:val="004931CB"/>
    <w:rsid w:val="00494DF0"/>
    <w:rsid w:val="00495061"/>
    <w:rsid w:val="00495AA1"/>
    <w:rsid w:val="004967F9"/>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073E4"/>
    <w:rsid w:val="005107B1"/>
    <w:rsid w:val="0051253C"/>
    <w:rsid w:val="00512E78"/>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B4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190E"/>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07F41"/>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387B"/>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6C45"/>
    <w:rsid w:val="0074737C"/>
    <w:rsid w:val="00751B62"/>
    <w:rsid w:val="00752DCA"/>
    <w:rsid w:val="00753073"/>
    <w:rsid w:val="00754017"/>
    <w:rsid w:val="00754FAF"/>
    <w:rsid w:val="007550AC"/>
    <w:rsid w:val="00757B63"/>
    <w:rsid w:val="0076051C"/>
    <w:rsid w:val="0076184E"/>
    <w:rsid w:val="007618B0"/>
    <w:rsid w:val="00764A61"/>
    <w:rsid w:val="00764F78"/>
    <w:rsid w:val="0076574A"/>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1F3"/>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086E"/>
    <w:rsid w:val="007F2BC0"/>
    <w:rsid w:val="007F324C"/>
    <w:rsid w:val="007F49CB"/>
    <w:rsid w:val="007F5016"/>
    <w:rsid w:val="007F59C0"/>
    <w:rsid w:val="007F5D75"/>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16B2B"/>
    <w:rsid w:val="008210E8"/>
    <w:rsid w:val="00821ED1"/>
    <w:rsid w:val="00822007"/>
    <w:rsid w:val="00822428"/>
    <w:rsid w:val="00822D57"/>
    <w:rsid w:val="00823535"/>
    <w:rsid w:val="00823831"/>
    <w:rsid w:val="00823EAB"/>
    <w:rsid w:val="00824F55"/>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1C9"/>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8B2"/>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578A0"/>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12A9"/>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47D"/>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2AB"/>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8B7"/>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652"/>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1D0A"/>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746C45"/>
    <w:pPr>
      <w:keepNext/>
      <w:spacing w:before="240" w:after="60"/>
      <w:outlineLvl w:val="2"/>
    </w:pPr>
    <w:rPr>
      <w:rFonts w:ascii="Cambria" w:hAnsi="Cambria" w:cs="Times New Roman"/>
      <w:b/>
      <w:bCs/>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746C45"/>
    <w:rPr>
      <w:rFonts w:ascii="Cambria" w:eastAsia="Times New Roman" w:hAnsi="Cambria"/>
      <w:b/>
      <w:bCs/>
      <w:sz w:val="22"/>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824F55"/>
    <w:pPr>
      <w:widowControl/>
      <w:overflowPunct/>
      <w:autoSpaceDE/>
      <w:autoSpaceDN/>
      <w:adjustRightInd/>
      <w:spacing w:afterLines="80" w:after="192" w:line="276" w:lineRule="auto"/>
      <w:ind w:left="360" w:hanging="360"/>
      <w:jc w:val="both"/>
      <w:textAlignment w:val="auto"/>
    </w:pPr>
    <w:rPr>
      <w:rFonts w:asciiTheme="minorHAnsi" w:eastAsia="MS Mincho" w:hAnsiTheme="minorHAnsi" w:cs="Arial"/>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3">
    <w:name w:val="toc 3"/>
    <w:basedOn w:val="Normal"/>
    <w:next w:val="Normal"/>
    <w:autoRedefine/>
    <w:uiPriority w:val="39"/>
    <w:unhideWhenUsed/>
    <w:rsid w:val="00746C45"/>
    <w:pPr>
      <w:spacing w:after="100"/>
      <w:ind w:left="400"/>
    </w:pPr>
  </w:style>
  <w:style w:type="paragraph" w:styleId="TOC4">
    <w:name w:val="toc 4"/>
    <w:basedOn w:val="Normal"/>
    <w:next w:val="Normal"/>
    <w:autoRedefine/>
    <w:uiPriority w:val="39"/>
    <w:unhideWhenUsed/>
    <w:rsid w:val="00746C45"/>
    <w:pPr>
      <w:spacing w:after="100"/>
      <w:ind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746C45"/>
    <w:pPr>
      <w:keepNext/>
      <w:spacing w:before="240" w:after="60"/>
      <w:outlineLvl w:val="2"/>
    </w:pPr>
    <w:rPr>
      <w:rFonts w:ascii="Cambria" w:hAnsi="Cambria" w:cs="Times New Roman"/>
      <w:b/>
      <w:bCs/>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746C45"/>
    <w:rPr>
      <w:rFonts w:ascii="Cambria" w:eastAsia="Times New Roman" w:hAnsi="Cambria"/>
      <w:b/>
      <w:bCs/>
      <w:sz w:val="22"/>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824F55"/>
    <w:pPr>
      <w:widowControl/>
      <w:overflowPunct/>
      <w:autoSpaceDE/>
      <w:autoSpaceDN/>
      <w:adjustRightInd/>
      <w:spacing w:afterLines="80" w:after="192" w:line="276" w:lineRule="auto"/>
      <w:ind w:left="360" w:hanging="360"/>
      <w:jc w:val="both"/>
      <w:textAlignment w:val="auto"/>
    </w:pPr>
    <w:rPr>
      <w:rFonts w:asciiTheme="minorHAnsi" w:eastAsia="MS Mincho" w:hAnsiTheme="minorHAnsi" w:cs="Arial"/>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3">
    <w:name w:val="toc 3"/>
    <w:basedOn w:val="Normal"/>
    <w:next w:val="Normal"/>
    <w:autoRedefine/>
    <w:uiPriority w:val="39"/>
    <w:unhideWhenUsed/>
    <w:rsid w:val="00746C45"/>
    <w:pPr>
      <w:spacing w:after="100"/>
      <w:ind w:left="400"/>
    </w:pPr>
  </w:style>
  <w:style w:type="paragraph" w:styleId="TOC4">
    <w:name w:val="toc 4"/>
    <w:basedOn w:val="Normal"/>
    <w:next w:val="Normal"/>
    <w:autoRedefine/>
    <w:uiPriority w:val="39"/>
    <w:unhideWhenUsed/>
    <w:rsid w:val="00746C45"/>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69179085">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38670306">
      <w:bodyDiv w:val="1"/>
      <w:marLeft w:val="0"/>
      <w:marRight w:val="0"/>
      <w:marTop w:val="0"/>
      <w:marBottom w:val="0"/>
      <w:divBdr>
        <w:top w:val="none" w:sz="0" w:space="0" w:color="auto"/>
        <w:left w:val="none" w:sz="0" w:space="0" w:color="auto"/>
        <w:bottom w:val="none" w:sz="0" w:space="0" w:color="auto"/>
        <w:right w:val="none" w:sz="0" w:space="0" w:color="auto"/>
      </w:divBdr>
    </w:div>
    <w:div w:id="655304793">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56775680">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251239067">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32940196">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heccc.org.uk/re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2.nationalgrid.com/UK/Industry-information/Electricity-transmission-operational-data/Report-explorer/Services-Re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sharepoint/v3"/>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29492AE-D5AE-4B5C-9462-F3709DB8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4871</Words>
  <Characters>27770</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2</cp:revision>
  <cp:lastPrinted>2015-02-09T14:25:00Z</cp:lastPrinted>
  <dcterms:created xsi:type="dcterms:W3CDTF">2016-10-28T13:34:00Z</dcterms:created>
  <dcterms:modified xsi:type="dcterms:W3CDTF">2016-10-28T13:34:00Z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