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777" w:rsidRPr="00155FE3" w:rsidRDefault="003A64D3" w:rsidP="00497DA5">
      <w:pPr>
        <w:rPr>
          <w:rFonts w:cs="Arial"/>
          <w:sz w:val="24"/>
        </w:rPr>
      </w:pPr>
      <w:bookmarkStart w:id="0" w:name="_GoBack"/>
      <w:bookmarkEnd w:id="0"/>
      <w:r w:rsidRPr="00155FE3">
        <w:rPr>
          <w:rFonts w:cs="Arial"/>
          <w:noProof/>
          <w:sz w:val="24"/>
        </w:rPr>
        <w:drawing>
          <wp:anchor distT="0" distB="0" distL="114300" distR="114300" simplePos="0" relativeHeight="251657216" behindDoc="1" locked="0" layoutInCell="1" allowOverlap="1" wp14:anchorId="2B188217" wp14:editId="664380CC">
            <wp:simplePos x="0" y="0"/>
            <wp:positionH relativeFrom="column">
              <wp:posOffset>53872</wp:posOffset>
            </wp:positionH>
            <wp:positionV relativeFrom="paragraph">
              <wp:posOffset>-225469</wp:posOffset>
            </wp:positionV>
            <wp:extent cx="1373815" cy="988828"/>
            <wp:effectExtent l="19050" t="0" r="0" b="0"/>
            <wp:wrapNone/>
            <wp:docPr id="2" name="Picture 1"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a:srcRect/>
                    <a:stretch>
                      <a:fillRect/>
                    </a:stretch>
                  </pic:blipFill>
                  <pic:spPr bwMode="auto">
                    <a:xfrm>
                      <a:off x="0" y="0"/>
                      <a:ext cx="1373815" cy="988828"/>
                    </a:xfrm>
                    <a:prstGeom prst="rect">
                      <a:avLst/>
                    </a:prstGeom>
                    <a:noFill/>
                    <a:ln w="9525">
                      <a:noFill/>
                      <a:miter lim="800000"/>
                      <a:headEnd/>
                      <a:tailEnd/>
                    </a:ln>
                  </pic:spPr>
                </pic:pic>
              </a:graphicData>
            </a:graphic>
          </wp:anchor>
        </w:drawing>
      </w:r>
    </w:p>
    <w:p w:rsidR="003A64D3" w:rsidRPr="00155FE3" w:rsidRDefault="003A64D3" w:rsidP="00497DA5">
      <w:pPr>
        <w:rPr>
          <w:rFonts w:cs="Arial"/>
          <w:sz w:val="24"/>
        </w:rPr>
      </w:pPr>
    </w:p>
    <w:p w:rsidR="003A64D3" w:rsidRPr="00155FE3" w:rsidRDefault="003A64D3" w:rsidP="00497DA5">
      <w:pPr>
        <w:rPr>
          <w:rFonts w:cs="Arial"/>
          <w:sz w:val="24"/>
        </w:rPr>
      </w:pPr>
    </w:p>
    <w:tbl>
      <w:tblPr>
        <w:tblW w:w="11307" w:type="dxa"/>
        <w:tblLook w:val="04A0" w:firstRow="1" w:lastRow="0" w:firstColumn="1" w:lastColumn="0" w:noHBand="0" w:noVBand="1"/>
      </w:tblPr>
      <w:tblGrid>
        <w:gridCol w:w="4928"/>
        <w:gridCol w:w="1984"/>
        <w:gridCol w:w="2410"/>
        <w:gridCol w:w="1985"/>
      </w:tblGrid>
      <w:tr w:rsidR="00155FE3" w:rsidRPr="00155FE3" w:rsidTr="00155FE3">
        <w:tc>
          <w:tcPr>
            <w:tcW w:w="4928" w:type="dxa"/>
            <w:vAlign w:val="center"/>
          </w:tcPr>
          <w:p w:rsidR="00155FE3" w:rsidRPr="00155FE3" w:rsidRDefault="00155FE3" w:rsidP="00155FE3">
            <w:pPr>
              <w:spacing w:before="0" w:after="0" w:line="240" w:lineRule="auto"/>
              <w:rPr>
                <w:rFonts w:cs="Arial"/>
                <w:sz w:val="24"/>
              </w:rPr>
            </w:pPr>
          </w:p>
        </w:tc>
        <w:tc>
          <w:tcPr>
            <w:tcW w:w="1984" w:type="dxa"/>
          </w:tcPr>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tc>
        <w:tc>
          <w:tcPr>
            <w:tcW w:w="2410" w:type="dxa"/>
          </w:tcPr>
          <w:p w:rsidR="00155FE3" w:rsidRPr="008A08D1" w:rsidRDefault="00155FE3" w:rsidP="00155FE3">
            <w:pPr>
              <w:pStyle w:val="address"/>
            </w:pPr>
            <w:r w:rsidRPr="008A08D1">
              <w:t xml:space="preserve">Commercial Medicines Unit </w:t>
            </w:r>
            <w:r>
              <w:t xml:space="preserve"> </w:t>
            </w:r>
            <w:r w:rsidRPr="008A08D1">
              <w:t>(CMU)</w:t>
            </w:r>
          </w:p>
          <w:p w:rsidR="00155FE3" w:rsidRPr="008A08D1" w:rsidRDefault="00155FE3" w:rsidP="00155FE3">
            <w:pPr>
              <w:pStyle w:val="address"/>
            </w:pPr>
            <w:r w:rsidRPr="008A08D1">
              <w:t>Medicines, Pharmacy &amp; Industry</w:t>
            </w:r>
          </w:p>
          <w:p w:rsidR="00155FE3" w:rsidRDefault="00155FE3" w:rsidP="00155FE3">
            <w:pPr>
              <w:pStyle w:val="address"/>
            </w:pPr>
            <w:r>
              <w:t>2 Floor</w:t>
            </w:r>
          </w:p>
          <w:p w:rsidR="00155FE3" w:rsidRDefault="00155FE3" w:rsidP="00155FE3">
            <w:pPr>
              <w:pStyle w:val="address"/>
            </w:pPr>
            <w:r>
              <w:t>Rutland House</w:t>
            </w:r>
          </w:p>
          <w:p w:rsidR="00155FE3" w:rsidRDefault="00155FE3" w:rsidP="00155FE3">
            <w:pPr>
              <w:pStyle w:val="address"/>
            </w:pPr>
            <w:r>
              <w:t>Runcorn</w:t>
            </w:r>
          </w:p>
          <w:p w:rsidR="00155FE3" w:rsidRDefault="00155FE3" w:rsidP="00155FE3">
            <w:pPr>
              <w:pStyle w:val="address"/>
            </w:pPr>
            <w:r>
              <w:t>WA7 2ES</w:t>
            </w:r>
          </w:p>
          <w:p w:rsidR="00155FE3" w:rsidRDefault="00155FE3" w:rsidP="00155FE3">
            <w:pPr>
              <w:pStyle w:val="address"/>
            </w:pPr>
          </w:p>
          <w:p w:rsidR="00155FE3" w:rsidRDefault="00155FE3" w:rsidP="00155FE3">
            <w:pPr>
              <w:pStyle w:val="address"/>
            </w:pPr>
          </w:p>
          <w:p w:rsidR="00155FE3" w:rsidRDefault="00155FE3" w:rsidP="00155FE3">
            <w:pPr>
              <w:pStyle w:val="address"/>
            </w:pPr>
            <w:r w:rsidRPr="008A08D1">
              <w:rPr>
                <w:rStyle w:val="colour"/>
              </w:rPr>
              <w:t>www.dh.gov.uk</w:t>
            </w:r>
          </w:p>
          <w:p w:rsidR="00155FE3" w:rsidRPr="008A08D1" w:rsidRDefault="00155FE3" w:rsidP="00155FE3">
            <w:pPr>
              <w:pStyle w:val="address"/>
            </w:pPr>
          </w:p>
          <w:p w:rsidR="00155FE3" w:rsidRPr="00F20FAC" w:rsidRDefault="00155FE3" w:rsidP="00155FE3">
            <w:pPr>
              <w:spacing w:before="0" w:after="0" w:line="240" w:lineRule="auto"/>
              <w:ind w:left="34"/>
              <w:rPr>
                <w:sz w:val="16"/>
                <w:szCs w:val="16"/>
              </w:rPr>
            </w:pPr>
            <w:r w:rsidRPr="00F20FAC">
              <w:rPr>
                <w:sz w:val="16"/>
                <w:szCs w:val="16"/>
              </w:rPr>
              <w:t>All messages regarding the</w:t>
            </w:r>
            <w:r>
              <w:rPr>
                <w:sz w:val="16"/>
                <w:szCs w:val="16"/>
              </w:rPr>
              <w:br/>
              <w:t xml:space="preserve">Offer documentation should be sent </w:t>
            </w:r>
            <w:r w:rsidRPr="00F20FAC">
              <w:rPr>
                <w:sz w:val="16"/>
                <w:szCs w:val="16"/>
              </w:rPr>
              <w:t xml:space="preserve">via the </w:t>
            </w:r>
            <w:proofErr w:type="spellStart"/>
            <w:r w:rsidRPr="00F20FAC">
              <w:rPr>
                <w:sz w:val="16"/>
                <w:szCs w:val="16"/>
              </w:rPr>
              <w:t>Bravo</w:t>
            </w:r>
            <w:r>
              <w:rPr>
                <w:sz w:val="16"/>
                <w:szCs w:val="16"/>
              </w:rPr>
              <w:t>solution</w:t>
            </w:r>
            <w:proofErr w:type="spellEnd"/>
            <w:r>
              <w:rPr>
                <w:sz w:val="16"/>
                <w:szCs w:val="16"/>
              </w:rPr>
              <w:t xml:space="preserve"> </w:t>
            </w:r>
            <w:r w:rsidRPr="00F20FAC">
              <w:rPr>
                <w:sz w:val="16"/>
                <w:szCs w:val="16"/>
              </w:rPr>
              <w:t xml:space="preserve"> Website</w:t>
            </w:r>
          </w:p>
          <w:p w:rsidR="00155FE3" w:rsidRPr="008A08D1" w:rsidRDefault="00155FE3" w:rsidP="00155FE3">
            <w:pPr>
              <w:spacing w:before="0" w:after="0" w:line="240" w:lineRule="auto"/>
              <w:rPr>
                <w:sz w:val="16"/>
                <w:szCs w:val="16"/>
              </w:rPr>
            </w:pPr>
          </w:p>
        </w:tc>
        <w:tc>
          <w:tcPr>
            <w:tcW w:w="1985" w:type="dxa"/>
            <w:vAlign w:val="center"/>
          </w:tcPr>
          <w:p w:rsidR="00155FE3" w:rsidRPr="00155FE3" w:rsidRDefault="00155FE3" w:rsidP="00155FE3">
            <w:pPr>
              <w:spacing w:before="0" w:after="0" w:line="240" w:lineRule="auto"/>
              <w:rPr>
                <w:rFonts w:cs="Arial"/>
                <w:sz w:val="24"/>
              </w:rPr>
            </w:pPr>
          </w:p>
        </w:tc>
      </w:tr>
      <w:tr w:rsidR="00155FE3" w:rsidRPr="00155FE3" w:rsidTr="00155FE3">
        <w:tc>
          <w:tcPr>
            <w:tcW w:w="4928" w:type="dxa"/>
            <w:vAlign w:val="center"/>
          </w:tcPr>
          <w:p w:rsidR="00155FE3" w:rsidRDefault="00155FE3" w:rsidP="00155FE3">
            <w:pPr>
              <w:pStyle w:val="contact"/>
              <w:rPr>
                <w:rFonts w:cs="Arial"/>
                <w:sz w:val="24"/>
                <w:szCs w:val="24"/>
              </w:rPr>
            </w:pPr>
          </w:p>
          <w:p w:rsidR="00155FE3" w:rsidRPr="00155FE3" w:rsidRDefault="00155FE3" w:rsidP="00155FE3">
            <w:pPr>
              <w:pStyle w:val="contact"/>
              <w:rPr>
                <w:rFonts w:cs="Arial"/>
                <w:sz w:val="24"/>
                <w:szCs w:val="24"/>
              </w:rPr>
            </w:pPr>
            <w:r w:rsidRPr="00155FE3">
              <w:rPr>
                <w:rFonts w:cs="Arial"/>
                <w:sz w:val="24"/>
                <w:szCs w:val="24"/>
              </w:rPr>
              <w:t>[Recipient’s Name]</w:t>
            </w:r>
          </w:p>
          <w:p w:rsidR="00155FE3" w:rsidRPr="00155FE3" w:rsidRDefault="00155FE3" w:rsidP="00155FE3">
            <w:pPr>
              <w:pStyle w:val="contact"/>
              <w:rPr>
                <w:rFonts w:cs="Arial"/>
                <w:sz w:val="24"/>
                <w:szCs w:val="24"/>
              </w:rPr>
            </w:pPr>
            <w:r w:rsidRPr="00155FE3">
              <w:rPr>
                <w:rFonts w:cs="Arial"/>
                <w:sz w:val="24"/>
                <w:szCs w:val="24"/>
              </w:rPr>
              <w:t>[Position, company]</w:t>
            </w:r>
          </w:p>
          <w:p w:rsidR="00155FE3" w:rsidRPr="00155FE3" w:rsidRDefault="00155FE3" w:rsidP="00155FE3">
            <w:pPr>
              <w:pStyle w:val="contact"/>
              <w:rPr>
                <w:rFonts w:cs="Arial"/>
                <w:sz w:val="24"/>
                <w:szCs w:val="24"/>
              </w:rPr>
            </w:pPr>
            <w:r w:rsidRPr="00155FE3">
              <w:rPr>
                <w:rFonts w:cs="Arial"/>
                <w:sz w:val="24"/>
                <w:szCs w:val="24"/>
              </w:rPr>
              <w:t>[First address line]</w:t>
            </w:r>
          </w:p>
          <w:p w:rsidR="00155FE3" w:rsidRPr="00155FE3" w:rsidRDefault="00155FE3" w:rsidP="00155FE3">
            <w:pPr>
              <w:pStyle w:val="contact"/>
              <w:rPr>
                <w:rFonts w:cs="Arial"/>
                <w:sz w:val="24"/>
                <w:szCs w:val="24"/>
              </w:rPr>
            </w:pPr>
            <w:r w:rsidRPr="00155FE3">
              <w:rPr>
                <w:rFonts w:cs="Arial"/>
                <w:sz w:val="24"/>
                <w:szCs w:val="24"/>
              </w:rPr>
              <w:t>[Second address line]</w:t>
            </w:r>
          </w:p>
          <w:p w:rsidR="00155FE3" w:rsidRPr="00155FE3" w:rsidRDefault="00155FE3" w:rsidP="00155FE3">
            <w:pPr>
              <w:pStyle w:val="contact"/>
              <w:rPr>
                <w:rFonts w:cs="Arial"/>
                <w:sz w:val="24"/>
                <w:szCs w:val="24"/>
              </w:rPr>
            </w:pPr>
            <w:r w:rsidRPr="00155FE3">
              <w:rPr>
                <w:rFonts w:cs="Arial"/>
                <w:sz w:val="24"/>
                <w:szCs w:val="24"/>
              </w:rPr>
              <w:t>[Town/city Postcode]</w:t>
            </w:r>
          </w:p>
          <w:p w:rsidR="00155FE3" w:rsidRPr="00155FE3" w:rsidRDefault="00155FE3" w:rsidP="00155FE3">
            <w:pPr>
              <w:pStyle w:val="contact"/>
              <w:rPr>
                <w:rFonts w:cs="Arial"/>
                <w:sz w:val="24"/>
                <w:szCs w:val="24"/>
              </w:rPr>
            </w:pPr>
          </w:p>
          <w:p w:rsid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p w:rsidR="00155FE3" w:rsidRPr="00155FE3" w:rsidRDefault="00155FE3" w:rsidP="00155FE3">
            <w:pPr>
              <w:spacing w:before="0" w:after="0" w:line="240" w:lineRule="auto"/>
              <w:rPr>
                <w:rFonts w:cs="Arial"/>
                <w:sz w:val="24"/>
              </w:rPr>
            </w:pPr>
          </w:p>
        </w:tc>
        <w:tc>
          <w:tcPr>
            <w:tcW w:w="1984" w:type="dxa"/>
          </w:tcPr>
          <w:p w:rsidR="00155FE3" w:rsidRPr="00155FE3" w:rsidRDefault="00155FE3" w:rsidP="00155FE3">
            <w:pPr>
              <w:spacing w:before="0" w:after="0" w:line="240" w:lineRule="auto"/>
              <w:rPr>
                <w:rFonts w:cs="Arial"/>
                <w:sz w:val="24"/>
              </w:rPr>
            </w:pPr>
          </w:p>
        </w:tc>
        <w:tc>
          <w:tcPr>
            <w:tcW w:w="2410" w:type="dxa"/>
          </w:tcPr>
          <w:p w:rsidR="00155FE3" w:rsidRPr="001F1B4D" w:rsidRDefault="00155FE3" w:rsidP="00155FE3">
            <w:pPr>
              <w:spacing w:before="0" w:after="0" w:line="240" w:lineRule="auto"/>
            </w:pPr>
            <w:r w:rsidRPr="001F1B4D">
              <w:t>1 February 2017</w:t>
            </w:r>
          </w:p>
        </w:tc>
        <w:tc>
          <w:tcPr>
            <w:tcW w:w="1985" w:type="dxa"/>
          </w:tcPr>
          <w:p w:rsidR="00155FE3" w:rsidRPr="00155FE3" w:rsidRDefault="00155FE3" w:rsidP="00155FE3">
            <w:pPr>
              <w:spacing w:before="0" w:after="0" w:line="240" w:lineRule="auto"/>
              <w:rPr>
                <w:rFonts w:cs="Arial"/>
                <w:sz w:val="24"/>
              </w:rPr>
            </w:pPr>
          </w:p>
        </w:tc>
      </w:tr>
    </w:tbl>
    <w:p w:rsidR="00497DA5" w:rsidRPr="00155FE3" w:rsidRDefault="00497DA5" w:rsidP="002E4EA8">
      <w:pPr>
        <w:spacing w:before="0" w:after="0" w:line="240" w:lineRule="auto"/>
        <w:rPr>
          <w:rFonts w:cs="Arial"/>
          <w:sz w:val="24"/>
        </w:rPr>
      </w:pPr>
      <w:r w:rsidRPr="00155FE3">
        <w:rPr>
          <w:rFonts w:cs="Arial"/>
          <w:sz w:val="24"/>
        </w:rPr>
        <w:t xml:space="preserve">Dear </w:t>
      </w:r>
      <w:r w:rsidR="00DA6083" w:rsidRPr="00155FE3">
        <w:rPr>
          <w:rFonts w:cs="Arial"/>
          <w:sz w:val="24"/>
        </w:rPr>
        <w:t>Sir/Madam</w:t>
      </w:r>
    </w:p>
    <w:p w:rsidR="00722037" w:rsidRPr="00155FE3" w:rsidRDefault="00722037" w:rsidP="002E4EA8">
      <w:pPr>
        <w:spacing w:before="0" w:after="0" w:line="240" w:lineRule="auto"/>
        <w:rPr>
          <w:rFonts w:cs="Arial"/>
          <w:sz w:val="24"/>
        </w:rPr>
      </w:pPr>
    </w:p>
    <w:p w:rsidR="00155FE3" w:rsidRPr="00155FE3" w:rsidRDefault="00155FE3" w:rsidP="00155FE3">
      <w:pPr>
        <w:pStyle w:val="NoSpacing"/>
        <w:jc w:val="both"/>
        <w:rPr>
          <w:rFonts w:cs="Arial"/>
          <w:b/>
          <w:sz w:val="24"/>
        </w:rPr>
      </w:pPr>
      <w:r w:rsidRPr="00155FE3">
        <w:rPr>
          <w:rFonts w:cs="Arial"/>
          <w:b/>
          <w:sz w:val="24"/>
        </w:rPr>
        <w:t>Proposed framework agreement for NHS Pharmaceuticals 2017_1</w:t>
      </w:r>
    </w:p>
    <w:p w:rsidR="00155FE3" w:rsidRPr="00155FE3" w:rsidRDefault="00155FE3" w:rsidP="00155FE3">
      <w:pPr>
        <w:pStyle w:val="NoSpacing"/>
        <w:jc w:val="both"/>
        <w:rPr>
          <w:rFonts w:cs="Arial"/>
          <w:b/>
          <w:sz w:val="24"/>
        </w:rPr>
      </w:pPr>
      <w:r w:rsidRPr="00155FE3">
        <w:rPr>
          <w:rFonts w:cs="Arial"/>
          <w:b/>
          <w:sz w:val="24"/>
        </w:rPr>
        <w:t>Offer reference number: CM/PHG/15/5490</w:t>
      </w:r>
    </w:p>
    <w:p w:rsidR="00155FE3" w:rsidRPr="00155FE3" w:rsidRDefault="00155FE3" w:rsidP="00155FE3">
      <w:pPr>
        <w:pStyle w:val="NoSpacing"/>
        <w:jc w:val="both"/>
        <w:rPr>
          <w:rFonts w:cs="Arial"/>
          <w:b/>
          <w:sz w:val="24"/>
        </w:rPr>
      </w:pPr>
      <w:r w:rsidRPr="00155FE3">
        <w:rPr>
          <w:rFonts w:cs="Arial"/>
          <w:b/>
          <w:sz w:val="24"/>
        </w:rPr>
        <w:t xml:space="preserve">Period of framework agreement: </w:t>
      </w:r>
      <w:r w:rsidRPr="00155FE3">
        <w:rPr>
          <w:rStyle w:val="CommentReference"/>
          <w:rFonts w:cs="Arial"/>
          <w:b/>
          <w:sz w:val="24"/>
          <w:szCs w:val="24"/>
        </w:rPr>
        <w:t>T</w:t>
      </w:r>
      <w:r w:rsidRPr="00155FE3">
        <w:rPr>
          <w:rFonts w:cs="Arial"/>
          <w:b/>
          <w:sz w:val="24"/>
        </w:rPr>
        <w:t>he total maximum duration of the framework agreement to be no more than 28 months</w:t>
      </w:r>
    </w:p>
    <w:p w:rsidR="00155FE3" w:rsidRPr="00155FE3" w:rsidRDefault="00155FE3" w:rsidP="00155FE3">
      <w:pPr>
        <w:pStyle w:val="NoSpacing"/>
        <w:jc w:val="both"/>
        <w:rPr>
          <w:rFonts w:cs="Arial"/>
          <w:b/>
          <w:sz w:val="24"/>
        </w:rPr>
      </w:pPr>
      <w:r w:rsidRPr="00155FE3">
        <w:rPr>
          <w:rFonts w:cs="Arial"/>
          <w:b/>
          <w:sz w:val="24"/>
        </w:rPr>
        <w:t>Potential periods of call-offs under the framework agreement:</w:t>
      </w:r>
    </w:p>
    <w:p w:rsidR="00155FE3" w:rsidRPr="00155FE3" w:rsidRDefault="00155FE3" w:rsidP="00155FE3">
      <w:pPr>
        <w:pStyle w:val="NoSpacing"/>
        <w:rPr>
          <w:rFonts w:cs="Arial"/>
          <w:b/>
          <w:sz w:val="24"/>
        </w:rPr>
      </w:pPr>
    </w:p>
    <w:p w:rsidR="00155FE3" w:rsidRPr="00155FE3" w:rsidRDefault="00155FE3" w:rsidP="00155FE3">
      <w:pPr>
        <w:pStyle w:val="NoSpacing"/>
        <w:rPr>
          <w:rFonts w:cs="Arial"/>
          <w:b/>
          <w:sz w:val="24"/>
        </w:rPr>
      </w:pPr>
      <w:r w:rsidRPr="00155FE3">
        <w:rPr>
          <w:rFonts w:cs="Arial"/>
          <w:b/>
          <w:sz w:val="24"/>
        </w:rPr>
        <w:t>North West &amp; Eastern &amp; North London:</w:t>
      </w:r>
      <w:r w:rsidRPr="00155FE3">
        <w:rPr>
          <w:rFonts w:cs="Arial"/>
          <w:b/>
          <w:sz w:val="24"/>
        </w:rPr>
        <w:tab/>
        <w:t>01/05/2017 to 31/01/2018</w:t>
      </w:r>
      <w:r w:rsidRPr="00155FE3">
        <w:rPr>
          <w:rFonts w:cs="Arial"/>
          <w:b/>
          <w:sz w:val="24"/>
        </w:rPr>
        <w:tab/>
        <w:t xml:space="preserve">(9 months) </w:t>
      </w:r>
    </w:p>
    <w:p w:rsidR="00155FE3" w:rsidRPr="00155FE3" w:rsidRDefault="00155FE3" w:rsidP="00155FE3">
      <w:pPr>
        <w:pStyle w:val="NoSpacing"/>
        <w:rPr>
          <w:rFonts w:cs="Arial"/>
          <w:b/>
          <w:sz w:val="24"/>
        </w:rPr>
      </w:pPr>
      <w:r w:rsidRPr="00155FE3">
        <w:rPr>
          <w:rFonts w:cs="Arial"/>
          <w:b/>
          <w:sz w:val="24"/>
        </w:rPr>
        <w:t xml:space="preserve">South East &amp; South London </w:t>
      </w:r>
      <w:r w:rsidRPr="00155FE3">
        <w:rPr>
          <w:rFonts w:cs="Arial"/>
          <w:b/>
          <w:sz w:val="24"/>
        </w:rPr>
        <w:tab/>
      </w:r>
      <w:r w:rsidRPr="00155FE3">
        <w:rPr>
          <w:rFonts w:cs="Arial"/>
          <w:b/>
          <w:sz w:val="24"/>
        </w:rPr>
        <w:tab/>
      </w:r>
      <w:r w:rsidRPr="00155FE3">
        <w:rPr>
          <w:rFonts w:cs="Arial"/>
          <w:b/>
          <w:sz w:val="24"/>
        </w:rPr>
        <w:tab/>
        <w:t>01/05/2017 to 31/10/2017</w:t>
      </w:r>
      <w:r w:rsidRPr="00155FE3">
        <w:rPr>
          <w:rFonts w:cs="Arial"/>
          <w:b/>
          <w:sz w:val="24"/>
        </w:rPr>
        <w:tab/>
        <w:t>(6 months)</w:t>
      </w:r>
    </w:p>
    <w:p w:rsidR="00155FE3" w:rsidRPr="00155FE3" w:rsidRDefault="00155FE3" w:rsidP="00155FE3">
      <w:pPr>
        <w:pStyle w:val="NoSpacing"/>
        <w:rPr>
          <w:rFonts w:cs="Arial"/>
          <w:b/>
          <w:sz w:val="24"/>
        </w:rPr>
      </w:pPr>
      <w:r w:rsidRPr="00155FE3">
        <w:rPr>
          <w:rFonts w:cs="Arial"/>
          <w:b/>
          <w:sz w:val="24"/>
        </w:rPr>
        <w:t xml:space="preserve">&amp; North East &amp; Yorkshire:  </w:t>
      </w:r>
      <w:r w:rsidRPr="00155FE3">
        <w:rPr>
          <w:rFonts w:cs="Arial"/>
          <w:b/>
          <w:sz w:val="24"/>
        </w:rPr>
        <w:tab/>
      </w:r>
      <w:r w:rsidRPr="00155FE3">
        <w:rPr>
          <w:rFonts w:cs="Arial"/>
          <w:b/>
          <w:sz w:val="24"/>
        </w:rPr>
        <w:tab/>
      </w:r>
    </w:p>
    <w:p w:rsidR="00155FE3" w:rsidRPr="00155FE3" w:rsidRDefault="00155FE3" w:rsidP="00155FE3">
      <w:pPr>
        <w:pStyle w:val="NoSpacing"/>
        <w:rPr>
          <w:rFonts w:cs="Arial"/>
          <w:b/>
          <w:sz w:val="24"/>
        </w:rPr>
      </w:pPr>
      <w:r w:rsidRPr="00155FE3">
        <w:rPr>
          <w:rFonts w:cs="Arial"/>
          <w:b/>
          <w:sz w:val="24"/>
        </w:rPr>
        <w:t>Central &amp; South West:</w:t>
      </w:r>
      <w:r w:rsidRPr="00155FE3">
        <w:rPr>
          <w:rFonts w:cs="Arial"/>
          <w:b/>
          <w:sz w:val="24"/>
        </w:rPr>
        <w:tab/>
      </w:r>
      <w:r w:rsidRPr="00155FE3">
        <w:rPr>
          <w:rFonts w:cs="Arial"/>
          <w:b/>
          <w:sz w:val="24"/>
        </w:rPr>
        <w:tab/>
      </w:r>
      <w:r w:rsidRPr="00155FE3">
        <w:rPr>
          <w:rFonts w:cs="Arial"/>
          <w:b/>
          <w:sz w:val="24"/>
        </w:rPr>
        <w:tab/>
      </w:r>
      <w:r w:rsidRPr="00155FE3">
        <w:rPr>
          <w:rFonts w:cs="Arial"/>
          <w:b/>
          <w:sz w:val="24"/>
        </w:rPr>
        <w:tab/>
        <w:t>01/05/2017 to 30/06/2018</w:t>
      </w:r>
      <w:r w:rsidRPr="00155FE3">
        <w:rPr>
          <w:rFonts w:cs="Arial"/>
          <w:b/>
          <w:sz w:val="24"/>
        </w:rPr>
        <w:tab/>
        <w:t>(14 months)</w:t>
      </w:r>
    </w:p>
    <w:p w:rsidR="002B6C8E" w:rsidRPr="00155FE3" w:rsidRDefault="002B6C8E" w:rsidP="002E4EA8">
      <w:pPr>
        <w:pStyle w:val="NoSpacing"/>
        <w:rPr>
          <w:rFonts w:cs="Arial"/>
          <w:b/>
          <w:sz w:val="24"/>
        </w:rPr>
      </w:pPr>
    </w:p>
    <w:p w:rsidR="000B2A08" w:rsidRPr="00155FE3" w:rsidRDefault="000B2A08" w:rsidP="002E4EA8">
      <w:pPr>
        <w:pStyle w:val="NoSpacing"/>
        <w:rPr>
          <w:rFonts w:cs="Arial"/>
          <w:sz w:val="24"/>
        </w:rPr>
      </w:pPr>
    </w:p>
    <w:p w:rsidR="000B2A08" w:rsidRPr="00155FE3" w:rsidRDefault="00174E8F" w:rsidP="002E4EA8">
      <w:pPr>
        <w:spacing w:before="0" w:after="0" w:line="240" w:lineRule="auto"/>
        <w:rPr>
          <w:rFonts w:cs="Arial"/>
          <w:b/>
          <w:sz w:val="24"/>
        </w:rPr>
      </w:pPr>
      <w:r w:rsidRPr="00155FE3">
        <w:rPr>
          <w:rFonts w:cs="Arial"/>
          <w:b/>
          <w:sz w:val="24"/>
        </w:rPr>
        <w:t>Notification of f</w:t>
      </w:r>
      <w:r w:rsidR="000B2A08" w:rsidRPr="00155FE3">
        <w:rPr>
          <w:rFonts w:cs="Arial"/>
          <w:b/>
          <w:sz w:val="24"/>
        </w:rPr>
        <w:t xml:space="preserve">ramework agreement award </w:t>
      </w:r>
      <w:r w:rsidRPr="00155FE3">
        <w:rPr>
          <w:rFonts w:cs="Arial"/>
          <w:b/>
          <w:sz w:val="24"/>
        </w:rPr>
        <w:t>decision</w:t>
      </w:r>
    </w:p>
    <w:p w:rsidR="002E4EA8" w:rsidRPr="00155FE3" w:rsidRDefault="002E4EA8" w:rsidP="002E4EA8">
      <w:pPr>
        <w:spacing w:before="0" w:after="0" w:line="240" w:lineRule="auto"/>
        <w:rPr>
          <w:rFonts w:cs="Arial"/>
          <w:b/>
          <w:sz w:val="24"/>
        </w:rPr>
      </w:pPr>
    </w:p>
    <w:p w:rsidR="000B2A08" w:rsidRPr="00155FE3" w:rsidRDefault="000B2A08" w:rsidP="002E4EA8">
      <w:pPr>
        <w:spacing w:before="0" w:after="0" w:line="240" w:lineRule="auto"/>
        <w:jc w:val="both"/>
        <w:rPr>
          <w:rFonts w:cs="Arial"/>
          <w:sz w:val="24"/>
        </w:rPr>
      </w:pPr>
      <w:r w:rsidRPr="00155FE3">
        <w:rPr>
          <w:rFonts w:cs="Arial"/>
          <w:sz w:val="24"/>
        </w:rPr>
        <w:t xml:space="preserve">Thank you for submitting an offer in respect of the above procurement exercise.  </w:t>
      </w:r>
      <w:r w:rsidR="005C4E16" w:rsidRPr="00155FE3">
        <w:rPr>
          <w:rFonts w:cs="Arial"/>
          <w:sz w:val="24"/>
        </w:rPr>
        <w:t>The evaluation of the offers in relation to the procurement exercise has now been completed by the Commercial Medicines Unit on behalf of the Secretary of State for Health acting as part of the Crown (‘Authority’).</w:t>
      </w:r>
    </w:p>
    <w:p w:rsidR="002E4EA8" w:rsidRPr="00155FE3" w:rsidRDefault="002E4EA8" w:rsidP="002E4EA8">
      <w:pPr>
        <w:spacing w:before="0" w:after="0" w:line="240" w:lineRule="auto"/>
        <w:jc w:val="both"/>
        <w:rPr>
          <w:rFonts w:cs="Arial"/>
          <w:sz w:val="24"/>
        </w:rPr>
      </w:pPr>
    </w:p>
    <w:p w:rsidR="000B2A08" w:rsidRDefault="000B2A08" w:rsidP="002E4EA8">
      <w:pPr>
        <w:spacing w:before="0" w:after="0" w:line="240" w:lineRule="auto"/>
        <w:jc w:val="both"/>
        <w:rPr>
          <w:rStyle w:val="CommentReference"/>
          <w:rFonts w:cs="Arial"/>
          <w:sz w:val="24"/>
          <w:szCs w:val="24"/>
        </w:rPr>
      </w:pPr>
      <w:r w:rsidRPr="00155FE3">
        <w:rPr>
          <w:rFonts w:cs="Arial"/>
          <w:sz w:val="24"/>
        </w:rPr>
        <w:t xml:space="preserve">I regret to inform you that your offer dated </w:t>
      </w:r>
      <w:r w:rsidR="00155FE3" w:rsidRPr="001F1B4D">
        <w:rPr>
          <w:b/>
        </w:rPr>
        <w:t>13 December 2016</w:t>
      </w:r>
      <w:r w:rsidR="00155FE3" w:rsidRPr="001F1B4D">
        <w:t xml:space="preserve"> </w:t>
      </w:r>
      <w:r w:rsidRPr="00155FE3">
        <w:rPr>
          <w:rFonts w:cs="Arial"/>
          <w:sz w:val="24"/>
        </w:rPr>
        <w:t>has been unsuccessful</w:t>
      </w:r>
      <w:r w:rsidRPr="00155FE3">
        <w:rPr>
          <w:rStyle w:val="CommentReference"/>
          <w:rFonts w:cs="Arial"/>
          <w:sz w:val="24"/>
          <w:szCs w:val="24"/>
        </w:rPr>
        <w:t>.</w:t>
      </w:r>
    </w:p>
    <w:p w:rsidR="00155FE3" w:rsidRPr="00155FE3" w:rsidRDefault="00155FE3" w:rsidP="002E4EA8">
      <w:pPr>
        <w:spacing w:before="0" w:after="0" w:line="240" w:lineRule="auto"/>
        <w:jc w:val="both"/>
        <w:rPr>
          <w:rStyle w:val="CommentReference"/>
          <w:rFonts w:cs="Arial"/>
          <w:sz w:val="24"/>
          <w:szCs w:val="24"/>
        </w:rPr>
      </w:pPr>
    </w:p>
    <w:p w:rsidR="000B2A08" w:rsidRPr="00155FE3" w:rsidRDefault="000B2A08" w:rsidP="002E4EA8">
      <w:pPr>
        <w:spacing w:before="0" w:after="0" w:line="240" w:lineRule="auto"/>
        <w:jc w:val="both"/>
        <w:rPr>
          <w:rFonts w:cs="Arial"/>
          <w:sz w:val="24"/>
        </w:rPr>
      </w:pPr>
      <w:r w:rsidRPr="00155FE3">
        <w:rPr>
          <w:rFonts w:cs="Arial"/>
          <w:sz w:val="24"/>
        </w:rPr>
        <w:lastRenderedPageBreak/>
        <w:t xml:space="preserve">The Public Contracts Regulations </w:t>
      </w:r>
      <w:r w:rsidR="00E82638" w:rsidRPr="00155FE3">
        <w:rPr>
          <w:rFonts w:cs="Arial"/>
          <w:sz w:val="24"/>
        </w:rPr>
        <w:t xml:space="preserve">2015 </w:t>
      </w:r>
      <w:r w:rsidRPr="00155FE3">
        <w:rPr>
          <w:rFonts w:cs="Arial"/>
          <w:sz w:val="24"/>
        </w:rPr>
        <w:t xml:space="preserve">(the ‘Regulations’) apply to the evaluation of offers </w:t>
      </w:r>
      <w:proofErr w:type="gramStart"/>
      <w:r w:rsidRPr="00155FE3">
        <w:rPr>
          <w:rFonts w:cs="Arial"/>
          <w:sz w:val="24"/>
        </w:rPr>
        <w:t>submitted</w:t>
      </w:r>
      <w:proofErr w:type="gramEnd"/>
      <w:r w:rsidRPr="00155FE3">
        <w:rPr>
          <w:rFonts w:cs="Arial"/>
          <w:sz w:val="24"/>
        </w:rPr>
        <w:t xml:space="preserve"> by </w:t>
      </w:r>
      <w:r w:rsidR="00174E8F" w:rsidRPr="00155FE3">
        <w:rPr>
          <w:rFonts w:cs="Arial"/>
          <w:sz w:val="24"/>
        </w:rPr>
        <w:t xml:space="preserve">Offerors </w:t>
      </w:r>
      <w:r w:rsidRPr="00155FE3">
        <w:rPr>
          <w:rFonts w:cs="Arial"/>
          <w:sz w:val="24"/>
        </w:rPr>
        <w:t xml:space="preserve">to participate in this framework agreement. As notices of this nature are being sent to all Offerors today by electronic means the Authority must provide for a mandatory minimum 10 day standstill period, before concluding the framework agreement.  In accordance with the Regulations we will not conclude the framework agreement </w:t>
      </w:r>
      <w:r w:rsidR="00174E8F" w:rsidRPr="00155FE3">
        <w:rPr>
          <w:rFonts w:cs="Arial"/>
          <w:sz w:val="24"/>
        </w:rPr>
        <w:t xml:space="preserve">with the successful Offeror(s) </w:t>
      </w:r>
      <w:r w:rsidRPr="00155FE3">
        <w:rPr>
          <w:rFonts w:cs="Arial"/>
          <w:sz w:val="24"/>
        </w:rPr>
        <w:t xml:space="preserve">before midnight on </w:t>
      </w:r>
      <w:r w:rsidR="00155FE3">
        <w:rPr>
          <w:b/>
        </w:rPr>
        <w:t>13</w:t>
      </w:r>
      <w:r w:rsidR="00155FE3" w:rsidRPr="001F1B4D">
        <w:rPr>
          <w:b/>
        </w:rPr>
        <w:t xml:space="preserve"> February 2017</w:t>
      </w:r>
      <w:r w:rsidRPr="00155FE3">
        <w:rPr>
          <w:rFonts w:cs="Arial"/>
          <w:sz w:val="24"/>
        </w:rPr>
        <w:t xml:space="preserve">. </w:t>
      </w:r>
    </w:p>
    <w:p w:rsidR="002E4EA8" w:rsidRPr="00155FE3" w:rsidRDefault="002E4EA8" w:rsidP="002E4EA8">
      <w:pPr>
        <w:spacing w:before="0" w:after="0" w:line="240" w:lineRule="auto"/>
        <w:jc w:val="both"/>
        <w:rPr>
          <w:rFonts w:cs="Arial"/>
          <w:sz w:val="24"/>
        </w:rPr>
      </w:pPr>
    </w:p>
    <w:p w:rsidR="00174E8F" w:rsidRPr="00155FE3" w:rsidRDefault="000B2A08" w:rsidP="002E4EA8">
      <w:pPr>
        <w:spacing w:before="0" w:after="0" w:line="240" w:lineRule="auto"/>
        <w:jc w:val="both"/>
        <w:rPr>
          <w:rFonts w:cs="Arial"/>
          <w:sz w:val="24"/>
        </w:rPr>
      </w:pPr>
      <w:r w:rsidRPr="00155FE3">
        <w:rPr>
          <w:rFonts w:cs="Arial"/>
          <w:sz w:val="24"/>
        </w:rPr>
        <w:t xml:space="preserve">This letter constitutes notice under Regulation </w:t>
      </w:r>
      <w:r w:rsidR="00E82638" w:rsidRPr="00155FE3">
        <w:rPr>
          <w:rFonts w:cs="Arial"/>
          <w:sz w:val="24"/>
        </w:rPr>
        <w:t>86</w:t>
      </w:r>
      <w:r w:rsidRPr="00155FE3">
        <w:rPr>
          <w:rFonts w:cs="Arial"/>
          <w:sz w:val="24"/>
        </w:rPr>
        <w:t xml:space="preserve"> of the Regulations. Accordingly we attach certain information on the award </w:t>
      </w:r>
      <w:r w:rsidR="00174E8F" w:rsidRPr="00155FE3">
        <w:rPr>
          <w:rFonts w:cs="Arial"/>
          <w:sz w:val="24"/>
        </w:rPr>
        <w:t xml:space="preserve">decision </w:t>
      </w:r>
      <w:r w:rsidRPr="00155FE3">
        <w:rPr>
          <w:rFonts w:cs="Arial"/>
          <w:sz w:val="24"/>
        </w:rPr>
        <w:t>for this procurement exercise</w:t>
      </w:r>
      <w:r w:rsidR="00174E8F" w:rsidRPr="00155FE3">
        <w:rPr>
          <w:rFonts w:cs="Arial"/>
          <w:sz w:val="24"/>
        </w:rPr>
        <w:t xml:space="preserve">, this notification comprises the following enclosures (if any of these are missing please contact us immediately via the </w:t>
      </w:r>
      <w:proofErr w:type="spellStart"/>
      <w:r w:rsidR="00174E8F" w:rsidRPr="00155FE3">
        <w:rPr>
          <w:rFonts w:cs="Arial"/>
          <w:sz w:val="24"/>
        </w:rPr>
        <w:t>Bravosolution</w:t>
      </w:r>
      <w:proofErr w:type="spellEnd"/>
      <w:r w:rsidR="00174E8F" w:rsidRPr="00155FE3">
        <w:rPr>
          <w:rFonts w:cs="Arial"/>
          <w:sz w:val="24"/>
        </w:rPr>
        <w:t xml:space="preserve"> messaging portal)</w:t>
      </w:r>
    </w:p>
    <w:p w:rsidR="002E4EA8" w:rsidRPr="00155FE3" w:rsidRDefault="002E4EA8" w:rsidP="002E4EA8">
      <w:pPr>
        <w:spacing w:before="0" w:after="0" w:line="240" w:lineRule="auto"/>
        <w:jc w:val="both"/>
        <w:rPr>
          <w:rFonts w:cs="Arial"/>
          <w:sz w:val="24"/>
        </w:rPr>
      </w:pPr>
    </w:p>
    <w:p w:rsidR="00174E8F" w:rsidRPr="00155FE3" w:rsidRDefault="00174E8F" w:rsidP="00155FE3">
      <w:pPr>
        <w:numPr>
          <w:ilvl w:val="0"/>
          <w:numId w:val="15"/>
        </w:numPr>
        <w:spacing w:before="0" w:after="0" w:line="240" w:lineRule="auto"/>
        <w:ind w:left="567" w:hanging="567"/>
        <w:jc w:val="both"/>
        <w:rPr>
          <w:rFonts w:cs="Arial"/>
          <w:sz w:val="24"/>
        </w:rPr>
      </w:pPr>
      <w:r w:rsidRPr="00155FE3">
        <w:rPr>
          <w:rFonts w:cs="Arial"/>
          <w:sz w:val="24"/>
        </w:rPr>
        <w:t>This covering letter</w:t>
      </w:r>
    </w:p>
    <w:p w:rsidR="00A30C1D" w:rsidRPr="00155FE3" w:rsidRDefault="00A30C1D" w:rsidP="00155FE3">
      <w:pPr>
        <w:numPr>
          <w:ilvl w:val="0"/>
          <w:numId w:val="15"/>
        </w:numPr>
        <w:spacing w:before="0" w:after="0" w:line="240" w:lineRule="auto"/>
        <w:ind w:left="567" w:hanging="567"/>
        <w:jc w:val="both"/>
        <w:rPr>
          <w:rFonts w:cs="Arial"/>
          <w:sz w:val="24"/>
        </w:rPr>
      </w:pPr>
      <w:r w:rsidRPr="00155FE3">
        <w:rPr>
          <w:rFonts w:cs="Arial"/>
          <w:sz w:val="24"/>
        </w:rPr>
        <w:t>Parties appointed to the framework agreement (Appendix 1)</w:t>
      </w:r>
    </w:p>
    <w:p w:rsidR="00174E8F" w:rsidRPr="00155FE3" w:rsidRDefault="00174E8F" w:rsidP="00155FE3">
      <w:pPr>
        <w:numPr>
          <w:ilvl w:val="0"/>
          <w:numId w:val="15"/>
        </w:numPr>
        <w:spacing w:before="0" w:after="0" w:line="240" w:lineRule="auto"/>
        <w:ind w:left="567" w:hanging="567"/>
        <w:jc w:val="both"/>
        <w:rPr>
          <w:rFonts w:cs="Arial"/>
          <w:sz w:val="24"/>
        </w:rPr>
      </w:pPr>
      <w:r w:rsidRPr="00155FE3">
        <w:rPr>
          <w:rFonts w:cs="Arial"/>
          <w:sz w:val="24"/>
        </w:rPr>
        <w:t>Award criteria and debrief explanation</w:t>
      </w:r>
    </w:p>
    <w:p w:rsidR="00174E8F" w:rsidRPr="00155FE3" w:rsidRDefault="00174E8F" w:rsidP="00155FE3">
      <w:pPr>
        <w:numPr>
          <w:ilvl w:val="0"/>
          <w:numId w:val="15"/>
        </w:numPr>
        <w:spacing w:before="0" w:after="0" w:line="240" w:lineRule="auto"/>
        <w:ind w:left="567" w:hanging="567"/>
        <w:jc w:val="both"/>
        <w:rPr>
          <w:rFonts w:cs="Arial"/>
          <w:sz w:val="24"/>
        </w:rPr>
      </w:pPr>
      <w:r w:rsidRPr="00155FE3">
        <w:rPr>
          <w:rFonts w:cs="Arial"/>
          <w:sz w:val="24"/>
        </w:rPr>
        <w:t>Award debrief</w:t>
      </w:r>
    </w:p>
    <w:p w:rsidR="000B2A08" w:rsidRPr="00155FE3" w:rsidRDefault="000B2A08" w:rsidP="002E4EA8">
      <w:pPr>
        <w:tabs>
          <w:tab w:val="left" w:pos="-720"/>
          <w:tab w:val="left" w:pos="3645"/>
        </w:tabs>
        <w:suppressAutoHyphens/>
        <w:spacing w:before="0" w:after="0" w:line="240" w:lineRule="auto"/>
        <w:jc w:val="both"/>
        <w:rPr>
          <w:rFonts w:cs="Arial"/>
          <w:sz w:val="24"/>
        </w:rPr>
      </w:pPr>
    </w:p>
    <w:p w:rsidR="000B2A08" w:rsidRPr="00155FE3" w:rsidRDefault="000B2A08" w:rsidP="002E4EA8">
      <w:pPr>
        <w:tabs>
          <w:tab w:val="left" w:pos="-720"/>
        </w:tabs>
        <w:suppressAutoHyphens/>
        <w:spacing w:before="0" w:after="0" w:line="240" w:lineRule="auto"/>
        <w:jc w:val="both"/>
        <w:rPr>
          <w:rFonts w:cs="Arial"/>
          <w:sz w:val="24"/>
        </w:rPr>
      </w:pPr>
      <w:r w:rsidRPr="00155FE3">
        <w:rPr>
          <w:rFonts w:cs="Arial"/>
          <w:sz w:val="24"/>
        </w:rPr>
        <w:t>We would like to thank you for the time and effort spent in submitting your offer and assure you that the fact that you have been unsuccessful on this occasion will not affect your participation in any other procurement exercise with the Authority.</w:t>
      </w:r>
    </w:p>
    <w:p w:rsidR="002B6C8E" w:rsidRPr="00155FE3" w:rsidRDefault="002B6C8E" w:rsidP="002E4EA8">
      <w:pPr>
        <w:pStyle w:val="NoSpacing"/>
        <w:rPr>
          <w:rFonts w:cs="Arial"/>
          <w:sz w:val="24"/>
        </w:rPr>
      </w:pPr>
    </w:p>
    <w:p w:rsidR="00E909CF" w:rsidRDefault="00155FE3" w:rsidP="002E4EA8">
      <w:pPr>
        <w:pStyle w:val="NoSpacing"/>
        <w:rPr>
          <w:rFonts w:cs="Arial"/>
          <w:sz w:val="24"/>
        </w:rPr>
      </w:pPr>
      <w:r>
        <w:rPr>
          <w:rFonts w:cs="Arial"/>
          <w:sz w:val="24"/>
        </w:rPr>
        <w:t>Yours sincerely</w:t>
      </w:r>
    </w:p>
    <w:p w:rsidR="00FF11D8" w:rsidRDefault="00FF11D8" w:rsidP="00FF11D8">
      <w:pPr>
        <w:pStyle w:val="NoSpacing"/>
        <w:jc w:val="both"/>
      </w:pPr>
    </w:p>
    <w:p w:rsidR="00FF11D8" w:rsidRDefault="00FF11D8" w:rsidP="00FF11D8">
      <w:pPr>
        <w:pStyle w:val="NoSpacing"/>
        <w:jc w:val="both"/>
        <w:rPr>
          <w:rFonts w:ascii="Lucida Handwriting" w:hAnsi="Lucida Handwriting"/>
          <w:color w:val="002060"/>
          <w:sz w:val="28"/>
          <w:szCs w:val="28"/>
        </w:rPr>
      </w:pPr>
      <w:r>
        <w:rPr>
          <w:rFonts w:ascii="Lucida Handwriting" w:hAnsi="Lucida Handwriting"/>
          <w:color w:val="002060"/>
          <w:sz w:val="28"/>
          <w:szCs w:val="28"/>
        </w:rPr>
        <w:t>Marie Thompson</w:t>
      </w:r>
    </w:p>
    <w:p w:rsidR="00155FE3" w:rsidRDefault="00155FE3" w:rsidP="002E4EA8">
      <w:pPr>
        <w:pStyle w:val="NoSpacing"/>
        <w:rPr>
          <w:rFonts w:cs="Arial"/>
          <w:sz w:val="24"/>
        </w:rPr>
      </w:pPr>
    </w:p>
    <w:p w:rsidR="00155FE3" w:rsidRDefault="00155FE3" w:rsidP="002E4EA8">
      <w:pPr>
        <w:pStyle w:val="NoSpacing"/>
        <w:rPr>
          <w:rFonts w:cs="Arial"/>
          <w:sz w:val="24"/>
        </w:rPr>
      </w:pPr>
      <w:r>
        <w:rPr>
          <w:rFonts w:cs="Arial"/>
          <w:sz w:val="24"/>
        </w:rPr>
        <w:t>Marie Thompson</w:t>
      </w:r>
    </w:p>
    <w:p w:rsidR="00155FE3" w:rsidRPr="00155FE3" w:rsidRDefault="00155FE3" w:rsidP="002E4EA8">
      <w:pPr>
        <w:pStyle w:val="NoSpacing"/>
        <w:rPr>
          <w:rFonts w:cs="Arial"/>
          <w:sz w:val="24"/>
        </w:rPr>
      </w:pPr>
      <w:r>
        <w:rPr>
          <w:rFonts w:cs="Arial"/>
          <w:sz w:val="24"/>
        </w:rPr>
        <w:t>Procurement Specialist</w:t>
      </w:r>
    </w:p>
    <w:p w:rsidR="00565777" w:rsidRPr="00155FE3" w:rsidRDefault="00565777" w:rsidP="002E4EA8">
      <w:pPr>
        <w:pStyle w:val="NoSpacing"/>
        <w:rPr>
          <w:rFonts w:cs="Arial"/>
          <w:sz w:val="24"/>
        </w:rPr>
      </w:pPr>
    </w:p>
    <w:p w:rsidR="00565777" w:rsidRPr="00155FE3" w:rsidRDefault="00565777" w:rsidP="002E4EA8">
      <w:pPr>
        <w:pStyle w:val="NoSpacing"/>
        <w:rPr>
          <w:rFonts w:cs="Arial"/>
          <w:sz w:val="24"/>
        </w:rPr>
      </w:pPr>
    </w:p>
    <w:p w:rsidR="00565777" w:rsidRPr="00155FE3" w:rsidRDefault="00565777" w:rsidP="002E4EA8">
      <w:pPr>
        <w:pStyle w:val="NoSpacing"/>
        <w:rPr>
          <w:rFonts w:cs="Arial"/>
          <w:sz w:val="24"/>
        </w:rPr>
      </w:pPr>
    </w:p>
    <w:p w:rsidR="00A30C1D" w:rsidRPr="00155FE3" w:rsidRDefault="00A30C1D">
      <w:pPr>
        <w:spacing w:before="0" w:after="0" w:line="240" w:lineRule="auto"/>
        <w:rPr>
          <w:rFonts w:cs="Arial"/>
          <w:sz w:val="24"/>
        </w:rPr>
      </w:pPr>
    </w:p>
    <w:sectPr w:rsidR="00A30C1D" w:rsidRPr="00155FE3" w:rsidSect="00A30C1D">
      <w:footerReference w:type="even" r:id="rId10"/>
      <w:footerReference w:type="default" r:id="rId11"/>
      <w:footerReference w:type="first" r:id="rId12"/>
      <w:pgSz w:w="11906" w:h="16838" w:code="9"/>
      <w:pgMar w:top="1276" w:right="1134" w:bottom="1560"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4CE" w:rsidRDefault="007A14CE">
      <w:r>
        <w:separator/>
      </w:r>
    </w:p>
  </w:endnote>
  <w:endnote w:type="continuationSeparator" w:id="0">
    <w:p w:rsidR="007A14CE" w:rsidRDefault="007A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BC" w:rsidRDefault="00011779" w:rsidP="00497DA5">
    <w:pPr>
      <w:pStyle w:val="Footer"/>
      <w:framePr w:wrap="around" w:vAnchor="text" w:hAnchor="margin" w:xAlign="right" w:y="1"/>
      <w:rPr>
        <w:rStyle w:val="PageNumber"/>
      </w:rPr>
    </w:pPr>
    <w:r>
      <w:rPr>
        <w:rStyle w:val="PageNumber"/>
      </w:rPr>
      <w:fldChar w:fldCharType="begin"/>
    </w:r>
    <w:r w:rsidR="00E048BC">
      <w:rPr>
        <w:rStyle w:val="PageNumber"/>
      </w:rPr>
      <w:instrText xml:space="preserve">PAGE  </w:instrText>
    </w:r>
    <w:r>
      <w:rPr>
        <w:rStyle w:val="PageNumber"/>
      </w:rPr>
      <w:fldChar w:fldCharType="end"/>
    </w:r>
  </w:p>
  <w:p w:rsidR="00E048BC" w:rsidRDefault="00E048BC"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BC" w:rsidRPr="00FF11D8" w:rsidRDefault="00E048BC" w:rsidP="001865A7">
    <w:pPr>
      <w:pStyle w:val="NoSpacing"/>
      <w:rPr>
        <w:color w:val="BFBFBF" w:themeColor="background1" w:themeShade="BF"/>
        <w:sz w:val="20"/>
        <w:szCs w:val="20"/>
      </w:rPr>
    </w:pPr>
    <w:r w:rsidRPr="00FF11D8">
      <w:rPr>
        <w:color w:val="BFBFBF" w:themeColor="background1" w:themeShade="BF"/>
        <w:sz w:val="20"/>
        <w:szCs w:val="20"/>
      </w:rPr>
      <w:t>Notification of framework agreement award decision</w:t>
    </w:r>
    <w:r w:rsidRPr="00FF11D8">
      <w:rPr>
        <w:color w:val="BFBFBF" w:themeColor="background1" w:themeShade="BF"/>
        <w:sz w:val="20"/>
        <w:szCs w:val="20"/>
      </w:rPr>
      <w:tab/>
    </w:r>
    <w:r w:rsidRPr="00FF11D8">
      <w:rPr>
        <w:color w:val="BFBFBF" w:themeColor="background1" w:themeShade="BF"/>
        <w:sz w:val="20"/>
        <w:szCs w:val="20"/>
      </w:rPr>
      <w:tab/>
    </w:r>
    <w:r w:rsidRPr="00FF11D8">
      <w:rPr>
        <w:color w:val="BFBFBF" w:themeColor="background1" w:themeShade="BF"/>
        <w:sz w:val="20"/>
        <w:szCs w:val="20"/>
      </w:rPr>
      <w:tab/>
    </w:r>
    <w:r w:rsidRPr="00FF11D8">
      <w:rPr>
        <w:color w:val="BFBFBF" w:themeColor="background1" w:themeShade="BF"/>
        <w:sz w:val="20"/>
        <w:szCs w:val="20"/>
      </w:rPr>
      <w:tab/>
    </w:r>
    <w:r w:rsidRPr="00FF11D8">
      <w:rPr>
        <w:color w:val="BFBFBF" w:themeColor="background1" w:themeShade="BF"/>
        <w:sz w:val="20"/>
        <w:szCs w:val="20"/>
      </w:rPr>
      <w:tab/>
      <w:t xml:space="preserve">Page </w:t>
    </w:r>
    <w:r w:rsidR="00011779" w:rsidRPr="00FF11D8">
      <w:rPr>
        <w:color w:val="BFBFBF" w:themeColor="background1" w:themeShade="BF"/>
        <w:sz w:val="20"/>
        <w:szCs w:val="20"/>
      </w:rPr>
      <w:fldChar w:fldCharType="begin"/>
    </w:r>
    <w:r w:rsidRPr="00FF11D8">
      <w:rPr>
        <w:color w:val="BFBFBF" w:themeColor="background1" w:themeShade="BF"/>
        <w:sz w:val="20"/>
        <w:szCs w:val="20"/>
      </w:rPr>
      <w:instrText xml:space="preserve"> PAGE </w:instrText>
    </w:r>
    <w:r w:rsidR="00011779" w:rsidRPr="00FF11D8">
      <w:rPr>
        <w:color w:val="BFBFBF" w:themeColor="background1" w:themeShade="BF"/>
        <w:sz w:val="20"/>
        <w:szCs w:val="20"/>
      </w:rPr>
      <w:fldChar w:fldCharType="separate"/>
    </w:r>
    <w:r w:rsidR="00FF11D8">
      <w:rPr>
        <w:noProof/>
        <w:color w:val="BFBFBF" w:themeColor="background1" w:themeShade="BF"/>
        <w:sz w:val="20"/>
        <w:szCs w:val="20"/>
      </w:rPr>
      <w:t>1</w:t>
    </w:r>
    <w:r w:rsidR="00011779" w:rsidRPr="00FF11D8">
      <w:rPr>
        <w:color w:val="BFBFBF" w:themeColor="background1" w:themeShade="BF"/>
        <w:sz w:val="20"/>
        <w:szCs w:val="20"/>
      </w:rPr>
      <w:fldChar w:fldCharType="end"/>
    </w:r>
    <w:r w:rsidRPr="00FF11D8">
      <w:rPr>
        <w:color w:val="BFBFBF" w:themeColor="background1" w:themeShade="BF"/>
        <w:sz w:val="20"/>
        <w:szCs w:val="20"/>
      </w:rPr>
      <w:t xml:space="preserve"> of </w:t>
    </w:r>
    <w:r w:rsidR="00011779" w:rsidRPr="00FF11D8">
      <w:rPr>
        <w:color w:val="BFBFBF" w:themeColor="background1" w:themeShade="BF"/>
        <w:sz w:val="20"/>
        <w:szCs w:val="20"/>
      </w:rPr>
      <w:fldChar w:fldCharType="begin"/>
    </w:r>
    <w:r w:rsidRPr="00FF11D8">
      <w:rPr>
        <w:color w:val="BFBFBF" w:themeColor="background1" w:themeShade="BF"/>
        <w:sz w:val="20"/>
        <w:szCs w:val="20"/>
      </w:rPr>
      <w:instrText xml:space="preserve"> NUMPAGES  </w:instrText>
    </w:r>
    <w:r w:rsidR="00011779" w:rsidRPr="00FF11D8">
      <w:rPr>
        <w:color w:val="BFBFBF" w:themeColor="background1" w:themeShade="BF"/>
        <w:sz w:val="20"/>
        <w:szCs w:val="20"/>
      </w:rPr>
      <w:fldChar w:fldCharType="separate"/>
    </w:r>
    <w:r w:rsidR="00FF11D8">
      <w:rPr>
        <w:noProof/>
        <w:color w:val="BFBFBF" w:themeColor="background1" w:themeShade="BF"/>
        <w:sz w:val="20"/>
        <w:szCs w:val="20"/>
      </w:rPr>
      <w:t>2</w:t>
    </w:r>
    <w:r w:rsidR="00011779" w:rsidRPr="00FF11D8">
      <w:rPr>
        <w:color w:val="BFBFBF" w:themeColor="background1" w:themeShade="BF"/>
        <w:sz w:val="20"/>
        <w:szCs w:val="20"/>
      </w:rPr>
      <w:fldChar w:fldCharType="end"/>
    </w:r>
  </w:p>
  <w:p w:rsidR="00E048BC" w:rsidRPr="00FF11D8" w:rsidRDefault="00E048BC" w:rsidP="00E909CF">
    <w:pPr>
      <w:pStyle w:val="NoSpacing"/>
      <w:rPr>
        <w:rStyle w:val="PageNumber"/>
        <w:color w:val="BFBFBF" w:themeColor="background1" w:themeShade="BF"/>
      </w:rPr>
    </w:pPr>
    <w:r w:rsidRPr="00FF11D8">
      <w:rPr>
        <w:rFonts w:cs="Arial"/>
        <w:color w:val="BFBFBF" w:themeColor="background1" w:themeShade="BF"/>
        <w:sz w:val="20"/>
      </w:rPr>
      <w:t>©</w:t>
    </w:r>
    <w:r w:rsidRPr="00FF11D8">
      <w:rPr>
        <w:color w:val="BFBFBF" w:themeColor="background1" w:themeShade="BF"/>
        <w:sz w:val="20"/>
      </w:rPr>
      <w:t xml:space="preserve"> Crown Copyright, DH 201</w:t>
    </w:r>
    <w:r w:rsidR="00FF11D8">
      <w:rPr>
        <w:color w:val="BFBFBF" w:themeColor="background1" w:themeShade="BF"/>
        <w:sz w:val="20"/>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25" w:rsidRDefault="00E048BC" w:rsidP="00DA6083">
    <w:pPr>
      <w:pStyle w:val="Footer"/>
      <w:jc w:val="left"/>
    </w:pPr>
    <w:r>
      <w:t>Notification of f</w:t>
    </w:r>
  </w:p>
  <w:sdt>
    <w:sdtPr>
      <w:rPr>
        <w:sz w:val="22"/>
      </w:rPr>
      <w:id w:val="24257399"/>
      <w:docPartObj>
        <w:docPartGallery w:val="Page Numbers (Bottom of Page)"/>
        <w:docPartUnique/>
      </w:docPartObj>
    </w:sdtPr>
    <w:sdtEndPr/>
    <w:sdtContent>
      <w:p w:rsidR="00E048BC" w:rsidRPr="00DA6083" w:rsidRDefault="00E048BC" w:rsidP="00DA6083">
        <w:pPr>
          <w:pStyle w:val="Footer"/>
          <w:jc w:val="left"/>
          <w:rPr>
            <w:sz w:val="20"/>
            <w:szCs w:val="20"/>
          </w:rPr>
        </w:pPr>
        <w:proofErr w:type="spellStart"/>
        <w:proofErr w:type="gramStart"/>
        <w:r w:rsidRPr="00DA6083">
          <w:rPr>
            <w:sz w:val="20"/>
            <w:szCs w:val="20"/>
          </w:rPr>
          <w:t>ramework</w:t>
        </w:r>
        <w:proofErr w:type="spellEnd"/>
        <w:proofErr w:type="gramEnd"/>
        <w:r w:rsidRPr="00DA6083">
          <w:rPr>
            <w:sz w:val="20"/>
            <w:szCs w:val="20"/>
          </w:rPr>
          <w:t xml:space="preserve"> agreement </w:t>
        </w:r>
        <w:r>
          <w:rPr>
            <w:sz w:val="20"/>
            <w:szCs w:val="20"/>
          </w:rPr>
          <w:t>award decision</w:t>
        </w:r>
        <w:r w:rsidRPr="00DA6083">
          <w:rPr>
            <w:sz w:val="20"/>
            <w:szCs w:val="20"/>
          </w:rPr>
          <w:tab/>
        </w:r>
        <w:r w:rsidRPr="00DA6083">
          <w:rPr>
            <w:sz w:val="20"/>
            <w:szCs w:val="20"/>
          </w:rPr>
          <w:tab/>
        </w:r>
        <w:r w:rsidRPr="00DA6083">
          <w:rPr>
            <w:sz w:val="20"/>
            <w:szCs w:val="20"/>
          </w:rPr>
          <w:tab/>
        </w:r>
        <w:r w:rsidRPr="00DA6083">
          <w:rPr>
            <w:sz w:val="20"/>
            <w:szCs w:val="20"/>
          </w:rPr>
          <w:tab/>
        </w:r>
        <w:r w:rsidRPr="00DA6083">
          <w:rPr>
            <w:sz w:val="20"/>
            <w:szCs w:val="20"/>
          </w:rPr>
          <w:tab/>
          <w:t xml:space="preserve">Page </w:t>
        </w:r>
        <w:r w:rsidR="00011779" w:rsidRPr="00DA6083">
          <w:rPr>
            <w:sz w:val="20"/>
            <w:szCs w:val="20"/>
          </w:rPr>
          <w:fldChar w:fldCharType="begin"/>
        </w:r>
        <w:r w:rsidRPr="00DA6083">
          <w:rPr>
            <w:sz w:val="20"/>
            <w:szCs w:val="20"/>
          </w:rPr>
          <w:instrText xml:space="preserve"> PAGE </w:instrText>
        </w:r>
        <w:r w:rsidR="00011779" w:rsidRPr="00DA6083">
          <w:rPr>
            <w:sz w:val="20"/>
            <w:szCs w:val="20"/>
          </w:rPr>
          <w:fldChar w:fldCharType="separate"/>
        </w:r>
        <w:r>
          <w:rPr>
            <w:noProof/>
            <w:sz w:val="20"/>
            <w:szCs w:val="20"/>
          </w:rPr>
          <w:t>1</w:t>
        </w:r>
        <w:r w:rsidR="00011779" w:rsidRPr="00DA6083">
          <w:rPr>
            <w:sz w:val="20"/>
            <w:szCs w:val="20"/>
          </w:rPr>
          <w:fldChar w:fldCharType="end"/>
        </w:r>
        <w:r w:rsidRPr="00DA6083">
          <w:rPr>
            <w:sz w:val="20"/>
            <w:szCs w:val="20"/>
          </w:rPr>
          <w:t xml:space="preserve"> of </w:t>
        </w:r>
        <w:r w:rsidR="00011779" w:rsidRPr="00DA6083">
          <w:rPr>
            <w:sz w:val="20"/>
            <w:szCs w:val="20"/>
          </w:rPr>
          <w:fldChar w:fldCharType="begin"/>
        </w:r>
        <w:r w:rsidRPr="00DA6083">
          <w:rPr>
            <w:sz w:val="20"/>
            <w:szCs w:val="20"/>
          </w:rPr>
          <w:instrText xml:space="preserve"> NUMPAGES  </w:instrText>
        </w:r>
        <w:r w:rsidR="00011779" w:rsidRPr="00DA6083">
          <w:rPr>
            <w:sz w:val="20"/>
            <w:szCs w:val="20"/>
          </w:rPr>
          <w:fldChar w:fldCharType="separate"/>
        </w:r>
        <w:r>
          <w:rPr>
            <w:noProof/>
            <w:sz w:val="20"/>
            <w:szCs w:val="20"/>
          </w:rPr>
          <w:t>3</w:t>
        </w:r>
        <w:r w:rsidR="00011779" w:rsidRPr="00DA6083">
          <w:rPr>
            <w:sz w:val="20"/>
            <w:szCs w:val="20"/>
          </w:rPr>
          <w:fldChar w:fldCharType="end"/>
        </w:r>
      </w:p>
      <w:p w:rsidR="00E048BC" w:rsidRDefault="00E048BC" w:rsidP="00DA6083">
        <w:pPr>
          <w:pStyle w:val="NoSpacing"/>
        </w:pPr>
        <w:r w:rsidRPr="00E85D31">
          <w:rPr>
            <w:rFonts w:cs="Arial"/>
            <w:sz w:val="20"/>
          </w:rPr>
          <w:t>©</w:t>
        </w:r>
        <w:r w:rsidRPr="00E85D31">
          <w:rPr>
            <w:sz w:val="20"/>
          </w:rPr>
          <w:t xml:space="preserve"> Crown Copyright, DH 2014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4CE" w:rsidRDefault="007A14CE">
      <w:r>
        <w:separator/>
      </w:r>
    </w:p>
  </w:footnote>
  <w:footnote w:type="continuationSeparator" w:id="0">
    <w:p w:rsidR="007A14CE" w:rsidRDefault="007A1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1779"/>
    <w:rsid w:val="00092F30"/>
    <w:rsid w:val="000B2A08"/>
    <w:rsid w:val="000B31A5"/>
    <w:rsid w:val="000E3E81"/>
    <w:rsid w:val="001214ED"/>
    <w:rsid w:val="001508E6"/>
    <w:rsid w:val="00155FE3"/>
    <w:rsid w:val="0015722D"/>
    <w:rsid w:val="00160BD1"/>
    <w:rsid w:val="00174E8F"/>
    <w:rsid w:val="001865A7"/>
    <w:rsid w:val="001C1ED2"/>
    <w:rsid w:val="001D2FAF"/>
    <w:rsid w:val="001E5314"/>
    <w:rsid w:val="00200324"/>
    <w:rsid w:val="002216EC"/>
    <w:rsid w:val="00290BAF"/>
    <w:rsid w:val="002B6C8E"/>
    <w:rsid w:val="002E4D64"/>
    <w:rsid w:val="002E4EA8"/>
    <w:rsid w:val="002E516F"/>
    <w:rsid w:val="002F5C3F"/>
    <w:rsid w:val="00337DBE"/>
    <w:rsid w:val="00346EC0"/>
    <w:rsid w:val="0035432D"/>
    <w:rsid w:val="003719E6"/>
    <w:rsid w:val="003A305B"/>
    <w:rsid w:val="003A64D3"/>
    <w:rsid w:val="003C5060"/>
    <w:rsid w:val="003F0B4E"/>
    <w:rsid w:val="003F3125"/>
    <w:rsid w:val="00427825"/>
    <w:rsid w:val="00441E12"/>
    <w:rsid w:val="00482904"/>
    <w:rsid w:val="00487CED"/>
    <w:rsid w:val="00497DA5"/>
    <w:rsid w:val="004C13A2"/>
    <w:rsid w:val="004F43CE"/>
    <w:rsid w:val="00507C12"/>
    <w:rsid w:val="00524887"/>
    <w:rsid w:val="00526E14"/>
    <w:rsid w:val="005403F0"/>
    <w:rsid w:val="00565777"/>
    <w:rsid w:val="00571CF6"/>
    <w:rsid w:val="005C4E16"/>
    <w:rsid w:val="00627762"/>
    <w:rsid w:val="00645F37"/>
    <w:rsid w:val="00680772"/>
    <w:rsid w:val="006C5F7D"/>
    <w:rsid w:val="006F5CAB"/>
    <w:rsid w:val="006F70DC"/>
    <w:rsid w:val="00722037"/>
    <w:rsid w:val="007544D5"/>
    <w:rsid w:val="00792F10"/>
    <w:rsid w:val="007A14CE"/>
    <w:rsid w:val="007D685E"/>
    <w:rsid w:val="007E025C"/>
    <w:rsid w:val="007E12F6"/>
    <w:rsid w:val="00811664"/>
    <w:rsid w:val="00815A8F"/>
    <w:rsid w:val="00821CBE"/>
    <w:rsid w:val="00836053"/>
    <w:rsid w:val="008507C1"/>
    <w:rsid w:val="0085413E"/>
    <w:rsid w:val="00883E9A"/>
    <w:rsid w:val="008874C7"/>
    <w:rsid w:val="00887E14"/>
    <w:rsid w:val="008C46EC"/>
    <w:rsid w:val="00907869"/>
    <w:rsid w:val="00937157"/>
    <w:rsid w:val="00980565"/>
    <w:rsid w:val="009E2F39"/>
    <w:rsid w:val="009F5FE8"/>
    <w:rsid w:val="009F6B1F"/>
    <w:rsid w:val="009F7E83"/>
    <w:rsid w:val="00A12652"/>
    <w:rsid w:val="00A30389"/>
    <w:rsid w:val="00A30C1D"/>
    <w:rsid w:val="00A54E33"/>
    <w:rsid w:val="00A76C25"/>
    <w:rsid w:val="00AA5272"/>
    <w:rsid w:val="00AC6834"/>
    <w:rsid w:val="00AD631E"/>
    <w:rsid w:val="00B45100"/>
    <w:rsid w:val="00BF5FA0"/>
    <w:rsid w:val="00C30D7E"/>
    <w:rsid w:val="00C4049D"/>
    <w:rsid w:val="00C95706"/>
    <w:rsid w:val="00CD05B3"/>
    <w:rsid w:val="00CF415D"/>
    <w:rsid w:val="00D17812"/>
    <w:rsid w:val="00D20BCD"/>
    <w:rsid w:val="00D27F1F"/>
    <w:rsid w:val="00D6350A"/>
    <w:rsid w:val="00D64002"/>
    <w:rsid w:val="00D826AB"/>
    <w:rsid w:val="00D9639C"/>
    <w:rsid w:val="00DA6083"/>
    <w:rsid w:val="00DB02A6"/>
    <w:rsid w:val="00DC40C1"/>
    <w:rsid w:val="00E048BC"/>
    <w:rsid w:val="00E05BB2"/>
    <w:rsid w:val="00E05FAC"/>
    <w:rsid w:val="00E52B93"/>
    <w:rsid w:val="00E62089"/>
    <w:rsid w:val="00E651E3"/>
    <w:rsid w:val="00E82638"/>
    <w:rsid w:val="00E909CF"/>
    <w:rsid w:val="00F24100"/>
    <w:rsid w:val="00F64955"/>
    <w:rsid w:val="00F740EB"/>
    <w:rsid w:val="00FF1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3A64D3"/>
    <w:rPr>
      <w:rFonts w:ascii="Arial" w:hAnsi="Arial"/>
      <w:sz w:val="22"/>
      <w:szCs w:val="24"/>
    </w:rPr>
  </w:style>
  <w:style w:type="character" w:customStyle="1" w:styleId="HeaderChar">
    <w:name w:val="Header Char"/>
    <w:basedOn w:val="DefaultParagraphFont"/>
    <w:link w:val="Header"/>
    <w:rsid w:val="003A64D3"/>
    <w:rPr>
      <w:rFonts w:ascii="Arial" w:hAnsi="Arial"/>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3A64D3"/>
    <w:rPr>
      <w:rFonts w:ascii="Arial" w:hAnsi="Arial"/>
      <w:sz w:val="22"/>
      <w:szCs w:val="24"/>
    </w:rPr>
  </w:style>
  <w:style w:type="character" w:customStyle="1" w:styleId="HeaderChar">
    <w:name w:val="Header Char"/>
    <w:basedOn w:val="DefaultParagraphFont"/>
    <w:link w:val="Header"/>
    <w:rsid w:val="003A64D3"/>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091732">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D2A13-DAC9-40DC-9006-748FCCD69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Thompson, Marie</cp:lastModifiedBy>
  <cp:revision>4</cp:revision>
  <cp:lastPrinted>2013-04-18T12:58:00Z</cp:lastPrinted>
  <dcterms:created xsi:type="dcterms:W3CDTF">2016-12-30T14:51:00Z</dcterms:created>
  <dcterms:modified xsi:type="dcterms:W3CDTF">2017-01-09T14:54:00Z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A2363751</vt:lpwstr>
  </property>
  <property fmtid="{D5CDD505-2E9C-101B-9397-08002B2CF9AE}" pid="4" name="Objective-Title">
    <vt:lpwstr>Document No. 01 - NHS Notification of award letter to unsuccessful supplier</vt:lpwstr>
  </property>
  <property fmtid="{D5CDD505-2E9C-101B-9397-08002B2CF9AE}" pid="5" name="Objective-Comment">
    <vt:lpwstr>
    </vt:lpwstr>
  </property>
  <property fmtid="{D5CDD505-2E9C-101B-9397-08002B2CF9AE}" pid="6" name="Objective-CreationStamp">
    <vt:filetime>2016-12-30T14:51:54Z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2017-01-09T15:41:35Z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Projects:14 Generic Pharmaceuticals Projects 2017:CM/PHG/15/5490 NHS Pharmaceuticals 2017_1:03 Tender for CM/PHG/15/5490:11 Award Documentation:DRAFT Award Documentation:</vt:lpwstr>
  </property>
  <property fmtid="{D5CDD505-2E9C-101B-9397-08002B2CF9AE}" pid="13" name="Objective-Parent">
    <vt:lpwstr>DRAFT Award Documentation</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qA18489</vt:lpwstr>
  </property>
  <property fmtid="{D5CDD505-2E9C-101B-9397-08002B2CF9AE}" pid="19" name="Objective-Classification">
    <vt:lpwstr>[Inherited - none]</vt:lpwstr>
  </property>
  <property fmtid="{D5CDD505-2E9C-101B-9397-08002B2CF9AE}" pid="20" name="Objective-Caveats">
    <vt:lpwstr>
    </vt:lpwstr>
  </property>
</Properties>
</file>