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496" w:tblpY="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gridCol w:w="7484"/>
      </w:tblGrid>
      <w:tr w:rsidR="00A77FD4" w14:paraId="1C6AF5B2" w14:textId="77777777" w:rsidTr="00C0576C">
        <w:trPr>
          <w:trHeight w:val="4975"/>
        </w:trPr>
        <w:tc>
          <w:tcPr>
            <w:tcW w:w="3251" w:type="dxa"/>
            <w:vMerge w:val="restart"/>
          </w:tcPr>
          <w:p w14:paraId="56B5E923" w14:textId="77777777" w:rsidR="004B464C" w:rsidRDefault="004B464C" w:rsidP="004B464C"/>
          <w:p w14:paraId="1BBDC01B" w14:textId="77777777" w:rsidR="004B464C" w:rsidRDefault="004B464C" w:rsidP="004B464C"/>
          <w:p w14:paraId="597F7DDC" w14:textId="77777777" w:rsidR="004B464C" w:rsidRDefault="004B464C" w:rsidP="004B464C"/>
          <w:p w14:paraId="0B0C47A7" w14:textId="77777777" w:rsidR="004B464C" w:rsidRDefault="004B464C" w:rsidP="004B464C"/>
          <w:p w14:paraId="71258644" w14:textId="77777777" w:rsidR="004B464C" w:rsidRDefault="004B464C" w:rsidP="004B464C"/>
          <w:p w14:paraId="479CCC2C" w14:textId="77777777" w:rsidR="004B464C" w:rsidRDefault="004B464C" w:rsidP="004B464C"/>
          <w:p w14:paraId="65519C5C" w14:textId="77777777" w:rsidR="004B464C" w:rsidRDefault="004B464C" w:rsidP="004B464C"/>
          <w:p w14:paraId="06E8503D" w14:textId="77777777" w:rsidR="004B464C" w:rsidRDefault="004B464C" w:rsidP="004B464C"/>
          <w:p w14:paraId="195AED55" w14:textId="416B1D73" w:rsidR="004B464C" w:rsidRDefault="00A77FD4" w:rsidP="004B464C">
            <w:r>
              <w:rPr>
                <w:noProof/>
                <w:lang w:eastAsia="en-GB"/>
              </w:rPr>
              <mc:AlternateContent>
                <mc:Choice Requires="wps">
                  <w:drawing>
                    <wp:anchor distT="0" distB="0" distL="114300" distR="114300" simplePos="0" relativeHeight="251658240" behindDoc="1" locked="0" layoutInCell="1" allowOverlap="1" wp14:anchorId="4555933A" wp14:editId="2867CFBB">
                      <wp:simplePos x="0" y="0"/>
                      <wp:positionH relativeFrom="page">
                        <wp:posOffset>0</wp:posOffset>
                      </wp:positionH>
                      <wp:positionV relativeFrom="paragraph">
                        <wp:posOffset>-1223645</wp:posOffset>
                      </wp:positionV>
                      <wp:extent cx="4114800" cy="7886700"/>
                      <wp:effectExtent l="0" t="0" r="0" b="0"/>
                      <wp:wrapNone/>
                      <wp:docPr id="6" name="Rectangle 6"/>
                      <wp:cNvGraphicFramePr/>
                      <a:graphic xmlns:a="http://schemas.openxmlformats.org/drawingml/2006/main">
                        <a:graphicData uri="http://schemas.microsoft.com/office/word/2010/wordprocessingShape">
                          <wps:wsp>
                            <wps:cNvSpPr/>
                            <wps:spPr>
                              <a:xfrm>
                                <a:off x="0" y="0"/>
                                <a:ext cx="4114800" cy="7886700"/>
                              </a:xfrm>
                              <a:prstGeom prst="rect">
                                <a:avLst/>
                              </a:prstGeom>
                              <a:blipFill rotWithShape="1">
                                <a:blip r:embed="rId11"/>
                                <a:stretch>
                                  <a:fillRect/>
                                </a:stretch>
                              </a:blipFill>
                              <a:ln w="9525" cap="flat" cmpd="sng" algn="ctr">
                                <a:noFill/>
                                <a:prstDash val="solid"/>
                              </a:ln>
                              <a:effectLst/>
                            </wps:spPr>
                            <wps:txbx>
                              <w:txbxContent>
                                <w:p w14:paraId="3198F0E8" w14:textId="77777777" w:rsidR="00371452" w:rsidRDefault="00371452" w:rsidP="00371452">
                                  <w:pPr>
                                    <w:jc w:val="center"/>
                                  </w:pPr>
                                </w:p>
                                <w:p w14:paraId="74317524" w14:textId="77777777" w:rsidR="00371452" w:rsidRDefault="00371452" w:rsidP="003714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5933A" id="Rectangle 6" o:spid="_x0000_s1026" style="position:absolute;margin-left:0;margin-top:-96.35pt;width:324pt;height:621pt;z-index:-2516582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" stroked="f">
                      <v:fill r:id="rId12" o:title="" recolor="t" rotate="t" type="frame"/>
                      <v:textbox>
                        <w:txbxContent>
                          <w:p w14:paraId="3198F0E8" w14:textId="77777777" w:rsidR="00371452" w:rsidRDefault="00371452" w:rsidP="00371452">
                            <w:pPr>
                              <w:jc w:val="center"/>
                            </w:pPr>
                          </w:p>
                          <w:p w14:paraId="74317524" w14:textId="77777777" w:rsidR="00371452" w:rsidRDefault="00371452" w:rsidP="00371452">
                            <w:pPr>
                              <w:jc w:val="center"/>
                            </w:pPr>
                          </w:p>
                        </w:txbxContent>
                      </v:textbox>
                      <w10:wrap anchorx="page"/>
                    </v:rect>
                  </w:pict>
                </mc:Fallback>
              </mc:AlternateContent>
            </w:r>
          </w:p>
          <w:p w14:paraId="504FA00F" w14:textId="77777777" w:rsidR="004B464C" w:rsidRDefault="004B464C" w:rsidP="004B464C"/>
          <w:p w14:paraId="19BC328C" w14:textId="77777777" w:rsidR="004B464C" w:rsidRDefault="004B464C" w:rsidP="004B464C"/>
          <w:p w14:paraId="63EBE931" w14:textId="77777777" w:rsidR="004B464C" w:rsidRDefault="004B464C" w:rsidP="004B464C"/>
          <w:p w14:paraId="6C5DEFD0" w14:textId="77777777" w:rsidR="004B464C" w:rsidRDefault="004B464C" w:rsidP="004B464C"/>
          <w:p w14:paraId="6AC5F7CB" w14:textId="13EB188F" w:rsidR="004B464C" w:rsidRDefault="004B464C" w:rsidP="004B464C"/>
        </w:tc>
        <w:tc>
          <w:tcPr>
            <w:tcW w:w="7484" w:type="dxa"/>
          </w:tcPr>
          <w:p w14:paraId="3A604019" w14:textId="1C8D8CD0" w:rsidR="008552E0" w:rsidRDefault="00E75F10" w:rsidP="00E75F10">
            <w:pPr>
              <w:pStyle w:val="SPSTitle"/>
              <w:framePr w:hSpace="0" w:wrap="auto" w:vAnchor="margin" w:hAnchor="text" w:xAlign="left" w:yAlign="inline"/>
            </w:pPr>
            <w:r>
              <w:t xml:space="preserve">Quality Assurance Policy to </w:t>
            </w:r>
            <w:r w:rsidR="00624D15">
              <w:t>s</w:t>
            </w:r>
            <w:r>
              <w:t xml:space="preserve">upport the National Contract Procurement of Licensed Medicines </w:t>
            </w:r>
          </w:p>
          <w:p w14:paraId="1AC3F4C7" w14:textId="77777777" w:rsidR="00E75F10" w:rsidRPr="00385237" w:rsidRDefault="00E75F10" w:rsidP="004B464C">
            <w:pPr>
              <w:pStyle w:val="SPSTitle"/>
              <w:framePr w:hSpace="0" w:wrap="auto" w:vAnchor="margin" w:hAnchor="text" w:xAlign="left" w:yAlign="inline"/>
              <w:rPr>
                <w:sz w:val="40"/>
                <w:szCs w:val="40"/>
              </w:rPr>
            </w:pPr>
          </w:p>
          <w:p w14:paraId="23157CD4" w14:textId="77777777" w:rsidR="00385237" w:rsidRPr="00385237" w:rsidRDefault="00E75F10" w:rsidP="00CC2A77">
            <w:pPr>
              <w:pStyle w:val="SPSTitle"/>
              <w:framePr w:hSpace="0" w:wrap="auto" w:vAnchor="margin" w:hAnchor="text" w:xAlign="left" w:yAlign="inline"/>
              <w:rPr>
                <w:sz w:val="40"/>
                <w:szCs w:val="40"/>
              </w:rPr>
            </w:pPr>
            <w:r>
              <w:t xml:space="preserve">Edition </w:t>
            </w:r>
            <w:r w:rsidR="00AA6B8C">
              <w:t>6</w:t>
            </w:r>
            <w:r w:rsidR="004B464C">
              <w:br/>
            </w:r>
          </w:p>
          <w:p w14:paraId="7076E638" w14:textId="7EDDEE8C" w:rsidR="004B464C" w:rsidRDefault="00385237" w:rsidP="00CC2A77">
            <w:pPr>
              <w:pStyle w:val="SPSTitle"/>
              <w:framePr w:hSpace="0" w:wrap="auto" w:vAnchor="margin" w:hAnchor="text" w:xAlign="left" w:yAlign="inline"/>
            </w:pPr>
            <w:r>
              <w:t>October</w:t>
            </w:r>
            <w:r w:rsidR="00AA6B8C">
              <w:t xml:space="preserve"> 2023</w:t>
            </w:r>
          </w:p>
        </w:tc>
      </w:tr>
      <w:tr w:rsidR="00A77FD4" w14:paraId="63F0EABD" w14:textId="77777777" w:rsidTr="00C0576C">
        <w:trPr>
          <w:trHeight w:val="4750"/>
        </w:trPr>
        <w:tc>
          <w:tcPr>
            <w:tcW w:w="3251" w:type="dxa"/>
            <w:vMerge/>
          </w:tcPr>
          <w:p w14:paraId="4E60712D" w14:textId="56CABA77" w:rsidR="004B464C" w:rsidRDefault="004B464C" w:rsidP="004B464C"/>
        </w:tc>
        <w:tc>
          <w:tcPr>
            <w:tcW w:w="7484" w:type="dxa"/>
          </w:tcPr>
          <w:p w14:paraId="64E29813" w14:textId="46C83408" w:rsidR="004B464C" w:rsidRDefault="00C0576C" w:rsidP="004B464C">
            <w:r w:rsidRPr="00D24814">
              <w:rPr>
                <w:rFonts w:cs="Arial"/>
                <w:noProof/>
                <w:sz w:val="22"/>
                <w:szCs w:val="22"/>
                <w:lang w:eastAsia="en-GB"/>
              </w:rPr>
              <mc:AlternateContent>
                <mc:Choice Requires="wps">
                  <w:drawing>
                    <wp:anchor distT="0" distB="0" distL="114300" distR="114300" simplePos="0" relativeHeight="251658241" behindDoc="0" locked="0" layoutInCell="1" allowOverlap="1" wp14:anchorId="1286FBAF" wp14:editId="4F4FF71F">
                      <wp:simplePos x="0" y="0"/>
                      <wp:positionH relativeFrom="page">
                        <wp:posOffset>923290</wp:posOffset>
                      </wp:positionH>
                      <wp:positionV relativeFrom="paragraph">
                        <wp:posOffset>2868930</wp:posOffset>
                      </wp:positionV>
                      <wp:extent cx="3829050" cy="1637665"/>
                      <wp:effectExtent l="0" t="0" r="0" b="635"/>
                      <wp:wrapSquare wrapText="bothSides"/>
                      <wp:docPr id="8" name="Text Box 8"/>
                      <wp:cNvGraphicFramePr/>
                      <a:graphic xmlns:a="http://schemas.openxmlformats.org/drawingml/2006/main">
                        <a:graphicData uri="http://schemas.microsoft.com/office/word/2010/wordprocessingShape">
                          <wps:wsp>
                            <wps:cNvSpPr txBox="1"/>
                            <wps:spPr>
                              <a:xfrm>
                                <a:off x="0" y="0"/>
                                <a:ext cx="3829050" cy="1637665"/>
                              </a:xfrm>
                              <a:prstGeom prst="rect">
                                <a:avLst/>
                              </a:prstGeom>
                              <a:noFill/>
                              <a:ln>
                                <a:noFill/>
                              </a:ln>
                              <a:effectLst/>
                              <a:extLst>
                                <a:ext uri="{C572A759-6A51-4108-AA02-DFA0A04FC94B}">
                                  <ma14:wrappingTextBoxFlag xmlns:w16du="http://schemas.microsoft.com/office/word/2023/wordml/word16du" xmlns:arto="http://schemas.microsoft.com/office/word/2006/arto" xmlns:ask="http://schemas.microsoft.com/office/drawing/2018/sketchyshapes"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6FBAF" id="_x0000_t202" coordsize="21600,21600" o:spt="202" path="m,l,21600r21600,l21600,xe">
                      <v:stroke joinstyle="miter"/>
                      <v:path gradientshapeok="t" o:connecttype="rect"/>
                    </v:shapetype>
                    <v:shape id="Text Box 8" o:spid="_x0000_s1027" type="#_x0000_t202" style="position:absolute;margin-left:72.7pt;margin-top:225.9pt;width:301.5pt;height:128.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" filled="f" stroked="f">
                      <v:textbox>
                        <w:txbxContent>
                          <w:p w14:paraId="312EE71D" w14:textId="77777777" w:rsidR="00A85AD1" w:rsidRPr="00481414" w:rsidRDefault="00A85AD1" w:rsidP="00A85AD1">
                            <w:pPr>
                              <w:rPr>
                                <w:rFonts w:cs="Arial"/>
                                <w:b/>
                                <w:color w:val="009D00"/>
                                <w:sz w:val="64"/>
                                <w:szCs w:val="64"/>
                              </w:rPr>
                            </w:pPr>
                            <w:r w:rsidRPr="00481414">
                              <w:rPr>
                                <w:rFonts w:cs="Arial"/>
                                <w:b/>
                                <w:color w:val="009D00"/>
                                <w:sz w:val="64"/>
                                <w:szCs w:val="64"/>
                              </w:rPr>
                              <w:t>The first stop</w:t>
                            </w:r>
                            <w:r w:rsidRPr="00481414">
                              <w:rPr>
                                <w:rFonts w:cs="Arial"/>
                                <w:b/>
                                <w:color w:val="009D00"/>
                                <w:sz w:val="64"/>
                                <w:szCs w:val="64"/>
                              </w:rPr>
                              <w:br/>
                              <w:t>for professional</w:t>
                            </w:r>
                            <w:r w:rsidRPr="00481414">
                              <w:rPr>
                                <w:rFonts w:cs="Arial"/>
                                <w:b/>
                                <w:color w:val="009D00"/>
                                <w:sz w:val="64"/>
                                <w:szCs w:val="64"/>
                              </w:rPr>
                              <w:br/>
                              <w:t>medicines advice</w:t>
                            </w:r>
                          </w:p>
                        </w:txbxContent>
                      </v:textbox>
                      <w10:wrap type="square" anchorx="page"/>
                    </v:shape>
                  </w:pict>
                </mc:Fallback>
              </mc:AlternateContent>
            </w:r>
          </w:p>
        </w:tc>
      </w:tr>
    </w:tbl>
    <w:p w14:paraId="60CD2FCE" w14:textId="37182ACC" w:rsidR="00624D15" w:rsidRDefault="00624D15" w:rsidP="00113290">
      <w:pPr>
        <w:pStyle w:val="Heading1"/>
        <w:rPr>
          <w:sz w:val="28"/>
          <w:szCs w:val="28"/>
        </w:rPr>
      </w:pPr>
    </w:p>
    <w:p w14:paraId="352EA329" w14:textId="77777777" w:rsidR="00624D15" w:rsidRPr="00624D15" w:rsidRDefault="00624D15" w:rsidP="00624D15">
      <w:pPr>
        <w:rPr>
          <w:sz w:val="32"/>
          <w:szCs w:val="32"/>
        </w:rPr>
      </w:pPr>
    </w:p>
    <w:p w14:paraId="1E467039" w14:textId="7D5FD722" w:rsidR="00113290" w:rsidRDefault="00113290" w:rsidP="00624D15">
      <w:pPr>
        <w:pStyle w:val="Heading1"/>
        <w:spacing w:before="120"/>
      </w:pPr>
      <w:r>
        <w:lastRenderedPageBreak/>
        <w:t>INTRODUCTION</w:t>
      </w:r>
    </w:p>
    <w:p w14:paraId="2A601C11" w14:textId="08D88FE8" w:rsidR="00113290" w:rsidRDefault="00113290" w:rsidP="00113290"/>
    <w:p w14:paraId="75BA3666" w14:textId="69E118EF"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Background </w:t>
      </w:r>
    </w:p>
    <w:p w14:paraId="03C5D44E" w14:textId="77777777" w:rsidR="00113290" w:rsidRPr="00113290" w:rsidRDefault="00113290" w:rsidP="00113290">
      <w:r w:rsidRPr="00113290">
        <w:t> </w:t>
      </w:r>
    </w:p>
    <w:p w14:paraId="576E6184" w14:textId="70B8361C" w:rsidR="00113290" w:rsidRPr="00DE5A03" w:rsidRDefault="00113290" w:rsidP="00113290">
      <w:pPr>
        <w:rPr>
          <w:sz w:val="22"/>
          <w:szCs w:val="22"/>
        </w:rPr>
      </w:pPr>
      <w:r w:rsidRPr="00DE5A03">
        <w:rPr>
          <w:sz w:val="22"/>
          <w:szCs w:val="22"/>
        </w:rPr>
        <w:t xml:space="preserve">The Department of Health Document, </w:t>
      </w:r>
      <w:r w:rsidRPr="00DE5A03">
        <w:rPr>
          <w:i/>
          <w:iCs/>
          <w:sz w:val="22"/>
          <w:szCs w:val="22"/>
        </w:rPr>
        <w:t>An Organisation With a Memory</w:t>
      </w:r>
      <w:r w:rsidRPr="00DE5A03">
        <w:rPr>
          <w:sz w:val="22"/>
          <w:szCs w:val="22"/>
        </w:rPr>
        <w:t xml:space="preserve"> (2000), identified targets to reduce the number of serious errors in the use of prescribed drugs by 40 per cent by 2005 and to reduce death or paralysis caused by maladministered spinal injections to zero by the end of 2001.  </w:t>
      </w:r>
    </w:p>
    <w:p w14:paraId="409FF319" w14:textId="77777777" w:rsidR="00113290" w:rsidRPr="00DE5A03" w:rsidRDefault="00113290" w:rsidP="00113290">
      <w:pPr>
        <w:rPr>
          <w:sz w:val="22"/>
          <w:szCs w:val="22"/>
        </w:rPr>
      </w:pPr>
      <w:r w:rsidRPr="00DE5A03">
        <w:rPr>
          <w:sz w:val="22"/>
          <w:szCs w:val="22"/>
        </w:rPr>
        <w:t> </w:t>
      </w:r>
    </w:p>
    <w:p w14:paraId="533DE05F" w14:textId="287A7824" w:rsidR="00113290" w:rsidRPr="00DE5A03" w:rsidRDefault="00113290" w:rsidP="00113290">
      <w:pPr>
        <w:rPr>
          <w:sz w:val="22"/>
          <w:szCs w:val="22"/>
        </w:rPr>
      </w:pPr>
      <w:r w:rsidRPr="00DE5A03">
        <w:rPr>
          <w:sz w:val="22"/>
          <w:szCs w:val="22"/>
        </w:rPr>
        <w:t xml:space="preserve">The Department of Health report, </w:t>
      </w:r>
      <w:r w:rsidRPr="00DE5A03">
        <w:rPr>
          <w:i/>
          <w:iCs/>
          <w:sz w:val="22"/>
          <w:szCs w:val="22"/>
        </w:rPr>
        <w:t>Building a Safer NHS for Patients</w:t>
      </w:r>
      <w:r w:rsidRPr="00DE5A03">
        <w:rPr>
          <w:sz w:val="22"/>
          <w:szCs w:val="22"/>
        </w:rPr>
        <w:t xml:space="preserve"> (2001), recommended that safety was built into purchasing policy within the NHS.  </w:t>
      </w:r>
    </w:p>
    <w:p w14:paraId="07D571A2" w14:textId="77777777" w:rsidR="00113290" w:rsidRPr="00DE5A03" w:rsidRDefault="00113290" w:rsidP="00113290">
      <w:pPr>
        <w:rPr>
          <w:sz w:val="22"/>
          <w:szCs w:val="22"/>
        </w:rPr>
      </w:pPr>
      <w:r w:rsidRPr="00DE5A03">
        <w:rPr>
          <w:sz w:val="22"/>
          <w:szCs w:val="22"/>
        </w:rPr>
        <w:t> </w:t>
      </w:r>
    </w:p>
    <w:p w14:paraId="22751484" w14:textId="1DCD4857" w:rsidR="00113290" w:rsidRPr="00DE5A03" w:rsidRDefault="00113290" w:rsidP="00113290">
      <w:pPr>
        <w:rPr>
          <w:sz w:val="22"/>
          <w:szCs w:val="22"/>
        </w:rPr>
      </w:pPr>
      <w:r w:rsidRPr="00DE5A03">
        <w:rPr>
          <w:sz w:val="22"/>
          <w:szCs w:val="22"/>
        </w:rPr>
        <w:t xml:space="preserve">In 2001, the Committee on Safety of Medicines established a working group to review the packaging and labelling of medicines following a death related to a spinal injection of vincristine. The findings were published in </w:t>
      </w:r>
      <w:r w:rsidRPr="00DE5A03">
        <w:rPr>
          <w:i/>
          <w:iCs/>
          <w:sz w:val="22"/>
          <w:szCs w:val="22"/>
        </w:rPr>
        <w:t>MLX275, Recommendations for the Labelling and Packaging of Medicines</w:t>
      </w:r>
      <w:r w:rsidRPr="00DE5A03">
        <w:rPr>
          <w:sz w:val="22"/>
          <w:szCs w:val="22"/>
        </w:rPr>
        <w:t xml:space="preserve"> (Aug 2001).  </w:t>
      </w:r>
    </w:p>
    <w:p w14:paraId="00A0DC6E" w14:textId="77777777" w:rsidR="00113290" w:rsidRPr="00DE5A03" w:rsidRDefault="00113290" w:rsidP="00113290">
      <w:pPr>
        <w:rPr>
          <w:sz w:val="22"/>
          <w:szCs w:val="22"/>
        </w:rPr>
      </w:pPr>
      <w:r w:rsidRPr="00DE5A03">
        <w:rPr>
          <w:sz w:val="22"/>
          <w:szCs w:val="22"/>
        </w:rPr>
        <w:t> </w:t>
      </w:r>
    </w:p>
    <w:p w14:paraId="36351E96" w14:textId="2B804833" w:rsidR="00113290" w:rsidRPr="00DE5A03" w:rsidRDefault="00113290" w:rsidP="00113290">
      <w:pPr>
        <w:rPr>
          <w:sz w:val="22"/>
          <w:szCs w:val="22"/>
        </w:rPr>
      </w:pPr>
      <w:r w:rsidRPr="00DE5A03">
        <w:rPr>
          <w:sz w:val="22"/>
          <w:szCs w:val="22"/>
        </w:rPr>
        <w:t xml:space="preserve">In 2003, MHRA and NPSA worked collaboratively to publish the guidance document, </w:t>
      </w:r>
      <w:r w:rsidRPr="00DE5A03">
        <w:rPr>
          <w:i/>
          <w:iCs/>
          <w:sz w:val="22"/>
          <w:szCs w:val="22"/>
        </w:rPr>
        <w:t>Best Practice on the Labelling and Packaging of Medicines</w:t>
      </w:r>
      <w:r w:rsidRPr="00DE5A03">
        <w:rPr>
          <w:sz w:val="22"/>
          <w:szCs w:val="22"/>
        </w:rPr>
        <w:t xml:space="preserve"> (edition1 - March 2003), which was based on the recommendations of MLX275.  </w:t>
      </w:r>
      <w:r w:rsidR="00CD7FB4" w:rsidRPr="00DE5A03">
        <w:rPr>
          <w:sz w:val="22"/>
          <w:szCs w:val="22"/>
        </w:rPr>
        <w:t>This document has been updated and the most recent version was issued in 2020.</w:t>
      </w:r>
    </w:p>
    <w:p w14:paraId="2EE323EE" w14:textId="77777777" w:rsidR="00113290" w:rsidRPr="00DE5A03" w:rsidRDefault="00113290" w:rsidP="00113290">
      <w:pPr>
        <w:rPr>
          <w:sz w:val="22"/>
          <w:szCs w:val="22"/>
        </w:rPr>
      </w:pPr>
      <w:r w:rsidRPr="00DE5A03">
        <w:rPr>
          <w:sz w:val="22"/>
          <w:szCs w:val="22"/>
        </w:rPr>
        <w:t> </w:t>
      </w:r>
    </w:p>
    <w:p w14:paraId="5AE632AF" w14:textId="01812F01" w:rsidR="00113290" w:rsidRPr="00DE5A03" w:rsidRDefault="00113290" w:rsidP="00113290">
      <w:pPr>
        <w:rPr>
          <w:sz w:val="22"/>
          <w:szCs w:val="22"/>
        </w:rPr>
      </w:pPr>
      <w:r w:rsidRPr="00DE5A03">
        <w:rPr>
          <w:sz w:val="22"/>
          <w:szCs w:val="22"/>
        </w:rPr>
        <w:t xml:space="preserve">In 2004, the NHS Pharmaceutical Quality Assurance Committee published the document, </w:t>
      </w:r>
      <w:r w:rsidRPr="00DE5A03">
        <w:rPr>
          <w:i/>
          <w:iCs/>
          <w:sz w:val="22"/>
          <w:szCs w:val="22"/>
        </w:rPr>
        <w:t xml:space="preserve">Quality Assurance and Risk Assessment of Licensed Medicines for the NHS to support Contracting of Medicines in the NHS (edition 1) </w:t>
      </w:r>
      <w:r w:rsidRPr="00DE5A03">
        <w:rPr>
          <w:sz w:val="22"/>
          <w:szCs w:val="22"/>
        </w:rPr>
        <w:t>in collaboration with NHS Purchasing and Supply Agency (PASA) and regional procurement pharmacists. This document described a risk assessment process to help evaluate the medication error potential of medicines associated with their packaging and labelling. It was developed against the principles of MLX275 and the MHRA best practice guidance and used by NHS Regional Quality Assurance Pharmacists to inform and advise the contract adjudication process. </w:t>
      </w:r>
    </w:p>
    <w:p w14:paraId="4C333984" w14:textId="77777777" w:rsidR="00113290" w:rsidRPr="00DE5A03" w:rsidRDefault="00113290" w:rsidP="00113290">
      <w:pPr>
        <w:rPr>
          <w:sz w:val="22"/>
          <w:szCs w:val="22"/>
        </w:rPr>
      </w:pPr>
      <w:r w:rsidRPr="00DE5A03">
        <w:rPr>
          <w:sz w:val="22"/>
          <w:szCs w:val="22"/>
        </w:rPr>
        <w:t> </w:t>
      </w:r>
    </w:p>
    <w:p w14:paraId="643263E7"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Design for Safety </w:t>
      </w:r>
    </w:p>
    <w:p w14:paraId="7C2F84C8" w14:textId="77777777" w:rsidR="00113290" w:rsidRPr="00113290" w:rsidRDefault="00113290" w:rsidP="00113290">
      <w:r w:rsidRPr="00113290">
        <w:t> </w:t>
      </w:r>
    </w:p>
    <w:p w14:paraId="4605F420" w14:textId="3B227025" w:rsidR="00113290" w:rsidRPr="00DE5A03" w:rsidRDefault="00113290" w:rsidP="00113290">
      <w:pPr>
        <w:rPr>
          <w:sz w:val="22"/>
          <w:szCs w:val="22"/>
        </w:rPr>
      </w:pPr>
      <w:r w:rsidRPr="00DE5A03">
        <w:rPr>
          <w:sz w:val="22"/>
          <w:szCs w:val="22"/>
        </w:rPr>
        <w:t xml:space="preserve">In 2006, The NPSA and the Helen Hamlyn Research Centre jointly published the guidance document, </w:t>
      </w:r>
      <w:r w:rsidRPr="00DE5A03">
        <w:rPr>
          <w:i/>
          <w:iCs/>
          <w:sz w:val="22"/>
          <w:szCs w:val="22"/>
        </w:rPr>
        <w:t>Design for patient safety: A guide to the graphic design of medication packaging</w:t>
      </w:r>
      <w:r w:rsidR="00AF358B" w:rsidRPr="00DE5A03">
        <w:rPr>
          <w:sz w:val="22"/>
          <w:szCs w:val="22"/>
        </w:rPr>
        <w:t xml:space="preserve"> (see Section 5). </w:t>
      </w:r>
      <w:r w:rsidRPr="00DE5A03">
        <w:rPr>
          <w:sz w:val="22"/>
          <w:szCs w:val="22"/>
        </w:rPr>
        <w:t>The guide demonstrates how graphic design on medicines packaging can enhance patient safety and details best practice based on user testing, taking views from patients, pharmaceutical Industry personnel, NHS agencies, nurses and pharmacists. The scope of this guidance was primary and secondary packaging of medicines in blister packs. </w:t>
      </w:r>
    </w:p>
    <w:p w14:paraId="6D73590C" w14:textId="77777777" w:rsidR="00113290" w:rsidRPr="00DE5A03" w:rsidRDefault="00113290" w:rsidP="00113290">
      <w:pPr>
        <w:rPr>
          <w:sz w:val="22"/>
          <w:szCs w:val="22"/>
        </w:rPr>
      </w:pPr>
      <w:r w:rsidRPr="00DE5A03">
        <w:rPr>
          <w:sz w:val="22"/>
          <w:szCs w:val="22"/>
        </w:rPr>
        <w:t> </w:t>
      </w:r>
    </w:p>
    <w:p w14:paraId="7D2C1100" w14:textId="189E1871" w:rsidR="00113290" w:rsidRPr="00DE5A03" w:rsidRDefault="00113290" w:rsidP="00113290">
      <w:pPr>
        <w:rPr>
          <w:sz w:val="22"/>
          <w:szCs w:val="22"/>
        </w:rPr>
      </w:pPr>
      <w:r w:rsidRPr="00DE5A03">
        <w:rPr>
          <w:sz w:val="22"/>
          <w:szCs w:val="22"/>
        </w:rPr>
        <w:t xml:space="preserve">In 2007, the NPSA published </w:t>
      </w:r>
      <w:r w:rsidRPr="00DE5A03">
        <w:rPr>
          <w:i/>
          <w:iCs/>
          <w:sz w:val="22"/>
          <w:szCs w:val="22"/>
        </w:rPr>
        <w:t xml:space="preserve">Promoting safer use of injectable medicines (NPSA Alert 20) </w:t>
      </w:r>
      <w:r w:rsidRPr="00DE5A03">
        <w:rPr>
          <w:sz w:val="22"/>
          <w:szCs w:val="22"/>
        </w:rPr>
        <w:t>(see Section 5), which reported that they received 59,000 reports of patient safety incidents involving medicines between January 2005 and June 2007. Approximately a third of those incidents involving injectable medicines accounted for 25 per cent of all medication incidents, and 58 per cent of the most serious incidents (i.e. those that resulted in death or serious harm to patients). It also reported</w:t>
      </w:r>
      <w:r w:rsidR="00C02EDB" w:rsidRPr="00DE5A03">
        <w:rPr>
          <w:sz w:val="22"/>
          <w:szCs w:val="22"/>
        </w:rPr>
        <w:t xml:space="preserve"> </w:t>
      </w:r>
      <w:r w:rsidRPr="00DE5A03">
        <w:rPr>
          <w:sz w:val="22"/>
          <w:szCs w:val="22"/>
        </w:rPr>
        <w:t>that approximately a third of medication errors were linked to confusion over packaging and labelling.  </w:t>
      </w:r>
    </w:p>
    <w:p w14:paraId="1E951FB8" w14:textId="77777777" w:rsidR="00113290" w:rsidRPr="00DE5A03" w:rsidRDefault="00113290" w:rsidP="00113290">
      <w:pPr>
        <w:rPr>
          <w:sz w:val="22"/>
          <w:szCs w:val="22"/>
        </w:rPr>
      </w:pPr>
      <w:r w:rsidRPr="00DE5A03">
        <w:rPr>
          <w:sz w:val="22"/>
          <w:szCs w:val="22"/>
        </w:rPr>
        <w:t> </w:t>
      </w:r>
    </w:p>
    <w:p w14:paraId="59EE8CEA" w14:textId="77777777" w:rsidR="00113290" w:rsidRPr="00DE5A03" w:rsidRDefault="00113290" w:rsidP="00113290">
      <w:pPr>
        <w:rPr>
          <w:sz w:val="22"/>
          <w:szCs w:val="22"/>
        </w:rPr>
      </w:pPr>
      <w:r w:rsidRPr="00DE5A03">
        <w:rPr>
          <w:sz w:val="22"/>
          <w:szCs w:val="22"/>
        </w:rPr>
        <w:t>Recommended actions included the “use of purchasing for safety policies” and that procurement groups should procure injectable medicines that have design features that make them safer to use in practice. </w:t>
      </w:r>
    </w:p>
    <w:p w14:paraId="2FA0DA41" w14:textId="77777777" w:rsidR="00113290" w:rsidRPr="00DE5A03" w:rsidRDefault="00113290" w:rsidP="00113290">
      <w:pPr>
        <w:rPr>
          <w:sz w:val="22"/>
          <w:szCs w:val="22"/>
        </w:rPr>
      </w:pPr>
      <w:r w:rsidRPr="00DE5A03">
        <w:rPr>
          <w:sz w:val="22"/>
          <w:szCs w:val="22"/>
        </w:rPr>
        <w:t> </w:t>
      </w:r>
    </w:p>
    <w:p w14:paraId="48E1C302" w14:textId="39414BA0" w:rsidR="00113290" w:rsidRPr="00DE5A03" w:rsidRDefault="00113290" w:rsidP="00113290">
      <w:pPr>
        <w:rPr>
          <w:sz w:val="22"/>
          <w:szCs w:val="22"/>
        </w:rPr>
      </w:pPr>
      <w:r w:rsidRPr="00DE5A03">
        <w:rPr>
          <w:sz w:val="22"/>
          <w:szCs w:val="22"/>
        </w:rPr>
        <w:t>Following on from this alert, in 2008 The NPSA and Helen Hamlyn Research Centre published a second guidance document,</w:t>
      </w:r>
      <w:r w:rsidRPr="00DE5A03">
        <w:rPr>
          <w:i/>
          <w:iCs/>
          <w:sz w:val="22"/>
          <w:szCs w:val="22"/>
        </w:rPr>
        <w:t xml:space="preserve"> Design for patient safety: A guide to labelling and packaging of injectable medicines</w:t>
      </w:r>
      <w:r w:rsidR="00176E32" w:rsidRPr="00DE5A03">
        <w:rPr>
          <w:i/>
          <w:iCs/>
          <w:sz w:val="22"/>
          <w:szCs w:val="22"/>
        </w:rPr>
        <w:t xml:space="preserve"> </w:t>
      </w:r>
      <w:r w:rsidR="00176E32" w:rsidRPr="00DE5A03">
        <w:rPr>
          <w:sz w:val="22"/>
          <w:szCs w:val="22"/>
        </w:rPr>
        <w:t>(see Section 5)</w:t>
      </w:r>
      <w:r w:rsidRPr="00DE5A03">
        <w:rPr>
          <w:sz w:val="22"/>
          <w:szCs w:val="22"/>
        </w:rPr>
        <w:t xml:space="preserve">. This guide provided guidance to the </w:t>
      </w:r>
      <w:r w:rsidR="00C02EDB" w:rsidRPr="00DE5A03">
        <w:rPr>
          <w:sz w:val="22"/>
          <w:szCs w:val="22"/>
        </w:rPr>
        <w:t>p</w:t>
      </w:r>
      <w:r w:rsidRPr="00DE5A03">
        <w:rPr>
          <w:sz w:val="22"/>
          <w:szCs w:val="22"/>
        </w:rPr>
        <w:t>harmaceutical industry for primary and secondary packaging of injectable medicines. </w:t>
      </w:r>
    </w:p>
    <w:p w14:paraId="180303F0" w14:textId="77777777" w:rsidR="00113290" w:rsidRPr="00DE5A03" w:rsidRDefault="00113290" w:rsidP="00113290">
      <w:pPr>
        <w:rPr>
          <w:sz w:val="22"/>
          <w:szCs w:val="22"/>
        </w:rPr>
      </w:pPr>
      <w:r w:rsidRPr="00DE5A03">
        <w:rPr>
          <w:sz w:val="22"/>
          <w:szCs w:val="22"/>
        </w:rPr>
        <w:t> </w:t>
      </w:r>
    </w:p>
    <w:p w14:paraId="46BACA5B" w14:textId="4938E647" w:rsidR="00113290" w:rsidRPr="00DE5A03" w:rsidRDefault="00113290" w:rsidP="00113290">
      <w:pPr>
        <w:rPr>
          <w:sz w:val="22"/>
          <w:szCs w:val="22"/>
        </w:rPr>
      </w:pPr>
      <w:r w:rsidRPr="00DE5A03">
        <w:rPr>
          <w:sz w:val="22"/>
          <w:szCs w:val="22"/>
        </w:rPr>
        <w:lastRenderedPageBreak/>
        <w:t xml:space="preserve">The two NPSA design for safety guides are aimed at packaging designers and pharmaceutical companies manufacturing but have </w:t>
      </w:r>
      <w:r w:rsidR="00C02EDB" w:rsidRPr="00DE5A03">
        <w:rPr>
          <w:sz w:val="22"/>
          <w:szCs w:val="22"/>
        </w:rPr>
        <w:t xml:space="preserve">also </w:t>
      </w:r>
      <w:r w:rsidRPr="00DE5A03">
        <w:rPr>
          <w:sz w:val="22"/>
          <w:szCs w:val="22"/>
        </w:rPr>
        <w:t>been adopted as the key reference documents to support the safe procurement of medicines within NH</w:t>
      </w:r>
      <w:r w:rsidR="00C02EDB" w:rsidRPr="00DE5A03">
        <w:rPr>
          <w:sz w:val="22"/>
          <w:szCs w:val="22"/>
        </w:rPr>
        <w:t>S because they</w:t>
      </w:r>
      <w:r w:rsidRPr="00DE5A03">
        <w:rPr>
          <w:sz w:val="22"/>
          <w:szCs w:val="22"/>
        </w:rPr>
        <w:t> </w:t>
      </w:r>
      <w:r w:rsidR="00C02EDB" w:rsidRPr="00DE5A03">
        <w:rPr>
          <w:sz w:val="22"/>
          <w:szCs w:val="22"/>
        </w:rPr>
        <w:t>describe best practice for the packaging and labelling of medicines for safety.</w:t>
      </w:r>
    </w:p>
    <w:p w14:paraId="7BA0BAAD" w14:textId="77777777" w:rsidR="00633576" w:rsidRPr="00DE5A03" w:rsidRDefault="00633576" w:rsidP="00113290">
      <w:pPr>
        <w:rPr>
          <w:sz w:val="22"/>
          <w:szCs w:val="22"/>
        </w:rPr>
      </w:pPr>
    </w:p>
    <w:p w14:paraId="15861304" w14:textId="1A7133DC" w:rsidR="00633576" w:rsidRPr="00DE5A03" w:rsidRDefault="00633576" w:rsidP="00113290">
      <w:pPr>
        <w:rPr>
          <w:sz w:val="22"/>
          <w:szCs w:val="22"/>
        </w:rPr>
      </w:pPr>
      <w:r w:rsidRPr="00DE5A03">
        <w:rPr>
          <w:sz w:val="22"/>
          <w:szCs w:val="22"/>
        </w:rPr>
        <w:t xml:space="preserve">Although all the </w:t>
      </w:r>
      <w:r w:rsidR="00A8639E" w:rsidRPr="00DE5A03">
        <w:rPr>
          <w:sz w:val="22"/>
          <w:szCs w:val="22"/>
        </w:rPr>
        <w:t xml:space="preserve">resources above are several years old the principles remain </w:t>
      </w:r>
      <w:r w:rsidR="00C83DCA" w:rsidRPr="00DE5A03">
        <w:rPr>
          <w:sz w:val="22"/>
          <w:szCs w:val="22"/>
        </w:rPr>
        <w:t>current and relevant.</w:t>
      </w:r>
    </w:p>
    <w:p w14:paraId="06F1D96F" w14:textId="77777777" w:rsidR="00113290" w:rsidRPr="00DE5A03" w:rsidRDefault="00113290" w:rsidP="00113290">
      <w:pPr>
        <w:rPr>
          <w:sz w:val="22"/>
          <w:szCs w:val="22"/>
        </w:rPr>
      </w:pPr>
      <w:r w:rsidRPr="00DE5A03">
        <w:rPr>
          <w:sz w:val="22"/>
          <w:szCs w:val="22"/>
        </w:rPr>
        <w:t> </w:t>
      </w:r>
    </w:p>
    <w:p w14:paraId="072F18AC" w14:textId="77777777" w:rsidR="00113290" w:rsidRPr="00113290" w:rsidRDefault="00113290" w:rsidP="00113290">
      <w:pPr>
        <w:rPr>
          <w:rFonts w:eastAsiaTheme="majorEastAsia" w:cstheme="majorBidi"/>
          <w:b/>
          <w:bCs/>
          <w:color w:val="01833E"/>
          <w:sz w:val="32"/>
          <w:szCs w:val="32"/>
        </w:rPr>
      </w:pPr>
      <w:r w:rsidRPr="00113290">
        <w:rPr>
          <w:rFonts w:eastAsiaTheme="majorEastAsia" w:cstheme="majorBidi"/>
          <w:b/>
          <w:bCs/>
          <w:color w:val="01833E"/>
          <w:sz w:val="32"/>
          <w:szCs w:val="32"/>
        </w:rPr>
        <w:t>Purchasing for Safety </w:t>
      </w:r>
    </w:p>
    <w:p w14:paraId="34D22B71" w14:textId="77777777" w:rsidR="00113290" w:rsidRPr="00113290" w:rsidRDefault="00113290" w:rsidP="00113290">
      <w:r w:rsidRPr="00113290">
        <w:t> </w:t>
      </w:r>
    </w:p>
    <w:p w14:paraId="7DD96749" w14:textId="7F7AB2E7" w:rsidR="00113290" w:rsidRPr="00DE5A03" w:rsidRDefault="00113290" w:rsidP="00113290">
      <w:pPr>
        <w:rPr>
          <w:sz w:val="22"/>
          <w:szCs w:val="22"/>
        </w:rPr>
      </w:pPr>
      <w:r w:rsidRPr="00DE5A03">
        <w:rPr>
          <w:sz w:val="22"/>
          <w:szCs w:val="22"/>
        </w:rPr>
        <w:t>Purchasing for safety is a fundamental principle underpinning the procurement of medicines that is embedded into the central contracting process for generic medicines in the NHS. Purchasing for safety plays an important role in mitigating the risks of medication errors, especially in preventing selection errors associated with “look alike, sound alike</w:t>
      </w:r>
      <w:r w:rsidR="00C02EDB" w:rsidRPr="00DE5A03">
        <w:rPr>
          <w:sz w:val="22"/>
          <w:szCs w:val="22"/>
        </w:rPr>
        <w:t>”</w:t>
      </w:r>
      <w:r w:rsidRPr="00DE5A03">
        <w:rPr>
          <w:sz w:val="22"/>
          <w:szCs w:val="22"/>
        </w:rPr>
        <w:t xml:space="preserve"> (LASA) medicines.   </w:t>
      </w:r>
    </w:p>
    <w:p w14:paraId="185C688A" w14:textId="77777777" w:rsidR="00113290" w:rsidRPr="00DE5A03" w:rsidRDefault="00113290" w:rsidP="00113290">
      <w:pPr>
        <w:rPr>
          <w:sz w:val="22"/>
          <w:szCs w:val="22"/>
        </w:rPr>
      </w:pPr>
      <w:r w:rsidRPr="00DE5A03">
        <w:rPr>
          <w:sz w:val="22"/>
          <w:szCs w:val="22"/>
        </w:rPr>
        <w:t> </w:t>
      </w:r>
    </w:p>
    <w:p w14:paraId="2C2323EA" w14:textId="77777777" w:rsidR="00113290" w:rsidRPr="00DE5A03" w:rsidRDefault="00113290" w:rsidP="00113290">
      <w:pPr>
        <w:rPr>
          <w:sz w:val="22"/>
          <w:szCs w:val="22"/>
        </w:rPr>
      </w:pPr>
      <w:r w:rsidRPr="00DE5A03">
        <w:rPr>
          <w:sz w:val="22"/>
          <w:szCs w:val="22"/>
        </w:rPr>
        <w:t>The NHS Pharmaceutical Quality Assurance Committee first developed a risk assessment tool in 2004 (Quality Assurance and Risk Assessment of Licensed Medicines for the NHS) to evaluate the potential for medication errors associated with the packaging and labelling of generic medicines. This was supplemented with a policy in 2007 (QA Policy for Contract Procurement of Licensed Pharmaceuticals). These two documents were combined in 2011and describe the arrangements for how NHS regional quality assurance specialists support the contracting process. </w:t>
      </w:r>
    </w:p>
    <w:p w14:paraId="5B25A12C" w14:textId="77777777" w:rsidR="00113290" w:rsidRPr="00DE5A03" w:rsidRDefault="00113290" w:rsidP="00113290">
      <w:pPr>
        <w:rPr>
          <w:sz w:val="22"/>
          <w:szCs w:val="22"/>
        </w:rPr>
      </w:pPr>
      <w:r w:rsidRPr="00DE5A03">
        <w:rPr>
          <w:sz w:val="22"/>
          <w:szCs w:val="22"/>
        </w:rPr>
        <w:t> </w:t>
      </w:r>
    </w:p>
    <w:p w14:paraId="4DA4F4AB" w14:textId="77777777" w:rsidR="00113290" w:rsidRPr="00DE5A03" w:rsidRDefault="00113290" w:rsidP="00113290">
      <w:pPr>
        <w:rPr>
          <w:sz w:val="22"/>
          <w:szCs w:val="22"/>
        </w:rPr>
      </w:pPr>
      <w:r w:rsidRPr="00DE5A03">
        <w:rPr>
          <w:sz w:val="22"/>
          <w:szCs w:val="22"/>
        </w:rPr>
        <w:t>The risk assessment process evaluates the packaging and labelling of medicines against MHRA and NPSA design for safety guidance documents: </w:t>
      </w:r>
    </w:p>
    <w:p w14:paraId="4C4B1C3D" w14:textId="77777777" w:rsidR="00113290" w:rsidRPr="00DE5A03" w:rsidRDefault="00113290" w:rsidP="00113290">
      <w:pPr>
        <w:numPr>
          <w:ilvl w:val="0"/>
          <w:numId w:val="18"/>
        </w:numPr>
        <w:rPr>
          <w:sz w:val="22"/>
          <w:szCs w:val="22"/>
        </w:rPr>
      </w:pPr>
      <w:r w:rsidRPr="00DE5A03">
        <w:rPr>
          <w:i/>
          <w:iCs/>
          <w:sz w:val="22"/>
          <w:szCs w:val="22"/>
        </w:rPr>
        <w:t>Best practice on the labelling and packaging of medicines</w:t>
      </w:r>
      <w:r w:rsidRPr="00DE5A03">
        <w:rPr>
          <w:sz w:val="22"/>
          <w:szCs w:val="22"/>
        </w:rPr>
        <w:t> </w:t>
      </w:r>
    </w:p>
    <w:p w14:paraId="78871B03" w14:textId="77777777" w:rsidR="00113290" w:rsidRPr="00DE5A03" w:rsidRDefault="00113290" w:rsidP="00113290">
      <w:pPr>
        <w:numPr>
          <w:ilvl w:val="0"/>
          <w:numId w:val="18"/>
        </w:numPr>
        <w:rPr>
          <w:sz w:val="22"/>
          <w:szCs w:val="22"/>
        </w:rPr>
      </w:pPr>
      <w:r w:rsidRPr="00DE5A03">
        <w:rPr>
          <w:i/>
          <w:iCs/>
          <w:sz w:val="22"/>
          <w:szCs w:val="22"/>
        </w:rPr>
        <w:t>Design for patient safety: A guide to the graphic design of medication packaging</w:t>
      </w:r>
      <w:r w:rsidRPr="00DE5A03">
        <w:rPr>
          <w:sz w:val="22"/>
          <w:szCs w:val="22"/>
        </w:rPr>
        <w:t> </w:t>
      </w:r>
    </w:p>
    <w:p w14:paraId="72242D89" w14:textId="77777777" w:rsidR="00113290" w:rsidRPr="00DE5A03" w:rsidRDefault="00113290" w:rsidP="00113290">
      <w:pPr>
        <w:numPr>
          <w:ilvl w:val="0"/>
          <w:numId w:val="18"/>
        </w:numPr>
        <w:rPr>
          <w:sz w:val="22"/>
          <w:szCs w:val="22"/>
        </w:rPr>
      </w:pPr>
      <w:r w:rsidRPr="00DE5A03">
        <w:rPr>
          <w:i/>
          <w:iCs/>
          <w:sz w:val="22"/>
          <w:szCs w:val="22"/>
        </w:rPr>
        <w:t>Design for patient safety: A guide to labelling and packaging of injectable medicines</w:t>
      </w:r>
      <w:r w:rsidRPr="00DE5A03">
        <w:rPr>
          <w:sz w:val="22"/>
          <w:szCs w:val="22"/>
        </w:rPr>
        <w:t> </w:t>
      </w:r>
    </w:p>
    <w:p w14:paraId="70F3CCE3" w14:textId="77777777" w:rsidR="00113290" w:rsidRPr="00DE5A03" w:rsidRDefault="00113290" w:rsidP="00113290">
      <w:pPr>
        <w:rPr>
          <w:sz w:val="22"/>
          <w:szCs w:val="22"/>
        </w:rPr>
      </w:pPr>
      <w:r w:rsidRPr="00DE5A03">
        <w:rPr>
          <w:sz w:val="22"/>
          <w:szCs w:val="22"/>
        </w:rPr>
        <w:t> </w:t>
      </w:r>
    </w:p>
    <w:p w14:paraId="540824DD" w14:textId="5AE20757" w:rsidR="00113290" w:rsidRPr="00DE5A03" w:rsidRDefault="00113290" w:rsidP="00113290">
      <w:pPr>
        <w:rPr>
          <w:sz w:val="22"/>
          <w:szCs w:val="22"/>
        </w:rPr>
      </w:pPr>
      <w:r w:rsidRPr="00DE5A03">
        <w:rPr>
          <w:sz w:val="22"/>
          <w:szCs w:val="22"/>
        </w:rPr>
        <w:t>The risk assessment informs both the adjudication process and supports the communication of identified risks to end users and suppliers. </w:t>
      </w:r>
      <w:r w:rsidR="006B7B90" w:rsidRPr="00DE5A03">
        <w:rPr>
          <w:sz w:val="22"/>
          <w:szCs w:val="22"/>
        </w:rPr>
        <w:t xml:space="preserve">End users should </w:t>
      </w:r>
      <w:r w:rsidR="006363BB" w:rsidRPr="00DE5A03">
        <w:rPr>
          <w:sz w:val="22"/>
          <w:szCs w:val="22"/>
        </w:rPr>
        <w:t>review the identified risk</w:t>
      </w:r>
      <w:r w:rsidR="00036B41" w:rsidRPr="00DE5A03">
        <w:rPr>
          <w:sz w:val="22"/>
          <w:szCs w:val="22"/>
        </w:rPr>
        <w:t>s</w:t>
      </w:r>
      <w:r w:rsidR="006363BB" w:rsidRPr="00DE5A03">
        <w:rPr>
          <w:sz w:val="22"/>
          <w:szCs w:val="22"/>
        </w:rPr>
        <w:t xml:space="preserve"> as part of </w:t>
      </w:r>
      <w:r w:rsidR="00423955" w:rsidRPr="00DE5A03">
        <w:rPr>
          <w:sz w:val="22"/>
          <w:szCs w:val="22"/>
        </w:rPr>
        <w:t>their</w:t>
      </w:r>
      <w:r w:rsidR="006363BB" w:rsidRPr="00DE5A03">
        <w:rPr>
          <w:sz w:val="22"/>
          <w:szCs w:val="22"/>
        </w:rPr>
        <w:t xml:space="preserve"> local change management process </w:t>
      </w:r>
      <w:r w:rsidR="0037215E" w:rsidRPr="00DE5A03">
        <w:rPr>
          <w:sz w:val="22"/>
          <w:szCs w:val="22"/>
        </w:rPr>
        <w:t xml:space="preserve">and implement any </w:t>
      </w:r>
      <w:r w:rsidR="00423955" w:rsidRPr="00DE5A03">
        <w:rPr>
          <w:sz w:val="22"/>
          <w:szCs w:val="22"/>
        </w:rPr>
        <w:t>appropriate risk mitigation measures.</w:t>
      </w:r>
    </w:p>
    <w:p w14:paraId="577B0AA0" w14:textId="77777777" w:rsidR="00113290" w:rsidRPr="00113290" w:rsidRDefault="00113290" w:rsidP="00113290">
      <w:r w:rsidRPr="00113290">
        <w:t> </w:t>
      </w:r>
    </w:p>
    <w:p w14:paraId="1D194172" w14:textId="77777777" w:rsidR="00113290" w:rsidRPr="00113290" w:rsidRDefault="00113290" w:rsidP="00113290">
      <w:r w:rsidRPr="00113290">
        <w:t> </w:t>
      </w:r>
    </w:p>
    <w:p w14:paraId="6F4F402F" w14:textId="4E5E4AFA" w:rsidR="00113290" w:rsidRDefault="00113290">
      <w:r>
        <w:br w:type="page"/>
      </w:r>
    </w:p>
    <w:p w14:paraId="126F350F" w14:textId="68A3AE2B" w:rsidR="00113290" w:rsidRPr="00113290" w:rsidRDefault="00113290" w:rsidP="00113290">
      <w:r w:rsidRPr="00113290">
        <w:rPr>
          <w:rFonts w:eastAsiaTheme="majorEastAsia" w:cstheme="majorBidi"/>
          <w:b/>
          <w:bCs/>
          <w:color w:val="01833E"/>
          <w:sz w:val="32"/>
          <w:szCs w:val="32"/>
        </w:rPr>
        <w:lastRenderedPageBreak/>
        <w:t>POLICY</w:t>
      </w:r>
    </w:p>
    <w:p w14:paraId="38A67AF5" w14:textId="628187DF" w:rsidR="00863100" w:rsidRPr="00036AB7" w:rsidRDefault="00E75F10" w:rsidP="00DA7F23">
      <w:pPr>
        <w:pStyle w:val="Heading1"/>
        <w:numPr>
          <w:ilvl w:val="0"/>
          <w:numId w:val="10"/>
        </w:numPr>
      </w:pPr>
      <w:r w:rsidRPr="00036AB7">
        <w:t>Purpose</w:t>
      </w:r>
    </w:p>
    <w:p w14:paraId="64DD8647" w14:textId="4B0D9E9B" w:rsidR="00E75F10" w:rsidRDefault="00E75F10" w:rsidP="00E75F10">
      <w:pPr>
        <w:pStyle w:val="ListParagraph"/>
        <w:ind w:left="360"/>
      </w:pPr>
    </w:p>
    <w:p w14:paraId="331426E3" w14:textId="74E9E2B0" w:rsidR="00462578" w:rsidRDefault="0078337F" w:rsidP="00E75F10">
      <w:pPr>
        <w:pStyle w:val="ListParagraph"/>
        <w:ind w:left="360"/>
        <w:rPr>
          <w:sz w:val="22"/>
          <w:szCs w:val="22"/>
        </w:rPr>
      </w:pPr>
      <w:r w:rsidRPr="39D59BDC">
        <w:rPr>
          <w:sz w:val="22"/>
          <w:szCs w:val="22"/>
        </w:rPr>
        <w:t xml:space="preserve">The purpose of this policy is to define the process, roles and responsibilities for undertaking and reporting </w:t>
      </w:r>
      <w:r w:rsidR="00A97543" w:rsidRPr="39D59BDC">
        <w:rPr>
          <w:sz w:val="22"/>
          <w:szCs w:val="22"/>
        </w:rPr>
        <w:t xml:space="preserve">graphic design </w:t>
      </w:r>
      <w:r w:rsidR="677F389E" w:rsidRPr="39D59BDC">
        <w:rPr>
          <w:sz w:val="22"/>
          <w:szCs w:val="22"/>
        </w:rPr>
        <w:t xml:space="preserve">for safety </w:t>
      </w:r>
      <w:r w:rsidRPr="39D59BDC">
        <w:rPr>
          <w:sz w:val="22"/>
          <w:szCs w:val="22"/>
        </w:rPr>
        <w:t xml:space="preserve">assessments for </w:t>
      </w:r>
      <w:r w:rsidR="00427B32">
        <w:rPr>
          <w:sz w:val="22"/>
          <w:szCs w:val="22"/>
        </w:rPr>
        <w:t xml:space="preserve">branded and generic </w:t>
      </w:r>
      <w:r w:rsidRPr="39D59BDC">
        <w:rPr>
          <w:sz w:val="22"/>
          <w:szCs w:val="22"/>
        </w:rPr>
        <w:t>licensed medicines</w:t>
      </w:r>
      <w:r w:rsidR="008B51C4" w:rsidRPr="008B51C4">
        <w:rPr>
          <w:sz w:val="22"/>
          <w:szCs w:val="22"/>
        </w:rPr>
        <w:t xml:space="preserve"> </w:t>
      </w:r>
      <w:r w:rsidR="008B51C4" w:rsidRPr="002F524C">
        <w:rPr>
          <w:sz w:val="22"/>
          <w:szCs w:val="22"/>
        </w:rPr>
        <w:t xml:space="preserve">by the Specialist Pharmacy Service Quality Assurance </w:t>
      </w:r>
      <w:r w:rsidR="00BF505C">
        <w:rPr>
          <w:sz w:val="22"/>
          <w:szCs w:val="22"/>
        </w:rPr>
        <w:t xml:space="preserve">(SPS QA) </w:t>
      </w:r>
      <w:r w:rsidR="008B51C4" w:rsidRPr="002F524C">
        <w:rPr>
          <w:sz w:val="22"/>
          <w:szCs w:val="22"/>
        </w:rPr>
        <w:t>team</w:t>
      </w:r>
      <w:r w:rsidRPr="39D59BDC">
        <w:rPr>
          <w:sz w:val="22"/>
          <w:szCs w:val="22"/>
        </w:rPr>
        <w:t xml:space="preserve"> in support of NHS England licensed medicines contracts</w:t>
      </w:r>
      <w:r w:rsidR="00D82731" w:rsidRPr="39D59BDC">
        <w:rPr>
          <w:sz w:val="22"/>
          <w:szCs w:val="22"/>
        </w:rPr>
        <w:t xml:space="preserve"> led by the Commercial Medicines Unit (CMU)</w:t>
      </w:r>
      <w:r w:rsidRPr="39D59BDC">
        <w:rPr>
          <w:sz w:val="22"/>
          <w:szCs w:val="22"/>
        </w:rPr>
        <w:t xml:space="preserve">. </w:t>
      </w:r>
    </w:p>
    <w:p w14:paraId="26D38A21" w14:textId="77777777" w:rsidR="00462578" w:rsidRDefault="00462578" w:rsidP="00E75F10">
      <w:pPr>
        <w:pStyle w:val="ListParagraph"/>
        <w:ind w:left="360"/>
        <w:rPr>
          <w:sz w:val="22"/>
          <w:szCs w:val="22"/>
        </w:rPr>
      </w:pPr>
    </w:p>
    <w:p w14:paraId="34944FAF" w14:textId="12AE19DE" w:rsidR="00462578" w:rsidRDefault="00183D40" w:rsidP="00E75F10">
      <w:pPr>
        <w:pStyle w:val="ListParagraph"/>
        <w:ind w:left="360"/>
        <w:rPr>
          <w:sz w:val="22"/>
          <w:szCs w:val="22"/>
        </w:rPr>
      </w:pPr>
      <w:r w:rsidRPr="39D59BDC">
        <w:rPr>
          <w:sz w:val="22"/>
          <w:szCs w:val="22"/>
        </w:rPr>
        <w:t xml:space="preserve">The </w:t>
      </w:r>
      <w:r w:rsidR="00E33458">
        <w:rPr>
          <w:sz w:val="22"/>
          <w:szCs w:val="22"/>
        </w:rPr>
        <w:t xml:space="preserve">purpose of the </w:t>
      </w:r>
      <w:r w:rsidRPr="39D59BDC">
        <w:rPr>
          <w:sz w:val="22"/>
          <w:szCs w:val="22"/>
        </w:rPr>
        <w:t xml:space="preserve">assessments </w:t>
      </w:r>
      <w:r w:rsidR="00FD5E21">
        <w:rPr>
          <w:sz w:val="22"/>
          <w:szCs w:val="22"/>
        </w:rPr>
        <w:t>is</w:t>
      </w:r>
      <w:r w:rsidR="00E33458">
        <w:rPr>
          <w:sz w:val="22"/>
          <w:szCs w:val="22"/>
        </w:rPr>
        <w:t xml:space="preserve"> to </w:t>
      </w:r>
    </w:p>
    <w:p w14:paraId="31B805CB" w14:textId="77777777" w:rsidR="00B630CF" w:rsidRDefault="00B630CF" w:rsidP="005967EC">
      <w:pPr>
        <w:pStyle w:val="ListParagraph"/>
        <w:rPr>
          <w:sz w:val="22"/>
          <w:szCs w:val="22"/>
        </w:rPr>
      </w:pPr>
    </w:p>
    <w:p w14:paraId="2E589D6E" w14:textId="5C4A2313" w:rsidR="007904DE" w:rsidRDefault="007904DE" w:rsidP="007904DE">
      <w:pPr>
        <w:pStyle w:val="ListParagraph"/>
        <w:numPr>
          <w:ilvl w:val="0"/>
          <w:numId w:val="22"/>
        </w:numPr>
        <w:rPr>
          <w:sz w:val="22"/>
          <w:szCs w:val="22"/>
        </w:rPr>
      </w:pPr>
      <w:r>
        <w:rPr>
          <w:sz w:val="22"/>
          <w:szCs w:val="22"/>
        </w:rPr>
        <w:t xml:space="preserve">inform the CMU </w:t>
      </w:r>
      <w:r w:rsidR="00280058">
        <w:rPr>
          <w:sz w:val="22"/>
          <w:szCs w:val="22"/>
        </w:rPr>
        <w:t xml:space="preserve">tender process, the suppliers’ </w:t>
      </w:r>
      <w:r w:rsidR="007C17C1">
        <w:rPr>
          <w:sz w:val="22"/>
          <w:szCs w:val="22"/>
        </w:rPr>
        <w:t xml:space="preserve">future </w:t>
      </w:r>
      <w:r w:rsidR="00280058">
        <w:rPr>
          <w:sz w:val="22"/>
          <w:szCs w:val="22"/>
        </w:rPr>
        <w:t>bids</w:t>
      </w:r>
      <w:r w:rsidR="00CD15F8">
        <w:rPr>
          <w:sz w:val="22"/>
          <w:szCs w:val="22"/>
        </w:rPr>
        <w:t xml:space="preserve"> and the final </w:t>
      </w:r>
      <w:r w:rsidR="00F16417">
        <w:rPr>
          <w:sz w:val="22"/>
          <w:szCs w:val="22"/>
        </w:rPr>
        <w:t xml:space="preserve">CMU </w:t>
      </w:r>
      <w:r>
        <w:rPr>
          <w:sz w:val="22"/>
          <w:szCs w:val="22"/>
        </w:rPr>
        <w:t>contracting decision</w:t>
      </w:r>
    </w:p>
    <w:p w14:paraId="3F446ECC" w14:textId="77777777" w:rsidR="007904DE" w:rsidRDefault="007904DE" w:rsidP="007904DE">
      <w:pPr>
        <w:pStyle w:val="ListParagraph"/>
        <w:rPr>
          <w:sz w:val="22"/>
          <w:szCs w:val="22"/>
        </w:rPr>
      </w:pPr>
    </w:p>
    <w:p w14:paraId="2C9BFD8D" w14:textId="330C62B6" w:rsidR="007904DE" w:rsidRPr="00E25C6B" w:rsidRDefault="007904DE" w:rsidP="00E25C6B">
      <w:pPr>
        <w:pStyle w:val="ListParagraph"/>
        <w:numPr>
          <w:ilvl w:val="0"/>
          <w:numId w:val="22"/>
        </w:numPr>
        <w:rPr>
          <w:sz w:val="22"/>
          <w:szCs w:val="22"/>
        </w:rPr>
      </w:pPr>
      <w:r>
        <w:rPr>
          <w:sz w:val="22"/>
          <w:szCs w:val="22"/>
        </w:rPr>
        <w:t>alert end users to in-use safety issues</w:t>
      </w:r>
      <w:r w:rsidR="007129CC">
        <w:rPr>
          <w:sz w:val="22"/>
          <w:szCs w:val="22"/>
        </w:rPr>
        <w:t xml:space="preserve">, </w:t>
      </w:r>
      <w:r>
        <w:rPr>
          <w:sz w:val="22"/>
          <w:szCs w:val="22"/>
        </w:rPr>
        <w:t>and to support development and implementation of local risk mitigation measures</w:t>
      </w:r>
      <w:r w:rsidR="000850FB">
        <w:rPr>
          <w:sz w:val="22"/>
          <w:szCs w:val="22"/>
        </w:rPr>
        <w:t>.</w:t>
      </w:r>
    </w:p>
    <w:p w14:paraId="7F8E2D5F" w14:textId="5A4B92F3" w:rsidR="00E75F10" w:rsidRPr="00036AB7" w:rsidRDefault="00E75F10" w:rsidP="00DA7F23">
      <w:pPr>
        <w:pStyle w:val="Heading1"/>
        <w:numPr>
          <w:ilvl w:val="0"/>
          <w:numId w:val="10"/>
        </w:numPr>
      </w:pPr>
      <w:r w:rsidRPr="00036AB7">
        <w:t>Scope</w:t>
      </w:r>
    </w:p>
    <w:p w14:paraId="46918A5F" w14:textId="587631C2" w:rsidR="0078337F" w:rsidRDefault="0078337F" w:rsidP="0078337F">
      <w:pPr>
        <w:pStyle w:val="ListParagraph"/>
        <w:ind w:left="360"/>
      </w:pPr>
    </w:p>
    <w:p w14:paraId="495FB1BF" w14:textId="3053B451" w:rsidR="0078337F" w:rsidRDefault="0078337F" w:rsidP="0078337F">
      <w:pPr>
        <w:pStyle w:val="ListParagraph"/>
        <w:ind w:left="360"/>
        <w:rPr>
          <w:sz w:val="22"/>
          <w:szCs w:val="22"/>
        </w:rPr>
      </w:pPr>
      <w:r w:rsidRPr="00D80AE2">
        <w:rPr>
          <w:sz w:val="22"/>
          <w:szCs w:val="22"/>
        </w:rPr>
        <w:t xml:space="preserve">The scope of this policy is limited to the assessment of </w:t>
      </w:r>
      <w:r w:rsidR="000850FB" w:rsidRPr="00015502">
        <w:rPr>
          <w:sz w:val="22"/>
          <w:szCs w:val="22"/>
        </w:rPr>
        <w:t>medicines</w:t>
      </w:r>
      <w:r w:rsidR="00920B26">
        <w:rPr>
          <w:sz w:val="22"/>
          <w:szCs w:val="22"/>
        </w:rPr>
        <w:t xml:space="preserve"> </w:t>
      </w:r>
      <w:r w:rsidR="000850FB" w:rsidRPr="00015502">
        <w:rPr>
          <w:sz w:val="22"/>
          <w:szCs w:val="22"/>
        </w:rPr>
        <w:t>with a UK marketing authorisation</w:t>
      </w:r>
      <w:r w:rsidR="009F6356" w:rsidRPr="009F6356">
        <w:rPr>
          <w:sz w:val="22"/>
          <w:szCs w:val="22"/>
        </w:rPr>
        <w:t xml:space="preserve"> </w:t>
      </w:r>
      <w:r w:rsidR="009F6356" w:rsidRPr="002F524C">
        <w:rPr>
          <w:sz w:val="22"/>
          <w:szCs w:val="22"/>
        </w:rPr>
        <w:t xml:space="preserve">undertaken in support of the national medicines contracting process led by the </w:t>
      </w:r>
      <w:r w:rsidR="00A47B4D">
        <w:rPr>
          <w:sz w:val="22"/>
          <w:szCs w:val="22"/>
        </w:rPr>
        <w:t>CMU.</w:t>
      </w:r>
      <w:r w:rsidRPr="00D80AE2">
        <w:rPr>
          <w:sz w:val="22"/>
          <w:szCs w:val="22"/>
        </w:rPr>
        <w:t xml:space="preserve"> </w:t>
      </w:r>
    </w:p>
    <w:p w14:paraId="698E79A8" w14:textId="77777777" w:rsidR="00B630CF" w:rsidRPr="00332530" w:rsidRDefault="00B630CF" w:rsidP="0078337F">
      <w:pPr>
        <w:pStyle w:val="ListParagraph"/>
        <w:ind w:left="360"/>
        <w:rPr>
          <w:sz w:val="22"/>
          <w:szCs w:val="22"/>
        </w:rPr>
      </w:pPr>
    </w:p>
    <w:p w14:paraId="3B898550" w14:textId="07162C6D" w:rsidR="00DA2765" w:rsidRPr="00332530" w:rsidRDefault="00B630CF" w:rsidP="00DA2765">
      <w:pPr>
        <w:pStyle w:val="ListParagraph"/>
        <w:numPr>
          <w:ilvl w:val="0"/>
          <w:numId w:val="22"/>
        </w:numPr>
        <w:rPr>
          <w:sz w:val="22"/>
          <w:szCs w:val="22"/>
        </w:rPr>
      </w:pPr>
      <w:r w:rsidRPr="00332530">
        <w:rPr>
          <w:sz w:val="22"/>
          <w:szCs w:val="22"/>
        </w:rPr>
        <w:t xml:space="preserve">The assessment </w:t>
      </w:r>
      <w:r w:rsidR="003944FB" w:rsidRPr="00332530">
        <w:rPr>
          <w:sz w:val="22"/>
          <w:szCs w:val="22"/>
        </w:rPr>
        <w:t xml:space="preserve">score </w:t>
      </w:r>
      <w:r w:rsidRPr="00332530">
        <w:rPr>
          <w:sz w:val="22"/>
          <w:szCs w:val="22"/>
        </w:rPr>
        <w:t xml:space="preserve">to inform the purchasing decision </w:t>
      </w:r>
      <w:r w:rsidR="002F524C" w:rsidRPr="00332530">
        <w:rPr>
          <w:sz w:val="22"/>
          <w:szCs w:val="22"/>
        </w:rPr>
        <w:t>is based on the graphic design</w:t>
      </w:r>
      <w:r w:rsidR="00AC3461" w:rsidRPr="00332530">
        <w:rPr>
          <w:sz w:val="22"/>
          <w:szCs w:val="22"/>
        </w:rPr>
        <w:t xml:space="preserve"> only</w:t>
      </w:r>
      <w:r w:rsidR="002F524C" w:rsidRPr="00332530">
        <w:rPr>
          <w:sz w:val="22"/>
          <w:szCs w:val="22"/>
        </w:rPr>
        <w:t xml:space="preserve"> of the primary and </w:t>
      </w:r>
      <w:r w:rsidR="00DA2765" w:rsidRPr="00332530">
        <w:rPr>
          <w:sz w:val="22"/>
          <w:szCs w:val="22"/>
        </w:rPr>
        <w:t>secondary</w:t>
      </w:r>
      <w:r w:rsidR="002F524C" w:rsidRPr="00332530">
        <w:rPr>
          <w:sz w:val="22"/>
          <w:szCs w:val="22"/>
        </w:rPr>
        <w:t xml:space="preserve"> packaging</w:t>
      </w:r>
      <w:r w:rsidR="00C40D91">
        <w:rPr>
          <w:sz w:val="22"/>
          <w:szCs w:val="22"/>
        </w:rPr>
        <w:t xml:space="preserve"> and any printed overwraps</w:t>
      </w:r>
      <w:r w:rsidR="002F524C" w:rsidRPr="00332530">
        <w:rPr>
          <w:sz w:val="22"/>
          <w:szCs w:val="22"/>
        </w:rPr>
        <w:t xml:space="preserve">. It </w:t>
      </w:r>
      <w:r w:rsidRPr="00332530">
        <w:rPr>
          <w:sz w:val="22"/>
          <w:szCs w:val="22"/>
        </w:rPr>
        <w:t xml:space="preserve">does not include evaluation of licensed indications, licensed routes of administration, the presence/absence of excipients of known effect or </w:t>
      </w:r>
      <w:r w:rsidR="00AC3461" w:rsidRPr="00332530">
        <w:rPr>
          <w:sz w:val="22"/>
          <w:szCs w:val="22"/>
        </w:rPr>
        <w:t xml:space="preserve">any </w:t>
      </w:r>
      <w:r w:rsidRPr="00332530">
        <w:rPr>
          <w:sz w:val="22"/>
          <w:szCs w:val="22"/>
        </w:rPr>
        <w:t>other product features</w:t>
      </w:r>
      <w:r w:rsidR="00BF47E0">
        <w:rPr>
          <w:sz w:val="22"/>
          <w:szCs w:val="22"/>
        </w:rPr>
        <w:t xml:space="preserve"> (e.g. “sugar free”</w:t>
      </w:r>
      <w:r w:rsidR="00C127F9">
        <w:rPr>
          <w:sz w:val="22"/>
          <w:szCs w:val="22"/>
        </w:rPr>
        <w:t xml:space="preserve">, </w:t>
      </w:r>
      <w:r w:rsidR="00450623">
        <w:rPr>
          <w:sz w:val="22"/>
          <w:szCs w:val="22"/>
        </w:rPr>
        <w:t>presence of child resistant cap)</w:t>
      </w:r>
      <w:r w:rsidRPr="00332530">
        <w:rPr>
          <w:sz w:val="22"/>
          <w:szCs w:val="22"/>
        </w:rPr>
        <w:t xml:space="preserve">. </w:t>
      </w:r>
    </w:p>
    <w:p w14:paraId="63670995" w14:textId="77777777" w:rsidR="00DA2765" w:rsidRPr="00332530" w:rsidRDefault="00DA2765" w:rsidP="00DA2765">
      <w:pPr>
        <w:pStyle w:val="ListParagraph"/>
        <w:rPr>
          <w:sz w:val="22"/>
          <w:szCs w:val="22"/>
        </w:rPr>
      </w:pPr>
    </w:p>
    <w:p w14:paraId="6AD1F32C" w14:textId="77777777" w:rsidR="003944FB" w:rsidRPr="00332530" w:rsidRDefault="00B630CF" w:rsidP="00DA2765">
      <w:pPr>
        <w:pStyle w:val="ListParagraph"/>
        <w:numPr>
          <w:ilvl w:val="0"/>
          <w:numId w:val="22"/>
        </w:numPr>
        <w:rPr>
          <w:sz w:val="22"/>
          <w:szCs w:val="22"/>
        </w:rPr>
      </w:pPr>
      <w:r w:rsidRPr="00332530">
        <w:rPr>
          <w:sz w:val="22"/>
          <w:szCs w:val="22"/>
        </w:rPr>
        <w:t>The assessment narrative may</w:t>
      </w:r>
      <w:r w:rsidR="00DA2765" w:rsidRPr="00332530">
        <w:rPr>
          <w:sz w:val="22"/>
          <w:szCs w:val="22"/>
        </w:rPr>
        <w:t xml:space="preserve"> </w:t>
      </w:r>
      <w:r w:rsidRPr="00332530">
        <w:rPr>
          <w:sz w:val="22"/>
          <w:szCs w:val="22"/>
        </w:rPr>
        <w:t xml:space="preserve">include comment on any of the above characteristics where information comes to the attention of the assessor, but this is recorded for end user information only. </w:t>
      </w:r>
    </w:p>
    <w:p w14:paraId="136AD18E" w14:textId="77777777" w:rsidR="003944FB" w:rsidRPr="00332530" w:rsidRDefault="003944FB" w:rsidP="003944FB">
      <w:pPr>
        <w:pStyle w:val="ListParagraph"/>
        <w:rPr>
          <w:sz w:val="22"/>
          <w:szCs w:val="22"/>
        </w:rPr>
      </w:pPr>
    </w:p>
    <w:p w14:paraId="1144A68C" w14:textId="4B3D0715" w:rsidR="00FA42D2" w:rsidRPr="00613037" w:rsidRDefault="00FA42D2" w:rsidP="00613037">
      <w:pPr>
        <w:rPr>
          <w:sz w:val="22"/>
          <w:szCs w:val="22"/>
        </w:rPr>
      </w:pPr>
    </w:p>
    <w:p w14:paraId="555A3EB6" w14:textId="44903DB6" w:rsidR="002F524C" w:rsidRPr="00F254B8" w:rsidRDefault="0078337F" w:rsidP="00F254B8">
      <w:pPr>
        <w:ind w:left="360"/>
        <w:rPr>
          <w:sz w:val="22"/>
          <w:szCs w:val="22"/>
        </w:rPr>
      </w:pPr>
      <w:r w:rsidRPr="006D51B4">
        <w:rPr>
          <w:sz w:val="22"/>
          <w:szCs w:val="22"/>
        </w:rPr>
        <w:t>The assessment of unlicensed medicines</w:t>
      </w:r>
      <w:r w:rsidR="00374522" w:rsidRPr="006D51B4">
        <w:rPr>
          <w:sz w:val="22"/>
          <w:szCs w:val="22"/>
        </w:rPr>
        <w:t xml:space="preserve"> and m</w:t>
      </w:r>
      <w:r w:rsidRPr="006D51B4">
        <w:rPr>
          <w:sz w:val="22"/>
          <w:szCs w:val="22"/>
        </w:rPr>
        <w:t xml:space="preserve">edical </w:t>
      </w:r>
      <w:r w:rsidR="00374522" w:rsidRPr="006D51B4">
        <w:rPr>
          <w:sz w:val="22"/>
          <w:szCs w:val="22"/>
        </w:rPr>
        <w:t>d</w:t>
      </w:r>
      <w:r w:rsidRPr="006D51B4">
        <w:rPr>
          <w:sz w:val="22"/>
          <w:szCs w:val="22"/>
        </w:rPr>
        <w:t xml:space="preserve">evices </w:t>
      </w:r>
      <w:r w:rsidR="00374522" w:rsidRPr="006D51B4">
        <w:rPr>
          <w:sz w:val="22"/>
          <w:szCs w:val="22"/>
        </w:rPr>
        <w:t>is</w:t>
      </w:r>
      <w:r w:rsidRPr="006D51B4">
        <w:rPr>
          <w:sz w:val="22"/>
          <w:szCs w:val="22"/>
        </w:rPr>
        <w:t xml:space="preserve"> out of scope of this policy</w:t>
      </w:r>
      <w:r w:rsidRPr="39D59BDC">
        <w:t xml:space="preserve">. </w:t>
      </w:r>
      <w:r w:rsidR="002F524C" w:rsidRPr="00F254B8">
        <w:rPr>
          <w:sz w:val="22"/>
          <w:szCs w:val="22"/>
        </w:rPr>
        <w:t xml:space="preserve"> </w:t>
      </w:r>
    </w:p>
    <w:p w14:paraId="070DF792" w14:textId="30D06013" w:rsidR="0078337F" w:rsidRDefault="0078337F" w:rsidP="002F524C"/>
    <w:p w14:paraId="426B0626" w14:textId="73D3E0C8" w:rsidR="00E75F10" w:rsidRPr="00DA7F23" w:rsidRDefault="00E75F10" w:rsidP="00DA7F23">
      <w:pPr>
        <w:pStyle w:val="Heading1"/>
        <w:numPr>
          <w:ilvl w:val="0"/>
          <w:numId w:val="10"/>
        </w:numPr>
      </w:pPr>
      <w:r w:rsidRPr="00DA7F23">
        <w:t>Policy Statement</w:t>
      </w:r>
    </w:p>
    <w:p w14:paraId="136BA70C" w14:textId="77777777" w:rsidR="00A67D91" w:rsidRDefault="00A67D91" w:rsidP="00A67D91">
      <w:pPr>
        <w:pStyle w:val="ListParagraph"/>
        <w:ind w:left="792"/>
      </w:pPr>
    </w:p>
    <w:p w14:paraId="195F265C" w14:textId="1DB6CE13" w:rsidR="00B65D75" w:rsidRPr="00D80AE2" w:rsidRDefault="00036AB7" w:rsidP="00DA7F23">
      <w:pPr>
        <w:pStyle w:val="ListParagraph"/>
        <w:numPr>
          <w:ilvl w:val="1"/>
          <w:numId w:val="10"/>
        </w:numPr>
        <w:rPr>
          <w:b/>
          <w:bCs/>
          <w:sz w:val="22"/>
          <w:szCs w:val="22"/>
        </w:rPr>
      </w:pPr>
      <w:r w:rsidRPr="00D80AE2">
        <w:rPr>
          <w:b/>
          <w:bCs/>
          <w:sz w:val="22"/>
          <w:szCs w:val="22"/>
        </w:rPr>
        <w:t>Assessment overview</w:t>
      </w:r>
    </w:p>
    <w:p w14:paraId="67F61FD8" w14:textId="77777777" w:rsidR="00B65D75" w:rsidRPr="00D80AE2" w:rsidRDefault="00B65D75" w:rsidP="00B65D75">
      <w:pPr>
        <w:pStyle w:val="ListParagraph"/>
        <w:ind w:left="792"/>
        <w:rPr>
          <w:sz w:val="22"/>
          <w:szCs w:val="22"/>
        </w:rPr>
      </w:pPr>
    </w:p>
    <w:p w14:paraId="0756F124" w14:textId="7DE5350B" w:rsidR="00D40397" w:rsidRDefault="00E4432E" w:rsidP="00C24EF3">
      <w:pPr>
        <w:pStyle w:val="ListParagraph"/>
        <w:numPr>
          <w:ilvl w:val="2"/>
          <w:numId w:val="10"/>
        </w:numPr>
        <w:ind w:left="1418" w:hanging="698"/>
        <w:rPr>
          <w:sz w:val="22"/>
          <w:szCs w:val="22"/>
        </w:rPr>
      </w:pPr>
      <w:r w:rsidRPr="00436620">
        <w:rPr>
          <w:sz w:val="22"/>
          <w:szCs w:val="22"/>
        </w:rPr>
        <w:t xml:space="preserve">For a complete assessment to be made it is necessary for </w:t>
      </w:r>
      <w:r>
        <w:rPr>
          <w:sz w:val="22"/>
          <w:szCs w:val="22"/>
        </w:rPr>
        <w:t xml:space="preserve">the graphic design of all printed packaging to be seen. </w:t>
      </w:r>
      <w:r w:rsidR="00E026EF">
        <w:rPr>
          <w:sz w:val="22"/>
          <w:szCs w:val="22"/>
        </w:rPr>
        <w:t>Graphic design</w:t>
      </w:r>
      <w:r w:rsidR="00E026EF" w:rsidRPr="39D59BDC">
        <w:rPr>
          <w:sz w:val="22"/>
          <w:szCs w:val="22"/>
        </w:rPr>
        <w:t xml:space="preserve"> </w:t>
      </w:r>
      <w:r>
        <w:rPr>
          <w:sz w:val="22"/>
          <w:szCs w:val="22"/>
        </w:rPr>
        <w:t>may be</w:t>
      </w:r>
      <w:r w:rsidR="00A67D91" w:rsidRPr="39D59BDC">
        <w:rPr>
          <w:sz w:val="22"/>
          <w:szCs w:val="22"/>
        </w:rPr>
        <w:t xml:space="preserve"> assessed from</w:t>
      </w:r>
      <w:r w:rsidR="00944329" w:rsidRPr="39D59BDC">
        <w:rPr>
          <w:sz w:val="22"/>
          <w:szCs w:val="22"/>
        </w:rPr>
        <w:t>:</w:t>
      </w:r>
      <w:r w:rsidR="00A67D91" w:rsidRPr="39D59BDC">
        <w:rPr>
          <w:sz w:val="22"/>
          <w:szCs w:val="22"/>
        </w:rPr>
        <w:t xml:space="preserve"> </w:t>
      </w:r>
    </w:p>
    <w:p w14:paraId="679FB536" w14:textId="78C52BB8" w:rsidR="000629F2" w:rsidRDefault="003C04F1" w:rsidP="000629F2">
      <w:pPr>
        <w:pStyle w:val="ListParagraph"/>
        <w:numPr>
          <w:ilvl w:val="0"/>
          <w:numId w:val="20"/>
        </w:numPr>
        <w:rPr>
          <w:sz w:val="22"/>
          <w:szCs w:val="22"/>
        </w:rPr>
      </w:pPr>
      <w:r>
        <w:rPr>
          <w:sz w:val="22"/>
          <w:szCs w:val="22"/>
        </w:rPr>
        <w:t xml:space="preserve">Artwork of </w:t>
      </w:r>
      <w:r w:rsidR="004249A0">
        <w:rPr>
          <w:sz w:val="22"/>
          <w:szCs w:val="22"/>
        </w:rPr>
        <w:t>p</w:t>
      </w:r>
      <w:r w:rsidR="000629F2" w:rsidRPr="000629F2">
        <w:rPr>
          <w:sz w:val="22"/>
          <w:szCs w:val="22"/>
        </w:rPr>
        <w:t>rimary packaging</w:t>
      </w:r>
      <w:r w:rsidR="004249A0">
        <w:rPr>
          <w:sz w:val="22"/>
          <w:szCs w:val="22"/>
        </w:rPr>
        <w:t xml:space="preserve">, </w:t>
      </w:r>
      <w:r w:rsidR="000629F2" w:rsidRPr="000629F2">
        <w:rPr>
          <w:sz w:val="22"/>
          <w:szCs w:val="22"/>
        </w:rPr>
        <w:t>secondary packaging and any printed overwraps</w:t>
      </w:r>
      <w:r w:rsidR="004249A0">
        <w:rPr>
          <w:sz w:val="22"/>
          <w:szCs w:val="22"/>
        </w:rPr>
        <w:t>,</w:t>
      </w:r>
      <w:r w:rsidR="000629F2" w:rsidRPr="000629F2">
        <w:rPr>
          <w:sz w:val="22"/>
          <w:szCs w:val="22"/>
        </w:rPr>
        <w:t xml:space="preserve"> or </w:t>
      </w:r>
    </w:p>
    <w:p w14:paraId="0AA2C9D3" w14:textId="43E2BFF5" w:rsidR="000629F2" w:rsidRDefault="003C04F1" w:rsidP="000629F2">
      <w:pPr>
        <w:pStyle w:val="ListParagraph"/>
        <w:numPr>
          <w:ilvl w:val="0"/>
          <w:numId w:val="20"/>
        </w:numPr>
        <w:rPr>
          <w:sz w:val="22"/>
          <w:szCs w:val="22"/>
        </w:rPr>
      </w:pPr>
      <w:r>
        <w:rPr>
          <w:sz w:val="22"/>
          <w:szCs w:val="22"/>
        </w:rPr>
        <w:t xml:space="preserve">Photographs of </w:t>
      </w:r>
      <w:r w:rsidR="00CC2E0A">
        <w:rPr>
          <w:sz w:val="22"/>
          <w:szCs w:val="22"/>
        </w:rPr>
        <w:t>p</w:t>
      </w:r>
      <w:r w:rsidR="000629F2" w:rsidRPr="000629F2">
        <w:rPr>
          <w:sz w:val="22"/>
          <w:szCs w:val="22"/>
        </w:rPr>
        <w:t>rimary packaging, secondary packaging and any printed overwraps</w:t>
      </w:r>
      <w:r w:rsidR="004249A0">
        <w:rPr>
          <w:sz w:val="22"/>
          <w:szCs w:val="22"/>
        </w:rPr>
        <w:t>,</w:t>
      </w:r>
      <w:r w:rsidR="000629F2" w:rsidRPr="000629F2">
        <w:rPr>
          <w:sz w:val="22"/>
          <w:szCs w:val="22"/>
        </w:rPr>
        <w:t xml:space="preserve"> or </w:t>
      </w:r>
    </w:p>
    <w:p w14:paraId="443B0061" w14:textId="2E97A507" w:rsidR="000629F2" w:rsidRPr="000629F2" w:rsidRDefault="000629F2" w:rsidP="000629F2">
      <w:pPr>
        <w:pStyle w:val="ListParagraph"/>
        <w:numPr>
          <w:ilvl w:val="0"/>
          <w:numId w:val="20"/>
        </w:numPr>
        <w:rPr>
          <w:sz w:val="22"/>
          <w:szCs w:val="22"/>
        </w:rPr>
      </w:pPr>
      <w:r w:rsidRPr="000629F2">
        <w:rPr>
          <w:sz w:val="22"/>
          <w:szCs w:val="22"/>
        </w:rPr>
        <w:t>A combination of artwork and photographs of the primary and secondary packaging and any printed overwraps</w:t>
      </w:r>
    </w:p>
    <w:p w14:paraId="4EEDC64F" w14:textId="77777777" w:rsidR="004249A0" w:rsidRDefault="004249A0" w:rsidP="00B516EB">
      <w:pPr>
        <w:pStyle w:val="ListParagraph"/>
        <w:ind w:left="1418"/>
        <w:rPr>
          <w:sz w:val="22"/>
          <w:szCs w:val="22"/>
        </w:rPr>
      </w:pPr>
    </w:p>
    <w:p w14:paraId="28A3870F" w14:textId="77777777" w:rsidR="00E521A0" w:rsidRDefault="00E521A0" w:rsidP="00854BEE">
      <w:pPr>
        <w:rPr>
          <w:sz w:val="22"/>
          <w:szCs w:val="22"/>
        </w:rPr>
      </w:pPr>
    </w:p>
    <w:p w14:paraId="12357733" w14:textId="28764252" w:rsidR="00E5287F" w:rsidRDefault="00B57784" w:rsidP="003646CB">
      <w:pPr>
        <w:ind w:left="720"/>
        <w:rPr>
          <w:sz w:val="22"/>
          <w:szCs w:val="22"/>
        </w:rPr>
      </w:pPr>
      <w:r>
        <w:rPr>
          <w:sz w:val="22"/>
          <w:szCs w:val="22"/>
        </w:rPr>
        <w:t xml:space="preserve">The artwork and/or photos must </w:t>
      </w:r>
      <w:r w:rsidR="00132ACE">
        <w:rPr>
          <w:sz w:val="22"/>
          <w:szCs w:val="22"/>
        </w:rPr>
        <w:t>show</w:t>
      </w:r>
      <w:r w:rsidR="00E103A9">
        <w:rPr>
          <w:sz w:val="22"/>
          <w:szCs w:val="22"/>
        </w:rPr>
        <w:t xml:space="preserve"> all of the printed packaging for primary and secondary containers, including any printed overwraps</w:t>
      </w:r>
      <w:r w:rsidR="00912CE9">
        <w:rPr>
          <w:sz w:val="22"/>
          <w:szCs w:val="22"/>
        </w:rPr>
        <w:t xml:space="preserve"> to enable an assessment to be made</w:t>
      </w:r>
      <w:r w:rsidR="00E103A9">
        <w:rPr>
          <w:sz w:val="22"/>
          <w:szCs w:val="22"/>
        </w:rPr>
        <w:t>.</w:t>
      </w:r>
    </w:p>
    <w:p w14:paraId="45B55302" w14:textId="77777777" w:rsidR="00CC2E0A" w:rsidRPr="00854BEE" w:rsidRDefault="00CC2E0A" w:rsidP="003646CB">
      <w:pPr>
        <w:ind w:left="720"/>
        <w:rPr>
          <w:sz w:val="22"/>
          <w:szCs w:val="22"/>
        </w:rPr>
      </w:pPr>
    </w:p>
    <w:p w14:paraId="4FCA589B" w14:textId="77777777" w:rsidR="00E521A0" w:rsidRDefault="00E521A0" w:rsidP="003646CB">
      <w:pPr>
        <w:pStyle w:val="ListParagraph"/>
        <w:ind w:left="1418"/>
        <w:rPr>
          <w:sz w:val="22"/>
          <w:szCs w:val="22"/>
        </w:rPr>
      </w:pPr>
    </w:p>
    <w:p w14:paraId="625D282C" w14:textId="2558FE12" w:rsidR="00E848A8" w:rsidRDefault="00AB7C9D" w:rsidP="00B516EB">
      <w:pPr>
        <w:pStyle w:val="ListParagraph"/>
        <w:numPr>
          <w:ilvl w:val="2"/>
          <w:numId w:val="10"/>
        </w:numPr>
        <w:ind w:left="1418" w:hanging="698"/>
        <w:rPr>
          <w:sz w:val="22"/>
          <w:szCs w:val="22"/>
        </w:rPr>
      </w:pPr>
      <w:r>
        <w:rPr>
          <w:sz w:val="22"/>
          <w:szCs w:val="22"/>
        </w:rPr>
        <w:lastRenderedPageBreak/>
        <w:t xml:space="preserve">Medicines are then </w:t>
      </w:r>
      <w:r w:rsidRPr="00AB7C9D">
        <w:rPr>
          <w:sz w:val="22"/>
          <w:szCs w:val="22"/>
        </w:rPr>
        <w:t xml:space="preserve">assigned a score (refer to </w:t>
      </w:r>
      <w:r w:rsidR="00D9280C">
        <w:rPr>
          <w:sz w:val="22"/>
          <w:szCs w:val="22"/>
        </w:rPr>
        <w:t>3.3</w:t>
      </w:r>
      <w:r w:rsidRPr="00AB7C9D">
        <w:rPr>
          <w:sz w:val="22"/>
          <w:szCs w:val="22"/>
        </w:rPr>
        <w:t>)</w:t>
      </w:r>
      <w:r w:rsidR="00C01D69">
        <w:rPr>
          <w:sz w:val="22"/>
          <w:szCs w:val="22"/>
        </w:rPr>
        <w:t xml:space="preserve"> </w:t>
      </w:r>
      <w:r w:rsidRPr="00AB7C9D">
        <w:rPr>
          <w:sz w:val="22"/>
          <w:szCs w:val="22"/>
        </w:rPr>
        <w:t>to inform the CMU adjudication process</w:t>
      </w:r>
      <w:r w:rsidR="00CC2E0A">
        <w:rPr>
          <w:sz w:val="22"/>
          <w:szCs w:val="22"/>
        </w:rPr>
        <w:t>.</w:t>
      </w:r>
      <w:r w:rsidR="00E4432E">
        <w:rPr>
          <w:sz w:val="22"/>
          <w:szCs w:val="22"/>
        </w:rPr>
        <w:t xml:space="preserve"> </w:t>
      </w:r>
    </w:p>
    <w:p w14:paraId="7A04D9A5" w14:textId="77777777" w:rsidR="004339EE" w:rsidRDefault="004339EE" w:rsidP="00335A45">
      <w:pPr>
        <w:pStyle w:val="ListParagraph"/>
        <w:ind w:left="1418"/>
        <w:rPr>
          <w:sz w:val="22"/>
          <w:szCs w:val="22"/>
        </w:rPr>
      </w:pPr>
    </w:p>
    <w:p w14:paraId="7C30074A" w14:textId="0980EF2D" w:rsidR="004339EE" w:rsidRDefault="00E848A8" w:rsidP="00B516EB">
      <w:pPr>
        <w:pStyle w:val="ListParagraph"/>
        <w:numPr>
          <w:ilvl w:val="2"/>
          <w:numId w:val="10"/>
        </w:numPr>
        <w:ind w:left="1418" w:hanging="698"/>
        <w:rPr>
          <w:sz w:val="22"/>
          <w:szCs w:val="22"/>
        </w:rPr>
      </w:pPr>
      <w:r>
        <w:rPr>
          <w:sz w:val="22"/>
          <w:szCs w:val="22"/>
        </w:rPr>
        <w:t>A</w:t>
      </w:r>
      <w:r w:rsidR="00E4432E">
        <w:rPr>
          <w:sz w:val="22"/>
          <w:szCs w:val="22"/>
        </w:rPr>
        <w:t xml:space="preserve"> narrative assessment </w:t>
      </w:r>
      <w:r>
        <w:rPr>
          <w:sz w:val="22"/>
          <w:szCs w:val="22"/>
        </w:rPr>
        <w:t xml:space="preserve">is made </w:t>
      </w:r>
      <w:r w:rsidR="00E4432E">
        <w:rPr>
          <w:sz w:val="22"/>
          <w:szCs w:val="22"/>
        </w:rPr>
        <w:t>to</w:t>
      </w:r>
      <w:r w:rsidR="00C0576C">
        <w:rPr>
          <w:sz w:val="22"/>
          <w:szCs w:val="22"/>
        </w:rPr>
        <w:t>:</w:t>
      </w:r>
      <w:r w:rsidR="00E4432E">
        <w:rPr>
          <w:sz w:val="22"/>
          <w:szCs w:val="22"/>
        </w:rPr>
        <w:t xml:space="preserve"> </w:t>
      </w:r>
    </w:p>
    <w:p w14:paraId="5994A275" w14:textId="77777777" w:rsidR="004339EE" w:rsidRPr="00335A45" w:rsidRDefault="004339EE" w:rsidP="00E11D04">
      <w:pPr>
        <w:pStyle w:val="ListParagraph"/>
        <w:rPr>
          <w:sz w:val="22"/>
          <w:szCs w:val="22"/>
        </w:rPr>
      </w:pPr>
    </w:p>
    <w:p w14:paraId="6231AF62" w14:textId="621047D4" w:rsidR="006249FC" w:rsidRDefault="006249FC" w:rsidP="00E43230">
      <w:pPr>
        <w:pStyle w:val="ListParagraph"/>
        <w:numPr>
          <w:ilvl w:val="4"/>
          <w:numId w:val="24"/>
        </w:numPr>
        <w:rPr>
          <w:sz w:val="22"/>
          <w:szCs w:val="22"/>
        </w:rPr>
      </w:pPr>
      <w:r>
        <w:rPr>
          <w:sz w:val="22"/>
          <w:szCs w:val="22"/>
        </w:rPr>
        <w:t xml:space="preserve">further </w:t>
      </w:r>
      <w:r w:rsidR="00E4432E">
        <w:rPr>
          <w:sz w:val="22"/>
          <w:szCs w:val="22"/>
        </w:rPr>
        <w:t>inform the adjudication process</w:t>
      </w:r>
    </w:p>
    <w:p w14:paraId="19415D48" w14:textId="63BA167E" w:rsidR="006E2320" w:rsidRDefault="00E4432E" w:rsidP="00E43230">
      <w:pPr>
        <w:pStyle w:val="ListParagraph"/>
        <w:numPr>
          <w:ilvl w:val="4"/>
          <w:numId w:val="24"/>
        </w:numPr>
        <w:rPr>
          <w:sz w:val="22"/>
          <w:szCs w:val="22"/>
        </w:rPr>
      </w:pPr>
      <w:r>
        <w:rPr>
          <w:sz w:val="22"/>
          <w:szCs w:val="22"/>
        </w:rPr>
        <w:t xml:space="preserve">enable </w:t>
      </w:r>
      <w:r w:rsidR="00423E8C">
        <w:rPr>
          <w:sz w:val="22"/>
          <w:szCs w:val="22"/>
        </w:rPr>
        <w:t>“in use” risks to be communicated to end users</w:t>
      </w:r>
    </w:p>
    <w:p w14:paraId="74FDD6FB" w14:textId="77777777" w:rsidR="001E6001" w:rsidRDefault="001E6001" w:rsidP="00F610BA">
      <w:pPr>
        <w:pStyle w:val="ListParagraph"/>
        <w:ind w:left="1800"/>
        <w:rPr>
          <w:sz w:val="22"/>
          <w:szCs w:val="22"/>
        </w:rPr>
      </w:pPr>
    </w:p>
    <w:p w14:paraId="6758E550" w14:textId="77777777" w:rsidR="00666F38" w:rsidRPr="00D80AE2" w:rsidRDefault="00666F38" w:rsidP="00BC56C5">
      <w:pPr>
        <w:pStyle w:val="ListParagraph"/>
        <w:ind w:left="792"/>
        <w:rPr>
          <w:sz w:val="22"/>
          <w:szCs w:val="22"/>
        </w:rPr>
      </w:pPr>
    </w:p>
    <w:p w14:paraId="110E6D74" w14:textId="77777777" w:rsidR="00F77D08" w:rsidRPr="00D80AE2" w:rsidRDefault="00B65D75" w:rsidP="00DA7F23">
      <w:pPr>
        <w:pStyle w:val="ListParagraph"/>
        <w:numPr>
          <w:ilvl w:val="1"/>
          <w:numId w:val="10"/>
        </w:numPr>
        <w:rPr>
          <w:b/>
          <w:bCs/>
          <w:sz w:val="22"/>
          <w:szCs w:val="22"/>
        </w:rPr>
      </w:pPr>
      <w:r w:rsidRPr="00D80AE2">
        <w:rPr>
          <w:b/>
          <w:bCs/>
          <w:sz w:val="22"/>
          <w:szCs w:val="22"/>
        </w:rPr>
        <w:t xml:space="preserve">Assessment </w:t>
      </w:r>
      <w:r w:rsidR="00C404E1" w:rsidRPr="00D80AE2">
        <w:rPr>
          <w:b/>
          <w:bCs/>
          <w:sz w:val="22"/>
          <w:szCs w:val="22"/>
        </w:rPr>
        <w:t>criteria</w:t>
      </w:r>
    </w:p>
    <w:p w14:paraId="4878A687" w14:textId="77777777" w:rsidR="00F77D08" w:rsidRPr="00D80AE2" w:rsidRDefault="00F77D08" w:rsidP="00F77D08">
      <w:pPr>
        <w:pStyle w:val="ListParagraph"/>
        <w:ind w:left="792"/>
        <w:rPr>
          <w:sz w:val="22"/>
          <w:szCs w:val="22"/>
        </w:rPr>
      </w:pPr>
    </w:p>
    <w:p w14:paraId="50FBA665" w14:textId="6ED5035F" w:rsidR="00A426B1" w:rsidRDefault="004256C1" w:rsidP="00A426B1">
      <w:pPr>
        <w:pStyle w:val="ListParagraph"/>
        <w:numPr>
          <w:ilvl w:val="2"/>
          <w:numId w:val="10"/>
        </w:numPr>
        <w:ind w:left="1418" w:hanging="698"/>
        <w:rPr>
          <w:sz w:val="22"/>
          <w:szCs w:val="22"/>
        </w:rPr>
      </w:pPr>
      <w:r w:rsidRPr="00762944">
        <w:rPr>
          <w:sz w:val="22"/>
          <w:szCs w:val="22"/>
        </w:rPr>
        <w:t xml:space="preserve">All </w:t>
      </w:r>
      <w:r w:rsidR="002A3494" w:rsidRPr="00762944">
        <w:rPr>
          <w:sz w:val="22"/>
          <w:szCs w:val="22"/>
        </w:rPr>
        <w:t>medicines</w:t>
      </w:r>
      <w:r w:rsidRPr="00762944">
        <w:rPr>
          <w:sz w:val="22"/>
          <w:szCs w:val="22"/>
        </w:rPr>
        <w:t xml:space="preserve"> must conform to the </w:t>
      </w:r>
      <w:bookmarkStart w:id="0" w:name="_Hlk109816662"/>
      <w:r w:rsidR="006D4863" w:rsidRPr="00762944">
        <w:rPr>
          <w:sz w:val="22"/>
          <w:szCs w:val="22"/>
        </w:rPr>
        <w:t>fixed</w:t>
      </w:r>
      <w:r w:rsidR="00676DAE" w:rsidRPr="00762944">
        <w:rPr>
          <w:sz w:val="22"/>
          <w:szCs w:val="22"/>
        </w:rPr>
        <w:t xml:space="preserve"> </w:t>
      </w:r>
      <w:r w:rsidR="005B608C" w:rsidRPr="00762944">
        <w:rPr>
          <w:sz w:val="22"/>
          <w:szCs w:val="22"/>
        </w:rPr>
        <w:t>gateway</w:t>
      </w:r>
      <w:r w:rsidR="006D4863" w:rsidRPr="00762944">
        <w:rPr>
          <w:sz w:val="22"/>
          <w:szCs w:val="22"/>
        </w:rPr>
        <w:t xml:space="preserve"> </w:t>
      </w:r>
      <w:r w:rsidRPr="00762944">
        <w:rPr>
          <w:sz w:val="22"/>
          <w:szCs w:val="22"/>
        </w:rPr>
        <w:t>criteria</w:t>
      </w:r>
      <w:r w:rsidR="00CC0238" w:rsidRPr="00762944">
        <w:rPr>
          <w:sz w:val="22"/>
          <w:szCs w:val="22"/>
        </w:rPr>
        <w:t xml:space="preserve"> listed</w:t>
      </w:r>
      <w:r w:rsidRPr="00762944">
        <w:rPr>
          <w:sz w:val="22"/>
          <w:szCs w:val="22"/>
        </w:rPr>
        <w:t xml:space="preserve"> in </w:t>
      </w:r>
      <w:r w:rsidR="00F51951" w:rsidRPr="00762944">
        <w:rPr>
          <w:sz w:val="22"/>
          <w:szCs w:val="22"/>
        </w:rPr>
        <w:t xml:space="preserve">Appendix </w:t>
      </w:r>
      <w:r w:rsidR="002A5405">
        <w:rPr>
          <w:sz w:val="22"/>
          <w:szCs w:val="22"/>
        </w:rPr>
        <w:t>1</w:t>
      </w:r>
      <w:r w:rsidR="00684D4F" w:rsidRPr="00762944">
        <w:rPr>
          <w:sz w:val="22"/>
          <w:szCs w:val="22"/>
        </w:rPr>
        <w:t xml:space="preserve"> Non-compliance </w:t>
      </w:r>
      <w:r w:rsidR="00720977">
        <w:rPr>
          <w:sz w:val="22"/>
          <w:szCs w:val="22"/>
        </w:rPr>
        <w:t xml:space="preserve">on any single point </w:t>
      </w:r>
      <w:r w:rsidR="00684D4F" w:rsidRPr="00762944">
        <w:rPr>
          <w:sz w:val="22"/>
          <w:szCs w:val="22"/>
        </w:rPr>
        <w:t xml:space="preserve">will result in a </w:t>
      </w:r>
      <w:r w:rsidR="00EC3653" w:rsidRPr="00762944">
        <w:rPr>
          <w:sz w:val="22"/>
          <w:szCs w:val="22"/>
        </w:rPr>
        <w:t>Critical</w:t>
      </w:r>
      <w:r w:rsidR="00684D4F" w:rsidRPr="00762944">
        <w:rPr>
          <w:sz w:val="22"/>
          <w:szCs w:val="22"/>
        </w:rPr>
        <w:t xml:space="preserve"> Score (refer to </w:t>
      </w:r>
      <w:r w:rsidR="00684D4F" w:rsidRPr="003646CB">
        <w:rPr>
          <w:sz w:val="22"/>
          <w:szCs w:val="22"/>
        </w:rPr>
        <w:t>3.</w:t>
      </w:r>
      <w:r w:rsidR="000E5422">
        <w:rPr>
          <w:sz w:val="22"/>
          <w:szCs w:val="22"/>
        </w:rPr>
        <w:t>3</w:t>
      </w:r>
      <w:r w:rsidR="00684D4F" w:rsidRPr="00762944">
        <w:rPr>
          <w:sz w:val="22"/>
          <w:szCs w:val="22"/>
        </w:rPr>
        <w:t>).</w:t>
      </w:r>
    </w:p>
    <w:p w14:paraId="089FD5E0" w14:textId="77777777" w:rsidR="00E521A0" w:rsidRDefault="00E521A0" w:rsidP="003646CB">
      <w:pPr>
        <w:pStyle w:val="ListParagraph"/>
        <w:ind w:left="1418"/>
        <w:rPr>
          <w:sz w:val="22"/>
          <w:szCs w:val="22"/>
        </w:rPr>
      </w:pPr>
    </w:p>
    <w:bookmarkEnd w:id="0"/>
    <w:p w14:paraId="6C48983F" w14:textId="045D6544" w:rsidR="00D575C4" w:rsidRPr="00905457" w:rsidRDefault="00FB5CF2" w:rsidP="00B2217F">
      <w:pPr>
        <w:pStyle w:val="ListParagraph"/>
        <w:numPr>
          <w:ilvl w:val="2"/>
          <w:numId w:val="10"/>
        </w:numPr>
        <w:ind w:left="1418" w:hanging="698"/>
        <w:rPr>
          <w:sz w:val="22"/>
          <w:szCs w:val="22"/>
        </w:rPr>
      </w:pPr>
      <w:r w:rsidRPr="00905457">
        <w:rPr>
          <w:rStyle w:val="ui-provider"/>
          <w:sz w:val="22"/>
          <w:szCs w:val="22"/>
        </w:rPr>
        <w:t xml:space="preserve">Medicine packaging should comply to best practice </w:t>
      </w:r>
      <w:r w:rsidR="00C74E20" w:rsidRPr="00905457">
        <w:rPr>
          <w:rStyle w:val="ui-provider"/>
          <w:sz w:val="22"/>
          <w:szCs w:val="22"/>
        </w:rPr>
        <w:t xml:space="preserve">for </w:t>
      </w:r>
      <w:r w:rsidRPr="00905457">
        <w:rPr>
          <w:rStyle w:val="ui-provider"/>
          <w:sz w:val="22"/>
          <w:szCs w:val="22"/>
        </w:rPr>
        <w:t xml:space="preserve">labelling and packaging to ensure that medicines can be used safely by all patients, the public and healthcare professionals alike. </w:t>
      </w:r>
      <w:r w:rsidR="008C66B7" w:rsidRPr="00905457">
        <w:rPr>
          <w:sz w:val="22"/>
          <w:szCs w:val="22"/>
        </w:rPr>
        <w:t>G</w:t>
      </w:r>
      <w:r w:rsidR="00D575C4" w:rsidRPr="00905457">
        <w:rPr>
          <w:sz w:val="22"/>
          <w:szCs w:val="22"/>
        </w:rPr>
        <w:t>ood practice principles set out in</w:t>
      </w:r>
      <w:r w:rsidR="008C66B7" w:rsidRPr="00905457">
        <w:rPr>
          <w:sz w:val="22"/>
          <w:szCs w:val="22"/>
        </w:rPr>
        <w:t>:</w:t>
      </w:r>
    </w:p>
    <w:p w14:paraId="487A2FA9" w14:textId="38059CCD" w:rsidR="004256C1" w:rsidRPr="00905457" w:rsidRDefault="004256C1" w:rsidP="00D575C4">
      <w:pPr>
        <w:pStyle w:val="ListParagraph"/>
        <w:ind w:left="1224"/>
        <w:rPr>
          <w:sz w:val="22"/>
          <w:szCs w:val="22"/>
        </w:rPr>
      </w:pPr>
      <w:r w:rsidRPr="00905457">
        <w:rPr>
          <w:sz w:val="22"/>
          <w:szCs w:val="22"/>
        </w:rPr>
        <w:t xml:space="preserve"> </w:t>
      </w:r>
    </w:p>
    <w:p w14:paraId="4F66B96D" w14:textId="619CC559" w:rsidR="004256C1" w:rsidRPr="00905457" w:rsidRDefault="004256C1" w:rsidP="00CD1407">
      <w:pPr>
        <w:pStyle w:val="ListParagraph"/>
        <w:numPr>
          <w:ilvl w:val="4"/>
          <w:numId w:val="6"/>
        </w:numPr>
        <w:ind w:left="1843" w:hanging="403"/>
        <w:rPr>
          <w:sz w:val="22"/>
          <w:szCs w:val="22"/>
        </w:rPr>
      </w:pPr>
      <w:bookmarkStart w:id="1" w:name="_Hlk109889188"/>
      <w:r w:rsidRPr="00905457">
        <w:rPr>
          <w:sz w:val="22"/>
          <w:szCs w:val="22"/>
        </w:rPr>
        <w:t>Best practice guidance on the labelling and packaging of medicines (MHRA December 2020)</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2E46E67" w14:textId="1A067143" w:rsidR="004256C1" w:rsidRPr="00905457" w:rsidRDefault="004256C1" w:rsidP="00CD1407">
      <w:pPr>
        <w:pStyle w:val="ListParagraph"/>
        <w:numPr>
          <w:ilvl w:val="4"/>
          <w:numId w:val="6"/>
        </w:numPr>
        <w:ind w:left="1843" w:hanging="403"/>
        <w:rPr>
          <w:sz w:val="22"/>
          <w:szCs w:val="22"/>
        </w:rPr>
      </w:pPr>
      <w:r w:rsidRPr="00905457">
        <w:rPr>
          <w:sz w:val="22"/>
          <w:szCs w:val="22"/>
        </w:rPr>
        <w:t>Promoting safer use of injectable medicines (NPSA Alert 20, March 2007)</w:t>
      </w:r>
      <w:r w:rsidR="00E751BD" w:rsidRPr="00905457">
        <w:rPr>
          <w:sz w:val="22"/>
          <w:szCs w:val="22"/>
        </w:rPr>
        <w:t xml:space="preserve"> </w:t>
      </w:r>
      <w:r w:rsidR="00C264A3" w:rsidRPr="00905457">
        <w:rPr>
          <w:sz w:val="22"/>
          <w:szCs w:val="22"/>
        </w:rPr>
        <w:t xml:space="preserve">(see section </w:t>
      </w:r>
      <w:r w:rsidR="00232C29">
        <w:rPr>
          <w:sz w:val="22"/>
          <w:szCs w:val="22"/>
        </w:rPr>
        <w:t>4</w:t>
      </w:r>
      <w:r w:rsidR="00C264A3" w:rsidRPr="00905457">
        <w:rPr>
          <w:sz w:val="22"/>
          <w:szCs w:val="22"/>
        </w:rPr>
        <w:t>)</w:t>
      </w:r>
    </w:p>
    <w:p w14:paraId="46D1DB49" w14:textId="021AC0DE" w:rsidR="001A703C" w:rsidRPr="00905457" w:rsidRDefault="001A703C" w:rsidP="001A703C">
      <w:pPr>
        <w:pStyle w:val="ListParagraph"/>
        <w:numPr>
          <w:ilvl w:val="4"/>
          <w:numId w:val="6"/>
        </w:numPr>
        <w:ind w:left="1843" w:hanging="403"/>
        <w:rPr>
          <w:sz w:val="22"/>
          <w:szCs w:val="22"/>
        </w:rPr>
      </w:pPr>
      <w:r w:rsidRPr="00905457">
        <w:rPr>
          <w:sz w:val="22"/>
          <w:szCs w:val="22"/>
        </w:rPr>
        <w:t xml:space="preserve">Design for patient safety: A guide to the graphic design of medication packaging (NPSA 0463A 2008) (see section </w:t>
      </w:r>
      <w:r w:rsidR="00D918BC">
        <w:rPr>
          <w:sz w:val="22"/>
          <w:szCs w:val="22"/>
        </w:rPr>
        <w:t>4</w:t>
      </w:r>
      <w:r w:rsidRPr="00905457">
        <w:rPr>
          <w:sz w:val="22"/>
          <w:szCs w:val="22"/>
        </w:rPr>
        <w:t>)</w:t>
      </w:r>
    </w:p>
    <w:p w14:paraId="25D5B259" w14:textId="03CEBC15" w:rsidR="004421F3" w:rsidRPr="00905457" w:rsidRDefault="004256C1" w:rsidP="00D80AE2">
      <w:pPr>
        <w:pStyle w:val="ListParagraph"/>
        <w:numPr>
          <w:ilvl w:val="4"/>
          <w:numId w:val="6"/>
        </w:numPr>
        <w:ind w:left="1843" w:hanging="403"/>
        <w:rPr>
          <w:sz w:val="22"/>
          <w:szCs w:val="22"/>
        </w:rPr>
      </w:pPr>
      <w:r w:rsidRPr="00905457">
        <w:rPr>
          <w:sz w:val="22"/>
          <w:szCs w:val="22"/>
        </w:rPr>
        <w:t>Design for patient safety: A guide to labelling and packaging of injectable medicines (NPSA 2008) ISBN: 978-1-906624-02-6</w:t>
      </w:r>
      <w:r w:rsidR="00E751BD" w:rsidRPr="00905457">
        <w:rPr>
          <w:sz w:val="22"/>
          <w:szCs w:val="22"/>
        </w:rPr>
        <w:t xml:space="preserve"> </w:t>
      </w:r>
      <w:r w:rsidR="00C264A3" w:rsidRPr="00905457">
        <w:rPr>
          <w:sz w:val="22"/>
          <w:szCs w:val="22"/>
        </w:rPr>
        <w:t xml:space="preserve">(see section </w:t>
      </w:r>
      <w:r w:rsidR="00D918BC">
        <w:rPr>
          <w:sz w:val="22"/>
          <w:szCs w:val="22"/>
        </w:rPr>
        <w:t>4</w:t>
      </w:r>
      <w:r w:rsidR="00C264A3" w:rsidRPr="00905457">
        <w:rPr>
          <w:sz w:val="22"/>
          <w:szCs w:val="22"/>
        </w:rPr>
        <w:t>)</w:t>
      </w:r>
    </w:p>
    <w:p w14:paraId="3EC21661" w14:textId="6E0EB0F8" w:rsidR="00110A9C" w:rsidRPr="00905457" w:rsidRDefault="00110A9C" w:rsidP="001274C7">
      <w:pPr>
        <w:rPr>
          <w:sz w:val="22"/>
          <w:szCs w:val="22"/>
        </w:rPr>
      </w:pPr>
    </w:p>
    <w:p w14:paraId="1DCD6975" w14:textId="033AD34C" w:rsidR="005F23E3" w:rsidRPr="00905457" w:rsidRDefault="00496829" w:rsidP="00C264A3">
      <w:pPr>
        <w:ind w:left="1440"/>
        <w:rPr>
          <w:sz w:val="22"/>
          <w:szCs w:val="22"/>
        </w:rPr>
      </w:pPr>
      <w:r w:rsidRPr="00905457">
        <w:rPr>
          <w:rStyle w:val="ui-provider"/>
          <w:sz w:val="22"/>
          <w:szCs w:val="22"/>
        </w:rPr>
        <w:t xml:space="preserve">If </w:t>
      </w:r>
      <w:r w:rsidR="00E522F6" w:rsidRPr="00905457">
        <w:rPr>
          <w:rStyle w:val="ui-provider"/>
          <w:sz w:val="22"/>
          <w:szCs w:val="22"/>
        </w:rPr>
        <w:t xml:space="preserve">unacceptable </w:t>
      </w:r>
      <w:r w:rsidRPr="00905457">
        <w:rPr>
          <w:rStyle w:val="ui-provider"/>
          <w:sz w:val="22"/>
          <w:szCs w:val="22"/>
        </w:rPr>
        <w:t xml:space="preserve">patient safety </w:t>
      </w:r>
      <w:r w:rsidR="00F80E28" w:rsidRPr="00905457">
        <w:rPr>
          <w:rStyle w:val="ui-provider"/>
          <w:sz w:val="22"/>
          <w:szCs w:val="22"/>
        </w:rPr>
        <w:t xml:space="preserve">risks are identified </w:t>
      </w:r>
      <w:r w:rsidR="009F7E66" w:rsidRPr="00905457">
        <w:rPr>
          <w:rStyle w:val="ui-provider"/>
          <w:sz w:val="22"/>
          <w:szCs w:val="22"/>
        </w:rPr>
        <w:t xml:space="preserve">for which </w:t>
      </w:r>
      <w:r w:rsidR="00DE2BC2" w:rsidRPr="00905457">
        <w:rPr>
          <w:rStyle w:val="ui-provider"/>
          <w:sz w:val="22"/>
          <w:szCs w:val="22"/>
        </w:rPr>
        <w:t xml:space="preserve">risk mitigation measures are likely to be impracticable or insufficiently effective </w:t>
      </w:r>
      <w:r w:rsidR="00F80E28" w:rsidRPr="00905457">
        <w:rPr>
          <w:rStyle w:val="ui-provider"/>
          <w:sz w:val="22"/>
          <w:szCs w:val="22"/>
        </w:rPr>
        <w:t>a critical score will be assigned to the medicine</w:t>
      </w:r>
      <w:r w:rsidR="009669F6" w:rsidRPr="00905457">
        <w:rPr>
          <w:sz w:val="22"/>
          <w:szCs w:val="22"/>
        </w:rPr>
        <w:t>.</w:t>
      </w:r>
      <w:r w:rsidR="001E6A19" w:rsidRPr="00905457">
        <w:rPr>
          <w:sz w:val="22"/>
          <w:szCs w:val="22"/>
        </w:rPr>
        <w:t xml:space="preserve">  </w:t>
      </w:r>
    </w:p>
    <w:p w14:paraId="25C79927" w14:textId="06780CE0" w:rsidR="00844403" w:rsidRPr="00905457" w:rsidRDefault="00844403" w:rsidP="00BD02A0">
      <w:pPr>
        <w:rPr>
          <w:sz w:val="22"/>
          <w:szCs w:val="22"/>
        </w:rPr>
      </w:pPr>
    </w:p>
    <w:p w14:paraId="725551E7" w14:textId="2560E022" w:rsidR="00C264A3" w:rsidRPr="00E521A0" w:rsidRDefault="00BF6950" w:rsidP="003D2A05">
      <w:pPr>
        <w:ind w:left="1440"/>
        <w:rPr>
          <w:sz w:val="22"/>
          <w:szCs w:val="22"/>
        </w:rPr>
      </w:pPr>
      <w:r w:rsidRPr="003646CB">
        <w:rPr>
          <w:sz w:val="22"/>
          <w:szCs w:val="22"/>
        </w:rPr>
        <w:t>See section 3.3.</w:t>
      </w:r>
      <w:r w:rsidR="00E521A0" w:rsidRPr="003646CB">
        <w:rPr>
          <w:sz w:val="22"/>
          <w:szCs w:val="22"/>
        </w:rPr>
        <w:t>2</w:t>
      </w:r>
      <w:r w:rsidRPr="003646CB">
        <w:rPr>
          <w:sz w:val="22"/>
          <w:szCs w:val="22"/>
        </w:rPr>
        <w:t xml:space="preserve"> for </w:t>
      </w:r>
      <w:r w:rsidR="003F01B8" w:rsidRPr="003646CB">
        <w:rPr>
          <w:sz w:val="22"/>
          <w:szCs w:val="22"/>
        </w:rPr>
        <w:t>scoring definitions</w:t>
      </w:r>
      <w:r w:rsidR="00E521A0">
        <w:rPr>
          <w:sz w:val="22"/>
          <w:szCs w:val="22"/>
        </w:rPr>
        <w:t>.</w:t>
      </w:r>
    </w:p>
    <w:bookmarkEnd w:id="1"/>
    <w:p w14:paraId="1AFB5D6A" w14:textId="77777777" w:rsidR="004421F3" w:rsidRPr="00D80AE2" w:rsidRDefault="004421F3" w:rsidP="004421F3">
      <w:pPr>
        <w:pStyle w:val="ListParagraph"/>
        <w:ind w:left="792"/>
        <w:rPr>
          <w:b/>
          <w:bCs/>
          <w:sz w:val="22"/>
          <w:szCs w:val="22"/>
        </w:rPr>
      </w:pPr>
    </w:p>
    <w:p w14:paraId="58DD1989" w14:textId="77777777" w:rsidR="004421F3" w:rsidRPr="00D80AE2" w:rsidRDefault="004421F3" w:rsidP="004421F3">
      <w:pPr>
        <w:pStyle w:val="ListParagraph"/>
        <w:ind w:left="792"/>
        <w:rPr>
          <w:b/>
          <w:bCs/>
          <w:sz w:val="22"/>
          <w:szCs w:val="22"/>
        </w:rPr>
      </w:pPr>
    </w:p>
    <w:p w14:paraId="17E06BBA" w14:textId="77777777" w:rsidR="0003354B" w:rsidRPr="00D80AE2" w:rsidRDefault="00C404E1" w:rsidP="0003354B">
      <w:pPr>
        <w:pStyle w:val="ListParagraph"/>
        <w:numPr>
          <w:ilvl w:val="1"/>
          <w:numId w:val="10"/>
        </w:numPr>
        <w:rPr>
          <w:b/>
          <w:bCs/>
          <w:sz w:val="22"/>
          <w:szCs w:val="22"/>
        </w:rPr>
      </w:pPr>
      <w:r w:rsidRPr="00D80AE2">
        <w:rPr>
          <w:b/>
          <w:bCs/>
          <w:sz w:val="22"/>
          <w:szCs w:val="22"/>
        </w:rPr>
        <w:t>Assessment process</w:t>
      </w:r>
    </w:p>
    <w:p w14:paraId="3512A5C8" w14:textId="77777777" w:rsidR="0003354B" w:rsidRPr="00557773" w:rsidRDefault="0003354B" w:rsidP="0003354B">
      <w:pPr>
        <w:pStyle w:val="ListParagraph"/>
        <w:ind w:left="792"/>
        <w:rPr>
          <w:sz w:val="22"/>
          <w:szCs w:val="22"/>
        </w:rPr>
      </w:pPr>
    </w:p>
    <w:p w14:paraId="4C1B0112" w14:textId="194CBE27" w:rsidR="00020D6E" w:rsidRDefault="00EA7294" w:rsidP="00D80AE2">
      <w:pPr>
        <w:pStyle w:val="ListParagraph"/>
        <w:numPr>
          <w:ilvl w:val="2"/>
          <w:numId w:val="10"/>
        </w:numPr>
        <w:ind w:left="1418" w:hanging="698"/>
        <w:rPr>
          <w:sz w:val="22"/>
          <w:szCs w:val="22"/>
        </w:rPr>
      </w:pPr>
      <w:r>
        <w:rPr>
          <w:sz w:val="22"/>
          <w:szCs w:val="22"/>
        </w:rPr>
        <w:t xml:space="preserve">The medicine is </w:t>
      </w:r>
      <w:r w:rsidR="0072539F" w:rsidRPr="00557773">
        <w:rPr>
          <w:sz w:val="22"/>
          <w:szCs w:val="22"/>
        </w:rPr>
        <w:t>assess</w:t>
      </w:r>
      <w:r w:rsidR="00561ED3" w:rsidRPr="00557773">
        <w:rPr>
          <w:sz w:val="22"/>
          <w:szCs w:val="22"/>
        </w:rPr>
        <w:t>e</w:t>
      </w:r>
      <w:r>
        <w:rPr>
          <w:sz w:val="22"/>
          <w:szCs w:val="22"/>
        </w:rPr>
        <w:t>d</w:t>
      </w:r>
      <w:r w:rsidR="00BF6950">
        <w:rPr>
          <w:sz w:val="22"/>
          <w:szCs w:val="22"/>
        </w:rPr>
        <w:t xml:space="preserve"> by one assessor</w:t>
      </w:r>
      <w:r>
        <w:rPr>
          <w:sz w:val="22"/>
          <w:szCs w:val="22"/>
        </w:rPr>
        <w:t xml:space="preserve"> </w:t>
      </w:r>
      <w:r w:rsidR="00FC4083" w:rsidRPr="00D80AE2">
        <w:rPr>
          <w:sz w:val="22"/>
          <w:szCs w:val="22"/>
        </w:rPr>
        <w:t xml:space="preserve">with reference to the criteria in </w:t>
      </w:r>
      <w:r w:rsidR="0003354B" w:rsidRPr="00D80AE2">
        <w:rPr>
          <w:sz w:val="22"/>
          <w:szCs w:val="22"/>
        </w:rPr>
        <w:t>3.2 above</w:t>
      </w:r>
      <w:r w:rsidR="003F2A5E">
        <w:rPr>
          <w:sz w:val="22"/>
          <w:szCs w:val="22"/>
        </w:rPr>
        <w:t>.</w:t>
      </w:r>
    </w:p>
    <w:p w14:paraId="2311781D" w14:textId="77777777" w:rsidR="00CB03D2" w:rsidRDefault="00CB03D2" w:rsidP="00C74E20">
      <w:pPr>
        <w:pStyle w:val="ListParagraph"/>
        <w:ind w:left="1418"/>
        <w:rPr>
          <w:sz w:val="22"/>
          <w:szCs w:val="22"/>
        </w:rPr>
      </w:pPr>
    </w:p>
    <w:p w14:paraId="691BA5CB" w14:textId="2D7BDE82" w:rsidR="008C0A7E" w:rsidRPr="00557773" w:rsidRDefault="0013623F" w:rsidP="00213104">
      <w:pPr>
        <w:pStyle w:val="ListParagraph"/>
        <w:numPr>
          <w:ilvl w:val="2"/>
          <w:numId w:val="10"/>
        </w:numPr>
        <w:ind w:left="1418" w:hanging="698"/>
        <w:rPr>
          <w:sz w:val="22"/>
          <w:szCs w:val="22"/>
        </w:rPr>
      </w:pPr>
      <w:r>
        <w:rPr>
          <w:sz w:val="22"/>
          <w:szCs w:val="22"/>
        </w:rPr>
        <w:t xml:space="preserve">A score </w:t>
      </w:r>
      <w:r w:rsidR="00C52ED8">
        <w:rPr>
          <w:sz w:val="22"/>
          <w:szCs w:val="22"/>
        </w:rPr>
        <w:t>is assigned</w:t>
      </w:r>
      <w:r w:rsidR="0026129F">
        <w:rPr>
          <w:sz w:val="22"/>
          <w:szCs w:val="22"/>
        </w:rPr>
        <w:t>,</w:t>
      </w:r>
      <w:r w:rsidR="004C7024">
        <w:rPr>
          <w:sz w:val="22"/>
          <w:szCs w:val="22"/>
        </w:rPr>
        <w:t xml:space="preserve"> and a narrative assessment recorded</w:t>
      </w:r>
      <w:r w:rsidR="00BA0DEA">
        <w:rPr>
          <w:sz w:val="22"/>
          <w:szCs w:val="22"/>
        </w:rPr>
        <w:t xml:space="preserve"> where </w:t>
      </w:r>
      <w:r w:rsidR="002D64F9">
        <w:rPr>
          <w:sz w:val="22"/>
          <w:szCs w:val="22"/>
        </w:rPr>
        <w:t>indicated</w:t>
      </w:r>
      <w:r w:rsidR="004C7024">
        <w:rPr>
          <w:sz w:val="22"/>
          <w:szCs w:val="22"/>
        </w:rPr>
        <w:t>.</w:t>
      </w:r>
      <w:r w:rsidR="00096628">
        <w:rPr>
          <w:sz w:val="22"/>
          <w:szCs w:val="22"/>
        </w:rPr>
        <w:t xml:space="preserve"> </w:t>
      </w:r>
    </w:p>
    <w:p w14:paraId="7E517534" w14:textId="493B3CB9" w:rsidR="00D80AE2" w:rsidRDefault="00D80AE2" w:rsidP="00D80AE2">
      <w:pPr>
        <w:rPr>
          <w:b/>
          <w:bCs/>
          <w:sz w:val="22"/>
          <w:szCs w:val="22"/>
        </w:rPr>
      </w:pPr>
    </w:p>
    <w:p w14:paraId="796112C7" w14:textId="4997B627" w:rsidR="00FD3C33" w:rsidRDefault="00FD3C33">
      <w:pPr>
        <w:rPr>
          <w:b/>
          <w:bCs/>
          <w:sz w:val="22"/>
          <w:szCs w:val="22"/>
        </w:rPr>
      </w:pPr>
      <w:r>
        <w:rPr>
          <w:b/>
          <w:bCs/>
          <w:sz w:val="22"/>
          <w:szCs w:val="22"/>
        </w:rPr>
        <w:br w:type="page"/>
      </w:r>
    </w:p>
    <w:tbl>
      <w:tblPr>
        <w:tblStyle w:val="TableGrid"/>
        <w:tblW w:w="0" w:type="auto"/>
        <w:tblInd w:w="1413" w:type="dxa"/>
        <w:tblLook w:val="04A0" w:firstRow="1" w:lastRow="0" w:firstColumn="1" w:lastColumn="0" w:noHBand="0" w:noVBand="1"/>
      </w:tblPr>
      <w:tblGrid>
        <w:gridCol w:w="2026"/>
        <w:gridCol w:w="5209"/>
        <w:gridCol w:w="2108"/>
      </w:tblGrid>
      <w:tr w:rsidR="00BA0DEA" w14:paraId="4E91A694" w14:textId="662C67E2" w:rsidTr="00F35625">
        <w:tc>
          <w:tcPr>
            <w:tcW w:w="2026" w:type="dxa"/>
            <w:shd w:val="clear" w:color="auto" w:fill="D9D9D9" w:themeFill="background1" w:themeFillShade="D9"/>
          </w:tcPr>
          <w:p w14:paraId="385A6427" w14:textId="2B5E0332" w:rsidR="00BA0DEA" w:rsidRDefault="00BA0DEA" w:rsidP="00D80AE2">
            <w:pPr>
              <w:rPr>
                <w:b/>
                <w:bCs/>
                <w:sz w:val="22"/>
                <w:szCs w:val="22"/>
              </w:rPr>
            </w:pPr>
            <w:r>
              <w:rPr>
                <w:b/>
                <w:bCs/>
                <w:sz w:val="22"/>
                <w:szCs w:val="22"/>
              </w:rPr>
              <w:lastRenderedPageBreak/>
              <w:t>Score</w:t>
            </w:r>
          </w:p>
        </w:tc>
        <w:tc>
          <w:tcPr>
            <w:tcW w:w="5209" w:type="dxa"/>
            <w:shd w:val="clear" w:color="auto" w:fill="D9D9D9" w:themeFill="background1" w:themeFillShade="D9"/>
          </w:tcPr>
          <w:p w14:paraId="7EC10960" w14:textId="321583DF" w:rsidR="00BA0DEA" w:rsidRDefault="00BA0DEA" w:rsidP="00D80AE2">
            <w:pPr>
              <w:rPr>
                <w:b/>
                <w:bCs/>
                <w:sz w:val="22"/>
                <w:szCs w:val="22"/>
              </w:rPr>
            </w:pPr>
            <w:r>
              <w:rPr>
                <w:b/>
                <w:bCs/>
                <w:sz w:val="22"/>
                <w:szCs w:val="22"/>
              </w:rPr>
              <w:t>Definition</w:t>
            </w:r>
          </w:p>
        </w:tc>
        <w:tc>
          <w:tcPr>
            <w:tcW w:w="2108" w:type="dxa"/>
            <w:shd w:val="clear" w:color="auto" w:fill="D9D9D9" w:themeFill="background1" w:themeFillShade="D9"/>
          </w:tcPr>
          <w:p w14:paraId="509A28DC" w14:textId="76509919" w:rsidR="00BA0DEA" w:rsidRDefault="00BA0DEA" w:rsidP="00BA0DEA">
            <w:pPr>
              <w:rPr>
                <w:b/>
                <w:bCs/>
                <w:sz w:val="22"/>
                <w:szCs w:val="22"/>
              </w:rPr>
            </w:pPr>
            <w:r>
              <w:rPr>
                <w:b/>
                <w:bCs/>
                <w:sz w:val="22"/>
                <w:szCs w:val="22"/>
              </w:rPr>
              <w:t>Narrative assessment</w:t>
            </w:r>
          </w:p>
        </w:tc>
      </w:tr>
      <w:tr w:rsidR="00BA0DEA" w14:paraId="1DC7F205" w14:textId="5B6994A0" w:rsidTr="00A838A2">
        <w:tc>
          <w:tcPr>
            <w:tcW w:w="2026" w:type="dxa"/>
          </w:tcPr>
          <w:p w14:paraId="4B1A0FD9" w14:textId="4C8187F9" w:rsidR="00BA0DEA" w:rsidRDefault="00BA0DEA" w:rsidP="00D80AE2">
            <w:pPr>
              <w:rPr>
                <w:b/>
                <w:bCs/>
                <w:sz w:val="22"/>
                <w:szCs w:val="22"/>
              </w:rPr>
            </w:pPr>
            <w:r>
              <w:rPr>
                <w:b/>
                <w:bCs/>
                <w:sz w:val="22"/>
                <w:szCs w:val="22"/>
              </w:rPr>
              <w:t>Critical</w:t>
            </w:r>
          </w:p>
        </w:tc>
        <w:tc>
          <w:tcPr>
            <w:tcW w:w="5209" w:type="dxa"/>
          </w:tcPr>
          <w:p w14:paraId="41DEDCC3" w14:textId="731AE7B0" w:rsidR="00BA0DEA" w:rsidRPr="00AF2C9B" w:rsidRDefault="00BA0DEA" w:rsidP="00D80AE2">
            <w:pPr>
              <w:rPr>
                <w:sz w:val="22"/>
                <w:szCs w:val="22"/>
              </w:rPr>
            </w:pPr>
            <w:r w:rsidRPr="00AF2C9B">
              <w:rPr>
                <w:sz w:val="22"/>
                <w:szCs w:val="22"/>
              </w:rPr>
              <w:t xml:space="preserve">Unacceptable risk to patient safety </w:t>
            </w:r>
            <w:r w:rsidR="00AF2C9B" w:rsidRPr="00AF2C9B">
              <w:rPr>
                <w:sz w:val="22"/>
                <w:szCs w:val="22"/>
              </w:rPr>
              <w:t>for which risk mitigation measures are likely to be impracticable or insufficiently effective</w:t>
            </w:r>
            <w:r w:rsidR="00AF2C9B">
              <w:rPr>
                <w:sz w:val="22"/>
                <w:szCs w:val="22"/>
              </w:rPr>
              <w:t xml:space="preserve"> (see </w:t>
            </w:r>
            <w:r w:rsidR="00BE2841">
              <w:rPr>
                <w:sz w:val="22"/>
                <w:szCs w:val="22"/>
              </w:rPr>
              <w:t xml:space="preserve">3.2.1 and </w:t>
            </w:r>
            <w:r w:rsidR="00AF2C9B">
              <w:rPr>
                <w:sz w:val="22"/>
                <w:szCs w:val="22"/>
              </w:rPr>
              <w:t>3.2</w:t>
            </w:r>
            <w:r w:rsidR="00AF2C9B" w:rsidRPr="00CC3068">
              <w:rPr>
                <w:sz w:val="22"/>
                <w:szCs w:val="22"/>
              </w:rPr>
              <w:t>.</w:t>
            </w:r>
            <w:r w:rsidR="00CC3068" w:rsidRPr="003646CB">
              <w:rPr>
                <w:sz w:val="22"/>
                <w:szCs w:val="22"/>
              </w:rPr>
              <w:t>2</w:t>
            </w:r>
            <w:r w:rsidR="00AF2C9B" w:rsidRPr="00CC3068">
              <w:rPr>
                <w:sz w:val="22"/>
                <w:szCs w:val="22"/>
              </w:rPr>
              <w:t>)</w:t>
            </w:r>
            <w:r w:rsidRPr="00CC3068">
              <w:rPr>
                <w:sz w:val="22"/>
                <w:szCs w:val="22"/>
              </w:rPr>
              <w:t xml:space="preserve">. </w:t>
            </w:r>
            <w:r w:rsidRPr="003646CB">
              <w:rPr>
                <w:b/>
                <w:bCs/>
                <w:sz w:val="22"/>
                <w:szCs w:val="22"/>
              </w:rPr>
              <w:t>This product should not be put onto contract.</w:t>
            </w:r>
          </w:p>
        </w:tc>
        <w:tc>
          <w:tcPr>
            <w:tcW w:w="2108" w:type="dxa"/>
          </w:tcPr>
          <w:p w14:paraId="7C77B183" w14:textId="07890E2D" w:rsidR="00BA0DEA" w:rsidRPr="00063105" w:rsidRDefault="0052378E" w:rsidP="00D80AE2">
            <w:pPr>
              <w:rPr>
                <w:sz w:val="22"/>
                <w:szCs w:val="22"/>
              </w:rPr>
            </w:pPr>
            <w:r w:rsidRPr="00063105">
              <w:rPr>
                <w:sz w:val="22"/>
                <w:szCs w:val="22"/>
              </w:rPr>
              <w:t>Yes</w:t>
            </w:r>
          </w:p>
        </w:tc>
      </w:tr>
      <w:tr w:rsidR="00BA0DEA" w14:paraId="0E1632BC" w14:textId="38E610CC" w:rsidTr="00A838A2">
        <w:tc>
          <w:tcPr>
            <w:tcW w:w="2026" w:type="dxa"/>
          </w:tcPr>
          <w:p w14:paraId="1A9C60BE" w14:textId="0CEDE9D6" w:rsidR="00BA0DEA" w:rsidRDefault="00BA0DEA" w:rsidP="00D80AE2">
            <w:pPr>
              <w:rPr>
                <w:b/>
                <w:bCs/>
                <w:sz w:val="22"/>
                <w:szCs w:val="22"/>
              </w:rPr>
            </w:pPr>
            <w:r w:rsidRPr="39D59BDC">
              <w:rPr>
                <w:b/>
                <w:bCs/>
                <w:sz w:val="22"/>
                <w:szCs w:val="22"/>
              </w:rPr>
              <w:t>Major</w:t>
            </w:r>
          </w:p>
        </w:tc>
        <w:tc>
          <w:tcPr>
            <w:tcW w:w="5209" w:type="dxa"/>
          </w:tcPr>
          <w:p w14:paraId="7C3811F7" w14:textId="73005356" w:rsidR="00BA0DEA" w:rsidRDefault="008418E4" w:rsidP="00D80AE2">
            <w:pPr>
              <w:rPr>
                <w:b/>
                <w:bCs/>
                <w:sz w:val="22"/>
                <w:szCs w:val="22"/>
              </w:rPr>
            </w:pPr>
            <w:r>
              <w:rPr>
                <w:sz w:val="22"/>
                <w:szCs w:val="22"/>
              </w:rPr>
              <w:t xml:space="preserve">Major </w:t>
            </w:r>
            <w:r w:rsidR="00BA0DEA" w:rsidRPr="39D59BDC">
              <w:rPr>
                <w:sz w:val="22"/>
                <w:szCs w:val="22"/>
              </w:rPr>
              <w:t>risk to patient safety or non-compliances with general good practice principles (see 3.2.</w:t>
            </w:r>
            <w:r w:rsidR="00CC3068">
              <w:rPr>
                <w:sz w:val="22"/>
                <w:szCs w:val="22"/>
              </w:rPr>
              <w:t xml:space="preserve">2 </w:t>
            </w:r>
            <w:r w:rsidR="00BA0DEA" w:rsidRPr="39D59BDC">
              <w:rPr>
                <w:sz w:val="22"/>
                <w:szCs w:val="22"/>
              </w:rPr>
              <w:t>above) where additional local risk mitigation measures may be required</w:t>
            </w:r>
          </w:p>
        </w:tc>
        <w:tc>
          <w:tcPr>
            <w:tcW w:w="2108" w:type="dxa"/>
          </w:tcPr>
          <w:p w14:paraId="6D1F4589" w14:textId="3764E71F" w:rsidR="00BA0DEA" w:rsidRPr="00063105" w:rsidRDefault="0052378E" w:rsidP="00D80AE2">
            <w:pPr>
              <w:rPr>
                <w:sz w:val="22"/>
                <w:szCs w:val="22"/>
              </w:rPr>
            </w:pPr>
            <w:r w:rsidRPr="00063105">
              <w:rPr>
                <w:sz w:val="22"/>
                <w:szCs w:val="22"/>
              </w:rPr>
              <w:t>Yes</w:t>
            </w:r>
          </w:p>
        </w:tc>
      </w:tr>
      <w:tr w:rsidR="00BA0DEA" w14:paraId="3941D707" w14:textId="5F5AE6D4" w:rsidTr="00F610BA">
        <w:trPr>
          <w:cantSplit/>
        </w:trPr>
        <w:tc>
          <w:tcPr>
            <w:tcW w:w="2026" w:type="dxa"/>
          </w:tcPr>
          <w:p w14:paraId="04A50F79" w14:textId="38CBB8A6" w:rsidR="00BA0DEA" w:rsidRDefault="00BA0DEA" w:rsidP="00D80AE2">
            <w:pPr>
              <w:rPr>
                <w:b/>
                <w:bCs/>
                <w:sz w:val="22"/>
                <w:szCs w:val="22"/>
              </w:rPr>
            </w:pPr>
            <w:r>
              <w:rPr>
                <w:b/>
                <w:bCs/>
                <w:sz w:val="22"/>
                <w:szCs w:val="22"/>
              </w:rPr>
              <w:t>Other</w:t>
            </w:r>
          </w:p>
        </w:tc>
        <w:tc>
          <w:tcPr>
            <w:tcW w:w="5209" w:type="dxa"/>
          </w:tcPr>
          <w:p w14:paraId="4B4F38C6" w14:textId="0B10C086" w:rsidR="00BA0DEA" w:rsidRDefault="00BA0DEA" w:rsidP="00D80AE2">
            <w:pPr>
              <w:rPr>
                <w:b/>
                <w:bCs/>
                <w:sz w:val="22"/>
                <w:szCs w:val="22"/>
              </w:rPr>
            </w:pPr>
            <w:r w:rsidRPr="39D59BDC">
              <w:rPr>
                <w:sz w:val="22"/>
                <w:szCs w:val="22"/>
              </w:rPr>
              <w:t>One or more non-compliances with general good practice principles (see 3.2.</w:t>
            </w:r>
            <w:r w:rsidR="00CC3068">
              <w:rPr>
                <w:sz w:val="22"/>
                <w:szCs w:val="22"/>
              </w:rPr>
              <w:t>2</w:t>
            </w:r>
            <w:r w:rsidR="00CC3068" w:rsidRPr="39D59BDC">
              <w:rPr>
                <w:sz w:val="22"/>
                <w:szCs w:val="22"/>
              </w:rPr>
              <w:t xml:space="preserve"> </w:t>
            </w:r>
            <w:r w:rsidRPr="39D59BDC">
              <w:rPr>
                <w:sz w:val="22"/>
                <w:szCs w:val="22"/>
              </w:rPr>
              <w:t>above) where additional local risk mitigation measures may be required</w:t>
            </w:r>
          </w:p>
        </w:tc>
        <w:tc>
          <w:tcPr>
            <w:tcW w:w="2108" w:type="dxa"/>
          </w:tcPr>
          <w:p w14:paraId="3D56432F" w14:textId="73A54E6B" w:rsidR="00BA0DEA" w:rsidRPr="00063105" w:rsidRDefault="0052378E" w:rsidP="00D80AE2">
            <w:pPr>
              <w:rPr>
                <w:sz w:val="22"/>
                <w:szCs w:val="22"/>
              </w:rPr>
            </w:pPr>
            <w:r w:rsidRPr="00063105">
              <w:rPr>
                <w:sz w:val="22"/>
                <w:szCs w:val="22"/>
              </w:rPr>
              <w:t>Yes</w:t>
            </w:r>
          </w:p>
        </w:tc>
      </w:tr>
      <w:tr w:rsidR="00BA0DEA" w14:paraId="46434633" w14:textId="64FA20A6" w:rsidTr="00A838A2">
        <w:tc>
          <w:tcPr>
            <w:tcW w:w="2026" w:type="dxa"/>
          </w:tcPr>
          <w:p w14:paraId="2DE2EBE1" w14:textId="22A3105B" w:rsidR="00BA0DEA" w:rsidRDefault="00BA0DEA" w:rsidP="00D80AE2">
            <w:pPr>
              <w:rPr>
                <w:b/>
                <w:bCs/>
                <w:sz w:val="22"/>
                <w:szCs w:val="22"/>
              </w:rPr>
            </w:pPr>
            <w:r>
              <w:rPr>
                <w:b/>
                <w:bCs/>
                <w:sz w:val="22"/>
                <w:szCs w:val="22"/>
              </w:rPr>
              <w:t>No comment</w:t>
            </w:r>
          </w:p>
        </w:tc>
        <w:tc>
          <w:tcPr>
            <w:tcW w:w="5209" w:type="dxa"/>
          </w:tcPr>
          <w:p w14:paraId="757FE363" w14:textId="48B5E34B" w:rsidR="00BA0DEA" w:rsidRDefault="00BA0DEA" w:rsidP="00D80AE2">
            <w:pPr>
              <w:rPr>
                <w:b/>
                <w:bCs/>
                <w:sz w:val="22"/>
                <w:szCs w:val="22"/>
              </w:rPr>
            </w:pPr>
            <w:r w:rsidRPr="00AF2C9B">
              <w:rPr>
                <w:sz w:val="22"/>
                <w:szCs w:val="22"/>
              </w:rPr>
              <w:t>No non-compliances with general good practice principles (see 3.2.</w:t>
            </w:r>
            <w:r w:rsidR="00CC3068">
              <w:rPr>
                <w:sz w:val="22"/>
                <w:szCs w:val="22"/>
              </w:rPr>
              <w:t xml:space="preserve">2 </w:t>
            </w:r>
            <w:r w:rsidRPr="00AF2C9B">
              <w:rPr>
                <w:sz w:val="22"/>
                <w:szCs w:val="22"/>
              </w:rPr>
              <w:t>above) that require additional local risk mitigation measures</w:t>
            </w:r>
          </w:p>
        </w:tc>
        <w:tc>
          <w:tcPr>
            <w:tcW w:w="2108" w:type="dxa"/>
          </w:tcPr>
          <w:p w14:paraId="6AC37065" w14:textId="7305E813" w:rsidR="00BA0DEA" w:rsidRPr="00063105" w:rsidRDefault="0052378E" w:rsidP="00D80AE2">
            <w:pPr>
              <w:rPr>
                <w:sz w:val="22"/>
                <w:szCs w:val="22"/>
              </w:rPr>
            </w:pPr>
            <w:r w:rsidRPr="00063105">
              <w:rPr>
                <w:sz w:val="22"/>
                <w:szCs w:val="22"/>
              </w:rPr>
              <w:t>No</w:t>
            </w:r>
          </w:p>
        </w:tc>
      </w:tr>
      <w:tr w:rsidR="00A838A2" w14:paraId="289B27EE" w14:textId="77777777" w:rsidTr="00A838A2">
        <w:tc>
          <w:tcPr>
            <w:tcW w:w="2026" w:type="dxa"/>
          </w:tcPr>
          <w:p w14:paraId="51AEC4FD" w14:textId="77777777" w:rsidR="00A838A2" w:rsidRDefault="00A838A2" w:rsidP="00A838A2">
            <w:pPr>
              <w:rPr>
                <w:b/>
                <w:bCs/>
                <w:sz w:val="22"/>
                <w:szCs w:val="22"/>
              </w:rPr>
            </w:pPr>
            <w:r>
              <w:rPr>
                <w:b/>
                <w:bCs/>
                <w:sz w:val="22"/>
                <w:szCs w:val="22"/>
              </w:rPr>
              <w:t>Incomplete/</w:t>
            </w:r>
          </w:p>
          <w:p w14:paraId="2987E0E2" w14:textId="38C7F4C1" w:rsidR="00A838A2" w:rsidRDefault="00A838A2" w:rsidP="00A838A2">
            <w:pPr>
              <w:rPr>
                <w:b/>
                <w:bCs/>
                <w:sz w:val="22"/>
                <w:szCs w:val="22"/>
              </w:rPr>
            </w:pPr>
            <w:r>
              <w:rPr>
                <w:b/>
                <w:bCs/>
                <w:sz w:val="22"/>
                <w:szCs w:val="22"/>
              </w:rPr>
              <w:t>incorrect submission</w:t>
            </w:r>
          </w:p>
        </w:tc>
        <w:tc>
          <w:tcPr>
            <w:tcW w:w="5209" w:type="dxa"/>
          </w:tcPr>
          <w:p w14:paraId="5CCAFE04" w14:textId="69FE46FF" w:rsidR="00A838A2" w:rsidRPr="00AF2C9B" w:rsidRDefault="00A838A2" w:rsidP="00A838A2">
            <w:pPr>
              <w:rPr>
                <w:sz w:val="22"/>
                <w:szCs w:val="22"/>
              </w:rPr>
            </w:pPr>
            <w:r w:rsidRPr="39D59BDC">
              <w:rPr>
                <w:sz w:val="22"/>
                <w:szCs w:val="22"/>
              </w:rPr>
              <w:t xml:space="preserve">Offered product does not meet the </w:t>
            </w:r>
            <w:r>
              <w:rPr>
                <w:sz w:val="22"/>
                <w:szCs w:val="22"/>
              </w:rPr>
              <w:t>specification</w:t>
            </w:r>
            <w:r w:rsidRPr="39D59BDC">
              <w:rPr>
                <w:sz w:val="22"/>
                <w:szCs w:val="22"/>
              </w:rPr>
              <w:t>, or the documentation or images are insufficient or inadequate to permit the assessment to be completed.</w:t>
            </w:r>
          </w:p>
        </w:tc>
        <w:tc>
          <w:tcPr>
            <w:tcW w:w="2108" w:type="dxa"/>
          </w:tcPr>
          <w:p w14:paraId="727FB6F7" w14:textId="5AF68A3D" w:rsidR="00A838A2" w:rsidRPr="00063105" w:rsidRDefault="00A838A2" w:rsidP="00A838A2">
            <w:pPr>
              <w:rPr>
                <w:sz w:val="22"/>
                <w:szCs w:val="22"/>
              </w:rPr>
            </w:pPr>
            <w:r w:rsidRPr="00063105">
              <w:rPr>
                <w:sz w:val="22"/>
                <w:szCs w:val="22"/>
              </w:rPr>
              <w:t>No</w:t>
            </w:r>
          </w:p>
        </w:tc>
      </w:tr>
      <w:tr w:rsidR="00A838A2" w14:paraId="149EB4A4" w14:textId="77777777" w:rsidTr="00A838A2">
        <w:tc>
          <w:tcPr>
            <w:tcW w:w="2026" w:type="dxa"/>
          </w:tcPr>
          <w:p w14:paraId="66A6D7AD" w14:textId="046FB076" w:rsidR="00A838A2" w:rsidRDefault="00A838A2" w:rsidP="00A838A2">
            <w:pPr>
              <w:rPr>
                <w:b/>
                <w:bCs/>
                <w:sz w:val="22"/>
                <w:szCs w:val="22"/>
              </w:rPr>
            </w:pPr>
            <w:r>
              <w:rPr>
                <w:b/>
                <w:bCs/>
                <w:sz w:val="22"/>
                <w:szCs w:val="22"/>
              </w:rPr>
              <w:t>Not an UK licensed medicine</w:t>
            </w:r>
          </w:p>
        </w:tc>
        <w:tc>
          <w:tcPr>
            <w:tcW w:w="5209" w:type="dxa"/>
          </w:tcPr>
          <w:p w14:paraId="29ACF9F7" w14:textId="4BD15C15" w:rsidR="00A838A2" w:rsidRPr="39D59BDC" w:rsidRDefault="00A838A2" w:rsidP="00A838A2">
            <w:pPr>
              <w:rPr>
                <w:sz w:val="22"/>
                <w:szCs w:val="22"/>
              </w:rPr>
            </w:pPr>
            <w:r>
              <w:rPr>
                <w:sz w:val="22"/>
                <w:szCs w:val="22"/>
              </w:rPr>
              <w:t xml:space="preserve">Any product offered that is not a UK licensed medicine e.g. medical devices. </w:t>
            </w:r>
          </w:p>
        </w:tc>
        <w:tc>
          <w:tcPr>
            <w:tcW w:w="2108" w:type="dxa"/>
          </w:tcPr>
          <w:p w14:paraId="6BFE44B5" w14:textId="39C67AD4" w:rsidR="00A838A2" w:rsidRPr="00063105" w:rsidRDefault="00A838A2" w:rsidP="00A838A2">
            <w:pPr>
              <w:rPr>
                <w:sz w:val="22"/>
                <w:szCs w:val="22"/>
              </w:rPr>
            </w:pPr>
            <w:r w:rsidRPr="00063105">
              <w:rPr>
                <w:sz w:val="22"/>
                <w:szCs w:val="22"/>
              </w:rPr>
              <w:t>No</w:t>
            </w:r>
          </w:p>
        </w:tc>
      </w:tr>
    </w:tbl>
    <w:p w14:paraId="3ADF7CB6" w14:textId="1F9A1B3D" w:rsidR="003A1B03" w:rsidRDefault="003A1B03" w:rsidP="00D80AE2">
      <w:pPr>
        <w:rPr>
          <w:b/>
          <w:bCs/>
          <w:sz w:val="22"/>
          <w:szCs w:val="22"/>
        </w:rPr>
      </w:pPr>
    </w:p>
    <w:p w14:paraId="597F8497" w14:textId="144271C8" w:rsidR="00D80AE2" w:rsidRPr="00D80AE2" w:rsidRDefault="00D80AE2" w:rsidP="00D80AE2">
      <w:pPr>
        <w:rPr>
          <w:b/>
          <w:bCs/>
          <w:sz w:val="22"/>
          <w:szCs w:val="22"/>
        </w:rPr>
      </w:pPr>
    </w:p>
    <w:p w14:paraId="66FBE9EF" w14:textId="7737149C" w:rsidR="002743E1" w:rsidRPr="00557773" w:rsidRDefault="00D9358B" w:rsidP="002743E1">
      <w:pPr>
        <w:pStyle w:val="ListParagraph"/>
        <w:numPr>
          <w:ilvl w:val="2"/>
          <w:numId w:val="10"/>
        </w:numPr>
        <w:ind w:left="1418" w:hanging="698"/>
        <w:rPr>
          <w:sz w:val="22"/>
          <w:szCs w:val="22"/>
        </w:rPr>
      </w:pPr>
      <w:r>
        <w:rPr>
          <w:sz w:val="22"/>
          <w:szCs w:val="22"/>
        </w:rPr>
        <w:t xml:space="preserve">Medicines assigned a </w:t>
      </w:r>
      <w:r w:rsidR="00A00009">
        <w:rPr>
          <w:sz w:val="22"/>
          <w:szCs w:val="22"/>
        </w:rPr>
        <w:t xml:space="preserve">Critical </w:t>
      </w:r>
      <w:r>
        <w:rPr>
          <w:sz w:val="22"/>
          <w:szCs w:val="22"/>
        </w:rPr>
        <w:t xml:space="preserve">score </w:t>
      </w:r>
      <w:r w:rsidR="00384148" w:rsidRPr="00384148">
        <w:rPr>
          <w:sz w:val="22"/>
          <w:szCs w:val="22"/>
        </w:rPr>
        <w:t>are reported to the SPS</w:t>
      </w:r>
      <w:r w:rsidR="004B68DB">
        <w:rPr>
          <w:sz w:val="22"/>
          <w:szCs w:val="22"/>
        </w:rPr>
        <w:t xml:space="preserve"> </w:t>
      </w:r>
      <w:r w:rsidR="00384148" w:rsidRPr="00384148">
        <w:rPr>
          <w:sz w:val="22"/>
          <w:szCs w:val="22"/>
        </w:rPr>
        <w:t xml:space="preserve">QA hub team and </w:t>
      </w:r>
      <w:r>
        <w:rPr>
          <w:sz w:val="22"/>
          <w:szCs w:val="22"/>
        </w:rPr>
        <w:t xml:space="preserve">referred for peer review </w:t>
      </w:r>
      <w:r w:rsidR="00935C8A">
        <w:rPr>
          <w:sz w:val="22"/>
          <w:szCs w:val="22"/>
        </w:rPr>
        <w:t xml:space="preserve">by </w:t>
      </w:r>
      <w:r w:rsidR="00AD6B77" w:rsidRPr="00557773">
        <w:rPr>
          <w:sz w:val="22"/>
          <w:szCs w:val="22"/>
        </w:rPr>
        <w:t xml:space="preserve">a minimum of </w:t>
      </w:r>
      <w:r w:rsidR="00935C8A">
        <w:rPr>
          <w:sz w:val="22"/>
          <w:szCs w:val="22"/>
        </w:rPr>
        <w:t xml:space="preserve">two additional </w:t>
      </w:r>
      <w:r w:rsidR="00EF3E7A">
        <w:rPr>
          <w:sz w:val="22"/>
          <w:szCs w:val="22"/>
        </w:rPr>
        <w:t xml:space="preserve">SPS </w:t>
      </w:r>
      <w:r w:rsidR="00935C8A">
        <w:rPr>
          <w:sz w:val="22"/>
          <w:szCs w:val="22"/>
        </w:rPr>
        <w:t>QA assessors</w:t>
      </w:r>
      <w:r w:rsidR="002743E1" w:rsidRPr="00557773">
        <w:rPr>
          <w:color w:val="00B050"/>
          <w:sz w:val="22"/>
          <w:szCs w:val="22"/>
        </w:rPr>
        <w:t>.</w:t>
      </w:r>
      <w:r w:rsidRPr="00FE1EA0">
        <w:rPr>
          <w:color w:val="00B050"/>
          <w:sz w:val="22"/>
          <w:szCs w:val="22"/>
        </w:rPr>
        <w:t xml:space="preserve"> </w:t>
      </w:r>
    </w:p>
    <w:p w14:paraId="641B3034" w14:textId="77777777" w:rsidR="002743E1" w:rsidRPr="00557773" w:rsidRDefault="002743E1" w:rsidP="002743E1">
      <w:pPr>
        <w:pStyle w:val="ListParagraph"/>
        <w:ind w:left="1418"/>
        <w:rPr>
          <w:sz w:val="22"/>
          <w:szCs w:val="22"/>
        </w:rPr>
      </w:pPr>
    </w:p>
    <w:p w14:paraId="6283B9FE" w14:textId="700B6A86" w:rsidR="000630AE" w:rsidRPr="004A3151" w:rsidRDefault="00103439" w:rsidP="002743E1">
      <w:pPr>
        <w:pStyle w:val="ListParagraph"/>
        <w:ind w:left="1418"/>
        <w:rPr>
          <w:sz w:val="22"/>
          <w:szCs w:val="22"/>
        </w:rPr>
      </w:pPr>
      <w:r w:rsidRPr="004A3151">
        <w:rPr>
          <w:sz w:val="22"/>
          <w:szCs w:val="22"/>
        </w:rPr>
        <w:t>T</w:t>
      </w:r>
      <w:r w:rsidR="00A64F74" w:rsidRPr="004A3151">
        <w:rPr>
          <w:sz w:val="22"/>
          <w:szCs w:val="22"/>
        </w:rPr>
        <w:t>he peer review</w:t>
      </w:r>
      <w:r w:rsidRPr="004A3151">
        <w:rPr>
          <w:sz w:val="22"/>
          <w:szCs w:val="22"/>
        </w:rPr>
        <w:t xml:space="preserve"> group </w:t>
      </w:r>
      <w:r w:rsidR="002923E1" w:rsidRPr="004A3151">
        <w:rPr>
          <w:sz w:val="22"/>
          <w:szCs w:val="22"/>
        </w:rPr>
        <w:t xml:space="preserve">will review the assessment </w:t>
      </w:r>
      <w:r w:rsidR="00B52219" w:rsidRPr="004A3151">
        <w:rPr>
          <w:sz w:val="22"/>
          <w:szCs w:val="22"/>
        </w:rPr>
        <w:t xml:space="preserve">to confirm </w:t>
      </w:r>
      <w:r w:rsidR="000630AE" w:rsidRPr="004A3151">
        <w:rPr>
          <w:sz w:val="22"/>
          <w:szCs w:val="22"/>
        </w:rPr>
        <w:t>whether</w:t>
      </w:r>
      <w:r w:rsidR="008B32B3" w:rsidRPr="004A3151">
        <w:rPr>
          <w:sz w:val="22"/>
          <w:szCs w:val="22"/>
        </w:rPr>
        <w:t xml:space="preserve"> </w:t>
      </w:r>
      <w:r w:rsidR="00B52219" w:rsidRPr="004A3151">
        <w:rPr>
          <w:sz w:val="22"/>
          <w:szCs w:val="22"/>
        </w:rPr>
        <w:t>the</w:t>
      </w:r>
      <w:r w:rsidR="00DE629F" w:rsidRPr="004A3151">
        <w:rPr>
          <w:sz w:val="22"/>
          <w:szCs w:val="22"/>
        </w:rPr>
        <w:t xml:space="preserve"> medicine does not conform to one or more of the fixed gateway criteria, or </w:t>
      </w:r>
      <w:r w:rsidR="000630AE" w:rsidRPr="004A3151">
        <w:rPr>
          <w:sz w:val="22"/>
          <w:szCs w:val="22"/>
        </w:rPr>
        <w:t>whether</w:t>
      </w:r>
      <w:r w:rsidR="008B32B3" w:rsidRPr="004A3151">
        <w:rPr>
          <w:sz w:val="22"/>
          <w:szCs w:val="22"/>
        </w:rPr>
        <w:t xml:space="preserve"> </w:t>
      </w:r>
      <w:r w:rsidR="00A64F74" w:rsidRPr="004A3151">
        <w:rPr>
          <w:sz w:val="22"/>
          <w:szCs w:val="22"/>
        </w:rPr>
        <w:t>there is a</w:t>
      </w:r>
      <w:r w:rsidR="00DE3245" w:rsidRPr="004A3151">
        <w:rPr>
          <w:sz w:val="22"/>
          <w:szCs w:val="22"/>
        </w:rPr>
        <w:t>n</w:t>
      </w:r>
      <w:r w:rsidR="00A64F74" w:rsidRPr="004A3151">
        <w:rPr>
          <w:sz w:val="22"/>
          <w:szCs w:val="22"/>
        </w:rPr>
        <w:t xml:space="preserve"> </w:t>
      </w:r>
      <w:r w:rsidR="007B7C20" w:rsidRPr="00BE7D7F">
        <w:rPr>
          <w:rStyle w:val="ui-provider"/>
          <w:sz w:val="22"/>
          <w:szCs w:val="22"/>
        </w:rPr>
        <w:t>unacceptable patient safety risk</w:t>
      </w:r>
      <w:r w:rsidR="000D7444" w:rsidRPr="00BE7D7F">
        <w:rPr>
          <w:rStyle w:val="ui-provider"/>
          <w:sz w:val="22"/>
          <w:szCs w:val="22"/>
        </w:rPr>
        <w:t xml:space="preserve"> </w:t>
      </w:r>
      <w:r w:rsidR="007B7C20" w:rsidRPr="00BE7D7F">
        <w:rPr>
          <w:rStyle w:val="ui-provider"/>
          <w:sz w:val="22"/>
          <w:szCs w:val="22"/>
        </w:rPr>
        <w:t>for which risk mitigation measures are likely to be impracticable or insufficiently effective</w:t>
      </w:r>
      <w:r w:rsidR="005E49B9" w:rsidRPr="00BE7D7F">
        <w:rPr>
          <w:rStyle w:val="ui-provider"/>
          <w:sz w:val="22"/>
          <w:szCs w:val="22"/>
        </w:rPr>
        <w:t>.</w:t>
      </w:r>
      <w:r w:rsidR="00DC1173" w:rsidRPr="004A3151">
        <w:rPr>
          <w:sz w:val="22"/>
          <w:szCs w:val="22"/>
        </w:rPr>
        <w:t xml:space="preserve"> </w:t>
      </w:r>
    </w:p>
    <w:p w14:paraId="2B5BCC90" w14:textId="77777777" w:rsidR="000630AE" w:rsidRDefault="000630AE" w:rsidP="002743E1">
      <w:pPr>
        <w:pStyle w:val="ListParagraph"/>
        <w:ind w:left="1418"/>
        <w:rPr>
          <w:sz w:val="22"/>
          <w:szCs w:val="22"/>
        </w:rPr>
      </w:pPr>
    </w:p>
    <w:p w14:paraId="3FF18853" w14:textId="513F3F7D" w:rsidR="00A64F74" w:rsidRPr="002743E1" w:rsidRDefault="002923E1" w:rsidP="002743E1">
      <w:pPr>
        <w:pStyle w:val="ListParagraph"/>
        <w:ind w:left="1418"/>
        <w:rPr>
          <w:b/>
          <w:bCs/>
          <w:sz w:val="22"/>
          <w:szCs w:val="22"/>
        </w:rPr>
      </w:pPr>
      <w:r w:rsidRPr="00557773">
        <w:rPr>
          <w:sz w:val="22"/>
          <w:szCs w:val="22"/>
        </w:rPr>
        <w:t>A file note is retained by the SPS QA Hub identifying the peer group and the</w:t>
      </w:r>
      <w:r w:rsidR="000630AE">
        <w:rPr>
          <w:sz w:val="22"/>
          <w:szCs w:val="22"/>
        </w:rPr>
        <w:t xml:space="preserve"> outcome of</w:t>
      </w:r>
      <w:r w:rsidRPr="00557773">
        <w:rPr>
          <w:sz w:val="22"/>
          <w:szCs w:val="22"/>
        </w:rPr>
        <w:t xml:space="preserve"> discussion.</w:t>
      </w:r>
    </w:p>
    <w:p w14:paraId="6384785F" w14:textId="77777777" w:rsidR="00A64F74" w:rsidRPr="00D80AE2" w:rsidRDefault="00A64F74" w:rsidP="002E2A32">
      <w:pPr>
        <w:rPr>
          <w:sz w:val="22"/>
          <w:szCs w:val="22"/>
        </w:rPr>
      </w:pPr>
    </w:p>
    <w:p w14:paraId="2A10B3AE" w14:textId="1C0BB8EF" w:rsidR="00B65D75" w:rsidRDefault="00A732F5" w:rsidP="00493DE2">
      <w:pPr>
        <w:pStyle w:val="ListParagraph"/>
        <w:numPr>
          <w:ilvl w:val="2"/>
          <w:numId w:val="10"/>
        </w:numPr>
        <w:ind w:left="1418" w:hanging="698"/>
        <w:rPr>
          <w:sz w:val="22"/>
          <w:szCs w:val="22"/>
        </w:rPr>
      </w:pPr>
      <w:r w:rsidRPr="39D59BDC">
        <w:rPr>
          <w:sz w:val="22"/>
          <w:szCs w:val="22"/>
        </w:rPr>
        <w:t>All assessments are</w:t>
      </w:r>
      <w:r w:rsidR="00A64238" w:rsidRPr="39D59BDC">
        <w:rPr>
          <w:sz w:val="22"/>
          <w:szCs w:val="22"/>
        </w:rPr>
        <w:t xml:space="preserve"> </w:t>
      </w:r>
      <w:r w:rsidR="00673840" w:rsidRPr="39D59BDC">
        <w:rPr>
          <w:sz w:val="22"/>
          <w:szCs w:val="22"/>
        </w:rPr>
        <w:t xml:space="preserve">recorded </w:t>
      </w:r>
      <w:r w:rsidR="00C0576C">
        <w:rPr>
          <w:sz w:val="22"/>
          <w:szCs w:val="22"/>
        </w:rPr>
        <w:t xml:space="preserve">on the </w:t>
      </w:r>
      <w:r w:rsidR="00D47AAC">
        <w:rPr>
          <w:sz w:val="22"/>
          <w:szCs w:val="22"/>
        </w:rPr>
        <w:t>SPS Graphic Design Assessment Record.</w:t>
      </w:r>
      <w:r w:rsidR="005B28BF" w:rsidRPr="39D59BDC">
        <w:rPr>
          <w:sz w:val="22"/>
          <w:szCs w:val="22"/>
        </w:rPr>
        <w:t xml:space="preserve"> </w:t>
      </w:r>
    </w:p>
    <w:p w14:paraId="7EAEAB85" w14:textId="77777777" w:rsidR="0085390E" w:rsidRDefault="0085390E" w:rsidP="0085390E">
      <w:pPr>
        <w:pStyle w:val="ListParagraph"/>
        <w:ind w:left="1418"/>
        <w:rPr>
          <w:sz w:val="22"/>
          <w:szCs w:val="22"/>
        </w:rPr>
      </w:pPr>
    </w:p>
    <w:p w14:paraId="387B0524" w14:textId="77777777" w:rsidR="000003A2" w:rsidRDefault="000003A2" w:rsidP="00473E7A">
      <w:pPr>
        <w:pStyle w:val="ListParagraph"/>
        <w:ind w:left="792"/>
        <w:rPr>
          <w:sz w:val="22"/>
          <w:szCs w:val="22"/>
        </w:rPr>
      </w:pPr>
    </w:p>
    <w:p w14:paraId="3C15B8AB" w14:textId="77777777" w:rsidR="000003A2" w:rsidRDefault="000003A2" w:rsidP="00473E7A">
      <w:pPr>
        <w:pStyle w:val="ListParagraph"/>
        <w:ind w:left="792"/>
        <w:rPr>
          <w:sz w:val="22"/>
          <w:szCs w:val="22"/>
        </w:rPr>
      </w:pPr>
    </w:p>
    <w:p w14:paraId="40009B81" w14:textId="0E73D206" w:rsidR="00E75F10" w:rsidRPr="009C5FFC" w:rsidRDefault="00E75F10" w:rsidP="00DA7F23">
      <w:pPr>
        <w:pStyle w:val="ListParagraph"/>
        <w:numPr>
          <w:ilvl w:val="1"/>
          <w:numId w:val="10"/>
        </w:numPr>
        <w:rPr>
          <w:b/>
          <w:sz w:val="22"/>
          <w:szCs w:val="22"/>
        </w:rPr>
      </w:pPr>
      <w:r w:rsidRPr="009C5FFC">
        <w:rPr>
          <w:b/>
          <w:sz w:val="22"/>
          <w:szCs w:val="22"/>
        </w:rPr>
        <w:t>Governance</w:t>
      </w:r>
      <w:r w:rsidR="00311B2D" w:rsidRPr="009C5FFC">
        <w:rPr>
          <w:b/>
          <w:sz w:val="22"/>
          <w:szCs w:val="22"/>
        </w:rPr>
        <w:t xml:space="preserve"> arrangements</w:t>
      </w:r>
    </w:p>
    <w:p w14:paraId="097B626A" w14:textId="5D8EB3FA" w:rsidR="008631B0" w:rsidRDefault="008631B0" w:rsidP="008631B0">
      <w:pPr>
        <w:pStyle w:val="ListParagraph"/>
        <w:ind w:left="792"/>
        <w:rPr>
          <w:sz w:val="22"/>
          <w:szCs w:val="22"/>
        </w:rPr>
      </w:pPr>
    </w:p>
    <w:p w14:paraId="5B30016F" w14:textId="36F0B697" w:rsidR="00ED485C" w:rsidRDefault="00ED485C" w:rsidP="00BF474A">
      <w:pPr>
        <w:pStyle w:val="ListParagraph"/>
        <w:numPr>
          <w:ilvl w:val="2"/>
          <w:numId w:val="10"/>
        </w:numPr>
        <w:ind w:left="1418" w:hanging="698"/>
        <w:rPr>
          <w:sz w:val="22"/>
          <w:szCs w:val="22"/>
        </w:rPr>
      </w:pPr>
      <w:r>
        <w:rPr>
          <w:sz w:val="22"/>
          <w:szCs w:val="22"/>
        </w:rPr>
        <w:t xml:space="preserve">The </w:t>
      </w:r>
      <w:bookmarkStart w:id="2" w:name="_Hlk109825450"/>
      <w:r w:rsidR="001B4490">
        <w:rPr>
          <w:sz w:val="22"/>
          <w:szCs w:val="22"/>
        </w:rPr>
        <w:t>Quality Assurance Hub lead pharmacist</w:t>
      </w:r>
      <w:bookmarkEnd w:id="2"/>
      <w:r w:rsidR="001B4490">
        <w:rPr>
          <w:sz w:val="22"/>
          <w:szCs w:val="22"/>
        </w:rPr>
        <w:t xml:space="preserve"> </w:t>
      </w:r>
      <w:r w:rsidR="003D7697">
        <w:rPr>
          <w:sz w:val="22"/>
          <w:szCs w:val="22"/>
        </w:rPr>
        <w:t xml:space="preserve">is responsible for </w:t>
      </w:r>
      <w:r w:rsidR="002F34F5">
        <w:rPr>
          <w:sz w:val="22"/>
          <w:szCs w:val="22"/>
        </w:rPr>
        <w:t xml:space="preserve">the </w:t>
      </w:r>
      <w:r w:rsidR="00B84A02">
        <w:rPr>
          <w:sz w:val="22"/>
          <w:szCs w:val="22"/>
        </w:rPr>
        <w:t>assessment service</w:t>
      </w:r>
      <w:r w:rsidR="009241B8">
        <w:rPr>
          <w:sz w:val="22"/>
          <w:szCs w:val="22"/>
        </w:rPr>
        <w:t>.</w:t>
      </w:r>
    </w:p>
    <w:p w14:paraId="0F786CE4" w14:textId="5050DAB7" w:rsidR="00BD5719" w:rsidRDefault="00C30796" w:rsidP="00BF474A">
      <w:pPr>
        <w:pStyle w:val="ListParagraph"/>
        <w:numPr>
          <w:ilvl w:val="2"/>
          <w:numId w:val="10"/>
        </w:numPr>
        <w:ind w:left="1418" w:hanging="698"/>
        <w:rPr>
          <w:sz w:val="22"/>
          <w:szCs w:val="22"/>
        </w:rPr>
      </w:pPr>
      <w:r>
        <w:rPr>
          <w:sz w:val="22"/>
          <w:szCs w:val="22"/>
        </w:rPr>
        <w:t>Assessors</w:t>
      </w:r>
      <w:r w:rsidR="000E2746">
        <w:rPr>
          <w:sz w:val="22"/>
          <w:szCs w:val="22"/>
        </w:rPr>
        <w:t xml:space="preserve"> </w:t>
      </w:r>
      <w:r w:rsidR="00AA22B1">
        <w:rPr>
          <w:sz w:val="22"/>
          <w:szCs w:val="22"/>
        </w:rPr>
        <w:t xml:space="preserve">are </w:t>
      </w:r>
      <w:r w:rsidR="008562A5">
        <w:rPr>
          <w:sz w:val="22"/>
          <w:szCs w:val="22"/>
        </w:rPr>
        <w:t>trained and competence</w:t>
      </w:r>
      <w:r w:rsidR="00BC65FA">
        <w:rPr>
          <w:sz w:val="22"/>
          <w:szCs w:val="22"/>
        </w:rPr>
        <w:t xml:space="preserve"> is</w:t>
      </w:r>
      <w:r w:rsidR="008562A5">
        <w:rPr>
          <w:sz w:val="22"/>
          <w:szCs w:val="22"/>
        </w:rPr>
        <w:t xml:space="preserve"> assessed </w:t>
      </w:r>
      <w:r w:rsidR="00994597">
        <w:rPr>
          <w:sz w:val="22"/>
          <w:szCs w:val="22"/>
        </w:rPr>
        <w:t xml:space="preserve">and maintained </w:t>
      </w:r>
      <w:r w:rsidR="008562A5">
        <w:rPr>
          <w:sz w:val="22"/>
          <w:szCs w:val="22"/>
        </w:rPr>
        <w:t xml:space="preserve">by </w:t>
      </w:r>
      <w:r w:rsidR="009241B8">
        <w:rPr>
          <w:sz w:val="22"/>
          <w:szCs w:val="22"/>
        </w:rPr>
        <w:t xml:space="preserve">the SPS </w:t>
      </w:r>
      <w:r w:rsidR="00165BA3">
        <w:rPr>
          <w:sz w:val="22"/>
          <w:szCs w:val="22"/>
        </w:rPr>
        <w:t>QA</w:t>
      </w:r>
      <w:r w:rsidR="009241B8">
        <w:rPr>
          <w:sz w:val="22"/>
          <w:szCs w:val="22"/>
        </w:rPr>
        <w:t xml:space="preserve"> Hub</w:t>
      </w:r>
      <w:r w:rsidR="00330207">
        <w:rPr>
          <w:sz w:val="22"/>
          <w:szCs w:val="22"/>
        </w:rPr>
        <w:t>.</w:t>
      </w:r>
      <w:r w:rsidR="00710C35">
        <w:rPr>
          <w:sz w:val="22"/>
          <w:szCs w:val="22"/>
        </w:rPr>
        <w:t xml:space="preserve"> </w:t>
      </w:r>
    </w:p>
    <w:p w14:paraId="08AEF233" w14:textId="3E36A710" w:rsidR="00A21D9F" w:rsidRDefault="00310D27" w:rsidP="00BF474A">
      <w:pPr>
        <w:pStyle w:val="ListParagraph"/>
        <w:numPr>
          <w:ilvl w:val="2"/>
          <w:numId w:val="10"/>
        </w:numPr>
        <w:ind w:left="1418" w:hanging="698"/>
        <w:rPr>
          <w:sz w:val="22"/>
          <w:szCs w:val="22"/>
        </w:rPr>
      </w:pPr>
      <w:r>
        <w:rPr>
          <w:sz w:val="22"/>
          <w:szCs w:val="22"/>
        </w:rPr>
        <w:t xml:space="preserve">Disputes are directed to the Quality Assurance Hub lead pharmacist or </w:t>
      </w:r>
      <w:r w:rsidR="00F5263F">
        <w:rPr>
          <w:sz w:val="22"/>
          <w:szCs w:val="22"/>
        </w:rPr>
        <w:t>deputy in the first instance</w:t>
      </w:r>
      <w:r w:rsidR="00DC1A58">
        <w:rPr>
          <w:sz w:val="22"/>
          <w:szCs w:val="22"/>
        </w:rPr>
        <w:t>, with escalation to the Head of SPS</w:t>
      </w:r>
      <w:r w:rsidR="00F5263F">
        <w:rPr>
          <w:sz w:val="22"/>
          <w:szCs w:val="22"/>
        </w:rPr>
        <w:t>.</w:t>
      </w:r>
    </w:p>
    <w:p w14:paraId="67E4EBD0" w14:textId="77777777" w:rsidR="00FF34A0" w:rsidRDefault="00FF34A0" w:rsidP="00071A28">
      <w:pPr>
        <w:pStyle w:val="ListParagraph"/>
        <w:ind w:left="1418"/>
        <w:rPr>
          <w:sz w:val="22"/>
          <w:szCs w:val="22"/>
        </w:rPr>
      </w:pPr>
    </w:p>
    <w:p w14:paraId="37A7A36A" w14:textId="591AFF9A" w:rsidR="0098470B" w:rsidRDefault="0098470B">
      <w:pPr>
        <w:rPr>
          <w:sz w:val="22"/>
          <w:szCs w:val="22"/>
        </w:rPr>
      </w:pPr>
      <w:r>
        <w:rPr>
          <w:sz w:val="22"/>
          <w:szCs w:val="22"/>
        </w:rPr>
        <w:br w:type="page"/>
      </w:r>
    </w:p>
    <w:p w14:paraId="2F248843" w14:textId="4528A522" w:rsidR="00F31A29" w:rsidRPr="00321327" w:rsidRDefault="00321327" w:rsidP="00E477AF">
      <w:pPr>
        <w:pStyle w:val="Heading1"/>
        <w:numPr>
          <w:ilvl w:val="0"/>
          <w:numId w:val="10"/>
        </w:numPr>
        <w:rPr>
          <w:sz w:val="22"/>
          <w:szCs w:val="22"/>
        </w:rPr>
      </w:pPr>
      <w:r>
        <w:lastRenderedPageBreak/>
        <w:t>References</w:t>
      </w:r>
    </w:p>
    <w:p w14:paraId="3B0784B7" w14:textId="77777777" w:rsidR="00012CD7" w:rsidRDefault="00012CD7" w:rsidP="00C03E67">
      <w:pPr>
        <w:pStyle w:val="ListParagraph"/>
        <w:ind w:left="360"/>
        <w:rPr>
          <w:b/>
          <w:sz w:val="22"/>
          <w:szCs w:val="22"/>
        </w:rPr>
      </w:pPr>
    </w:p>
    <w:p w14:paraId="242F3746" w14:textId="77777777" w:rsidR="00755BF2" w:rsidRDefault="00755BF2" w:rsidP="00755BF2">
      <w:pPr>
        <w:pStyle w:val="ListParagraph"/>
        <w:ind w:left="360"/>
        <w:rPr>
          <w:sz w:val="22"/>
          <w:szCs w:val="22"/>
        </w:rPr>
      </w:pPr>
    </w:p>
    <w:p w14:paraId="42684D06" w14:textId="6A457063" w:rsidR="00755BF2" w:rsidRDefault="00755BF2" w:rsidP="00755BF2">
      <w:pPr>
        <w:pStyle w:val="ListParagraph"/>
        <w:ind w:left="360"/>
        <w:rPr>
          <w:sz w:val="22"/>
          <w:szCs w:val="22"/>
          <w:vertAlign w:val="superscript"/>
        </w:rPr>
      </w:pPr>
      <w:r>
        <w:rPr>
          <w:sz w:val="22"/>
          <w:szCs w:val="22"/>
        </w:rPr>
        <w:t xml:space="preserve">1. </w:t>
      </w:r>
      <w:r w:rsidRPr="00DC41B7">
        <w:rPr>
          <w:sz w:val="22"/>
          <w:szCs w:val="22"/>
        </w:rPr>
        <w:t>Best practice guidance on the labelling and packaging of medicines (MHRA December 2020)</w:t>
      </w:r>
    </w:p>
    <w:p w14:paraId="365FBBCB" w14:textId="77777777" w:rsidR="00755BF2" w:rsidRDefault="00755BF2" w:rsidP="00755BF2">
      <w:pPr>
        <w:pStyle w:val="ListParagraph"/>
        <w:ind w:left="360"/>
        <w:rPr>
          <w:sz w:val="22"/>
          <w:szCs w:val="22"/>
          <w:vertAlign w:val="superscript"/>
        </w:rPr>
      </w:pPr>
    </w:p>
    <w:permStart w:id="1494355126" w:edGrp="everyone"/>
    <w:p w14:paraId="11B421B5" w14:textId="77777777" w:rsidR="00755BF2" w:rsidRDefault="00F24EF6" w:rsidP="00755BF2">
      <w:pPr>
        <w:pStyle w:val="ListParagraph"/>
        <w:ind w:left="360" w:firstLine="360"/>
        <w:rPr>
          <w:sz w:val="22"/>
          <w:szCs w:val="22"/>
          <w:vertAlign w:val="superscript"/>
        </w:rPr>
      </w:pPr>
      <w:r>
        <w:fldChar w:fldCharType="begin"/>
      </w:r>
      <w:r>
        <w:instrText>HYPERLINK "https://www.gov.uk/government/publications/best-practice-in-the-labelling-and-packaging-of-medicines"</w:instrText>
      </w:r>
      <w:r>
        <w:fldChar w:fldCharType="separate"/>
      </w:r>
      <w:r w:rsidR="00755BF2" w:rsidRPr="00F147B7">
        <w:rPr>
          <w:rStyle w:val="Hyperlink"/>
          <w:sz w:val="22"/>
          <w:szCs w:val="22"/>
          <w:vertAlign w:val="superscript"/>
        </w:rPr>
        <w:t>https://www.gov.uk/government/publications/best-practice-in-the-labelling-and-packaging-of-medicines</w:t>
      </w:r>
      <w:r>
        <w:rPr>
          <w:rStyle w:val="Hyperlink"/>
          <w:sz w:val="22"/>
          <w:szCs w:val="22"/>
          <w:vertAlign w:val="superscript"/>
        </w:rPr>
        <w:fldChar w:fldCharType="end"/>
      </w:r>
    </w:p>
    <w:permEnd w:id="1494355126"/>
    <w:p w14:paraId="7E4842D5" w14:textId="60CC9430" w:rsidR="006B72EA" w:rsidRDefault="004C448D" w:rsidP="00AF4E2C">
      <w:pPr>
        <w:pStyle w:val="ListParagraph"/>
        <w:numPr>
          <w:ilvl w:val="0"/>
          <w:numId w:val="6"/>
        </w:numPr>
        <w:tabs>
          <w:tab w:val="left" w:pos="567"/>
        </w:tabs>
        <w:ind w:firstLine="4"/>
        <w:rPr>
          <w:sz w:val="22"/>
          <w:szCs w:val="22"/>
        </w:rPr>
      </w:pPr>
      <w:r w:rsidRPr="00DC41B7">
        <w:rPr>
          <w:sz w:val="22"/>
          <w:szCs w:val="22"/>
        </w:rPr>
        <w:t>Promoting safer use of injectable medicines (NPSA Alert 20, March 2007)</w:t>
      </w:r>
    </w:p>
    <w:permStart w:id="653937155" w:edGrp="everyone"/>
    <w:p w14:paraId="1720CFB2" w14:textId="5EBC2D57" w:rsidR="00F473F6" w:rsidRDefault="00CF332F" w:rsidP="005B42DB">
      <w:pPr>
        <w:ind w:firstLine="360"/>
        <w:rPr>
          <w:sz w:val="22"/>
          <w:szCs w:val="22"/>
        </w:rPr>
      </w:pPr>
      <w:r>
        <w:rPr>
          <w:noProof/>
          <w:sz w:val="22"/>
          <w:szCs w:val="22"/>
        </w:rPr>
        <w:object w:dxaOrig="1543" w:dyaOrig="1000" w14:anchorId="62499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6pt" o:ole="">
            <v:imagedata r:id="rId13" o:title=""/>
          </v:shape>
          <o:OLEObject Type="Embed" ProgID="AcroExch.Document.DC" ShapeID="_x0000_i1025" DrawAspect="Icon" ObjectID="_1759046008" r:id="rId14"/>
        </w:object>
      </w:r>
      <w:permEnd w:id="653937155"/>
    </w:p>
    <w:p w14:paraId="5FB76EC0" w14:textId="77777777" w:rsidR="00B423B4" w:rsidRPr="00F473F6" w:rsidRDefault="00B423B4" w:rsidP="00F473F6">
      <w:pPr>
        <w:rPr>
          <w:sz w:val="22"/>
          <w:szCs w:val="22"/>
        </w:rPr>
      </w:pPr>
    </w:p>
    <w:p w14:paraId="1A84B809" w14:textId="52CE0AB2" w:rsidR="004C448D" w:rsidRDefault="00755BF2" w:rsidP="00DC41B7">
      <w:pPr>
        <w:pStyle w:val="ListParagraph"/>
        <w:ind w:left="360"/>
        <w:rPr>
          <w:sz w:val="22"/>
          <w:szCs w:val="22"/>
        </w:rPr>
      </w:pPr>
      <w:r>
        <w:rPr>
          <w:sz w:val="22"/>
          <w:szCs w:val="22"/>
        </w:rPr>
        <w:t>3</w:t>
      </w:r>
      <w:r w:rsidR="00CA6B6F">
        <w:rPr>
          <w:sz w:val="22"/>
          <w:szCs w:val="22"/>
        </w:rPr>
        <w:t xml:space="preserve">. </w:t>
      </w:r>
      <w:r w:rsidR="004C448D" w:rsidRPr="004C448D">
        <w:rPr>
          <w:sz w:val="22"/>
          <w:szCs w:val="22"/>
        </w:rPr>
        <w:t>Design for patient safety: A guide to the graphic design of medication packaging (NPSA</w:t>
      </w:r>
      <w:r w:rsidR="004C448D">
        <w:rPr>
          <w:sz w:val="22"/>
          <w:szCs w:val="22"/>
        </w:rPr>
        <w:t xml:space="preserve"> 0463A</w:t>
      </w:r>
      <w:r w:rsidR="004C448D" w:rsidRPr="004C448D">
        <w:rPr>
          <w:sz w:val="22"/>
          <w:szCs w:val="22"/>
        </w:rPr>
        <w:t xml:space="preserve"> 2008)</w:t>
      </w:r>
    </w:p>
    <w:p w14:paraId="749593EA" w14:textId="7F9475C7" w:rsidR="004C448D" w:rsidRDefault="004C448D" w:rsidP="00DC41B7">
      <w:pPr>
        <w:pStyle w:val="ListParagraph"/>
        <w:ind w:left="360"/>
        <w:rPr>
          <w:sz w:val="22"/>
          <w:szCs w:val="22"/>
        </w:rPr>
      </w:pPr>
      <w:bookmarkStart w:id="3" w:name="_Hlk113346925"/>
    </w:p>
    <w:permStart w:id="1784349294" w:edGrp="everyone"/>
    <w:p w14:paraId="2C572A6D" w14:textId="2B3F5CD9" w:rsidR="004C448D" w:rsidRDefault="00CF332F" w:rsidP="00DC41B7">
      <w:pPr>
        <w:pStyle w:val="ListParagraph"/>
        <w:ind w:left="360"/>
        <w:rPr>
          <w:sz w:val="22"/>
          <w:szCs w:val="22"/>
        </w:rPr>
      </w:pPr>
      <w:r>
        <w:rPr>
          <w:noProof/>
          <w:sz w:val="22"/>
          <w:szCs w:val="22"/>
        </w:rPr>
        <w:object w:dxaOrig="1543" w:dyaOrig="1000" w14:anchorId="03545116">
          <v:shape id="_x0000_i1026" type="#_x0000_t75" style="width:57.6pt;height:36pt" o:ole="">
            <v:imagedata r:id="rId15" o:title=""/>
          </v:shape>
          <o:OLEObject Type="Embed" ProgID="AcroExch.Document.DC" ShapeID="_x0000_i1026" DrawAspect="Icon" ObjectID="_1759046009" r:id="rId16"/>
        </w:object>
      </w:r>
      <w:permEnd w:id="1784349294"/>
    </w:p>
    <w:p w14:paraId="4A7CC35A" w14:textId="77777777" w:rsidR="004C448D" w:rsidRDefault="004C448D" w:rsidP="00DC41B7">
      <w:pPr>
        <w:pStyle w:val="ListParagraph"/>
        <w:ind w:left="360"/>
        <w:rPr>
          <w:sz w:val="22"/>
          <w:szCs w:val="22"/>
        </w:rPr>
      </w:pPr>
    </w:p>
    <w:p w14:paraId="55EC0B2A" w14:textId="3EB99ADA" w:rsidR="00012CD7" w:rsidRDefault="00755BF2" w:rsidP="723E52E7">
      <w:pPr>
        <w:pStyle w:val="ListParagraph"/>
        <w:ind w:left="360"/>
        <w:rPr>
          <w:b/>
          <w:bCs/>
          <w:sz w:val="22"/>
          <w:szCs w:val="22"/>
        </w:rPr>
      </w:pPr>
      <w:r>
        <w:rPr>
          <w:sz w:val="22"/>
          <w:szCs w:val="22"/>
        </w:rPr>
        <w:t>4</w:t>
      </w:r>
      <w:r w:rsidR="004C448D">
        <w:rPr>
          <w:sz w:val="22"/>
          <w:szCs w:val="22"/>
        </w:rPr>
        <w:t xml:space="preserve">. </w:t>
      </w:r>
      <w:r w:rsidR="00E751BD" w:rsidRPr="00DC41B7">
        <w:rPr>
          <w:sz w:val="22"/>
          <w:szCs w:val="22"/>
        </w:rPr>
        <w:t>Design for patient safety: A guide to labelling and packaging of injectable medicines (NPSA</w:t>
      </w:r>
      <w:r w:rsidR="004C448D">
        <w:rPr>
          <w:sz w:val="22"/>
          <w:szCs w:val="22"/>
        </w:rPr>
        <w:t xml:space="preserve"> (NRLS 0592)</w:t>
      </w:r>
      <w:r w:rsidR="00E751BD" w:rsidRPr="00DC41B7">
        <w:rPr>
          <w:sz w:val="22"/>
          <w:szCs w:val="22"/>
        </w:rPr>
        <w:t xml:space="preserve"> 2008)</w:t>
      </w:r>
      <w:bookmarkEnd w:id="3"/>
      <w:r w:rsidR="00E751BD" w:rsidRPr="00DC41B7">
        <w:rPr>
          <w:sz w:val="22"/>
          <w:szCs w:val="22"/>
        </w:rPr>
        <w:t xml:space="preserve"> ISBN: 978-1-906624-02-6</w:t>
      </w:r>
    </w:p>
    <w:permStart w:id="782524520" w:edGrp="everyone"/>
    <w:p w14:paraId="37FF445E" w14:textId="161B9BD7" w:rsidR="00012CD7" w:rsidRDefault="00CF332F" w:rsidP="00143750">
      <w:pPr>
        <w:pStyle w:val="ListParagraph"/>
        <w:ind w:left="360"/>
      </w:pPr>
      <w:r>
        <w:rPr>
          <w:noProof/>
          <w:sz w:val="22"/>
          <w:szCs w:val="22"/>
        </w:rPr>
        <w:object w:dxaOrig="1543" w:dyaOrig="1000" w14:anchorId="046ACFA9">
          <v:shape id="_x0000_i1027" type="#_x0000_t75" style="width:57.6pt;height:36pt" o:ole="">
            <v:imagedata r:id="rId17" o:title=""/>
          </v:shape>
          <o:OLEObject Type="Embed" ProgID="AcroExch.Document.DC" ShapeID="_x0000_i1027" DrawAspect="Icon" ObjectID="_1759046010" r:id="rId18"/>
        </w:object>
      </w:r>
      <w:permEnd w:id="782524520"/>
    </w:p>
    <w:p w14:paraId="1A2A68B3" w14:textId="77777777" w:rsidR="00012CD7" w:rsidRDefault="00012CD7" w:rsidP="00DC41B7">
      <w:pPr>
        <w:pStyle w:val="ListParagraph"/>
        <w:ind w:left="360"/>
        <w:rPr>
          <w:b/>
          <w:sz w:val="22"/>
          <w:szCs w:val="22"/>
        </w:rPr>
      </w:pPr>
    </w:p>
    <w:p w14:paraId="2857D5A1" w14:textId="77777777" w:rsidR="00321327" w:rsidRDefault="00321327" w:rsidP="00DC41B7">
      <w:pPr>
        <w:pStyle w:val="ListParagraph"/>
        <w:ind w:left="360"/>
        <w:rPr>
          <w:b/>
          <w:sz w:val="22"/>
          <w:szCs w:val="22"/>
        </w:rPr>
      </w:pPr>
    </w:p>
    <w:p w14:paraId="2E39C44B" w14:textId="77777777" w:rsidR="00321327" w:rsidRPr="00321327" w:rsidRDefault="00321327" w:rsidP="00321327">
      <w:pPr>
        <w:pStyle w:val="ListParagraph"/>
        <w:numPr>
          <w:ilvl w:val="0"/>
          <w:numId w:val="10"/>
        </w:numPr>
        <w:rPr>
          <w:rFonts w:eastAsiaTheme="majorEastAsia" w:cstheme="majorBidi"/>
          <w:b/>
          <w:bCs/>
          <w:color w:val="01833E"/>
          <w:sz w:val="32"/>
          <w:szCs w:val="32"/>
        </w:rPr>
      </w:pPr>
      <w:r w:rsidRPr="00321327">
        <w:rPr>
          <w:rFonts w:eastAsiaTheme="majorEastAsia" w:cstheme="majorBidi"/>
          <w:b/>
          <w:bCs/>
          <w:color w:val="01833E"/>
          <w:sz w:val="32"/>
          <w:szCs w:val="32"/>
        </w:rPr>
        <w:t>Document History</w:t>
      </w:r>
    </w:p>
    <w:p w14:paraId="20E850CA" w14:textId="77777777" w:rsidR="00DE5A03" w:rsidRDefault="00DE5A03" w:rsidP="00DE5A03">
      <w:pPr>
        <w:pStyle w:val="ListParagraph"/>
        <w:ind w:left="360"/>
        <w:rPr>
          <w:b/>
          <w:sz w:val="22"/>
          <w:szCs w:val="22"/>
        </w:rPr>
      </w:pPr>
    </w:p>
    <w:tbl>
      <w:tblPr>
        <w:tblW w:w="100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6864"/>
        <w:gridCol w:w="1843"/>
      </w:tblGrid>
      <w:tr w:rsidR="00DE5A03" w:rsidRPr="00D80AE2" w14:paraId="49145865" w14:textId="77777777">
        <w:tc>
          <w:tcPr>
            <w:tcW w:w="1386" w:type="dxa"/>
            <w:tcBorders>
              <w:top w:val="single" w:sz="4" w:space="0" w:color="auto"/>
              <w:left w:val="single" w:sz="4" w:space="0" w:color="auto"/>
              <w:bottom w:val="single" w:sz="4" w:space="0" w:color="auto"/>
              <w:right w:val="single" w:sz="4" w:space="0" w:color="auto"/>
            </w:tcBorders>
            <w:hideMark/>
          </w:tcPr>
          <w:p w14:paraId="441799BF" w14:textId="77777777" w:rsidR="00DE5A03" w:rsidRPr="00DC41B7" w:rsidRDefault="00DE5A03">
            <w:pPr>
              <w:rPr>
                <w:rFonts w:cs="Arial"/>
                <w:b/>
                <w:bCs/>
                <w:sz w:val="16"/>
                <w:szCs w:val="16"/>
              </w:rPr>
            </w:pPr>
            <w:r w:rsidRPr="00DC41B7">
              <w:rPr>
                <w:rFonts w:cs="Arial"/>
                <w:b/>
                <w:bCs/>
                <w:spacing w:val="-3"/>
                <w:sz w:val="16"/>
                <w:szCs w:val="16"/>
              </w:rPr>
              <w:br w:type="page"/>
            </w:r>
            <w:r w:rsidRPr="00DC41B7">
              <w:rPr>
                <w:rFonts w:cs="Arial"/>
                <w:b/>
                <w:bCs/>
                <w:sz w:val="16"/>
                <w:szCs w:val="16"/>
              </w:rPr>
              <w:t>Document History</w:t>
            </w:r>
          </w:p>
        </w:tc>
        <w:tc>
          <w:tcPr>
            <w:tcW w:w="6864" w:type="dxa"/>
            <w:tcBorders>
              <w:top w:val="single" w:sz="4" w:space="0" w:color="auto"/>
              <w:left w:val="single" w:sz="4" w:space="0" w:color="auto"/>
              <w:bottom w:val="single" w:sz="4" w:space="0" w:color="auto"/>
              <w:right w:val="single" w:sz="4" w:space="0" w:color="auto"/>
            </w:tcBorders>
            <w:hideMark/>
          </w:tcPr>
          <w:p w14:paraId="587208C1" w14:textId="77777777" w:rsidR="00DE5A03" w:rsidRPr="00DC41B7" w:rsidRDefault="00DE5A03">
            <w:pPr>
              <w:rPr>
                <w:rFonts w:cs="Arial"/>
                <w:b/>
                <w:bCs/>
                <w:sz w:val="16"/>
                <w:szCs w:val="16"/>
              </w:rPr>
            </w:pPr>
            <w:r>
              <w:rPr>
                <w:rFonts w:cs="Arial"/>
                <w:b/>
                <w:bCs/>
                <w:sz w:val="16"/>
                <w:szCs w:val="16"/>
              </w:rPr>
              <w:t>Reason</w:t>
            </w:r>
            <w:r w:rsidRPr="00DC41B7">
              <w:rPr>
                <w:rFonts w:cs="Arial"/>
                <w:b/>
                <w:bCs/>
                <w:sz w:val="16"/>
                <w:szCs w:val="16"/>
              </w:rPr>
              <w:t xml:space="preserve"> for change</w:t>
            </w:r>
          </w:p>
        </w:tc>
        <w:tc>
          <w:tcPr>
            <w:tcW w:w="1843" w:type="dxa"/>
            <w:tcBorders>
              <w:top w:val="single" w:sz="4" w:space="0" w:color="auto"/>
              <w:left w:val="single" w:sz="4" w:space="0" w:color="auto"/>
              <w:bottom w:val="single" w:sz="4" w:space="0" w:color="auto"/>
              <w:right w:val="single" w:sz="4" w:space="0" w:color="auto"/>
            </w:tcBorders>
          </w:tcPr>
          <w:p w14:paraId="29C6C22F" w14:textId="77777777" w:rsidR="00DE5A03" w:rsidRPr="0033268D" w:rsidRDefault="00DE5A03">
            <w:pPr>
              <w:rPr>
                <w:rFonts w:cs="Arial"/>
                <w:b/>
                <w:bCs/>
                <w:sz w:val="16"/>
                <w:szCs w:val="16"/>
              </w:rPr>
            </w:pPr>
            <w:r>
              <w:rPr>
                <w:rFonts w:cs="Arial"/>
                <w:b/>
                <w:bCs/>
                <w:sz w:val="16"/>
                <w:szCs w:val="16"/>
              </w:rPr>
              <w:t>Issue date</w:t>
            </w:r>
          </w:p>
        </w:tc>
      </w:tr>
      <w:tr w:rsidR="00DE5A03" w:rsidRPr="00D80AE2" w14:paraId="4F731FBC" w14:textId="77777777">
        <w:tc>
          <w:tcPr>
            <w:tcW w:w="1386" w:type="dxa"/>
            <w:tcBorders>
              <w:top w:val="single" w:sz="4" w:space="0" w:color="auto"/>
              <w:left w:val="single" w:sz="4" w:space="0" w:color="auto"/>
              <w:bottom w:val="single" w:sz="4" w:space="0" w:color="auto"/>
              <w:right w:val="single" w:sz="4" w:space="0" w:color="auto"/>
            </w:tcBorders>
            <w:hideMark/>
          </w:tcPr>
          <w:p w14:paraId="2C8FF3EF" w14:textId="77777777" w:rsidR="00DE5A03" w:rsidRPr="00DC41B7" w:rsidRDefault="00DE5A03">
            <w:pPr>
              <w:jc w:val="center"/>
              <w:rPr>
                <w:rFonts w:cs="Arial"/>
                <w:sz w:val="16"/>
                <w:szCs w:val="16"/>
              </w:rPr>
            </w:pPr>
            <w:r w:rsidRPr="00DC41B7">
              <w:rPr>
                <w:rFonts w:cs="Arial"/>
                <w:sz w:val="16"/>
                <w:szCs w:val="16"/>
              </w:rPr>
              <w:t>Edition 1</w:t>
            </w:r>
          </w:p>
        </w:tc>
        <w:tc>
          <w:tcPr>
            <w:tcW w:w="6864" w:type="dxa"/>
            <w:tcBorders>
              <w:top w:val="single" w:sz="4" w:space="0" w:color="auto"/>
              <w:left w:val="single" w:sz="4" w:space="0" w:color="auto"/>
              <w:bottom w:val="single" w:sz="4" w:space="0" w:color="auto"/>
              <w:right w:val="single" w:sz="4" w:space="0" w:color="auto"/>
            </w:tcBorders>
            <w:hideMark/>
          </w:tcPr>
          <w:p w14:paraId="298DD81D" w14:textId="77777777" w:rsidR="00DE5A03" w:rsidRDefault="00DE5A03">
            <w:pPr>
              <w:rPr>
                <w:rFonts w:cs="Arial"/>
                <w:sz w:val="16"/>
                <w:szCs w:val="16"/>
              </w:rPr>
            </w:pPr>
            <w:r>
              <w:rPr>
                <w:rFonts w:cs="Arial"/>
                <w:sz w:val="16"/>
                <w:szCs w:val="16"/>
              </w:rPr>
              <w:t>Q</w:t>
            </w:r>
            <w:r w:rsidRPr="00DC41B7">
              <w:rPr>
                <w:rFonts w:cs="Arial"/>
                <w:sz w:val="16"/>
                <w:szCs w:val="16"/>
              </w:rPr>
              <w:t xml:space="preserve">A and Risk Assessment of Licensed Medicines for the NHS </w:t>
            </w:r>
          </w:p>
          <w:p w14:paraId="41A8A488" w14:textId="77777777" w:rsidR="00DE5A03" w:rsidRPr="00DC41B7" w:rsidRDefault="00DE5A03">
            <w:pPr>
              <w:rPr>
                <w:rFonts w:cs="Arial"/>
                <w:sz w:val="16"/>
                <w:szCs w:val="16"/>
              </w:rPr>
            </w:pPr>
            <w:r w:rsidRPr="00DC41B7">
              <w:rPr>
                <w:rFonts w:cs="Arial"/>
                <w:sz w:val="16"/>
                <w:szCs w:val="16"/>
              </w:rPr>
              <w:t xml:space="preserve">QA Policy for Contract Procurement of Licensed Pharmaceuticals </w:t>
            </w:r>
          </w:p>
        </w:tc>
        <w:tc>
          <w:tcPr>
            <w:tcW w:w="1843" w:type="dxa"/>
            <w:tcBorders>
              <w:top w:val="single" w:sz="4" w:space="0" w:color="auto"/>
              <w:left w:val="single" w:sz="4" w:space="0" w:color="auto"/>
              <w:bottom w:val="single" w:sz="4" w:space="0" w:color="auto"/>
              <w:right w:val="single" w:sz="4" w:space="0" w:color="auto"/>
            </w:tcBorders>
          </w:tcPr>
          <w:p w14:paraId="7DBCC0A1" w14:textId="77777777" w:rsidR="00DE5A03" w:rsidRPr="00E233E2" w:rsidRDefault="00DE5A03">
            <w:pPr>
              <w:rPr>
                <w:rFonts w:cs="Arial"/>
                <w:sz w:val="16"/>
                <w:szCs w:val="16"/>
              </w:rPr>
            </w:pPr>
            <w:r w:rsidRPr="00E233E2">
              <w:rPr>
                <w:rFonts w:cs="Arial"/>
                <w:sz w:val="16"/>
                <w:szCs w:val="16"/>
              </w:rPr>
              <w:t>June 2004</w:t>
            </w:r>
          </w:p>
          <w:p w14:paraId="4D36EEC7" w14:textId="77777777" w:rsidR="00DE5A03" w:rsidRPr="0033268D" w:rsidRDefault="00DE5A03">
            <w:pPr>
              <w:rPr>
                <w:rFonts w:cs="Arial"/>
                <w:sz w:val="16"/>
                <w:szCs w:val="16"/>
              </w:rPr>
            </w:pPr>
            <w:r w:rsidRPr="00E233E2">
              <w:rPr>
                <w:rFonts w:cs="Arial"/>
                <w:sz w:val="16"/>
                <w:szCs w:val="16"/>
              </w:rPr>
              <w:t>June 2007</w:t>
            </w:r>
          </w:p>
        </w:tc>
      </w:tr>
      <w:tr w:rsidR="00DE5A03" w:rsidRPr="00D80AE2" w14:paraId="0133EEA7" w14:textId="77777777">
        <w:tc>
          <w:tcPr>
            <w:tcW w:w="1386" w:type="dxa"/>
            <w:tcBorders>
              <w:top w:val="single" w:sz="4" w:space="0" w:color="auto"/>
              <w:left w:val="single" w:sz="4" w:space="0" w:color="auto"/>
              <w:bottom w:val="single" w:sz="4" w:space="0" w:color="auto"/>
              <w:right w:val="single" w:sz="4" w:space="0" w:color="auto"/>
            </w:tcBorders>
            <w:hideMark/>
          </w:tcPr>
          <w:p w14:paraId="0E95482A" w14:textId="77777777" w:rsidR="00DE5A03" w:rsidRPr="00DC41B7" w:rsidRDefault="00DE5A03">
            <w:pPr>
              <w:jc w:val="center"/>
              <w:rPr>
                <w:rFonts w:cs="Arial"/>
                <w:sz w:val="16"/>
                <w:szCs w:val="16"/>
              </w:rPr>
            </w:pPr>
            <w:r w:rsidRPr="00DC41B7">
              <w:rPr>
                <w:rFonts w:cs="Arial"/>
                <w:sz w:val="16"/>
                <w:szCs w:val="16"/>
              </w:rPr>
              <w:t>Edition 2</w:t>
            </w:r>
          </w:p>
        </w:tc>
        <w:tc>
          <w:tcPr>
            <w:tcW w:w="6864" w:type="dxa"/>
            <w:tcBorders>
              <w:top w:val="single" w:sz="4" w:space="0" w:color="auto"/>
              <w:left w:val="single" w:sz="4" w:space="0" w:color="auto"/>
              <w:bottom w:val="single" w:sz="4" w:space="0" w:color="auto"/>
              <w:right w:val="single" w:sz="4" w:space="0" w:color="auto"/>
            </w:tcBorders>
          </w:tcPr>
          <w:p w14:paraId="0FFE3712" w14:textId="77777777" w:rsidR="00DE5A03" w:rsidRPr="00DC41B7" w:rsidRDefault="00DE5A03">
            <w:pPr>
              <w:rPr>
                <w:rFonts w:cs="Arial"/>
                <w:sz w:val="16"/>
                <w:szCs w:val="16"/>
              </w:rPr>
            </w:pPr>
            <w:r>
              <w:rPr>
                <w:rFonts w:cs="Arial"/>
                <w:sz w:val="16"/>
                <w:szCs w:val="16"/>
              </w:rPr>
              <w:t xml:space="preserve">Update to consolidate above two documents </w:t>
            </w:r>
          </w:p>
        </w:tc>
        <w:tc>
          <w:tcPr>
            <w:tcW w:w="1843" w:type="dxa"/>
            <w:tcBorders>
              <w:top w:val="single" w:sz="4" w:space="0" w:color="auto"/>
              <w:left w:val="single" w:sz="4" w:space="0" w:color="auto"/>
              <w:bottom w:val="single" w:sz="4" w:space="0" w:color="auto"/>
              <w:right w:val="single" w:sz="4" w:space="0" w:color="auto"/>
            </w:tcBorders>
          </w:tcPr>
          <w:p w14:paraId="26936FC7" w14:textId="77777777" w:rsidR="00DE5A03" w:rsidRPr="0033268D" w:rsidRDefault="00DE5A03">
            <w:pPr>
              <w:rPr>
                <w:rFonts w:cs="Arial"/>
                <w:sz w:val="16"/>
                <w:szCs w:val="16"/>
              </w:rPr>
            </w:pPr>
            <w:r w:rsidRPr="00E233E2">
              <w:rPr>
                <w:rFonts w:cs="Arial"/>
                <w:sz w:val="16"/>
                <w:szCs w:val="16"/>
              </w:rPr>
              <w:t>April 2011</w:t>
            </w:r>
          </w:p>
        </w:tc>
      </w:tr>
      <w:tr w:rsidR="00DE5A03" w:rsidRPr="00D80AE2" w14:paraId="7C2CFE90" w14:textId="77777777">
        <w:tc>
          <w:tcPr>
            <w:tcW w:w="1386" w:type="dxa"/>
            <w:tcBorders>
              <w:top w:val="single" w:sz="4" w:space="0" w:color="auto"/>
              <w:left w:val="single" w:sz="4" w:space="0" w:color="auto"/>
              <w:bottom w:val="single" w:sz="4" w:space="0" w:color="auto"/>
              <w:right w:val="single" w:sz="4" w:space="0" w:color="auto"/>
            </w:tcBorders>
            <w:hideMark/>
          </w:tcPr>
          <w:p w14:paraId="4057297A" w14:textId="77777777" w:rsidR="00DE5A03" w:rsidRPr="00DC41B7" w:rsidRDefault="00DE5A03">
            <w:pPr>
              <w:jc w:val="center"/>
              <w:rPr>
                <w:rFonts w:cs="Arial"/>
                <w:sz w:val="16"/>
                <w:szCs w:val="16"/>
              </w:rPr>
            </w:pPr>
            <w:r w:rsidRPr="00DC41B7">
              <w:rPr>
                <w:rFonts w:cs="Arial"/>
                <w:sz w:val="16"/>
                <w:szCs w:val="16"/>
              </w:rPr>
              <w:t>Edition 3</w:t>
            </w:r>
          </w:p>
        </w:tc>
        <w:tc>
          <w:tcPr>
            <w:tcW w:w="6864" w:type="dxa"/>
            <w:tcBorders>
              <w:top w:val="single" w:sz="4" w:space="0" w:color="auto"/>
              <w:left w:val="single" w:sz="4" w:space="0" w:color="auto"/>
              <w:bottom w:val="single" w:sz="4" w:space="0" w:color="auto"/>
              <w:right w:val="single" w:sz="4" w:space="0" w:color="auto"/>
            </w:tcBorders>
            <w:hideMark/>
          </w:tcPr>
          <w:p w14:paraId="6ADEF89F" w14:textId="77777777" w:rsidR="00DE5A03" w:rsidRPr="00DC41B7" w:rsidRDefault="00DE5A03">
            <w:pPr>
              <w:rPr>
                <w:rFonts w:cs="Arial"/>
                <w:sz w:val="16"/>
                <w:szCs w:val="16"/>
              </w:rPr>
            </w:pPr>
            <w:r w:rsidRPr="00DC41B7">
              <w:rPr>
                <w:rFonts w:cs="Arial"/>
                <w:sz w:val="16"/>
                <w:szCs w:val="16"/>
              </w:rPr>
              <w:t xml:space="preserve">Draft only, not formally issued </w:t>
            </w:r>
          </w:p>
        </w:tc>
        <w:tc>
          <w:tcPr>
            <w:tcW w:w="1843" w:type="dxa"/>
            <w:tcBorders>
              <w:top w:val="single" w:sz="4" w:space="0" w:color="auto"/>
              <w:left w:val="single" w:sz="4" w:space="0" w:color="auto"/>
              <w:bottom w:val="single" w:sz="4" w:space="0" w:color="auto"/>
              <w:right w:val="single" w:sz="4" w:space="0" w:color="auto"/>
            </w:tcBorders>
          </w:tcPr>
          <w:p w14:paraId="06F4E620" w14:textId="77777777" w:rsidR="00DE5A03" w:rsidRPr="0033268D" w:rsidRDefault="00DE5A03">
            <w:pPr>
              <w:rPr>
                <w:rFonts w:cs="Arial"/>
                <w:sz w:val="16"/>
                <w:szCs w:val="16"/>
              </w:rPr>
            </w:pPr>
            <w:r w:rsidRPr="00E233E2">
              <w:rPr>
                <w:rFonts w:cs="Arial"/>
                <w:sz w:val="16"/>
                <w:szCs w:val="16"/>
              </w:rPr>
              <w:t>Nov 2013</w:t>
            </w:r>
          </w:p>
        </w:tc>
      </w:tr>
      <w:tr w:rsidR="00DE5A03" w:rsidRPr="00D80AE2" w14:paraId="3BBE4157" w14:textId="77777777">
        <w:tc>
          <w:tcPr>
            <w:tcW w:w="1386" w:type="dxa"/>
            <w:tcBorders>
              <w:top w:val="single" w:sz="4" w:space="0" w:color="auto"/>
              <w:left w:val="single" w:sz="4" w:space="0" w:color="auto"/>
              <w:bottom w:val="single" w:sz="4" w:space="0" w:color="auto"/>
              <w:right w:val="single" w:sz="4" w:space="0" w:color="auto"/>
            </w:tcBorders>
            <w:hideMark/>
          </w:tcPr>
          <w:p w14:paraId="652EC934" w14:textId="77777777" w:rsidR="00DE5A03" w:rsidRPr="00DC41B7" w:rsidRDefault="00DE5A03">
            <w:pPr>
              <w:jc w:val="center"/>
              <w:rPr>
                <w:rFonts w:cs="Arial"/>
                <w:sz w:val="16"/>
                <w:szCs w:val="16"/>
              </w:rPr>
            </w:pPr>
            <w:r w:rsidRPr="00DC41B7">
              <w:rPr>
                <w:rFonts w:cs="Arial"/>
                <w:sz w:val="16"/>
                <w:szCs w:val="16"/>
              </w:rPr>
              <w:t>Edition 4</w:t>
            </w:r>
          </w:p>
        </w:tc>
        <w:tc>
          <w:tcPr>
            <w:tcW w:w="6864" w:type="dxa"/>
            <w:tcBorders>
              <w:top w:val="single" w:sz="4" w:space="0" w:color="auto"/>
              <w:left w:val="single" w:sz="4" w:space="0" w:color="auto"/>
              <w:bottom w:val="single" w:sz="4" w:space="0" w:color="auto"/>
              <w:right w:val="single" w:sz="4" w:space="0" w:color="auto"/>
            </w:tcBorders>
          </w:tcPr>
          <w:p w14:paraId="4EE9C980" w14:textId="77777777" w:rsidR="00DE5A03" w:rsidRPr="00DC41B7" w:rsidRDefault="00DE5A03">
            <w:pPr>
              <w:rPr>
                <w:rFonts w:cs="Arial"/>
                <w:sz w:val="16"/>
                <w:szCs w:val="16"/>
              </w:rPr>
            </w:pPr>
            <w:r>
              <w:rPr>
                <w:rFonts w:cs="Arial"/>
                <w:sz w:val="16"/>
                <w:szCs w:val="16"/>
              </w:rPr>
              <w:t>U</w:t>
            </w:r>
            <w:r w:rsidRPr="00DC41B7">
              <w:rPr>
                <w:rFonts w:cs="Arial"/>
                <w:sz w:val="16"/>
                <w:szCs w:val="16"/>
              </w:rPr>
              <w:t>pdated to add clarification of the QA support to the national procurement process for licensed medicines</w:t>
            </w:r>
          </w:p>
        </w:tc>
        <w:tc>
          <w:tcPr>
            <w:tcW w:w="1843" w:type="dxa"/>
            <w:tcBorders>
              <w:top w:val="single" w:sz="4" w:space="0" w:color="auto"/>
              <w:left w:val="single" w:sz="4" w:space="0" w:color="auto"/>
              <w:bottom w:val="single" w:sz="4" w:space="0" w:color="auto"/>
              <w:right w:val="single" w:sz="4" w:space="0" w:color="auto"/>
            </w:tcBorders>
          </w:tcPr>
          <w:p w14:paraId="79E405C5" w14:textId="77777777" w:rsidR="00DE5A03" w:rsidRPr="0033268D" w:rsidRDefault="00DE5A03">
            <w:pPr>
              <w:rPr>
                <w:rFonts w:cs="Arial"/>
                <w:sz w:val="16"/>
                <w:szCs w:val="16"/>
              </w:rPr>
            </w:pPr>
            <w:r w:rsidRPr="00E233E2">
              <w:rPr>
                <w:rFonts w:cs="Arial"/>
                <w:sz w:val="16"/>
                <w:szCs w:val="16"/>
              </w:rPr>
              <w:t>August 2017</w:t>
            </w:r>
          </w:p>
        </w:tc>
      </w:tr>
      <w:tr w:rsidR="00DE5A03" w:rsidRPr="00D80AE2" w14:paraId="4A5E1D33" w14:textId="77777777">
        <w:tc>
          <w:tcPr>
            <w:tcW w:w="1386" w:type="dxa"/>
            <w:tcBorders>
              <w:top w:val="single" w:sz="4" w:space="0" w:color="auto"/>
              <w:left w:val="single" w:sz="4" w:space="0" w:color="auto"/>
              <w:bottom w:val="single" w:sz="4" w:space="0" w:color="auto"/>
              <w:right w:val="single" w:sz="4" w:space="0" w:color="auto"/>
            </w:tcBorders>
          </w:tcPr>
          <w:p w14:paraId="0CDD7A4E" w14:textId="77777777" w:rsidR="00DE5A03" w:rsidRPr="00DC41B7" w:rsidRDefault="00DE5A03">
            <w:pPr>
              <w:jc w:val="center"/>
              <w:rPr>
                <w:rFonts w:cs="Arial"/>
                <w:sz w:val="16"/>
                <w:szCs w:val="16"/>
              </w:rPr>
            </w:pPr>
            <w:r w:rsidRPr="00DC41B7">
              <w:rPr>
                <w:rFonts w:cs="Arial"/>
                <w:sz w:val="16"/>
                <w:szCs w:val="16"/>
              </w:rPr>
              <w:t>Edition 5</w:t>
            </w:r>
          </w:p>
        </w:tc>
        <w:tc>
          <w:tcPr>
            <w:tcW w:w="6864" w:type="dxa"/>
            <w:tcBorders>
              <w:top w:val="single" w:sz="4" w:space="0" w:color="auto"/>
              <w:left w:val="single" w:sz="4" w:space="0" w:color="auto"/>
              <w:bottom w:val="single" w:sz="4" w:space="0" w:color="auto"/>
              <w:right w:val="single" w:sz="4" w:space="0" w:color="auto"/>
            </w:tcBorders>
          </w:tcPr>
          <w:p w14:paraId="27A9B1B1" w14:textId="77777777" w:rsidR="00DE5A03" w:rsidRPr="00DC41B7" w:rsidRDefault="00DE5A03">
            <w:pPr>
              <w:rPr>
                <w:rFonts w:cs="Arial"/>
                <w:sz w:val="16"/>
                <w:szCs w:val="16"/>
              </w:rPr>
            </w:pPr>
            <w:r w:rsidRPr="00DC41B7">
              <w:rPr>
                <w:rFonts w:cs="Arial"/>
                <w:sz w:val="16"/>
                <w:szCs w:val="16"/>
              </w:rPr>
              <w:t xml:space="preserve">Scope narrowed to detailing the policy for undertaking packaging and labelling for safety quality assessments for licensed medicines by SPS QA. </w:t>
            </w:r>
          </w:p>
        </w:tc>
        <w:tc>
          <w:tcPr>
            <w:tcW w:w="1843" w:type="dxa"/>
            <w:tcBorders>
              <w:top w:val="single" w:sz="4" w:space="0" w:color="auto"/>
              <w:left w:val="single" w:sz="4" w:space="0" w:color="auto"/>
              <w:bottom w:val="single" w:sz="4" w:space="0" w:color="auto"/>
              <w:right w:val="single" w:sz="4" w:space="0" w:color="auto"/>
            </w:tcBorders>
          </w:tcPr>
          <w:p w14:paraId="3412A559" w14:textId="77777777" w:rsidR="00DE5A03" w:rsidRPr="0033268D" w:rsidRDefault="00DE5A03">
            <w:pPr>
              <w:rPr>
                <w:rFonts w:cs="Arial"/>
                <w:sz w:val="16"/>
                <w:szCs w:val="16"/>
              </w:rPr>
            </w:pPr>
            <w:r w:rsidRPr="001E23AC">
              <w:rPr>
                <w:rFonts w:cs="Arial"/>
                <w:sz w:val="16"/>
                <w:szCs w:val="16"/>
              </w:rPr>
              <w:t>July 2022.</w:t>
            </w:r>
          </w:p>
        </w:tc>
      </w:tr>
      <w:tr w:rsidR="00DE5A03" w:rsidRPr="00D80AE2" w14:paraId="32B98124" w14:textId="77777777">
        <w:tc>
          <w:tcPr>
            <w:tcW w:w="1386" w:type="dxa"/>
            <w:tcBorders>
              <w:top w:val="single" w:sz="4" w:space="0" w:color="auto"/>
              <w:left w:val="single" w:sz="4" w:space="0" w:color="auto"/>
              <w:bottom w:val="single" w:sz="4" w:space="0" w:color="auto"/>
              <w:right w:val="single" w:sz="4" w:space="0" w:color="auto"/>
            </w:tcBorders>
          </w:tcPr>
          <w:p w14:paraId="17930D83" w14:textId="77777777" w:rsidR="00DE5A03" w:rsidRPr="00DC41B7" w:rsidRDefault="00DE5A03">
            <w:pPr>
              <w:jc w:val="center"/>
              <w:rPr>
                <w:rFonts w:cs="Arial"/>
                <w:sz w:val="16"/>
                <w:szCs w:val="16"/>
              </w:rPr>
            </w:pPr>
            <w:r>
              <w:rPr>
                <w:rFonts w:cs="Arial"/>
                <w:sz w:val="16"/>
                <w:szCs w:val="16"/>
              </w:rPr>
              <w:t>Edition 5.1</w:t>
            </w:r>
          </w:p>
        </w:tc>
        <w:tc>
          <w:tcPr>
            <w:tcW w:w="6864" w:type="dxa"/>
            <w:tcBorders>
              <w:top w:val="single" w:sz="4" w:space="0" w:color="auto"/>
              <w:left w:val="single" w:sz="4" w:space="0" w:color="auto"/>
              <w:bottom w:val="single" w:sz="4" w:space="0" w:color="auto"/>
              <w:right w:val="single" w:sz="4" w:space="0" w:color="auto"/>
            </w:tcBorders>
          </w:tcPr>
          <w:p w14:paraId="7F7A2836" w14:textId="77777777" w:rsidR="00DE5A03" w:rsidRPr="00DC41B7" w:rsidRDefault="00DE5A03">
            <w:pPr>
              <w:rPr>
                <w:rFonts w:cs="Arial"/>
                <w:sz w:val="16"/>
                <w:szCs w:val="16"/>
              </w:rPr>
            </w:pPr>
            <w:r>
              <w:rPr>
                <w:rFonts w:cs="Arial"/>
                <w:sz w:val="16"/>
                <w:szCs w:val="16"/>
              </w:rPr>
              <w:t xml:space="preserve">Added introduction and reference to </w:t>
            </w:r>
            <w:r w:rsidRPr="00244821">
              <w:rPr>
                <w:rFonts w:cs="Arial"/>
                <w:sz w:val="16"/>
                <w:szCs w:val="16"/>
              </w:rPr>
              <w:t>Design for patient safety: A guide to the graphic design of medication packaging (NPSA 0463A 2008)</w:t>
            </w:r>
          </w:p>
        </w:tc>
        <w:tc>
          <w:tcPr>
            <w:tcW w:w="1843" w:type="dxa"/>
            <w:tcBorders>
              <w:top w:val="single" w:sz="4" w:space="0" w:color="auto"/>
              <w:left w:val="single" w:sz="4" w:space="0" w:color="auto"/>
              <w:bottom w:val="single" w:sz="4" w:space="0" w:color="auto"/>
              <w:right w:val="single" w:sz="4" w:space="0" w:color="auto"/>
            </w:tcBorders>
          </w:tcPr>
          <w:p w14:paraId="0C65A6B7" w14:textId="77777777" w:rsidR="00DE5A03" w:rsidRPr="001E23AC" w:rsidRDefault="00DE5A03">
            <w:pPr>
              <w:rPr>
                <w:rFonts w:cs="Arial"/>
                <w:sz w:val="16"/>
                <w:szCs w:val="16"/>
              </w:rPr>
            </w:pPr>
            <w:r>
              <w:rPr>
                <w:rFonts w:cs="Arial"/>
                <w:sz w:val="16"/>
                <w:szCs w:val="16"/>
              </w:rPr>
              <w:t>September 2022</w:t>
            </w:r>
          </w:p>
        </w:tc>
      </w:tr>
      <w:tr w:rsidR="00DE5A03" w:rsidRPr="00D80AE2" w14:paraId="76EC052D" w14:textId="77777777">
        <w:tc>
          <w:tcPr>
            <w:tcW w:w="1386" w:type="dxa"/>
            <w:tcBorders>
              <w:top w:val="single" w:sz="4" w:space="0" w:color="auto"/>
              <w:left w:val="single" w:sz="4" w:space="0" w:color="auto"/>
              <w:bottom w:val="single" w:sz="4" w:space="0" w:color="auto"/>
              <w:right w:val="single" w:sz="4" w:space="0" w:color="auto"/>
            </w:tcBorders>
          </w:tcPr>
          <w:p w14:paraId="119C0092" w14:textId="77777777" w:rsidR="00DE5A03" w:rsidRDefault="00DE5A03">
            <w:pPr>
              <w:jc w:val="center"/>
              <w:rPr>
                <w:rFonts w:cs="Arial"/>
                <w:sz w:val="16"/>
                <w:szCs w:val="16"/>
              </w:rPr>
            </w:pPr>
            <w:r>
              <w:rPr>
                <w:rFonts w:cs="Arial"/>
                <w:sz w:val="16"/>
                <w:szCs w:val="16"/>
              </w:rPr>
              <w:t>Edition 6</w:t>
            </w:r>
          </w:p>
        </w:tc>
        <w:tc>
          <w:tcPr>
            <w:tcW w:w="6864" w:type="dxa"/>
            <w:tcBorders>
              <w:top w:val="single" w:sz="4" w:space="0" w:color="auto"/>
              <w:left w:val="single" w:sz="4" w:space="0" w:color="auto"/>
              <w:bottom w:val="single" w:sz="4" w:space="0" w:color="auto"/>
              <w:right w:val="single" w:sz="4" w:space="0" w:color="auto"/>
            </w:tcBorders>
          </w:tcPr>
          <w:p w14:paraId="28CEA740" w14:textId="77777777" w:rsidR="00DE5A03" w:rsidRDefault="00DE5A03">
            <w:pPr>
              <w:rPr>
                <w:rFonts w:cs="Arial"/>
                <w:sz w:val="16"/>
                <w:szCs w:val="16"/>
              </w:rPr>
            </w:pPr>
            <w:r>
              <w:rPr>
                <w:rFonts w:cs="Arial"/>
                <w:sz w:val="16"/>
                <w:szCs w:val="16"/>
              </w:rPr>
              <w:t>Clarification of purpose and scope of assessments and revised fixed gateway criteria and scoring</w:t>
            </w:r>
          </w:p>
        </w:tc>
        <w:tc>
          <w:tcPr>
            <w:tcW w:w="1843" w:type="dxa"/>
            <w:tcBorders>
              <w:top w:val="single" w:sz="4" w:space="0" w:color="auto"/>
              <w:left w:val="single" w:sz="4" w:space="0" w:color="auto"/>
              <w:bottom w:val="single" w:sz="4" w:space="0" w:color="auto"/>
              <w:right w:val="single" w:sz="4" w:space="0" w:color="auto"/>
            </w:tcBorders>
          </w:tcPr>
          <w:p w14:paraId="1AF2FD4C" w14:textId="72588C2A" w:rsidR="00DE5A03" w:rsidRDefault="004A3151">
            <w:pPr>
              <w:rPr>
                <w:rFonts w:cs="Arial"/>
                <w:sz w:val="16"/>
                <w:szCs w:val="16"/>
              </w:rPr>
            </w:pPr>
            <w:r>
              <w:rPr>
                <w:rFonts w:cs="Arial"/>
                <w:sz w:val="16"/>
                <w:szCs w:val="16"/>
              </w:rPr>
              <w:t xml:space="preserve">October </w:t>
            </w:r>
            <w:r w:rsidR="00DE5A03">
              <w:rPr>
                <w:rFonts w:cs="Arial"/>
                <w:sz w:val="16"/>
                <w:szCs w:val="16"/>
              </w:rPr>
              <w:t>2023</w:t>
            </w:r>
          </w:p>
        </w:tc>
      </w:tr>
    </w:tbl>
    <w:p w14:paraId="0795A70B" w14:textId="77777777" w:rsidR="00DE5A03" w:rsidRDefault="00DE5A03" w:rsidP="00DE5A03">
      <w:pPr>
        <w:pStyle w:val="ListParagraph"/>
        <w:ind w:left="360"/>
        <w:rPr>
          <w:b/>
          <w:sz w:val="22"/>
          <w:szCs w:val="22"/>
        </w:rPr>
      </w:pPr>
    </w:p>
    <w:p w14:paraId="0905C9EA" w14:textId="77777777" w:rsidR="00DE5A03" w:rsidRDefault="00DE5A03" w:rsidP="00DE5A03">
      <w:pPr>
        <w:pStyle w:val="ListParagraph"/>
        <w:ind w:left="360"/>
        <w:rPr>
          <w:b/>
          <w:sz w:val="22"/>
          <w:szCs w:val="22"/>
        </w:rPr>
        <w:sectPr w:rsidR="00DE5A03" w:rsidSect="0044066B">
          <w:headerReference w:type="default" r:id="rId19"/>
          <w:footerReference w:type="even" r:id="rId20"/>
          <w:footerReference w:type="default" r:id="rId21"/>
          <w:pgSz w:w="11900" w:h="16840"/>
          <w:pgMar w:top="567" w:right="567" w:bottom="567" w:left="567" w:header="284" w:footer="320" w:gutter="0"/>
          <w:cols w:space="708"/>
          <w:docGrid w:linePitch="360"/>
        </w:sectPr>
      </w:pPr>
    </w:p>
    <w:p w14:paraId="7B0BFA87" w14:textId="17027BC0" w:rsidR="00DE5A03" w:rsidRPr="00656E9E" w:rsidRDefault="00656E9E" w:rsidP="00321327">
      <w:pPr>
        <w:pStyle w:val="Heading1"/>
        <w:spacing w:before="0"/>
      </w:pPr>
      <w:r>
        <w:lastRenderedPageBreak/>
        <w:t>Appen</w:t>
      </w:r>
      <w:r w:rsidR="00DE5A03" w:rsidRPr="00656E9E">
        <w:t>dix 1</w:t>
      </w:r>
      <w:r w:rsidR="00C716CA" w:rsidRPr="00656E9E">
        <w:t xml:space="preserve"> – Fixed Gateway Criteria</w:t>
      </w:r>
    </w:p>
    <w:p w14:paraId="7B8FA856" w14:textId="77777777" w:rsidR="00E75F10" w:rsidRPr="00D80AE2" w:rsidRDefault="00E75F10" w:rsidP="00E75F10">
      <w:pPr>
        <w:pStyle w:val="ListParagraph"/>
        <w:rPr>
          <w:sz w:val="22"/>
          <w:szCs w:val="22"/>
        </w:rPr>
      </w:pPr>
    </w:p>
    <w:tbl>
      <w:tblPr>
        <w:tblW w:w="1573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6"/>
        <w:gridCol w:w="1417"/>
        <w:gridCol w:w="4678"/>
        <w:gridCol w:w="4819"/>
        <w:gridCol w:w="4395"/>
      </w:tblGrid>
      <w:tr w:rsidR="002A386A" w:rsidRPr="004926D1" w14:paraId="2CAEDF30" w14:textId="77777777" w:rsidTr="00BE7D7F">
        <w:trPr>
          <w:trHeight w:val="630"/>
        </w:trPr>
        <w:tc>
          <w:tcPr>
            <w:tcW w:w="426" w:type="dxa"/>
            <w:tcBorders>
              <w:top w:val="single" w:sz="6" w:space="0" w:color="auto"/>
              <w:left w:val="single" w:sz="6" w:space="0" w:color="auto"/>
              <w:bottom w:val="single" w:sz="6" w:space="0" w:color="auto"/>
              <w:right w:val="single" w:sz="6" w:space="0" w:color="auto"/>
            </w:tcBorders>
            <w:shd w:val="clear" w:color="auto" w:fill="BFBFBF"/>
            <w:hideMark/>
          </w:tcPr>
          <w:p w14:paraId="18E90E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Ref No.</w:t>
            </w:r>
            <w:r w:rsidRPr="004926D1">
              <w:rPr>
                <w:rFonts w:ascii="Calibri" w:eastAsia="Times New Roman" w:hAnsi="Calibri" w:cs="Calibri"/>
                <w:sz w:val="16"/>
                <w:szCs w:val="16"/>
                <w:lang w:eastAsia="en-GB"/>
              </w:rPr>
              <w:t> </w:t>
            </w:r>
          </w:p>
        </w:tc>
        <w:tc>
          <w:tcPr>
            <w:tcW w:w="1417" w:type="dxa"/>
            <w:tcBorders>
              <w:top w:val="single" w:sz="6" w:space="0" w:color="auto"/>
              <w:left w:val="single" w:sz="6" w:space="0" w:color="auto"/>
              <w:bottom w:val="single" w:sz="6" w:space="0" w:color="auto"/>
              <w:right w:val="single" w:sz="6" w:space="0" w:color="auto"/>
            </w:tcBorders>
            <w:shd w:val="clear" w:color="auto" w:fill="BFBFBF"/>
            <w:hideMark/>
          </w:tcPr>
          <w:p w14:paraId="3FF0E1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Applicable to</w:t>
            </w:r>
            <w:r w:rsidRPr="004926D1">
              <w:rPr>
                <w:rFonts w:ascii="Calibri" w:eastAsia="Times New Roman" w:hAnsi="Calibri" w:cs="Calibri"/>
                <w:sz w:val="16"/>
                <w:szCs w:val="16"/>
                <w:lang w:eastAsia="en-GB"/>
              </w:rPr>
              <w:t> </w:t>
            </w:r>
          </w:p>
        </w:tc>
        <w:tc>
          <w:tcPr>
            <w:tcW w:w="4678" w:type="dxa"/>
            <w:tcBorders>
              <w:top w:val="single" w:sz="6" w:space="0" w:color="auto"/>
              <w:left w:val="single" w:sz="6" w:space="0" w:color="auto"/>
              <w:bottom w:val="single" w:sz="6" w:space="0" w:color="auto"/>
              <w:right w:val="single" w:sz="6" w:space="0" w:color="auto"/>
            </w:tcBorders>
            <w:shd w:val="clear" w:color="auto" w:fill="BFBFBF"/>
            <w:hideMark/>
          </w:tcPr>
          <w:p w14:paraId="171A9E3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 xml:space="preserve">Criteria </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N.B "Packaging" is defined as "all primary and secondary packaging, and any printed overwraps"</w:t>
            </w:r>
            <w:r w:rsidRPr="004926D1">
              <w:rPr>
                <w:rFonts w:ascii="Calibri" w:eastAsia="Times New Roman" w:hAnsi="Calibri" w:cs="Calibri"/>
                <w:b/>
                <w:bCs/>
                <w:sz w:val="16"/>
                <w:szCs w:val="16"/>
                <w:lang w:eastAsia="en-GB"/>
              </w:rPr>
              <w:t> </w:t>
            </w:r>
            <w:r w:rsidRPr="004926D1">
              <w:rPr>
                <w:rFonts w:ascii="Calibri" w:eastAsia="Times New Roman" w:hAnsi="Calibri" w:cs="Calibri"/>
                <w:sz w:val="16"/>
                <w:szCs w:val="16"/>
                <w:lang w:eastAsia="en-GB"/>
              </w:rPr>
              <w:t> </w:t>
            </w:r>
          </w:p>
        </w:tc>
        <w:tc>
          <w:tcPr>
            <w:tcW w:w="4819" w:type="dxa"/>
            <w:tcBorders>
              <w:top w:val="single" w:sz="6" w:space="0" w:color="auto"/>
              <w:left w:val="single" w:sz="6" w:space="0" w:color="auto"/>
              <w:bottom w:val="single" w:sz="6" w:space="0" w:color="auto"/>
              <w:right w:val="single" w:sz="6" w:space="0" w:color="auto"/>
            </w:tcBorders>
            <w:shd w:val="clear" w:color="auto" w:fill="BFBFBF"/>
            <w:hideMark/>
          </w:tcPr>
          <w:p w14:paraId="7333C49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A Critical (Fail) score will be given if…</w:t>
            </w:r>
            <w:r w:rsidRPr="004926D1">
              <w:rPr>
                <w:rFonts w:ascii="Calibri" w:eastAsia="Times New Roman" w:hAnsi="Calibri" w:cs="Calibri"/>
                <w:sz w:val="16"/>
                <w:szCs w:val="16"/>
                <w:lang w:eastAsia="en-GB"/>
              </w:rPr>
              <w:t> </w:t>
            </w:r>
            <w:r w:rsidRPr="004926D1">
              <w:rPr>
                <w:rFonts w:ascii="Calibri" w:eastAsia="Times New Roman" w:hAnsi="Calibri" w:cs="Calibri"/>
                <w:sz w:val="16"/>
                <w:szCs w:val="16"/>
                <w:lang w:eastAsia="en-GB"/>
              </w:rPr>
              <w:br/>
              <w:t>Refer also to exceptions, and examples, if given. </w:t>
            </w:r>
          </w:p>
        </w:tc>
        <w:tc>
          <w:tcPr>
            <w:tcW w:w="4395" w:type="dxa"/>
            <w:tcBorders>
              <w:top w:val="single" w:sz="6" w:space="0" w:color="auto"/>
              <w:left w:val="single" w:sz="6" w:space="0" w:color="auto"/>
              <w:bottom w:val="single" w:sz="6" w:space="0" w:color="auto"/>
              <w:right w:val="single" w:sz="6" w:space="0" w:color="auto"/>
            </w:tcBorders>
            <w:shd w:val="clear" w:color="auto" w:fill="BFBFBF"/>
            <w:hideMark/>
          </w:tcPr>
          <w:p w14:paraId="2409F2A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b/>
                <w:bCs/>
                <w:sz w:val="16"/>
                <w:szCs w:val="16"/>
                <w:lang w:eastAsia="en-GB"/>
              </w:rPr>
              <w:t>Exceptions</w:t>
            </w:r>
            <w:r w:rsidRPr="004926D1">
              <w:rPr>
                <w:rFonts w:ascii="Calibri" w:eastAsia="Times New Roman" w:hAnsi="Calibri" w:cs="Calibri"/>
                <w:sz w:val="16"/>
                <w:szCs w:val="16"/>
                <w:lang w:eastAsia="en-GB"/>
              </w:rPr>
              <w:t> </w:t>
            </w:r>
          </w:p>
        </w:tc>
      </w:tr>
      <w:tr w:rsidR="004926D1" w:rsidRPr="004926D1" w14:paraId="0D579993" w14:textId="77777777" w:rsidTr="00BE7D7F">
        <w:trPr>
          <w:trHeight w:val="284"/>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BB50B3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7B7BB0C4"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5339381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packaging must be labelled in English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2A22A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English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4C81098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Multi-language packaging provided one language is English. </w:t>
            </w:r>
          </w:p>
        </w:tc>
      </w:tr>
      <w:tr w:rsidR="004926D1" w:rsidRPr="004926D1" w14:paraId="59480C91" w14:textId="77777777" w:rsidTr="00BE7D7F">
        <w:trPr>
          <w:trHeight w:val="473"/>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74AB56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2 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C2F906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77C2D97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critical information (name, form, strength, route of administration) must be present on all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91C95C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Critical information is absent from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8AB9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Route labelling is not required on blister packaging for tablets and capsules to be administered orally </w:t>
            </w:r>
          </w:p>
        </w:tc>
      </w:tr>
      <w:tr w:rsidR="004926D1" w:rsidRPr="004926D1" w14:paraId="00E70271" w14:textId="77777777" w:rsidTr="00BE7D7F">
        <w:trPr>
          <w:trHeight w:val="8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C17050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3 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A29663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1422E8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the proprietary name of the medicine appears the generic name (or, where applicable, the co-name) must be present on the same face of the packaging. </w:t>
            </w:r>
          </w:p>
          <w:p w14:paraId="6300E5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t>
            </w:r>
          </w:p>
          <w:p w14:paraId="347A49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NB: For the purposes of this policy, the generic name is defined as the NPCode name.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265370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generic name (or, where applicable, the co-name) is absent from, or incomplete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FFD3BA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FA0CBCE" w14:textId="77777777" w:rsidTr="00BE7D7F">
        <w:trPr>
          <w:trHeight w:val="30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9554B1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4 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182DB6D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CC88D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may only be used in addition to full generic names.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3DA94F3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Chemical symbols are used instead of full generic names.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3506E3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5178B9AE" w14:textId="77777777" w:rsidTr="00BE7D7F">
        <w:trPr>
          <w:trHeight w:val="8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36B794E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5 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3BD8071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69948E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it must be clear which is related to the dose.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31AE91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strength is not expressed according to the generic name.  </w:t>
            </w:r>
            <w:r w:rsidRPr="004926D1">
              <w:rPr>
                <w:rFonts w:ascii="Calibri" w:eastAsia="Times New Roman" w:hAnsi="Calibri" w:cs="Calibri"/>
                <w:sz w:val="16"/>
                <w:szCs w:val="16"/>
                <w:lang w:eastAsia="en-GB"/>
              </w:rPr>
              <w:br/>
            </w:r>
            <w:r w:rsidRPr="004926D1">
              <w:rPr>
                <w:rFonts w:eastAsia="Times New Roman" w:cs="Arial"/>
                <w:sz w:val="16"/>
                <w:szCs w:val="16"/>
                <w:lang w:eastAsia="en-GB"/>
              </w:rPr>
              <w:t> </w:t>
            </w:r>
            <w:r w:rsidRPr="004926D1">
              <w:rPr>
                <w:rFonts w:eastAsia="Times New Roman" w:cs="Arial"/>
                <w:sz w:val="16"/>
                <w:szCs w:val="16"/>
                <w:lang w:eastAsia="en-GB"/>
              </w:rPr>
              <w:br/>
            </w:r>
            <w:r w:rsidRPr="004926D1">
              <w:rPr>
                <w:rFonts w:ascii="Calibri" w:eastAsia="Times New Roman" w:hAnsi="Calibri" w:cs="Calibri"/>
                <w:sz w:val="16"/>
                <w:szCs w:val="16"/>
                <w:lang w:eastAsia="en-GB"/>
              </w:rPr>
              <w:t>If both the salt and base are included on the packaging, there is ambiguity about which is related to the dose.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3A6BB7D8"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068C4299" w14:textId="77777777" w:rsidTr="00BE7D7F">
        <w:trPr>
          <w:trHeight w:val="1035"/>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1F781B6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6 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DBF49E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Injectable medicines in liquid form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E8311D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Wherever strength is expressed on the packaging the total quantity per total volume appears on the same face.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554F2BC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total quantity per total volume is not expressed on the same face of the packaging wherever the strength is expressed.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9507678"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For multi-dose containers e.g. insulin </w:t>
            </w:r>
          </w:p>
          <w:p w14:paraId="7EDDC45D"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total volume is 1mL </w:t>
            </w:r>
          </w:p>
          <w:p w14:paraId="1CC31DC5"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Where the strength is expressed as a ratio or %, where the total volume is also clearly stated. </w:t>
            </w:r>
          </w:p>
          <w:p w14:paraId="0459DD52" w14:textId="77777777" w:rsidR="004926D1" w:rsidRPr="004926D1" w:rsidRDefault="004926D1" w:rsidP="004926D1">
            <w:pPr>
              <w:ind w:left="75" w:hanging="75"/>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 Prefilled syringes where the total volume is to be administered </w:t>
            </w:r>
          </w:p>
        </w:tc>
      </w:tr>
      <w:tr w:rsidR="004926D1" w:rsidRPr="004926D1" w14:paraId="6AF85D64" w14:textId="77777777" w:rsidTr="00BE7D7F">
        <w:trPr>
          <w:trHeight w:val="359"/>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4DE396B6"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7 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2F19A7A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64060F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are expressed using units of measurement.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D5CF21"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 is expressed without units of measurement.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1B7823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Strengths expressed as % and ratios.  </w:t>
            </w:r>
          </w:p>
        </w:tc>
      </w:tr>
      <w:tr w:rsidR="004926D1" w:rsidRPr="004926D1" w14:paraId="27813D46"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5523B39F"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8 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5AEC2F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2C7B30CA"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and nanograms are spelled out in full, and the symbol μ is never used.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0D0B76C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Micrograms is abbreviated to mcg or μg, or nanograms is abbreviated to 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BD9398B"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 abbreviation mcg may be used if necessary for space reasons on small primary packaging labels, provided it is expressed in full on secondary packaging </w:t>
            </w:r>
          </w:p>
        </w:tc>
      </w:tr>
      <w:tr w:rsidR="004926D1" w:rsidRPr="004926D1" w14:paraId="0EAC4D55" w14:textId="77777777" w:rsidTr="00BE7D7F">
        <w:trPr>
          <w:trHeight w:val="652"/>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24186D9D"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9 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831E8F0"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0DC2354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only used where necessary to express fractions of whole units.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6E82A27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There are trailing zeros (zeros after the decimal point).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249F4F2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Trailing zeros within text, and where they are unlikely to be mistakenly used for calculations, may be acceptable but should be avoided.  </w:t>
            </w:r>
          </w:p>
        </w:tc>
      </w:tr>
      <w:tr w:rsidR="004926D1" w:rsidRPr="004926D1" w14:paraId="0F985112" w14:textId="77777777" w:rsidTr="00BE7D7F">
        <w:trPr>
          <w:trHeight w:val="39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031F7845"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10 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69559FF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4E7C492"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Decimal points are always shown as "full stops".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1A6CD1BC"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Commas are used instead of decimal points.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5BB6D1B7" w14:textId="0D5C875E"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4926D1" w:rsidRPr="004926D1" w14:paraId="3C2AA893"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hideMark/>
          </w:tcPr>
          <w:p w14:paraId="616ACF1E"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11 </w:t>
            </w:r>
          </w:p>
        </w:tc>
        <w:tc>
          <w:tcPr>
            <w:tcW w:w="1417" w:type="dxa"/>
            <w:tcBorders>
              <w:top w:val="single" w:sz="6" w:space="0" w:color="auto"/>
              <w:left w:val="single" w:sz="6" w:space="0" w:color="auto"/>
              <w:bottom w:val="single" w:sz="6" w:space="0" w:color="auto"/>
              <w:right w:val="single" w:sz="6" w:space="0" w:color="auto"/>
            </w:tcBorders>
            <w:shd w:val="clear" w:color="auto" w:fill="auto"/>
            <w:hideMark/>
          </w:tcPr>
          <w:p w14:paraId="599898D9"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All </w:t>
            </w:r>
          </w:p>
        </w:tc>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4E2CACB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Only positive statements about injectable routes and methods of administration may appear on the packaging. </w:t>
            </w:r>
          </w:p>
        </w:tc>
        <w:tc>
          <w:tcPr>
            <w:tcW w:w="4819" w:type="dxa"/>
            <w:tcBorders>
              <w:top w:val="single" w:sz="6" w:space="0" w:color="auto"/>
              <w:left w:val="single" w:sz="6" w:space="0" w:color="auto"/>
              <w:bottom w:val="single" w:sz="6" w:space="0" w:color="auto"/>
              <w:right w:val="single" w:sz="6" w:space="0" w:color="auto"/>
            </w:tcBorders>
            <w:shd w:val="clear" w:color="auto" w:fill="auto"/>
            <w:hideMark/>
          </w:tcPr>
          <w:p w14:paraId="22EA3023"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Negative statements about injectable routes or methods of administration appear on the packaging. </w:t>
            </w:r>
          </w:p>
        </w:tc>
        <w:tc>
          <w:tcPr>
            <w:tcW w:w="4395" w:type="dxa"/>
            <w:tcBorders>
              <w:top w:val="single" w:sz="6" w:space="0" w:color="auto"/>
              <w:left w:val="single" w:sz="6" w:space="0" w:color="auto"/>
              <w:bottom w:val="single" w:sz="6" w:space="0" w:color="auto"/>
              <w:right w:val="single" w:sz="6" w:space="0" w:color="auto"/>
            </w:tcBorders>
            <w:shd w:val="clear" w:color="auto" w:fill="auto"/>
            <w:hideMark/>
          </w:tcPr>
          <w:p w14:paraId="0D4571C7" w14:textId="77777777" w:rsidR="004926D1" w:rsidRPr="004926D1" w:rsidRDefault="004926D1" w:rsidP="004926D1">
            <w:pPr>
              <w:textAlignment w:val="baseline"/>
              <w:rPr>
                <w:rFonts w:ascii="Segoe UI" w:eastAsia="Times New Roman" w:hAnsi="Segoe UI" w:cs="Segoe UI"/>
                <w:sz w:val="18"/>
                <w:szCs w:val="18"/>
                <w:lang w:eastAsia="en-GB"/>
              </w:rPr>
            </w:pPr>
            <w:r w:rsidRPr="004926D1">
              <w:rPr>
                <w:rFonts w:ascii="Calibri" w:eastAsia="Times New Roman" w:hAnsi="Calibri" w:cs="Calibri"/>
                <w:sz w:val="16"/>
                <w:szCs w:val="16"/>
                <w:lang w:eastAsia="en-GB"/>
              </w:rPr>
              <w:t>None </w:t>
            </w:r>
          </w:p>
        </w:tc>
      </w:tr>
      <w:tr w:rsidR="00A76F71" w:rsidRPr="004926D1" w14:paraId="16E46178" w14:textId="77777777" w:rsidTr="00BE7D7F">
        <w:trPr>
          <w:trHeight w:val="440"/>
        </w:trPr>
        <w:tc>
          <w:tcPr>
            <w:tcW w:w="426" w:type="dxa"/>
            <w:tcBorders>
              <w:top w:val="single" w:sz="6" w:space="0" w:color="auto"/>
              <w:left w:val="single" w:sz="6" w:space="0" w:color="auto"/>
              <w:bottom w:val="single" w:sz="6" w:space="0" w:color="auto"/>
              <w:right w:val="single" w:sz="6" w:space="0" w:color="auto"/>
            </w:tcBorders>
            <w:shd w:val="clear" w:color="auto" w:fill="auto"/>
          </w:tcPr>
          <w:p w14:paraId="5D17A666" w14:textId="683F8AE3" w:rsidR="00A76F71" w:rsidRPr="004926D1" w:rsidRDefault="00A76F71"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12</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EAFFDBF" w14:textId="77777777" w:rsidR="00EB06EC"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Products listed in </w:t>
            </w:r>
          </w:p>
          <w:p w14:paraId="6F578978" w14:textId="43C9C5A4" w:rsidR="00A76F71" w:rsidRPr="004926D1" w:rsidRDefault="001255B9"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Doc 4b</w:t>
            </w:r>
            <w:r w:rsidR="00FA5956">
              <w:rPr>
                <w:rFonts w:ascii="Calibri" w:eastAsia="Times New Roman" w:hAnsi="Calibri" w:cs="Calibri"/>
                <w:sz w:val="16"/>
                <w:szCs w:val="16"/>
                <w:lang w:eastAsia="en-GB"/>
              </w:rPr>
              <w:t xml:space="preserve">, </w:t>
            </w:r>
            <w:r w:rsidR="001439DA">
              <w:rPr>
                <w:rFonts w:ascii="Calibri" w:eastAsia="Times New Roman" w:hAnsi="Calibri" w:cs="Calibri"/>
                <w:sz w:val="16"/>
                <w:szCs w:val="16"/>
                <w:lang w:eastAsia="en-GB"/>
              </w:rPr>
              <w:t>Section 7</w:t>
            </w:r>
          </w:p>
        </w:tc>
        <w:tc>
          <w:tcPr>
            <w:tcW w:w="4678" w:type="dxa"/>
            <w:tcBorders>
              <w:top w:val="single" w:sz="6" w:space="0" w:color="auto"/>
              <w:left w:val="single" w:sz="6" w:space="0" w:color="auto"/>
              <w:bottom w:val="single" w:sz="6" w:space="0" w:color="auto"/>
              <w:right w:val="single" w:sz="6" w:space="0" w:color="auto"/>
            </w:tcBorders>
            <w:shd w:val="clear" w:color="auto" w:fill="auto"/>
          </w:tcPr>
          <w:p w14:paraId="0C41A873" w14:textId="0743813F" w:rsidR="00A76F71" w:rsidRPr="004926D1" w:rsidRDefault="004746DD"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container must not be overlabelled </w:t>
            </w:r>
          </w:p>
        </w:tc>
        <w:tc>
          <w:tcPr>
            <w:tcW w:w="4819" w:type="dxa"/>
            <w:tcBorders>
              <w:top w:val="single" w:sz="6" w:space="0" w:color="auto"/>
              <w:left w:val="single" w:sz="6" w:space="0" w:color="auto"/>
              <w:bottom w:val="single" w:sz="6" w:space="0" w:color="auto"/>
              <w:right w:val="single" w:sz="6" w:space="0" w:color="auto"/>
            </w:tcBorders>
            <w:shd w:val="clear" w:color="auto" w:fill="auto"/>
          </w:tcPr>
          <w:p w14:paraId="4DE7EDF6" w14:textId="1B937979"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 xml:space="preserve">Primary </w:t>
            </w:r>
            <w:r w:rsidR="004746DD">
              <w:rPr>
                <w:rFonts w:ascii="Calibri" w:eastAsia="Times New Roman" w:hAnsi="Calibri" w:cs="Calibri"/>
                <w:sz w:val="16"/>
                <w:szCs w:val="16"/>
                <w:lang w:eastAsia="en-GB"/>
              </w:rPr>
              <w:t>container</w:t>
            </w:r>
            <w:r>
              <w:rPr>
                <w:rFonts w:ascii="Calibri" w:eastAsia="Times New Roman" w:hAnsi="Calibri" w:cs="Calibri"/>
                <w:sz w:val="16"/>
                <w:szCs w:val="16"/>
                <w:lang w:eastAsia="en-GB"/>
              </w:rPr>
              <w:t xml:space="preserve"> is overlabelled </w:t>
            </w:r>
          </w:p>
        </w:tc>
        <w:tc>
          <w:tcPr>
            <w:tcW w:w="4395" w:type="dxa"/>
            <w:tcBorders>
              <w:top w:val="single" w:sz="6" w:space="0" w:color="auto"/>
              <w:left w:val="single" w:sz="6" w:space="0" w:color="auto"/>
              <w:bottom w:val="single" w:sz="6" w:space="0" w:color="auto"/>
              <w:right w:val="single" w:sz="6" w:space="0" w:color="auto"/>
            </w:tcBorders>
            <w:shd w:val="clear" w:color="auto" w:fill="auto"/>
          </w:tcPr>
          <w:p w14:paraId="55A0DA52" w14:textId="6BEEA2E0" w:rsidR="00A76F71" w:rsidRPr="004926D1" w:rsidRDefault="003F32B0" w:rsidP="004926D1">
            <w:pPr>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None</w:t>
            </w:r>
          </w:p>
        </w:tc>
      </w:tr>
    </w:tbl>
    <w:p w14:paraId="05CFD2A0" w14:textId="3CE0E057" w:rsidR="00E008D4" w:rsidRPr="00D918BC" w:rsidRDefault="00E008D4" w:rsidP="002A386A">
      <w:pPr>
        <w:spacing w:before="240"/>
        <w:rPr>
          <w:sz w:val="2"/>
          <w:szCs w:val="2"/>
        </w:rPr>
      </w:pPr>
    </w:p>
    <w:sectPr w:rsidR="00E008D4" w:rsidRPr="00D918BC" w:rsidSect="004C548B">
      <w:headerReference w:type="default" r:id="rId22"/>
      <w:footerReference w:type="default" r:id="rId23"/>
      <w:pgSz w:w="16840" w:h="11900" w:orient="landscape"/>
      <w:pgMar w:top="567" w:right="567" w:bottom="567" w:left="567" w:header="284"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06038" w14:textId="77777777" w:rsidR="003722DB" w:rsidRDefault="003722DB" w:rsidP="00F81309">
      <w:r>
        <w:separator/>
      </w:r>
    </w:p>
  </w:endnote>
  <w:endnote w:type="continuationSeparator" w:id="0">
    <w:p w14:paraId="6EC17517" w14:textId="77777777" w:rsidR="003722DB" w:rsidRDefault="003722DB" w:rsidP="00F81309">
      <w:r>
        <w:continuationSeparator/>
      </w:r>
    </w:p>
  </w:endnote>
  <w:endnote w:type="continuationNotice" w:id="1">
    <w:p w14:paraId="75B2223E" w14:textId="77777777" w:rsidR="003722DB" w:rsidRDefault="00372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4207" w14:textId="77777777" w:rsidR="00562AAF" w:rsidRDefault="00562AAF" w:rsidP="005D1E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81DDD6" w14:textId="77777777" w:rsidR="00562AAF" w:rsidRDefault="00562AAF" w:rsidP="00495B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A038A" w14:textId="77777777" w:rsidR="00562AAF" w:rsidRPr="00495BCF" w:rsidRDefault="00562AAF" w:rsidP="00F14C92">
    <w:pPr>
      <w:pStyle w:val="Footer"/>
      <w:framePr w:w="294" w:wrap="around" w:vAnchor="text" w:hAnchor="page" w:x="11188" w:y="381"/>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sidR="00F25F54">
      <w:rPr>
        <w:rStyle w:val="PageNumber"/>
        <w:noProof/>
        <w:color w:val="009D00"/>
      </w:rPr>
      <w:t>1</w:t>
    </w:r>
    <w:r w:rsidRPr="00495BCF">
      <w:rPr>
        <w:rStyle w:val="PageNumber"/>
        <w:color w:val="009D00"/>
      </w:rPr>
      <w:fldChar w:fldCharType="end"/>
    </w:r>
  </w:p>
  <w:p w14:paraId="5FA6869E" w14:textId="79856AB2" w:rsidR="00562AAF" w:rsidRPr="00634822" w:rsidRDefault="00562AAF"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6704" behindDoc="0" locked="0" layoutInCell="1" allowOverlap="1" wp14:anchorId="23C9ECCE" wp14:editId="148E5642">
              <wp:simplePos x="0" y="0"/>
              <wp:positionH relativeFrom="column">
                <wp:posOffset>-114300</wp:posOffset>
              </wp:positionH>
              <wp:positionV relativeFrom="paragraph">
                <wp:posOffset>131445</wp:posOffset>
              </wp:positionV>
              <wp:extent cx="7086600" cy="19686"/>
              <wp:effectExtent l="0" t="0" r="25400" b="31115"/>
              <wp:wrapNone/>
              <wp:docPr id="2" name="Straight Connector 2"/>
              <wp:cNvGraphicFramePr/>
              <a:graphic xmlns:a="http://schemas.openxmlformats.org/drawingml/2006/main">
                <a:graphicData uri="http://schemas.microsoft.com/office/word/2010/wordprocessingShape">
                  <wps:wsp>
                    <wps:cNvCnPr/>
                    <wps:spPr>
                      <a:xfrm flipV="1">
                        <a:off x="0" y="0"/>
                        <a:ext cx="7086600" cy="19686"/>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63C3E" id="Straight Connector 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35pt" to="5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00634822" w:rsidRPr="00634822">
      <w:rPr>
        <w:rFonts w:cs="Arial"/>
        <w:b/>
        <w:color w:val="009D00"/>
        <w:sz w:val="13"/>
        <w:szCs w:val="13"/>
      </w:rPr>
      <w:t xml:space="preserve">Quality Assurance Policy to support the National Contract Procurement of Licensed Medicines - Edition </w:t>
    </w:r>
    <w:r w:rsidR="00AA6B8C">
      <w:rPr>
        <w:rFonts w:cs="Arial"/>
        <w:b/>
        <w:color w:val="009D00"/>
        <w:sz w:val="13"/>
        <w:szCs w:val="13"/>
      </w:rPr>
      <w:t>6</w:t>
    </w:r>
    <w:r w:rsidR="00634822" w:rsidRPr="00634822">
      <w:rPr>
        <w:rFonts w:cs="Arial"/>
        <w:b/>
        <w:color w:val="009D00"/>
        <w:sz w:val="13"/>
        <w:szCs w:val="13"/>
      </w:rPr>
      <w:t xml:space="preserve"> - </w:t>
    </w:r>
    <w:r w:rsidR="00385237">
      <w:rPr>
        <w:rFonts w:cs="Arial"/>
        <w:b/>
        <w:color w:val="009D00"/>
        <w:sz w:val="13"/>
        <w:szCs w:val="13"/>
      </w:rPr>
      <w:t>October</w:t>
    </w:r>
    <w:r w:rsidR="0043784F">
      <w:rPr>
        <w:rFonts w:cs="Arial"/>
        <w:b/>
        <w:color w:val="009D00"/>
        <w:sz w:val="13"/>
        <w:szCs w:val="13"/>
      </w:rPr>
      <w:t xml:space="preserve"> </w:t>
    </w:r>
    <w:r w:rsidR="00AA6B8C">
      <w:rPr>
        <w:rFonts w:cs="Arial"/>
        <w:b/>
        <w:color w:val="009D00"/>
        <w:sz w:val="13"/>
        <w:szCs w:val="13"/>
      </w:rPr>
      <w:t>2023</w:t>
    </w:r>
    <w:r w:rsidR="001E74D1">
      <w:rPr>
        <w:rFonts w:cs="Arial"/>
        <w:b/>
        <w:color w:val="009D00"/>
        <w:sz w:val="13"/>
        <w:szCs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8D89" w14:textId="77777777" w:rsidR="002A386A" w:rsidRPr="00495BCF" w:rsidRDefault="002A386A" w:rsidP="002A386A">
    <w:pPr>
      <w:pStyle w:val="Footer"/>
      <w:framePr w:w="294" w:wrap="around" w:vAnchor="text" w:hAnchor="page" w:x="16071" w:y="385"/>
      <w:jc w:val="right"/>
      <w:rPr>
        <w:rStyle w:val="PageNumber"/>
        <w:color w:val="009D00"/>
      </w:rPr>
    </w:pPr>
    <w:r w:rsidRPr="00495BCF">
      <w:rPr>
        <w:rStyle w:val="PageNumber"/>
        <w:color w:val="009D00"/>
      </w:rPr>
      <w:fldChar w:fldCharType="begin"/>
    </w:r>
    <w:r w:rsidRPr="00495BCF">
      <w:rPr>
        <w:rStyle w:val="PageNumber"/>
        <w:color w:val="009D00"/>
      </w:rPr>
      <w:instrText xml:space="preserve">PAGE  </w:instrText>
    </w:r>
    <w:r w:rsidRPr="00495BCF">
      <w:rPr>
        <w:rStyle w:val="PageNumber"/>
        <w:color w:val="009D00"/>
      </w:rPr>
      <w:fldChar w:fldCharType="separate"/>
    </w:r>
    <w:r>
      <w:rPr>
        <w:rStyle w:val="PageNumber"/>
        <w:noProof/>
        <w:color w:val="009D00"/>
      </w:rPr>
      <w:t>1</w:t>
    </w:r>
    <w:r w:rsidRPr="00495BCF">
      <w:rPr>
        <w:rStyle w:val="PageNumber"/>
        <w:color w:val="009D00"/>
      </w:rPr>
      <w:fldChar w:fldCharType="end"/>
    </w:r>
  </w:p>
  <w:p w14:paraId="67D1706C" w14:textId="6B849916" w:rsidR="002A386A" w:rsidRPr="00634822" w:rsidRDefault="002A386A" w:rsidP="00495BCF">
    <w:pPr>
      <w:pStyle w:val="Footer"/>
      <w:ind w:right="360"/>
      <w:rPr>
        <w:rFonts w:cs="Arial"/>
        <w:b/>
        <w:color w:val="009D00"/>
        <w:sz w:val="18"/>
        <w:szCs w:val="18"/>
      </w:rPr>
    </w:pPr>
    <w:r>
      <w:rPr>
        <w:rFonts w:cs="Arial"/>
        <w:b/>
        <w:noProof/>
        <w:color w:val="009D00"/>
        <w:sz w:val="28"/>
        <w:szCs w:val="28"/>
        <w:lang w:eastAsia="en-GB"/>
      </w:rPr>
      <mc:AlternateContent>
        <mc:Choice Requires="wps">
          <w:drawing>
            <wp:anchor distT="0" distB="0" distL="114300" distR="114300" simplePos="0" relativeHeight="251657728" behindDoc="0" locked="0" layoutInCell="1" allowOverlap="1" wp14:anchorId="68D2CD27" wp14:editId="1D1639D5">
              <wp:simplePos x="0" y="0"/>
              <wp:positionH relativeFrom="column">
                <wp:posOffset>-112395</wp:posOffset>
              </wp:positionH>
              <wp:positionV relativeFrom="paragraph">
                <wp:posOffset>149224</wp:posOffset>
              </wp:positionV>
              <wp:extent cx="10140950" cy="0"/>
              <wp:effectExtent l="0" t="0" r="0" b="0"/>
              <wp:wrapNone/>
              <wp:docPr id="1" name="Straight Connector 1"/>
              <wp:cNvGraphicFramePr/>
              <a:graphic xmlns:a="http://schemas.openxmlformats.org/drawingml/2006/main">
                <a:graphicData uri="http://schemas.microsoft.com/office/word/2010/wordprocessingShape">
                  <wps:wsp>
                    <wps:cNvCnPr/>
                    <wps:spPr>
                      <a:xfrm flipV="1">
                        <a:off x="0" y="0"/>
                        <a:ext cx="10140950" cy="0"/>
                      </a:xfrm>
                      <a:prstGeom prst="line">
                        <a:avLst/>
                      </a:prstGeom>
                      <a:ln>
                        <a:solidFill>
                          <a:srgbClr val="01833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86EE8" id="Straight Connector 1"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pt,11.75pt" to="789.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" strokecolor="#01833e" strokeweight="2pt"/>
          </w:pict>
        </mc:Fallback>
      </mc:AlternateContent>
    </w:r>
    <w:r>
      <w:rPr>
        <w:rFonts w:cs="Arial"/>
        <w:b/>
        <w:color w:val="009D00"/>
        <w:sz w:val="28"/>
        <w:szCs w:val="28"/>
      </w:rPr>
      <w:br/>
    </w:r>
    <w:hyperlink r:id="rId1" w:history="1">
      <w:r w:rsidRPr="00812CAC">
        <w:rPr>
          <w:rStyle w:val="Hyperlink"/>
          <w:rFonts w:cs="Arial"/>
          <w:b/>
          <w:sz w:val="28"/>
          <w:szCs w:val="28"/>
        </w:rPr>
        <w:t>www.sps.nhs.uk</w:t>
      </w:r>
    </w:hyperlink>
    <w:r>
      <w:rPr>
        <w:rFonts w:cs="Arial"/>
        <w:b/>
        <w:color w:val="009D00"/>
        <w:sz w:val="28"/>
        <w:szCs w:val="28"/>
      </w:rPr>
      <w:t xml:space="preserve">   </w:t>
    </w:r>
    <w:r w:rsidRPr="002C25A8">
      <w:rPr>
        <w:rFonts w:cs="Arial"/>
        <w:b/>
        <w:color w:val="009D00"/>
        <w:sz w:val="22"/>
        <w:szCs w:val="22"/>
      </w:rPr>
      <w:t xml:space="preserve">| </w:t>
    </w:r>
    <w:r w:rsidRPr="00634822">
      <w:rPr>
        <w:rFonts w:cs="Arial"/>
        <w:b/>
        <w:color w:val="009D00"/>
        <w:sz w:val="13"/>
        <w:szCs w:val="13"/>
      </w:rPr>
      <w:t xml:space="preserve">Quality Assurance Policy to support the National Contract Procurement of Licensed Medicines - Edition </w:t>
    </w:r>
    <w:r>
      <w:rPr>
        <w:rFonts w:cs="Arial"/>
        <w:b/>
        <w:color w:val="009D00"/>
        <w:sz w:val="13"/>
        <w:szCs w:val="13"/>
      </w:rPr>
      <w:t>6</w:t>
    </w:r>
    <w:r w:rsidRPr="00634822">
      <w:rPr>
        <w:rFonts w:cs="Arial"/>
        <w:b/>
        <w:color w:val="009D00"/>
        <w:sz w:val="13"/>
        <w:szCs w:val="13"/>
      </w:rPr>
      <w:t xml:space="preserve"> - </w:t>
    </w:r>
    <w:r w:rsidR="007549FA">
      <w:rPr>
        <w:rFonts w:cs="Arial"/>
        <w:b/>
        <w:color w:val="009D00"/>
        <w:sz w:val="13"/>
        <w:szCs w:val="13"/>
      </w:rPr>
      <w:t xml:space="preserve">October </w:t>
    </w:r>
    <w:r>
      <w:rPr>
        <w:rFonts w:cs="Arial"/>
        <w:b/>
        <w:color w:val="009D00"/>
        <w:sz w:val="13"/>
        <w:szCs w:val="13"/>
      </w:rPr>
      <w:t xml:space="preserve">2023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C6DDC" w14:textId="77777777" w:rsidR="003722DB" w:rsidRDefault="003722DB" w:rsidP="00F81309">
      <w:r>
        <w:separator/>
      </w:r>
    </w:p>
  </w:footnote>
  <w:footnote w:type="continuationSeparator" w:id="0">
    <w:p w14:paraId="16CBCAE4" w14:textId="77777777" w:rsidR="003722DB" w:rsidRDefault="003722DB" w:rsidP="00F81309">
      <w:r>
        <w:continuationSeparator/>
      </w:r>
    </w:p>
  </w:footnote>
  <w:footnote w:type="continuationNotice" w:id="1">
    <w:p w14:paraId="7F7ECA48" w14:textId="77777777" w:rsidR="003722DB" w:rsidRDefault="003722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B7773" w14:textId="73B64FC3" w:rsidR="00F12406" w:rsidRPr="00F12406" w:rsidRDefault="00F12406" w:rsidP="00F12406">
    <w:pPr>
      <w:pStyle w:val="Header"/>
      <w:ind w:left="-567"/>
      <w:rPr>
        <w:noProof/>
      </w:rPr>
    </w:pPr>
    <w:r w:rsidRPr="00F12406">
      <w:rPr>
        <w:noProof/>
      </w:rPr>
      <w:t xml:space="preserve">                                                                                                                        </w:t>
    </w:r>
  </w:p>
  <w:tbl>
    <w:tblPr>
      <w:tblStyle w:val="TableGrid"/>
      <w:tblW w:w="10807" w:type="dxa"/>
      <w:tblInd w:w="108" w:type="dxa"/>
      <w:tblLayout w:type="fixed"/>
      <w:tblCellMar>
        <w:left w:w="851" w:type="dxa"/>
      </w:tblCellMar>
      <w:tblLook w:val="04A0" w:firstRow="1" w:lastRow="0" w:firstColumn="1" w:lastColumn="0" w:noHBand="0" w:noVBand="1"/>
    </w:tblPr>
    <w:tblGrid>
      <w:gridCol w:w="7799"/>
      <w:gridCol w:w="3008"/>
    </w:tblGrid>
    <w:tr w:rsidR="00F12406" w:rsidRPr="00F12406" w14:paraId="2DCDAAD1" w14:textId="77777777" w:rsidTr="00F12406">
      <w:tc>
        <w:tcPr>
          <w:tcW w:w="7799" w:type="dxa"/>
          <w:tcBorders>
            <w:top w:val="nil"/>
            <w:left w:val="nil"/>
            <w:bottom w:val="nil"/>
            <w:right w:val="nil"/>
          </w:tcBorders>
          <w:vAlign w:val="center"/>
        </w:tcPr>
        <w:p w14:paraId="6DE27DCC" w14:textId="77777777" w:rsidR="00F12406" w:rsidRPr="00F12406" w:rsidRDefault="00F12406" w:rsidP="00F12406">
          <w:pPr>
            <w:tabs>
              <w:tab w:val="center" w:pos="4320"/>
              <w:tab w:val="right" w:pos="8640"/>
            </w:tabs>
            <w:ind w:left="-567"/>
            <w:rPr>
              <w:b/>
              <w:noProof/>
              <w:color w:val="009D00"/>
              <w:sz w:val="28"/>
            </w:rPr>
          </w:pPr>
          <w:r w:rsidRPr="00F12406">
            <w:rPr>
              <w:b/>
              <w:noProof/>
              <w:color w:val="009D00"/>
              <w:sz w:val="28"/>
            </w:rPr>
            <w:drawing>
              <wp:inline distT="0" distB="0" distL="0" distR="0" wp14:anchorId="13D141FF" wp14:editId="5DDDA036">
                <wp:extent cx="1408430" cy="5422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3008" w:type="dxa"/>
          <w:tcBorders>
            <w:top w:val="nil"/>
            <w:left w:val="nil"/>
            <w:bottom w:val="nil"/>
            <w:right w:val="nil"/>
          </w:tcBorders>
        </w:tcPr>
        <w:p w14:paraId="2500E13D"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drawing>
              <wp:inline distT="0" distB="0" distL="0" distR="0" wp14:anchorId="1A5829E3" wp14:editId="434B9D04">
                <wp:extent cx="1225550" cy="4940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F12406" w:rsidRPr="00F12406" w14:paraId="2902077E" w14:textId="77777777" w:rsidTr="00F12406">
      <w:tc>
        <w:tcPr>
          <w:tcW w:w="10807" w:type="dxa"/>
          <w:gridSpan w:val="2"/>
          <w:tcBorders>
            <w:top w:val="nil"/>
            <w:left w:val="nil"/>
            <w:bottom w:val="nil"/>
            <w:right w:val="nil"/>
          </w:tcBorders>
        </w:tcPr>
        <w:p w14:paraId="461EDC9B" w14:textId="77777777" w:rsidR="00F12406" w:rsidRPr="00F12406" w:rsidRDefault="00F12406" w:rsidP="00F12406">
          <w:pPr>
            <w:tabs>
              <w:tab w:val="center" w:pos="4320"/>
              <w:tab w:val="right" w:pos="8640"/>
            </w:tabs>
            <w:ind w:left="-567"/>
            <w:jc w:val="right"/>
            <w:rPr>
              <w:b/>
              <w:noProof/>
              <w:color w:val="009D00"/>
              <w:sz w:val="28"/>
            </w:rPr>
          </w:pPr>
          <w:r w:rsidRPr="00F12406">
            <w:rPr>
              <w:b/>
              <w:noProof/>
              <w:color w:val="009D00"/>
              <w:sz w:val="28"/>
            </w:rPr>
            <w:t>Specialist Pharmacy Service Quality Assurance</w:t>
          </w:r>
        </w:p>
      </w:tc>
    </w:tr>
  </w:tbl>
  <w:p w14:paraId="18FC7052" w14:textId="4DE636CD" w:rsidR="00562AAF" w:rsidRDefault="00562AAF" w:rsidP="00F12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E93" w14:textId="2E45B06D" w:rsidR="00C716CA" w:rsidRDefault="00F24EF6" w:rsidP="002C25A8">
    <w:pPr>
      <w:pStyle w:val="Header"/>
      <w:ind w:left="-567"/>
      <w:rPr>
        <w:noProof/>
      </w:rPr>
    </w:pPr>
    <w:sdt>
      <w:sdtPr>
        <w:id w:val="139083016"/>
        <w:docPartObj>
          <w:docPartGallery w:val="Watermarks"/>
          <w:docPartUnique/>
        </w:docPartObj>
      </w:sdtPr>
      <w:sdtEndPr/>
      <w:sdtContent>
        <w:r>
          <w:pict w14:anchorId="55ED1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70AC9">
      <w:rPr>
        <w:noProof/>
      </w:rPr>
      <w:t xml:space="preserve">                  </w:t>
    </w:r>
    <w:bookmarkStart w:id="4" w:name="_Hlk146717563"/>
    <w:r w:rsidR="00D70AC9">
      <w:rPr>
        <w:noProof/>
      </w:rPr>
      <w:t xml:space="preserve">                                                                                                                        </w:t>
    </w:r>
  </w:p>
  <w:tbl>
    <w:tblPr>
      <w:tblStyle w:val="TableGrid"/>
      <w:tblW w:w="0" w:type="auto"/>
      <w:tblInd w:w="108" w:type="dxa"/>
      <w:tblLayout w:type="fixed"/>
      <w:tblCellMar>
        <w:left w:w="851" w:type="dxa"/>
      </w:tblCellMar>
      <w:tblLook w:val="04A0" w:firstRow="1" w:lastRow="0" w:firstColumn="1" w:lastColumn="0" w:noHBand="0" w:noVBand="1"/>
    </w:tblPr>
    <w:tblGrid>
      <w:gridCol w:w="7799"/>
      <w:gridCol w:w="7799"/>
    </w:tblGrid>
    <w:tr w:rsidR="0037447A" w:rsidRPr="00CE4180" w14:paraId="689BBEA5" w14:textId="77777777" w:rsidTr="00606E47">
      <w:tc>
        <w:tcPr>
          <w:tcW w:w="7799" w:type="dxa"/>
          <w:tcBorders>
            <w:top w:val="nil"/>
            <w:left w:val="nil"/>
            <w:bottom w:val="nil"/>
            <w:right w:val="nil"/>
          </w:tcBorders>
          <w:vAlign w:val="center"/>
        </w:tcPr>
        <w:p w14:paraId="3A6D4BA9" w14:textId="3BA84880" w:rsidR="0037447A" w:rsidRPr="00CE4180" w:rsidRDefault="00F12406" w:rsidP="00606E47">
          <w:pPr>
            <w:pStyle w:val="Header"/>
            <w:ind w:left="-567"/>
            <w:rPr>
              <w:noProof/>
            </w:rPr>
          </w:pPr>
          <w:r>
            <w:rPr>
              <w:noProof/>
            </w:rPr>
            <w:drawing>
              <wp:inline distT="0" distB="0" distL="0" distR="0" wp14:anchorId="4DE28DA5" wp14:editId="618B64D6">
                <wp:extent cx="1408430" cy="54229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542290"/>
                        </a:xfrm>
                        <a:prstGeom prst="rect">
                          <a:avLst/>
                        </a:prstGeom>
                        <a:noFill/>
                      </pic:spPr>
                    </pic:pic>
                  </a:graphicData>
                </a:graphic>
              </wp:inline>
            </w:drawing>
          </w:r>
        </w:p>
      </w:tc>
      <w:tc>
        <w:tcPr>
          <w:tcW w:w="7799" w:type="dxa"/>
          <w:tcBorders>
            <w:top w:val="nil"/>
            <w:left w:val="nil"/>
            <w:bottom w:val="nil"/>
            <w:right w:val="nil"/>
          </w:tcBorders>
        </w:tcPr>
        <w:p w14:paraId="6CD954EB" w14:textId="3930675A" w:rsidR="0037447A" w:rsidRPr="00CE4180" w:rsidRDefault="0037447A" w:rsidP="00CE4180">
          <w:pPr>
            <w:pStyle w:val="Header"/>
            <w:ind w:left="-567"/>
            <w:jc w:val="right"/>
            <w:rPr>
              <w:noProof/>
            </w:rPr>
          </w:pPr>
          <w:r>
            <w:rPr>
              <w:noProof/>
            </w:rPr>
            <w:drawing>
              <wp:inline distT="0" distB="0" distL="0" distR="0" wp14:anchorId="10F9AF68" wp14:editId="55CAD5BD">
                <wp:extent cx="1225550" cy="4940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0" cy="494030"/>
                        </a:xfrm>
                        <a:prstGeom prst="rect">
                          <a:avLst/>
                        </a:prstGeom>
                        <a:noFill/>
                      </pic:spPr>
                    </pic:pic>
                  </a:graphicData>
                </a:graphic>
              </wp:inline>
            </w:drawing>
          </w:r>
        </w:p>
      </w:tc>
    </w:tr>
    <w:tr w:rsidR="0037447A" w:rsidRPr="00CE4180" w14:paraId="7F60D340" w14:textId="6FA10A87" w:rsidTr="00606E47">
      <w:tc>
        <w:tcPr>
          <w:tcW w:w="15598" w:type="dxa"/>
          <w:gridSpan w:val="2"/>
          <w:tcBorders>
            <w:top w:val="nil"/>
            <w:left w:val="nil"/>
            <w:bottom w:val="nil"/>
            <w:right w:val="nil"/>
          </w:tcBorders>
        </w:tcPr>
        <w:p w14:paraId="101DC8A5" w14:textId="673621F9" w:rsidR="0037447A" w:rsidRPr="00CE4180" w:rsidRDefault="0037447A" w:rsidP="00CE4180">
          <w:pPr>
            <w:pStyle w:val="Header"/>
            <w:ind w:left="-567"/>
            <w:jc w:val="right"/>
            <w:rPr>
              <w:noProof/>
            </w:rPr>
          </w:pPr>
          <w:r w:rsidRPr="00CE4180">
            <w:rPr>
              <w:noProof/>
            </w:rPr>
            <w:t>Specialist Pharmacy Service Quality Assurance</w:t>
          </w:r>
        </w:p>
      </w:tc>
    </w:tr>
    <w:bookmarkEnd w:id="4"/>
  </w:tbl>
  <w:p w14:paraId="62536815" w14:textId="77777777" w:rsidR="00CE4180" w:rsidRPr="00D918BC" w:rsidRDefault="00CE4180" w:rsidP="00F12406">
    <w:pPr>
      <w:pStyle w:val="Header"/>
      <w:rPr>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3FD4"/>
    <w:multiLevelType w:val="multilevel"/>
    <w:tmpl w:val="2E480CD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2109B8"/>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C4707E"/>
    <w:multiLevelType w:val="hybridMultilevel"/>
    <w:tmpl w:val="C58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C3B0B"/>
    <w:multiLevelType w:val="hybridMultilevel"/>
    <w:tmpl w:val="B87034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F606BD2"/>
    <w:multiLevelType w:val="multilevel"/>
    <w:tmpl w:val="5798B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5E07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7E64B19"/>
    <w:multiLevelType w:val="multilevel"/>
    <w:tmpl w:val="6E1C92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DCD4CBA"/>
    <w:multiLevelType w:val="hybridMultilevel"/>
    <w:tmpl w:val="8FDA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AA7AA9"/>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654715"/>
    <w:multiLevelType w:val="multilevel"/>
    <w:tmpl w:val="856C234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2BA0B8F"/>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A1C26"/>
    <w:multiLevelType w:val="hybridMultilevel"/>
    <w:tmpl w:val="121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90654F"/>
    <w:multiLevelType w:val="hybridMultilevel"/>
    <w:tmpl w:val="9180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0E2E89"/>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4" w15:restartNumberingAfterBreak="0">
    <w:nsid w:val="586142E6"/>
    <w:multiLevelType w:val="multilevel"/>
    <w:tmpl w:val="7928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D10564"/>
    <w:multiLevelType w:val="multilevel"/>
    <w:tmpl w:val="DA8238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6604AF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91F0AAF"/>
    <w:multiLevelType w:val="multilevel"/>
    <w:tmpl w:val="C4545B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AC25F3C"/>
    <w:multiLevelType w:val="multilevel"/>
    <w:tmpl w:val="B8FC31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761266"/>
    <w:multiLevelType w:val="hybridMultilevel"/>
    <w:tmpl w:val="148471E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8995017"/>
    <w:multiLevelType w:val="hybridMultilevel"/>
    <w:tmpl w:val="8A823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A0091"/>
    <w:multiLevelType w:val="multilevel"/>
    <w:tmpl w:val="52B8F80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AC05833"/>
    <w:multiLevelType w:val="hybridMultilevel"/>
    <w:tmpl w:val="BB24D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23003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28186299">
    <w:abstractNumId w:val="20"/>
  </w:num>
  <w:num w:numId="2" w16cid:durableId="116948683">
    <w:abstractNumId w:val="5"/>
  </w:num>
  <w:num w:numId="3" w16cid:durableId="1889299779">
    <w:abstractNumId w:val="17"/>
  </w:num>
  <w:num w:numId="4" w16cid:durableId="1075473726">
    <w:abstractNumId w:val="10"/>
  </w:num>
  <w:num w:numId="5" w16cid:durableId="731200146">
    <w:abstractNumId w:val="21"/>
  </w:num>
  <w:num w:numId="6" w16cid:durableId="627853503">
    <w:abstractNumId w:val="9"/>
  </w:num>
  <w:num w:numId="7" w16cid:durableId="688340121">
    <w:abstractNumId w:val="23"/>
  </w:num>
  <w:num w:numId="8" w16cid:durableId="259459581">
    <w:abstractNumId w:val="1"/>
  </w:num>
  <w:num w:numId="9" w16cid:durableId="111705606">
    <w:abstractNumId w:val="13"/>
  </w:num>
  <w:num w:numId="10" w16cid:durableId="648753036">
    <w:abstractNumId w:val="0"/>
  </w:num>
  <w:num w:numId="11" w16cid:durableId="59444021">
    <w:abstractNumId w:val="8"/>
  </w:num>
  <w:num w:numId="12" w16cid:durableId="1611278038">
    <w:abstractNumId w:val="6"/>
  </w:num>
  <w:num w:numId="13" w16cid:durableId="1956478152">
    <w:abstractNumId w:val="7"/>
  </w:num>
  <w:num w:numId="14" w16cid:durableId="1591351981">
    <w:abstractNumId w:val="22"/>
  </w:num>
  <w:num w:numId="15" w16cid:durableId="184712528">
    <w:abstractNumId w:val="12"/>
  </w:num>
  <w:num w:numId="16" w16cid:durableId="879054022">
    <w:abstractNumId w:val="19"/>
  </w:num>
  <w:num w:numId="17" w16cid:durableId="1820342004">
    <w:abstractNumId w:val="18"/>
  </w:num>
  <w:num w:numId="18" w16cid:durableId="799419019">
    <w:abstractNumId w:val="4"/>
  </w:num>
  <w:num w:numId="19" w16cid:durableId="825628887">
    <w:abstractNumId w:val="14"/>
  </w:num>
  <w:num w:numId="20" w16cid:durableId="23023848">
    <w:abstractNumId w:val="3"/>
  </w:num>
  <w:num w:numId="21" w16cid:durableId="1008480977">
    <w:abstractNumId w:val="11"/>
  </w:num>
  <w:num w:numId="22" w16cid:durableId="458108747">
    <w:abstractNumId w:val="2"/>
  </w:num>
  <w:num w:numId="23" w16cid:durableId="1927760182">
    <w:abstractNumId w:val="16"/>
  </w:num>
  <w:num w:numId="24" w16cid:durableId="634503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RJT7rljJ2VIRaHG54dURdTl2/2yWa7tmTo66Uebv92O1ghpIuEB+p05BLShftm0OQe8RyKHVdqkq0L7An5uoQQ==" w:salt="iKHB9KxCIyWN7K0QDO8bPA=="/>
  <w:defaultTabStop w:val="720"/>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C5C"/>
    <w:rsid w:val="00000006"/>
    <w:rsid w:val="000003A2"/>
    <w:rsid w:val="00003021"/>
    <w:rsid w:val="00005D13"/>
    <w:rsid w:val="00005D7F"/>
    <w:rsid w:val="00006F70"/>
    <w:rsid w:val="00010457"/>
    <w:rsid w:val="0001205C"/>
    <w:rsid w:val="00012514"/>
    <w:rsid w:val="00012CD7"/>
    <w:rsid w:val="00015502"/>
    <w:rsid w:val="00015C53"/>
    <w:rsid w:val="00020D6E"/>
    <w:rsid w:val="00021632"/>
    <w:rsid w:val="00022C06"/>
    <w:rsid w:val="000263FB"/>
    <w:rsid w:val="00026D99"/>
    <w:rsid w:val="00031EB7"/>
    <w:rsid w:val="0003354B"/>
    <w:rsid w:val="00034E21"/>
    <w:rsid w:val="00035741"/>
    <w:rsid w:val="00036AB7"/>
    <w:rsid w:val="00036B41"/>
    <w:rsid w:val="00037648"/>
    <w:rsid w:val="00037760"/>
    <w:rsid w:val="0004059D"/>
    <w:rsid w:val="0005071D"/>
    <w:rsid w:val="00050A77"/>
    <w:rsid w:val="0005291F"/>
    <w:rsid w:val="00054091"/>
    <w:rsid w:val="000629F2"/>
    <w:rsid w:val="000630AE"/>
    <w:rsid w:val="00063105"/>
    <w:rsid w:val="0006324B"/>
    <w:rsid w:val="00063BC6"/>
    <w:rsid w:val="00063E36"/>
    <w:rsid w:val="00064712"/>
    <w:rsid w:val="00066219"/>
    <w:rsid w:val="00071A28"/>
    <w:rsid w:val="00071FB6"/>
    <w:rsid w:val="00075A24"/>
    <w:rsid w:val="000760F1"/>
    <w:rsid w:val="00082DDD"/>
    <w:rsid w:val="000841C2"/>
    <w:rsid w:val="000847C3"/>
    <w:rsid w:val="000850FB"/>
    <w:rsid w:val="00086159"/>
    <w:rsid w:val="00087266"/>
    <w:rsid w:val="0008736D"/>
    <w:rsid w:val="00096628"/>
    <w:rsid w:val="00096A97"/>
    <w:rsid w:val="000A2664"/>
    <w:rsid w:val="000A4331"/>
    <w:rsid w:val="000A4FD0"/>
    <w:rsid w:val="000A582D"/>
    <w:rsid w:val="000A5A4F"/>
    <w:rsid w:val="000A62F0"/>
    <w:rsid w:val="000A66F6"/>
    <w:rsid w:val="000B070B"/>
    <w:rsid w:val="000B5BCB"/>
    <w:rsid w:val="000B6644"/>
    <w:rsid w:val="000B68AB"/>
    <w:rsid w:val="000B698A"/>
    <w:rsid w:val="000C3154"/>
    <w:rsid w:val="000C4BF5"/>
    <w:rsid w:val="000C5061"/>
    <w:rsid w:val="000C7CE3"/>
    <w:rsid w:val="000D0695"/>
    <w:rsid w:val="000D1F03"/>
    <w:rsid w:val="000D3D98"/>
    <w:rsid w:val="000D4884"/>
    <w:rsid w:val="000D5EA8"/>
    <w:rsid w:val="000D7412"/>
    <w:rsid w:val="000D7444"/>
    <w:rsid w:val="000E0C5E"/>
    <w:rsid w:val="000E1175"/>
    <w:rsid w:val="000E2746"/>
    <w:rsid w:val="000E3594"/>
    <w:rsid w:val="000E4D92"/>
    <w:rsid w:val="000E5422"/>
    <w:rsid w:val="000E7120"/>
    <w:rsid w:val="000E7A1B"/>
    <w:rsid w:val="000F07A5"/>
    <w:rsid w:val="000F07EB"/>
    <w:rsid w:val="000F0C39"/>
    <w:rsid w:val="000F31C2"/>
    <w:rsid w:val="000F31DC"/>
    <w:rsid w:val="000F4E73"/>
    <w:rsid w:val="000F53E4"/>
    <w:rsid w:val="000F693E"/>
    <w:rsid w:val="00100B17"/>
    <w:rsid w:val="0010144C"/>
    <w:rsid w:val="00101BED"/>
    <w:rsid w:val="00101DBC"/>
    <w:rsid w:val="00103439"/>
    <w:rsid w:val="00110A9C"/>
    <w:rsid w:val="00112E8B"/>
    <w:rsid w:val="00113290"/>
    <w:rsid w:val="00114001"/>
    <w:rsid w:val="0011686C"/>
    <w:rsid w:val="00121EDC"/>
    <w:rsid w:val="001229B2"/>
    <w:rsid w:val="0012529E"/>
    <w:rsid w:val="001255B9"/>
    <w:rsid w:val="00126FEB"/>
    <w:rsid w:val="00127085"/>
    <w:rsid w:val="001274C7"/>
    <w:rsid w:val="00132ACE"/>
    <w:rsid w:val="00133428"/>
    <w:rsid w:val="0013623F"/>
    <w:rsid w:val="00136E91"/>
    <w:rsid w:val="00143750"/>
    <w:rsid w:val="001439DA"/>
    <w:rsid w:val="001446C9"/>
    <w:rsid w:val="00144EF6"/>
    <w:rsid w:val="001503B8"/>
    <w:rsid w:val="001504AD"/>
    <w:rsid w:val="001517B6"/>
    <w:rsid w:val="0015214B"/>
    <w:rsid w:val="00155559"/>
    <w:rsid w:val="00155AFE"/>
    <w:rsid w:val="0015685E"/>
    <w:rsid w:val="00157CF1"/>
    <w:rsid w:val="001625B1"/>
    <w:rsid w:val="00162CA9"/>
    <w:rsid w:val="00165BA3"/>
    <w:rsid w:val="00167DD0"/>
    <w:rsid w:val="001714B0"/>
    <w:rsid w:val="001715CC"/>
    <w:rsid w:val="0017215A"/>
    <w:rsid w:val="00172968"/>
    <w:rsid w:val="00175C80"/>
    <w:rsid w:val="00176E32"/>
    <w:rsid w:val="00183D40"/>
    <w:rsid w:val="00183DB2"/>
    <w:rsid w:val="001844E1"/>
    <w:rsid w:val="00193A75"/>
    <w:rsid w:val="0019448D"/>
    <w:rsid w:val="00194570"/>
    <w:rsid w:val="00195F25"/>
    <w:rsid w:val="0019638C"/>
    <w:rsid w:val="00196FFA"/>
    <w:rsid w:val="001A1AFD"/>
    <w:rsid w:val="001A20EC"/>
    <w:rsid w:val="001A25DD"/>
    <w:rsid w:val="001A305D"/>
    <w:rsid w:val="001A67C2"/>
    <w:rsid w:val="001A703C"/>
    <w:rsid w:val="001A7170"/>
    <w:rsid w:val="001B07A1"/>
    <w:rsid w:val="001B13C0"/>
    <w:rsid w:val="001B1B3E"/>
    <w:rsid w:val="001B1CCD"/>
    <w:rsid w:val="001B3EBD"/>
    <w:rsid w:val="001B4490"/>
    <w:rsid w:val="001B4AA8"/>
    <w:rsid w:val="001B7AB5"/>
    <w:rsid w:val="001C12A1"/>
    <w:rsid w:val="001C1F99"/>
    <w:rsid w:val="001C2115"/>
    <w:rsid w:val="001C2433"/>
    <w:rsid w:val="001C31D8"/>
    <w:rsid w:val="001C59F2"/>
    <w:rsid w:val="001C5D23"/>
    <w:rsid w:val="001D07F7"/>
    <w:rsid w:val="001D1E6B"/>
    <w:rsid w:val="001D5CB2"/>
    <w:rsid w:val="001D7F4C"/>
    <w:rsid w:val="001E0054"/>
    <w:rsid w:val="001E046A"/>
    <w:rsid w:val="001E1A33"/>
    <w:rsid w:val="001E26BC"/>
    <w:rsid w:val="001E6001"/>
    <w:rsid w:val="001E63E3"/>
    <w:rsid w:val="001E668F"/>
    <w:rsid w:val="001E6A19"/>
    <w:rsid w:val="001E74D1"/>
    <w:rsid w:val="001F026B"/>
    <w:rsid w:val="001F2495"/>
    <w:rsid w:val="001F26A7"/>
    <w:rsid w:val="001F29C4"/>
    <w:rsid w:val="001F3BD7"/>
    <w:rsid w:val="001F3C75"/>
    <w:rsid w:val="001F3E8A"/>
    <w:rsid w:val="001F49D3"/>
    <w:rsid w:val="001F5A01"/>
    <w:rsid w:val="002018DA"/>
    <w:rsid w:val="00203A67"/>
    <w:rsid w:val="002042A2"/>
    <w:rsid w:val="00212E16"/>
    <w:rsid w:val="00213104"/>
    <w:rsid w:val="0021328C"/>
    <w:rsid w:val="00213314"/>
    <w:rsid w:val="00213E01"/>
    <w:rsid w:val="0021585D"/>
    <w:rsid w:val="00222AA2"/>
    <w:rsid w:val="0022440D"/>
    <w:rsid w:val="00225B96"/>
    <w:rsid w:val="00226FD2"/>
    <w:rsid w:val="00231739"/>
    <w:rsid w:val="00232C29"/>
    <w:rsid w:val="00234FE2"/>
    <w:rsid w:val="002363E8"/>
    <w:rsid w:val="00237321"/>
    <w:rsid w:val="00242286"/>
    <w:rsid w:val="002449D0"/>
    <w:rsid w:val="00244E8C"/>
    <w:rsid w:val="00245203"/>
    <w:rsid w:val="00245B16"/>
    <w:rsid w:val="00246320"/>
    <w:rsid w:val="00247BFA"/>
    <w:rsid w:val="00253624"/>
    <w:rsid w:val="0025404F"/>
    <w:rsid w:val="00254402"/>
    <w:rsid w:val="00254B76"/>
    <w:rsid w:val="00256BF9"/>
    <w:rsid w:val="00256CA4"/>
    <w:rsid w:val="0026129F"/>
    <w:rsid w:val="0026267D"/>
    <w:rsid w:val="00263832"/>
    <w:rsid w:val="0026461D"/>
    <w:rsid w:val="002656A9"/>
    <w:rsid w:val="002661AF"/>
    <w:rsid w:val="00270994"/>
    <w:rsid w:val="00271491"/>
    <w:rsid w:val="00271A6F"/>
    <w:rsid w:val="00272468"/>
    <w:rsid w:val="00272A05"/>
    <w:rsid w:val="00273994"/>
    <w:rsid w:val="002743E1"/>
    <w:rsid w:val="00274BAC"/>
    <w:rsid w:val="00274C55"/>
    <w:rsid w:val="00275387"/>
    <w:rsid w:val="002760DE"/>
    <w:rsid w:val="00276589"/>
    <w:rsid w:val="0027690B"/>
    <w:rsid w:val="002771D0"/>
    <w:rsid w:val="00280058"/>
    <w:rsid w:val="002809F6"/>
    <w:rsid w:val="00281674"/>
    <w:rsid w:val="00281E66"/>
    <w:rsid w:val="002825D1"/>
    <w:rsid w:val="002825DF"/>
    <w:rsid w:val="002829E2"/>
    <w:rsid w:val="00282F8D"/>
    <w:rsid w:val="00284257"/>
    <w:rsid w:val="0028611D"/>
    <w:rsid w:val="002922C8"/>
    <w:rsid w:val="002923E1"/>
    <w:rsid w:val="00292CD1"/>
    <w:rsid w:val="00293CB3"/>
    <w:rsid w:val="00295619"/>
    <w:rsid w:val="00296539"/>
    <w:rsid w:val="002966F3"/>
    <w:rsid w:val="00296E34"/>
    <w:rsid w:val="00297B90"/>
    <w:rsid w:val="00297C15"/>
    <w:rsid w:val="002A1F21"/>
    <w:rsid w:val="002A2FD7"/>
    <w:rsid w:val="002A3494"/>
    <w:rsid w:val="002A386A"/>
    <w:rsid w:val="002A3876"/>
    <w:rsid w:val="002A3E2D"/>
    <w:rsid w:val="002A51FE"/>
    <w:rsid w:val="002A5405"/>
    <w:rsid w:val="002A6C88"/>
    <w:rsid w:val="002B4255"/>
    <w:rsid w:val="002B49C5"/>
    <w:rsid w:val="002C25A8"/>
    <w:rsid w:val="002C4063"/>
    <w:rsid w:val="002C5817"/>
    <w:rsid w:val="002D2607"/>
    <w:rsid w:val="002D62BA"/>
    <w:rsid w:val="002D64F9"/>
    <w:rsid w:val="002D7599"/>
    <w:rsid w:val="002E2A32"/>
    <w:rsid w:val="002E4431"/>
    <w:rsid w:val="002E6274"/>
    <w:rsid w:val="002E672C"/>
    <w:rsid w:val="002E701F"/>
    <w:rsid w:val="002F0DE2"/>
    <w:rsid w:val="002F2C07"/>
    <w:rsid w:val="002F34F5"/>
    <w:rsid w:val="002F3645"/>
    <w:rsid w:val="002F44E1"/>
    <w:rsid w:val="002F45B0"/>
    <w:rsid w:val="002F4E7C"/>
    <w:rsid w:val="002F524C"/>
    <w:rsid w:val="002F7994"/>
    <w:rsid w:val="00301432"/>
    <w:rsid w:val="003052F2"/>
    <w:rsid w:val="00305B21"/>
    <w:rsid w:val="00305CAD"/>
    <w:rsid w:val="00306928"/>
    <w:rsid w:val="00310A05"/>
    <w:rsid w:val="00310D27"/>
    <w:rsid w:val="00311A96"/>
    <w:rsid w:val="00311B2D"/>
    <w:rsid w:val="00313577"/>
    <w:rsid w:val="00313C2E"/>
    <w:rsid w:val="00317137"/>
    <w:rsid w:val="00317250"/>
    <w:rsid w:val="00321327"/>
    <w:rsid w:val="003230DF"/>
    <w:rsid w:val="00323B7B"/>
    <w:rsid w:val="00330207"/>
    <w:rsid w:val="0033055D"/>
    <w:rsid w:val="00331CBA"/>
    <w:rsid w:val="00331FDF"/>
    <w:rsid w:val="00332530"/>
    <w:rsid w:val="0033268D"/>
    <w:rsid w:val="003328E2"/>
    <w:rsid w:val="00335099"/>
    <w:rsid w:val="00335A45"/>
    <w:rsid w:val="00343189"/>
    <w:rsid w:val="00343190"/>
    <w:rsid w:val="0034319C"/>
    <w:rsid w:val="00344289"/>
    <w:rsid w:val="00345A55"/>
    <w:rsid w:val="00346230"/>
    <w:rsid w:val="00346623"/>
    <w:rsid w:val="00346643"/>
    <w:rsid w:val="003474DC"/>
    <w:rsid w:val="00351692"/>
    <w:rsid w:val="00351F07"/>
    <w:rsid w:val="00353F0E"/>
    <w:rsid w:val="003542E2"/>
    <w:rsid w:val="003546C5"/>
    <w:rsid w:val="00360FBA"/>
    <w:rsid w:val="00361ED0"/>
    <w:rsid w:val="003646CB"/>
    <w:rsid w:val="00365E29"/>
    <w:rsid w:val="003677DD"/>
    <w:rsid w:val="00371452"/>
    <w:rsid w:val="0037215E"/>
    <w:rsid w:val="003722DB"/>
    <w:rsid w:val="0037304E"/>
    <w:rsid w:val="00373121"/>
    <w:rsid w:val="00373518"/>
    <w:rsid w:val="0037447A"/>
    <w:rsid w:val="00374522"/>
    <w:rsid w:val="00376FEA"/>
    <w:rsid w:val="00377FBB"/>
    <w:rsid w:val="00380BA3"/>
    <w:rsid w:val="00381F3F"/>
    <w:rsid w:val="00383513"/>
    <w:rsid w:val="00383A52"/>
    <w:rsid w:val="00384148"/>
    <w:rsid w:val="00385237"/>
    <w:rsid w:val="003864FC"/>
    <w:rsid w:val="003866A9"/>
    <w:rsid w:val="00387D34"/>
    <w:rsid w:val="00391537"/>
    <w:rsid w:val="003919CE"/>
    <w:rsid w:val="00393147"/>
    <w:rsid w:val="003944FB"/>
    <w:rsid w:val="003A174B"/>
    <w:rsid w:val="003A1B03"/>
    <w:rsid w:val="003A239E"/>
    <w:rsid w:val="003A2C49"/>
    <w:rsid w:val="003A3759"/>
    <w:rsid w:val="003A778E"/>
    <w:rsid w:val="003A7F39"/>
    <w:rsid w:val="003B0BB6"/>
    <w:rsid w:val="003B1BAF"/>
    <w:rsid w:val="003B1FE9"/>
    <w:rsid w:val="003B39BE"/>
    <w:rsid w:val="003B3C21"/>
    <w:rsid w:val="003B401F"/>
    <w:rsid w:val="003B6FCE"/>
    <w:rsid w:val="003C04F1"/>
    <w:rsid w:val="003C08A9"/>
    <w:rsid w:val="003C0A4E"/>
    <w:rsid w:val="003C1DDE"/>
    <w:rsid w:val="003C207B"/>
    <w:rsid w:val="003C2A99"/>
    <w:rsid w:val="003C3BC6"/>
    <w:rsid w:val="003C3EBE"/>
    <w:rsid w:val="003C65B2"/>
    <w:rsid w:val="003D2A05"/>
    <w:rsid w:val="003D3443"/>
    <w:rsid w:val="003D7697"/>
    <w:rsid w:val="003D7CB1"/>
    <w:rsid w:val="003E29B8"/>
    <w:rsid w:val="003E4321"/>
    <w:rsid w:val="003E527D"/>
    <w:rsid w:val="003E625F"/>
    <w:rsid w:val="003E6672"/>
    <w:rsid w:val="003F0069"/>
    <w:rsid w:val="003F01B8"/>
    <w:rsid w:val="003F08CF"/>
    <w:rsid w:val="003F18AA"/>
    <w:rsid w:val="003F18B1"/>
    <w:rsid w:val="003F2A5E"/>
    <w:rsid w:val="003F32B0"/>
    <w:rsid w:val="003F3D5F"/>
    <w:rsid w:val="003F4588"/>
    <w:rsid w:val="003F5104"/>
    <w:rsid w:val="003F6D52"/>
    <w:rsid w:val="003F73CC"/>
    <w:rsid w:val="003F7873"/>
    <w:rsid w:val="00407E3F"/>
    <w:rsid w:val="00411B96"/>
    <w:rsid w:val="004127E6"/>
    <w:rsid w:val="00417F71"/>
    <w:rsid w:val="00420150"/>
    <w:rsid w:val="00423955"/>
    <w:rsid w:val="00423E8C"/>
    <w:rsid w:val="00424881"/>
    <w:rsid w:val="004249A0"/>
    <w:rsid w:val="004256C1"/>
    <w:rsid w:val="004262DB"/>
    <w:rsid w:val="0042757D"/>
    <w:rsid w:val="00427AFC"/>
    <w:rsid w:val="00427B32"/>
    <w:rsid w:val="00430BAB"/>
    <w:rsid w:val="00432C78"/>
    <w:rsid w:val="0043378C"/>
    <w:rsid w:val="004339EE"/>
    <w:rsid w:val="0043517B"/>
    <w:rsid w:val="004355B9"/>
    <w:rsid w:val="00436620"/>
    <w:rsid w:val="0043784F"/>
    <w:rsid w:val="0044066B"/>
    <w:rsid w:val="00441045"/>
    <w:rsid w:val="00441173"/>
    <w:rsid w:val="004421F3"/>
    <w:rsid w:val="00442B1A"/>
    <w:rsid w:val="00446BA0"/>
    <w:rsid w:val="00446BF1"/>
    <w:rsid w:val="00450623"/>
    <w:rsid w:val="00450E08"/>
    <w:rsid w:val="00452D6B"/>
    <w:rsid w:val="00456409"/>
    <w:rsid w:val="004605A6"/>
    <w:rsid w:val="00462578"/>
    <w:rsid w:val="00462DCE"/>
    <w:rsid w:val="004630AC"/>
    <w:rsid w:val="004640CF"/>
    <w:rsid w:val="00464BF3"/>
    <w:rsid w:val="004672CE"/>
    <w:rsid w:val="00471D67"/>
    <w:rsid w:val="00472D72"/>
    <w:rsid w:val="00473E7A"/>
    <w:rsid w:val="004746DD"/>
    <w:rsid w:val="00474BAA"/>
    <w:rsid w:val="004801FB"/>
    <w:rsid w:val="00482ED0"/>
    <w:rsid w:val="00485E1C"/>
    <w:rsid w:val="00485E75"/>
    <w:rsid w:val="0048778A"/>
    <w:rsid w:val="004879AE"/>
    <w:rsid w:val="004901EF"/>
    <w:rsid w:val="00491D96"/>
    <w:rsid w:val="00492650"/>
    <w:rsid w:val="004926D1"/>
    <w:rsid w:val="004929D4"/>
    <w:rsid w:val="00493A3E"/>
    <w:rsid w:val="00493DE2"/>
    <w:rsid w:val="0049523E"/>
    <w:rsid w:val="004954B6"/>
    <w:rsid w:val="00495BCF"/>
    <w:rsid w:val="00496829"/>
    <w:rsid w:val="004968BE"/>
    <w:rsid w:val="004971B1"/>
    <w:rsid w:val="00497E06"/>
    <w:rsid w:val="004A1D3F"/>
    <w:rsid w:val="004A1E75"/>
    <w:rsid w:val="004A3151"/>
    <w:rsid w:val="004A353F"/>
    <w:rsid w:val="004A3FAA"/>
    <w:rsid w:val="004A694E"/>
    <w:rsid w:val="004A6B58"/>
    <w:rsid w:val="004A72DC"/>
    <w:rsid w:val="004B0C02"/>
    <w:rsid w:val="004B0FA8"/>
    <w:rsid w:val="004B150E"/>
    <w:rsid w:val="004B1AD2"/>
    <w:rsid w:val="004B464C"/>
    <w:rsid w:val="004B4965"/>
    <w:rsid w:val="004B60E4"/>
    <w:rsid w:val="004B68DB"/>
    <w:rsid w:val="004C00EF"/>
    <w:rsid w:val="004C10A2"/>
    <w:rsid w:val="004C34EE"/>
    <w:rsid w:val="004C3E3B"/>
    <w:rsid w:val="004C448D"/>
    <w:rsid w:val="004C548B"/>
    <w:rsid w:val="004C7024"/>
    <w:rsid w:val="004D3400"/>
    <w:rsid w:val="004D4265"/>
    <w:rsid w:val="004D4C32"/>
    <w:rsid w:val="004D75D0"/>
    <w:rsid w:val="004E2A54"/>
    <w:rsid w:val="004E2B7C"/>
    <w:rsid w:val="004E2ED7"/>
    <w:rsid w:val="004E4048"/>
    <w:rsid w:val="004E58B7"/>
    <w:rsid w:val="004E67F3"/>
    <w:rsid w:val="004E723D"/>
    <w:rsid w:val="004F0A42"/>
    <w:rsid w:val="004F7BFC"/>
    <w:rsid w:val="0050082D"/>
    <w:rsid w:val="005012F2"/>
    <w:rsid w:val="005030EA"/>
    <w:rsid w:val="00503480"/>
    <w:rsid w:val="00503A20"/>
    <w:rsid w:val="00504604"/>
    <w:rsid w:val="00504CB4"/>
    <w:rsid w:val="00504FFF"/>
    <w:rsid w:val="005079C1"/>
    <w:rsid w:val="00510468"/>
    <w:rsid w:val="005106CB"/>
    <w:rsid w:val="00512197"/>
    <w:rsid w:val="00516C79"/>
    <w:rsid w:val="00516C7A"/>
    <w:rsid w:val="00516EA8"/>
    <w:rsid w:val="00520D2C"/>
    <w:rsid w:val="00521CF1"/>
    <w:rsid w:val="0052378E"/>
    <w:rsid w:val="0052436B"/>
    <w:rsid w:val="00524A7F"/>
    <w:rsid w:val="00526DAE"/>
    <w:rsid w:val="00527770"/>
    <w:rsid w:val="00530376"/>
    <w:rsid w:val="00530C36"/>
    <w:rsid w:val="00531AA5"/>
    <w:rsid w:val="005328CB"/>
    <w:rsid w:val="0053388F"/>
    <w:rsid w:val="00533AD8"/>
    <w:rsid w:val="00537160"/>
    <w:rsid w:val="0053735E"/>
    <w:rsid w:val="0053798E"/>
    <w:rsid w:val="00537E55"/>
    <w:rsid w:val="0054037A"/>
    <w:rsid w:val="0054101C"/>
    <w:rsid w:val="0054599D"/>
    <w:rsid w:val="00546F03"/>
    <w:rsid w:val="00547537"/>
    <w:rsid w:val="00547C69"/>
    <w:rsid w:val="00547CEF"/>
    <w:rsid w:val="00547FEB"/>
    <w:rsid w:val="00550434"/>
    <w:rsid w:val="005504AA"/>
    <w:rsid w:val="005511D3"/>
    <w:rsid w:val="00551CDB"/>
    <w:rsid w:val="00552687"/>
    <w:rsid w:val="005537CB"/>
    <w:rsid w:val="005554FF"/>
    <w:rsid w:val="005566F5"/>
    <w:rsid w:val="005567FB"/>
    <w:rsid w:val="00557773"/>
    <w:rsid w:val="00561718"/>
    <w:rsid w:val="00561ED3"/>
    <w:rsid w:val="005622BC"/>
    <w:rsid w:val="00562AAF"/>
    <w:rsid w:val="005632FD"/>
    <w:rsid w:val="00563CFC"/>
    <w:rsid w:val="00565FE9"/>
    <w:rsid w:val="00566F82"/>
    <w:rsid w:val="00570652"/>
    <w:rsid w:val="0057126F"/>
    <w:rsid w:val="005726A7"/>
    <w:rsid w:val="00572DDB"/>
    <w:rsid w:val="005733D0"/>
    <w:rsid w:val="00573799"/>
    <w:rsid w:val="00575BEC"/>
    <w:rsid w:val="0058003B"/>
    <w:rsid w:val="00585E33"/>
    <w:rsid w:val="00587370"/>
    <w:rsid w:val="0059056F"/>
    <w:rsid w:val="00590A5F"/>
    <w:rsid w:val="005912AD"/>
    <w:rsid w:val="00591D86"/>
    <w:rsid w:val="005937BB"/>
    <w:rsid w:val="00594174"/>
    <w:rsid w:val="00596014"/>
    <w:rsid w:val="005967EC"/>
    <w:rsid w:val="005A28F6"/>
    <w:rsid w:val="005A292F"/>
    <w:rsid w:val="005A34F7"/>
    <w:rsid w:val="005A368A"/>
    <w:rsid w:val="005A44FC"/>
    <w:rsid w:val="005A53F4"/>
    <w:rsid w:val="005A54C2"/>
    <w:rsid w:val="005A5798"/>
    <w:rsid w:val="005B13A9"/>
    <w:rsid w:val="005B1DC7"/>
    <w:rsid w:val="005B28BF"/>
    <w:rsid w:val="005B2FE1"/>
    <w:rsid w:val="005B42DB"/>
    <w:rsid w:val="005B4AB2"/>
    <w:rsid w:val="005B54A9"/>
    <w:rsid w:val="005B5BD8"/>
    <w:rsid w:val="005B608C"/>
    <w:rsid w:val="005C0646"/>
    <w:rsid w:val="005C07A3"/>
    <w:rsid w:val="005C45CD"/>
    <w:rsid w:val="005C5203"/>
    <w:rsid w:val="005C59FF"/>
    <w:rsid w:val="005C5FAC"/>
    <w:rsid w:val="005C6A69"/>
    <w:rsid w:val="005C7BFC"/>
    <w:rsid w:val="005D1E28"/>
    <w:rsid w:val="005D312E"/>
    <w:rsid w:val="005D4E2A"/>
    <w:rsid w:val="005D6B81"/>
    <w:rsid w:val="005E03D1"/>
    <w:rsid w:val="005E173C"/>
    <w:rsid w:val="005E1A4F"/>
    <w:rsid w:val="005E2198"/>
    <w:rsid w:val="005E28EF"/>
    <w:rsid w:val="005E49B9"/>
    <w:rsid w:val="005E5ADB"/>
    <w:rsid w:val="005E6231"/>
    <w:rsid w:val="005E6C6C"/>
    <w:rsid w:val="005E77EF"/>
    <w:rsid w:val="005F0BD2"/>
    <w:rsid w:val="005F12BF"/>
    <w:rsid w:val="005F23E3"/>
    <w:rsid w:val="005F448E"/>
    <w:rsid w:val="005F5785"/>
    <w:rsid w:val="005F5B5D"/>
    <w:rsid w:val="005F67DF"/>
    <w:rsid w:val="005F72D7"/>
    <w:rsid w:val="006000BA"/>
    <w:rsid w:val="00600B58"/>
    <w:rsid w:val="0060203E"/>
    <w:rsid w:val="00602D4F"/>
    <w:rsid w:val="00605CBF"/>
    <w:rsid w:val="006064B3"/>
    <w:rsid w:val="00606E47"/>
    <w:rsid w:val="006100EB"/>
    <w:rsid w:val="00610415"/>
    <w:rsid w:val="006119DA"/>
    <w:rsid w:val="00613037"/>
    <w:rsid w:val="00613F28"/>
    <w:rsid w:val="00614CE0"/>
    <w:rsid w:val="0061540F"/>
    <w:rsid w:val="00616B6D"/>
    <w:rsid w:val="00616DAA"/>
    <w:rsid w:val="006218B9"/>
    <w:rsid w:val="00623CD9"/>
    <w:rsid w:val="00623D3B"/>
    <w:rsid w:val="006249FC"/>
    <w:rsid w:val="00624D15"/>
    <w:rsid w:val="00624E79"/>
    <w:rsid w:val="00626DBA"/>
    <w:rsid w:val="00630DB3"/>
    <w:rsid w:val="00630F45"/>
    <w:rsid w:val="00631723"/>
    <w:rsid w:val="00632046"/>
    <w:rsid w:val="00633477"/>
    <w:rsid w:val="00633576"/>
    <w:rsid w:val="00634822"/>
    <w:rsid w:val="006349C2"/>
    <w:rsid w:val="00634C56"/>
    <w:rsid w:val="006363BB"/>
    <w:rsid w:val="00636E01"/>
    <w:rsid w:val="00640069"/>
    <w:rsid w:val="0064054C"/>
    <w:rsid w:val="00641DAF"/>
    <w:rsid w:val="00644FEC"/>
    <w:rsid w:val="00645C32"/>
    <w:rsid w:val="00646B0E"/>
    <w:rsid w:val="00646B49"/>
    <w:rsid w:val="00647468"/>
    <w:rsid w:val="0065062B"/>
    <w:rsid w:val="00651B62"/>
    <w:rsid w:val="0065225D"/>
    <w:rsid w:val="0065377C"/>
    <w:rsid w:val="006544A2"/>
    <w:rsid w:val="0065531B"/>
    <w:rsid w:val="00656E9E"/>
    <w:rsid w:val="0065740C"/>
    <w:rsid w:val="00661A81"/>
    <w:rsid w:val="00666D87"/>
    <w:rsid w:val="00666F38"/>
    <w:rsid w:val="00673840"/>
    <w:rsid w:val="006749A2"/>
    <w:rsid w:val="006766DB"/>
    <w:rsid w:val="00676DAE"/>
    <w:rsid w:val="00676DF2"/>
    <w:rsid w:val="00677BB6"/>
    <w:rsid w:val="006807A6"/>
    <w:rsid w:val="00682FB5"/>
    <w:rsid w:val="00683CF5"/>
    <w:rsid w:val="00684058"/>
    <w:rsid w:val="00684D4F"/>
    <w:rsid w:val="0068502B"/>
    <w:rsid w:val="006866E0"/>
    <w:rsid w:val="00686F71"/>
    <w:rsid w:val="00687165"/>
    <w:rsid w:val="00687EAC"/>
    <w:rsid w:val="00690303"/>
    <w:rsid w:val="00690A63"/>
    <w:rsid w:val="0069195C"/>
    <w:rsid w:val="00692715"/>
    <w:rsid w:val="0069542E"/>
    <w:rsid w:val="0069618C"/>
    <w:rsid w:val="006A0442"/>
    <w:rsid w:val="006A1D59"/>
    <w:rsid w:val="006A2882"/>
    <w:rsid w:val="006A3E20"/>
    <w:rsid w:val="006A3F29"/>
    <w:rsid w:val="006A6BC2"/>
    <w:rsid w:val="006A6F37"/>
    <w:rsid w:val="006B07B5"/>
    <w:rsid w:val="006B0D36"/>
    <w:rsid w:val="006B136B"/>
    <w:rsid w:val="006B2217"/>
    <w:rsid w:val="006B23C4"/>
    <w:rsid w:val="006B546A"/>
    <w:rsid w:val="006B5663"/>
    <w:rsid w:val="006B72EA"/>
    <w:rsid w:val="006B7326"/>
    <w:rsid w:val="006B7512"/>
    <w:rsid w:val="006B7B90"/>
    <w:rsid w:val="006C18CE"/>
    <w:rsid w:val="006C25CF"/>
    <w:rsid w:val="006C3950"/>
    <w:rsid w:val="006C6095"/>
    <w:rsid w:val="006C640C"/>
    <w:rsid w:val="006C641D"/>
    <w:rsid w:val="006C6ACB"/>
    <w:rsid w:val="006D0306"/>
    <w:rsid w:val="006D03AB"/>
    <w:rsid w:val="006D1C0B"/>
    <w:rsid w:val="006D4863"/>
    <w:rsid w:val="006D5033"/>
    <w:rsid w:val="006D51B4"/>
    <w:rsid w:val="006D7A11"/>
    <w:rsid w:val="006E0239"/>
    <w:rsid w:val="006E0C41"/>
    <w:rsid w:val="006E2320"/>
    <w:rsid w:val="006E469C"/>
    <w:rsid w:val="006E4B6F"/>
    <w:rsid w:val="006E66C2"/>
    <w:rsid w:val="006E72B0"/>
    <w:rsid w:val="006F035D"/>
    <w:rsid w:val="006F06AF"/>
    <w:rsid w:val="006F0C78"/>
    <w:rsid w:val="006F1159"/>
    <w:rsid w:val="006F216C"/>
    <w:rsid w:val="006F24D7"/>
    <w:rsid w:val="007053AB"/>
    <w:rsid w:val="007059EE"/>
    <w:rsid w:val="00707458"/>
    <w:rsid w:val="00707466"/>
    <w:rsid w:val="007078AE"/>
    <w:rsid w:val="00710C35"/>
    <w:rsid w:val="007129CC"/>
    <w:rsid w:val="007169A7"/>
    <w:rsid w:val="0071721B"/>
    <w:rsid w:val="00717ECD"/>
    <w:rsid w:val="00720832"/>
    <w:rsid w:val="00720977"/>
    <w:rsid w:val="00721987"/>
    <w:rsid w:val="00724A49"/>
    <w:rsid w:val="0072539F"/>
    <w:rsid w:val="007265DC"/>
    <w:rsid w:val="00727AF3"/>
    <w:rsid w:val="00727C57"/>
    <w:rsid w:val="00735072"/>
    <w:rsid w:val="00737A22"/>
    <w:rsid w:val="00742009"/>
    <w:rsid w:val="007423C8"/>
    <w:rsid w:val="0074289F"/>
    <w:rsid w:val="00743592"/>
    <w:rsid w:val="007440E5"/>
    <w:rsid w:val="00744A4D"/>
    <w:rsid w:val="00745BEA"/>
    <w:rsid w:val="0074637A"/>
    <w:rsid w:val="00746694"/>
    <w:rsid w:val="00746C50"/>
    <w:rsid w:val="00746E87"/>
    <w:rsid w:val="00751387"/>
    <w:rsid w:val="00753CF1"/>
    <w:rsid w:val="007549FA"/>
    <w:rsid w:val="007552B8"/>
    <w:rsid w:val="00755BF2"/>
    <w:rsid w:val="00755CCC"/>
    <w:rsid w:val="007562DC"/>
    <w:rsid w:val="00760619"/>
    <w:rsid w:val="00760653"/>
    <w:rsid w:val="00761A25"/>
    <w:rsid w:val="00762453"/>
    <w:rsid w:val="007625B5"/>
    <w:rsid w:val="00762944"/>
    <w:rsid w:val="00762BA4"/>
    <w:rsid w:val="007630C4"/>
    <w:rsid w:val="007632FB"/>
    <w:rsid w:val="00764409"/>
    <w:rsid w:val="00764F11"/>
    <w:rsid w:val="0076516D"/>
    <w:rsid w:val="0076638A"/>
    <w:rsid w:val="00766DCF"/>
    <w:rsid w:val="0076783A"/>
    <w:rsid w:val="00770B75"/>
    <w:rsid w:val="00770CEA"/>
    <w:rsid w:val="007729B5"/>
    <w:rsid w:val="007732BC"/>
    <w:rsid w:val="00774FCD"/>
    <w:rsid w:val="007757D5"/>
    <w:rsid w:val="00776F91"/>
    <w:rsid w:val="007812B9"/>
    <w:rsid w:val="00782693"/>
    <w:rsid w:val="0078337F"/>
    <w:rsid w:val="00783D53"/>
    <w:rsid w:val="00783DF3"/>
    <w:rsid w:val="00784472"/>
    <w:rsid w:val="007844CB"/>
    <w:rsid w:val="00786F84"/>
    <w:rsid w:val="00787331"/>
    <w:rsid w:val="007904DE"/>
    <w:rsid w:val="00790672"/>
    <w:rsid w:val="00793485"/>
    <w:rsid w:val="007934F0"/>
    <w:rsid w:val="007A3BD9"/>
    <w:rsid w:val="007A3E34"/>
    <w:rsid w:val="007A48C6"/>
    <w:rsid w:val="007A48E9"/>
    <w:rsid w:val="007A53CC"/>
    <w:rsid w:val="007A5FA0"/>
    <w:rsid w:val="007B05EF"/>
    <w:rsid w:val="007B113B"/>
    <w:rsid w:val="007B2ECB"/>
    <w:rsid w:val="007B3D99"/>
    <w:rsid w:val="007B4364"/>
    <w:rsid w:val="007B4A72"/>
    <w:rsid w:val="007B74E1"/>
    <w:rsid w:val="007B7C20"/>
    <w:rsid w:val="007C03AE"/>
    <w:rsid w:val="007C1468"/>
    <w:rsid w:val="007C17C1"/>
    <w:rsid w:val="007C1C98"/>
    <w:rsid w:val="007C44DF"/>
    <w:rsid w:val="007C6269"/>
    <w:rsid w:val="007C77F8"/>
    <w:rsid w:val="007D34D9"/>
    <w:rsid w:val="007D6876"/>
    <w:rsid w:val="007D6F95"/>
    <w:rsid w:val="007E16D7"/>
    <w:rsid w:val="007E2CCA"/>
    <w:rsid w:val="007E3658"/>
    <w:rsid w:val="007E696C"/>
    <w:rsid w:val="007F0BB8"/>
    <w:rsid w:val="007F3627"/>
    <w:rsid w:val="007F4B20"/>
    <w:rsid w:val="007F5DAC"/>
    <w:rsid w:val="007F5E43"/>
    <w:rsid w:val="007F7177"/>
    <w:rsid w:val="0080011F"/>
    <w:rsid w:val="00802C6B"/>
    <w:rsid w:val="00803A12"/>
    <w:rsid w:val="00804EB0"/>
    <w:rsid w:val="00805F36"/>
    <w:rsid w:val="00806353"/>
    <w:rsid w:val="00810047"/>
    <w:rsid w:val="00812CAC"/>
    <w:rsid w:val="008134E3"/>
    <w:rsid w:val="00817093"/>
    <w:rsid w:val="008173D4"/>
    <w:rsid w:val="0082181F"/>
    <w:rsid w:val="008224F8"/>
    <w:rsid w:val="008229C0"/>
    <w:rsid w:val="00822A10"/>
    <w:rsid w:val="00823746"/>
    <w:rsid w:val="00824D2D"/>
    <w:rsid w:val="00826348"/>
    <w:rsid w:val="00826D5D"/>
    <w:rsid w:val="00827118"/>
    <w:rsid w:val="00827BC1"/>
    <w:rsid w:val="00827C78"/>
    <w:rsid w:val="00827E1B"/>
    <w:rsid w:val="00830540"/>
    <w:rsid w:val="008310FF"/>
    <w:rsid w:val="00831638"/>
    <w:rsid w:val="00831678"/>
    <w:rsid w:val="00835532"/>
    <w:rsid w:val="00835984"/>
    <w:rsid w:val="00835CD4"/>
    <w:rsid w:val="008366D9"/>
    <w:rsid w:val="008418E4"/>
    <w:rsid w:val="00843706"/>
    <w:rsid w:val="00844403"/>
    <w:rsid w:val="00844F0D"/>
    <w:rsid w:val="008459AB"/>
    <w:rsid w:val="00846FE3"/>
    <w:rsid w:val="00850659"/>
    <w:rsid w:val="0085390E"/>
    <w:rsid w:val="008542B7"/>
    <w:rsid w:val="00854BEE"/>
    <w:rsid w:val="008552E0"/>
    <w:rsid w:val="008562A5"/>
    <w:rsid w:val="00856995"/>
    <w:rsid w:val="00857890"/>
    <w:rsid w:val="00860134"/>
    <w:rsid w:val="00860968"/>
    <w:rsid w:val="00861891"/>
    <w:rsid w:val="00861EBA"/>
    <w:rsid w:val="0086204D"/>
    <w:rsid w:val="00863100"/>
    <w:rsid w:val="008631B0"/>
    <w:rsid w:val="008638DA"/>
    <w:rsid w:val="008645FE"/>
    <w:rsid w:val="00864CEF"/>
    <w:rsid w:val="0086612E"/>
    <w:rsid w:val="00870374"/>
    <w:rsid w:val="00872EEA"/>
    <w:rsid w:val="00873AB2"/>
    <w:rsid w:val="0087564F"/>
    <w:rsid w:val="008756BE"/>
    <w:rsid w:val="00876225"/>
    <w:rsid w:val="0088103D"/>
    <w:rsid w:val="00881F9E"/>
    <w:rsid w:val="00882340"/>
    <w:rsid w:val="008826BC"/>
    <w:rsid w:val="008829F9"/>
    <w:rsid w:val="008860ED"/>
    <w:rsid w:val="0089188B"/>
    <w:rsid w:val="00892E63"/>
    <w:rsid w:val="008938BC"/>
    <w:rsid w:val="00893FC2"/>
    <w:rsid w:val="0089513A"/>
    <w:rsid w:val="008A07D2"/>
    <w:rsid w:val="008A4796"/>
    <w:rsid w:val="008A5830"/>
    <w:rsid w:val="008B2BD0"/>
    <w:rsid w:val="008B2CEE"/>
    <w:rsid w:val="008B2FE8"/>
    <w:rsid w:val="008B32B3"/>
    <w:rsid w:val="008B4198"/>
    <w:rsid w:val="008B489D"/>
    <w:rsid w:val="008B51C4"/>
    <w:rsid w:val="008B6606"/>
    <w:rsid w:val="008B7456"/>
    <w:rsid w:val="008B79F2"/>
    <w:rsid w:val="008C0576"/>
    <w:rsid w:val="008C0A76"/>
    <w:rsid w:val="008C0A7E"/>
    <w:rsid w:val="008C0C43"/>
    <w:rsid w:val="008C1000"/>
    <w:rsid w:val="008C3D82"/>
    <w:rsid w:val="008C4CB5"/>
    <w:rsid w:val="008C4CBA"/>
    <w:rsid w:val="008C51F1"/>
    <w:rsid w:val="008C56F4"/>
    <w:rsid w:val="008C66B7"/>
    <w:rsid w:val="008C7824"/>
    <w:rsid w:val="008C7D8A"/>
    <w:rsid w:val="008D19D7"/>
    <w:rsid w:val="008D5355"/>
    <w:rsid w:val="008D7188"/>
    <w:rsid w:val="008D7CDC"/>
    <w:rsid w:val="008E115F"/>
    <w:rsid w:val="008E4486"/>
    <w:rsid w:val="008E7653"/>
    <w:rsid w:val="008F279F"/>
    <w:rsid w:val="008F41D9"/>
    <w:rsid w:val="008F54D3"/>
    <w:rsid w:val="008F76B4"/>
    <w:rsid w:val="00904EBD"/>
    <w:rsid w:val="00905457"/>
    <w:rsid w:val="00907542"/>
    <w:rsid w:val="00907CFF"/>
    <w:rsid w:val="0091241A"/>
    <w:rsid w:val="00912CE9"/>
    <w:rsid w:val="009157D3"/>
    <w:rsid w:val="00916681"/>
    <w:rsid w:val="00917002"/>
    <w:rsid w:val="00920B26"/>
    <w:rsid w:val="0092171E"/>
    <w:rsid w:val="00922EBF"/>
    <w:rsid w:val="009241B8"/>
    <w:rsid w:val="009251ED"/>
    <w:rsid w:val="009259F7"/>
    <w:rsid w:val="009309DD"/>
    <w:rsid w:val="00931007"/>
    <w:rsid w:val="00932008"/>
    <w:rsid w:val="00932AB4"/>
    <w:rsid w:val="00934036"/>
    <w:rsid w:val="00935C8A"/>
    <w:rsid w:val="00935D1E"/>
    <w:rsid w:val="009373B8"/>
    <w:rsid w:val="00937A3E"/>
    <w:rsid w:val="00940382"/>
    <w:rsid w:val="00940492"/>
    <w:rsid w:val="0094076A"/>
    <w:rsid w:val="009407C9"/>
    <w:rsid w:val="00940E67"/>
    <w:rsid w:val="00942901"/>
    <w:rsid w:val="009439D2"/>
    <w:rsid w:val="00944329"/>
    <w:rsid w:val="00945E38"/>
    <w:rsid w:val="00946F7B"/>
    <w:rsid w:val="00947027"/>
    <w:rsid w:val="00952A35"/>
    <w:rsid w:val="00954B02"/>
    <w:rsid w:val="00955976"/>
    <w:rsid w:val="00956BE6"/>
    <w:rsid w:val="0095783E"/>
    <w:rsid w:val="00960495"/>
    <w:rsid w:val="0096110B"/>
    <w:rsid w:val="00962300"/>
    <w:rsid w:val="00962439"/>
    <w:rsid w:val="00962673"/>
    <w:rsid w:val="009626F7"/>
    <w:rsid w:val="00964376"/>
    <w:rsid w:val="00964B46"/>
    <w:rsid w:val="009669F6"/>
    <w:rsid w:val="00970025"/>
    <w:rsid w:val="00970AE3"/>
    <w:rsid w:val="00971AEE"/>
    <w:rsid w:val="00972594"/>
    <w:rsid w:val="00972897"/>
    <w:rsid w:val="00972B12"/>
    <w:rsid w:val="00974C7B"/>
    <w:rsid w:val="00975185"/>
    <w:rsid w:val="00976FD5"/>
    <w:rsid w:val="00977616"/>
    <w:rsid w:val="0098361A"/>
    <w:rsid w:val="009836B2"/>
    <w:rsid w:val="0098470B"/>
    <w:rsid w:val="00984AC0"/>
    <w:rsid w:val="00986AB2"/>
    <w:rsid w:val="00994597"/>
    <w:rsid w:val="00995F0C"/>
    <w:rsid w:val="00996119"/>
    <w:rsid w:val="00996431"/>
    <w:rsid w:val="00996DAE"/>
    <w:rsid w:val="009A5621"/>
    <w:rsid w:val="009A586A"/>
    <w:rsid w:val="009A5DC0"/>
    <w:rsid w:val="009A6F47"/>
    <w:rsid w:val="009B1E15"/>
    <w:rsid w:val="009B2C5C"/>
    <w:rsid w:val="009B3333"/>
    <w:rsid w:val="009B5B7A"/>
    <w:rsid w:val="009C1C45"/>
    <w:rsid w:val="009C3C5E"/>
    <w:rsid w:val="009C43F6"/>
    <w:rsid w:val="009C4C9E"/>
    <w:rsid w:val="009C59D7"/>
    <w:rsid w:val="009C5FFC"/>
    <w:rsid w:val="009D44DE"/>
    <w:rsid w:val="009D555F"/>
    <w:rsid w:val="009D59BE"/>
    <w:rsid w:val="009D7F56"/>
    <w:rsid w:val="009E0BCE"/>
    <w:rsid w:val="009E4D14"/>
    <w:rsid w:val="009E5055"/>
    <w:rsid w:val="009E55E6"/>
    <w:rsid w:val="009E5E8D"/>
    <w:rsid w:val="009E687D"/>
    <w:rsid w:val="009E6A5F"/>
    <w:rsid w:val="009E7F2F"/>
    <w:rsid w:val="009F0866"/>
    <w:rsid w:val="009F4E8C"/>
    <w:rsid w:val="009F6062"/>
    <w:rsid w:val="009F62A5"/>
    <w:rsid w:val="009F6356"/>
    <w:rsid w:val="009F7E66"/>
    <w:rsid w:val="00A00009"/>
    <w:rsid w:val="00A026A1"/>
    <w:rsid w:val="00A039B1"/>
    <w:rsid w:val="00A0447C"/>
    <w:rsid w:val="00A07C6C"/>
    <w:rsid w:val="00A130D9"/>
    <w:rsid w:val="00A15DD7"/>
    <w:rsid w:val="00A17384"/>
    <w:rsid w:val="00A17AEB"/>
    <w:rsid w:val="00A17E59"/>
    <w:rsid w:val="00A2056A"/>
    <w:rsid w:val="00A21D9F"/>
    <w:rsid w:val="00A2292B"/>
    <w:rsid w:val="00A22D64"/>
    <w:rsid w:val="00A22F0F"/>
    <w:rsid w:val="00A24494"/>
    <w:rsid w:val="00A25BAB"/>
    <w:rsid w:val="00A25FC0"/>
    <w:rsid w:val="00A270CF"/>
    <w:rsid w:val="00A2775A"/>
    <w:rsid w:val="00A322EA"/>
    <w:rsid w:val="00A331CB"/>
    <w:rsid w:val="00A33B2F"/>
    <w:rsid w:val="00A33E9C"/>
    <w:rsid w:val="00A343B8"/>
    <w:rsid w:val="00A35377"/>
    <w:rsid w:val="00A35953"/>
    <w:rsid w:val="00A401C1"/>
    <w:rsid w:val="00A40622"/>
    <w:rsid w:val="00A4064A"/>
    <w:rsid w:val="00A41C2B"/>
    <w:rsid w:val="00A426B1"/>
    <w:rsid w:val="00A43B3A"/>
    <w:rsid w:val="00A454C7"/>
    <w:rsid w:val="00A47B4D"/>
    <w:rsid w:val="00A519EF"/>
    <w:rsid w:val="00A544BF"/>
    <w:rsid w:val="00A569FF"/>
    <w:rsid w:val="00A578EF"/>
    <w:rsid w:val="00A621ED"/>
    <w:rsid w:val="00A6371C"/>
    <w:rsid w:val="00A64043"/>
    <w:rsid w:val="00A64238"/>
    <w:rsid w:val="00A64722"/>
    <w:rsid w:val="00A6480D"/>
    <w:rsid w:val="00A64F74"/>
    <w:rsid w:val="00A65253"/>
    <w:rsid w:val="00A666DC"/>
    <w:rsid w:val="00A67D91"/>
    <w:rsid w:val="00A71EA8"/>
    <w:rsid w:val="00A729CC"/>
    <w:rsid w:val="00A732F5"/>
    <w:rsid w:val="00A76512"/>
    <w:rsid w:val="00A76F71"/>
    <w:rsid w:val="00A77FD4"/>
    <w:rsid w:val="00A82092"/>
    <w:rsid w:val="00A82661"/>
    <w:rsid w:val="00A82C26"/>
    <w:rsid w:val="00A830B2"/>
    <w:rsid w:val="00A83285"/>
    <w:rsid w:val="00A838A2"/>
    <w:rsid w:val="00A83B8F"/>
    <w:rsid w:val="00A84E31"/>
    <w:rsid w:val="00A85AD1"/>
    <w:rsid w:val="00A85DDD"/>
    <w:rsid w:val="00A8639E"/>
    <w:rsid w:val="00A91637"/>
    <w:rsid w:val="00A91C7A"/>
    <w:rsid w:val="00A93227"/>
    <w:rsid w:val="00A939E9"/>
    <w:rsid w:val="00A9585B"/>
    <w:rsid w:val="00A97543"/>
    <w:rsid w:val="00A97F61"/>
    <w:rsid w:val="00AA0B5C"/>
    <w:rsid w:val="00AA22B1"/>
    <w:rsid w:val="00AA4158"/>
    <w:rsid w:val="00AA4504"/>
    <w:rsid w:val="00AA5537"/>
    <w:rsid w:val="00AA6410"/>
    <w:rsid w:val="00AA6B8C"/>
    <w:rsid w:val="00AB07D0"/>
    <w:rsid w:val="00AB313F"/>
    <w:rsid w:val="00AB3AA3"/>
    <w:rsid w:val="00AB7C9D"/>
    <w:rsid w:val="00AC19AD"/>
    <w:rsid w:val="00AC2F54"/>
    <w:rsid w:val="00AC30C1"/>
    <w:rsid w:val="00AC3461"/>
    <w:rsid w:val="00AC3D6F"/>
    <w:rsid w:val="00AC7B56"/>
    <w:rsid w:val="00AD2800"/>
    <w:rsid w:val="00AD2930"/>
    <w:rsid w:val="00AD3D05"/>
    <w:rsid w:val="00AD6AC8"/>
    <w:rsid w:val="00AD6B77"/>
    <w:rsid w:val="00AE00CF"/>
    <w:rsid w:val="00AE2B3D"/>
    <w:rsid w:val="00AE3A4B"/>
    <w:rsid w:val="00AF2C9B"/>
    <w:rsid w:val="00AF358B"/>
    <w:rsid w:val="00AF4E2C"/>
    <w:rsid w:val="00AF5622"/>
    <w:rsid w:val="00AF5BFC"/>
    <w:rsid w:val="00AF6BA3"/>
    <w:rsid w:val="00B002D7"/>
    <w:rsid w:val="00B016AB"/>
    <w:rsid w:val="00B017F4"/>
    <w:rsid w:val="00B01B0E"/>
    <w:rsid w:val="00B03855"/>
    <w:rsid w:val="00B05626"/>
    <w:rsid w:val="00B07652"/>
    <w:rsid w:val="00B0776F"/>
    <w:rsid w:val="00B1497C"/>
    <w:rsid w:val="00B1742A"/>
    <w:rsid w:val="00B20273"/>
    <w:rsid w:val="00B21003"/>
    <w:rsid w:val="00B21AB0"/>
    <w:rsid w:val="00B2217F"/>
    <w:rsid w:val="00B26F51"/>
    <w:rsid w:val="00B27024"/>
    <w:rsid w:val="00B275C4"/>
    <w:rsid w:val="00B33166"/>
    <w:rsid w:val="00B33BA4"/>
    <w:rsid w:val="00B371B6"/>
    <w:rsid w:val="00B40BED"/>
    <w:rsid w:val="00B42266"/>
    <w:rsid w:val="00B423B4"/>
    <w:rsid w:val="00B43734"/>
    <w:rsid w:val="00B4621C"/>
    <w:rsid w:val="00B46C1B"/>
    <w:rsid w:val="00B47EDD"/>
    <w:rsid w:val="00B516EB"/>
    <w:rsid w:val="00B51819"/>
    <w:rsid w:val="00B51CF9"/>
    <w:rsid w:val="00B52030"/>
    <w:rsid w:val="00B52219"/>
    <w:rsid w:val="00B52D25"/>
    <w:rsid w:val="00B54E12"/>
    <w:rsid w:val="00B55714"/>
    <w:rsid w:val="00B55BFB"/>
    <w:rsid w:val="00B55D5F"/>
    <w:rsid w:val="00B57784"/>
    <w:rsid w:val="00B607FC"/>
    <w:rsid w:val="00B61FFB"/>
    <w:rsid w:val="00B630CF"/>
    <w:rsid w:val="00B648B1"/>
    <w:rsid w:val="00B65D75"/>
    <w:rsid w:val="00B677EC"/>
    <w:rsid w:val="00B70CD7"/>
    <w:rsid w:val="00B7207F"/>
    <w:rsid w:val="00B72D2E"/>
    <w:rsid w:val="00B74076"/>
    <w:rsid w:val="00B74CD6"/>
    <w:rsid w:val="00B74FA5"/>
    <w:rsid w:val="00B764BA"/>
    <w:rsid w:val="00B76C33"/>
    <w:rsid w:val="00B82C99"/>
    <w:rsid w:val="00B83934"/>
    <w:rsid w:val="00B84A02"/>
    <w:rsid w:val="00B84C13"/>
    <w:rsid w:val="00B84D86"/>
    <w:rsid w:val="00B872BF"/>
    <w:rsid w:val="00B9136E"/>
    <w:rsid w:val="00B922B7"/>
    <w:rsid w:val="00B9520A"/>
    <w:rsid w:val="00B95A37"/>
    <w:rsid w:val="00B960F9"/>
    <w:rsid w:val="00BA0DEA"/>
    <w:rsid w:val="00BA4E52"/>
    <w:rsid w:val="00BA5B9A"/>
    <w:rsid w:val="00BA6F6D"/>
    <w:rsid w:val="00BB4134"/>
    <w:rsid w:val="00BB42EB"/>
    <w:rsid w:val="00BB4B1C"/>
    <w:rsid w:val="00BB4C86"/>
    <w:rsid w:val="00BB79B3"/>
    <w:rsid w:val="00BB7FE3"/>
    <w:rsid w:val="00BC05F8"/>
    <w:rsid w:val="00BC154E"/>
    <w:rsid w:val="00BC17BC"/>
    <w:rsid w:val="00BC52EF"/>
    <w:rsid w:val="00BC56C5"/>
    <w:rsid w:val="00BC5E88"/>
    <w:rsid w:val="00BC65FA"/>
    <w:rsid w:val="00BC6B9D"/>
    <w:rsid w:val="00BC6BE1"/>
    <w:rsid w:val="00BC7D6B"/>
    <w:rsid w:val="00BD02A0"/>
    <w:rsid w:val="00BD1115"/>
    <w:rsid w:val="00BD2F3D"/>
    <w:rsid w:val="00BD3DE6"/>
    <w:rsid w:val="00BD3E18"/>
    <w:rsid w:val="00BD46B1"/>
    <w:rsid w:val="00BD51BD"/>
    <w:rsid w:val="00BD5719"/>
    <w:rsid w:val="00BD5B8A"/>
    <w:rsid w:val="00BD5BEE"/>
    <w:rsid w:val="00BE19CD"/>
    <w:rsid w:val="00BE2841"/>
    <w:rsid w:val="00BE30D9"/>
    <w:rsid w:val="00BE30DF"/>
    <w:rsid w:val="00BE7D7F"/>
    <w:rsid w:val="00BF0CA4"/>
    <w:rsid w:val="00BF2F86"/>
    <w:rsid w:val="00BF3DD3"/>
    <w:rsid w:val="00BF474A"/>
    <w:rsid w:val="00BF47E0"/>
    <w:rsid w:val="00BF4A42"/>
    <w:rsid w:val="00BF505C"/>
    <w:rsid w:val="00BF5DD5"/>
    <w:rsid w:val="00BF6950"/>
    <w:rsid w:val="00BF7554"/>
    <w:rsid w:val="00C004D7"/>
    <w:rsid w:val="00C01D69"/>
    <w:rsid w:val="00C01D9E"/>
    <w:rsid w:val="00C0274A"/>
    <w:rsid w:val="00C02EDB"/>
    <w:rsid w:val="00C035B1"/>
    <w:rsid w:val="00C03E67"/>
    <w:rsid w:val="00C03FED"/>
    <w:rsid w:val="00C04898"/>
    <w:rsid w:val="00C0576C"/>
    <w:rsid w:val="00C10FDC"/>
    <w:rsid w:val="00C11E3A"/>
    <w:rsid w:val="00C127F9"/>
    <w:rsid w:val="00C1316F"/>
    <w:rsid w:val="00C13286"/>
    <w:rsid w:val="00C15FBA"/>
    <w:rsid w:val="00C165C8"/>
    <w:rsid w:val="00C166D7"/>
    <w:rsid w:val="00C20532"/>
    <w:rsid w:val="00C244FA"/>
    <w:rsid w:val="00C24EF3"/>
    <w:rsid w:val="00C2608F"/>
    <w:rsid w:val="00C264A3"/>
    <w:rsid w:val="00C30013"/>
    <w:rsid w:val="00C30796"/>
    <w:rsid w:val="00C31232"/>
    <w:rsid w:val="00C32F18"/>
    <w:rsid w:val="00C346A9"/>
    <w:rsid w:val="00C34B8E"/>
    <w:rsid w:val="00C35C29"/>
    <w:rsid w:val="00C36461"/>
    <w:rsid w:val="00C404E1"/>
    <w:rsid w:val="00C40D91"/>
    <w:rsid w:val="00C416F7"/>
    <w:rsid w:val="00C445C8"/>
    <w:rsid w:val="00C458AF"/>
    <w:rsid w:val="00C51460"/>
    <w:rsid w:val="00C52ED8"/>
    <w:rsid w:val="00C5302C"/>
    <w:rsid w:val="00C540ED"/>
    <w:rsid w:val="00C543F3"/>
    <w:rsid w:val="00C56F1A"/>
    <w:rsid w:val="00C5714F"/>
    <w:rsid w:val="00C57394"/>
    <w:rsid w:val="00C612E5"/>
    <w:rsid w:val="00C63C85"/>
    <w:rsid w:val="00C64B20"/>
    <w:rsid w:val="00C64BB8"/>
    <w:rsid w:val="00C6513C"/>
    <w:rsid w:val="00C65792"/>
    <w:rsid w:val="00C65C60"/>
    <w:rsid w:val="00C70372"/>
    <w:rsid w:val="00C716CA"/>
    <w:rsid w:val="00C71BC4"/>
    <w:rsid w:val="00C7281B"/>
    <w:rsid w:val="00C7381A"/>
    <w:rsid w:val="00C74685"/>
    <w:rsid w:val="00C74950"/>
    <w:rsid w:val="00C74E20"/>
    <w:rsid w:val="00C769B9"/>
    <w:rsid w:val="00C77009"/>
    <w:rsid w:val="00C777DC"/>
    <w:rsid w:val="00C80A84"/>
    <w:rsid w:val="00C823CD"/>
    <w:rsid w:val="00C83DCA"/>
    <w:rsid w:val="00C8590F"/>
    <w:rsid w:val="00C85FE1"/>
    <w:rsid w:val="00C86AA4"/>
    <w:rsid w:val="00C91536"/>
    <w:rsid w:val="00C962A9"/>
    <w:rsid w:val="00C96C70"/>
    <w:rsid w:val="00CA379A"/>
    <w:rsid w:val="00CA5F27"/>
    <w:rsid w:val="00CA6B6F"/>
    <w:rsid w:val="00CA6CDD"/>
    <w:rsid w:val="00CA7018"/>
    <w:rsid w:val="00CB038C"/>
    <w:rsid w:val="00CB03D2"/>
    <w:rsid w:val="00CB08F4"/>
    <w:rsid w:val="00CB17F2"/>
    <w:rsid w:val="00CB478F"/>
    <w:rsid w:val="00CB7DAF"/>
    <w:rsid w:val="00CC0238"/>
    <w:rsid w:val="00CC0D50"/>
    <w:rsid w:val="00CC0E21"/>
    <w:rsid w:val="00CC1BAA"/>
    <w:rsid w:val="00CC2A77"/>
    <w:rsid w:val="00CC2E0A"/>
    <w:rsid w:val="00CC2E9D"/>
    <w:rsid w:val="00CC3068"/>
    <w:rsid w:val="00CC5905"/>
    <w:rsid w:val="00CD1407"/>
    <w:rsid w:val="00CD15F8"/>
    <w:rsid w:val="00CD37D1"/>
    <w:rsid w:val="00CD4ED9"/>
    <w:rsid w:val="00CD51B0"/>
    <w:rsid w:val="00CD7FB4"/>
    <w:rsid w:val="00CE1014"/>
    <w:rsid w:val="00CE2B90"/>
    <w:rsid w:val="00CE4180"/>
    <w:rsid w:val="00CE4C1A"/>
    <w:rsid w:val="00CE68D1"/>
    <w:rsid w:val="00CF01CE"/>
    <w:rsid w:val="00CF0B78"/>
    <w:rsid w:val="00CF332F"/>
    <w:rsid w:val="00CF4648"/>
    <w:rsid w:val="00CF46EA"/>
    <w:rsid w:val="00CF5F13"/>
    <w:rsid w:val="00CF7801"/>
    <w:rsid w:val="00D01458"/>
    <w:rsid w:val="00D0595C"/>
    <w:rsid w:val="00D06C78"/>
    <w:rsid w:val="00D07A7C"/>
    <w:rsid w:val="00D10870"/>
    <w:rsid w:val="00D1214C"/>
    <w:rsid w:val="00D135A9"/>
    <w:rsid w:val="00D22BD1"/>
    <w:rsid w:val="00D247AB"/>
    <w:rsid w:val="00D2488F"/>
    <w:rsid w:val="00D26DAE"/>
    <w:rsid w:val="00D31A4A"/>
    <w:rsid w:val="00D343D1"/>
    <w:rsid w:val="00D35714"/>
    <w:rsid w:val="00D37B53"/>
    <w:rsid w:val="00D40397"/>
    <w:rsid w:val="00D40E38"/>
    <w:rsid w:val="00D41842"/>
    <w:rsid w:val="00D43354"/>
    <w:rsid w:val="00D46EF3"/>
    <w:rsid w:val="00D47984"/>
    <w:rsid w:val="00D47AAC"/>
    <w:rsid w:val="00D5182E"/>
    <w:rsid w:val="00D51F66"/>
    <w:rsid w:val="00D56081"/>
    <w:rsid w:val="00D56883"/>
    <w:rsid w:val="00D575C4"/>
    <w:rsid w:val="00D62FF5"/>
    <w:rsid w:val="00D6585C"/>
    <w:rsid w:val="00D675AB"/>
    <w:rsid w:val="00D67639"/>
    <w:rsid w:val="00D70AC9"/>
    <w:rsid w:val="00D70CF5"/>
    <w:rsid w:val="00D72B41"/>
    <w:rsid w:val="00D73D0C"/>
    <w:rsid w:val="00D80AE2"/>
    <w:rsid w:val="00D82731"/>
    <w:rsid w:val="00D82C12"/>
    <w:rsid w:val="00D83FC0"/>
    <w:rsid w:val="00D8767F"/>
    <w:rsid w:val="00D918BC"/>
    <w:rsid w:val="00D9280C"/>
    <w:rsid w:val="00D92CFD"/>
    <w:rsid w:val="00D934E5"/>
    <w:rsid w:val="00D9358B"/>
    <w:rsid w:val="00D938A9"/>
    <w:rsid w:val="00D93F2E"/>
    <w:rsid w:val="00D95571"/>
    <w:rsid w:val="00D95D33"/>
    <w:rsid w:val="00D96A20"/>
    <w:rsid w:val="00D97C27"/>
    <w:rsid w:val="00DA0EAB"/>
    <w:rsid w:val="00DA165F"/>
    <w:rsid w:val="00DA2765"/>
    <w:rsid w:val="00DA2973"/>
    <w:rsid w:val="00DA3B1D"/>
    <w:rsid w:val="00DA52BE"/>
    <w:rsid w:val="00DA743D"/>
    <w:rsid w:val="00DA78D7"/>
    <w:rsid w:val="00DA7A01"/>
    <w:rsid w:val="00DA7F23"/>
    <w:rsid w:val="00DB1EA9"/>
    <w:rsid w:val="00DB282B"/>
    <w:rsid w:val="00DB38CA"/>
    <w:rsid w:val="00DC0AAB"/>
    <w:rsid w:val="00DC1173"/>
    <w:rsid w:val="00DC1A58"/>
    <w:rsid w:val="00DC26CF"/>
    <w:rsid w:val="00DC2F8D"/>
    <w:rsid w:val="00DC41B7"/>
    <w:rsid w:val="00DC61DC"/>
    <w:rsid w:val="00DD024D"/>
    <w:rsid w:val="00DD1BF8"/>
    <w:rsid w:val="00DD3260"/>
    <w:rsid w:val="00DD4F71"/>
    <w:rsid w:val="00DD5C1E"/>
    <w:rsid w:val="00DD7A94"/>
    <w:rsid w:val="00DD7D75"/>
    <w:rsid w:val="00DE2BC2"/>
    <w:rsid w:val="00DE2F0D"/>
    <w:rsid w:val="00DE3245"/>
    <w:rsid w:val="00DE3BD3"/>
    <w:rsid w:val="00DE4C75"/>
    <w:rsid w:val="00DE4DE4"/>
    <w:rsid w:val="00DE5A03"/>
    <w:rsid w:val="00DE629F"/>
    <w:rsid w:val="00DE6AE6"/>
    <w:rsid w:val="00DE6E87"/>
    <w:rsid w:val="00DE77D0"/>
    <w:rsid w:val="00DE7BFD"/>
    <w:rsid w:val="00DF0C25"/>
    <w:rsid w:val="00DF0E8A"/>
    <w:rsid w:val="00DF2AD1"/>
    <w:rsid w:val="00DF44F7"/>
    <w:rsid w:val="00E008D4"/>
    <w:rsid w:val="00E00C04"/>
    <w:rsid w:val="00E010ED"/>
    <w:rsid w:val="00E01DA8"/>
    <w:rsid w:val="00E0241E"/>
    <w:rsid w:val="00E026EF"/>
    <w:rsid w:val="00E02E4D"/>
    <w:rsid w:val="00E036AC"/>
    <w:rsid w:val="00E05F21"/>
    <w:rsid w:val="00E103A9"/>
    <w:rsid w:val="00E11D04"/>
    <w:rsid w:val="00E12289"/>
    <w:rsid w:val="00E1393C"/>
    <w:rsid w:val="00E221A0"/>
    <w:rsid w:val="00E25252"/>
    <w:rsid w:val="00E258C4"/>
    <w:rsid w:val="00E25C6B"/>
    <w:rsid w:val="00E263C8"/>
    <w:rsid w:val="00E30462"/>
    <w:rsid w:val="00E33458"/>
    <w:rsid w:val="00E346BE"/>
    <w:rsid w:val="00E40813"/>
    <w:rsid w:val="00E41D2F"/>
    <w:rsid w:val="00E42B50"/>
    <w:rsid w:val="00E431A5"/>
    <w:rsid w:val="00E43230"/>
    <w:rsid w:val="00E4432E"/>
    <w:rsid w:val="00E44F5C"/>
    <w:rsid w:val="00E4615C"/>
    <w:rsid w:val="00E5022A"/>
    <w:rsid w:val="00E50297"/>
    <w:rsid w:val="00E5075F"/>
    <w:rsid w:val="00E513F3"/>
    <w:rsid w:val="00E51DD1"/>
    <w:rsid w:val="00E521A0"/>
    <w:rsid w:val="00E522F6"/>
    <w:rsid w:val="00E5287F"/>
    <w:rsid w:val="00E52EC4"/>
    <w:rsid w:val="00E56F02"/>
    <w:rsid w:val="00E57743"/>
    <w:rsid w:val="00E60574"/>
    <w:rsid w:val="00E61325"/>
    <w:rsid w:val="00E62331"/>
    <w:rsid w:val="00E6332B"/>
    <w:rsid w:val="00E63E68"/>
    <w:rsid w:val="00E6415E"/>
    <w:rsid w:val="00E656AB"/>
    <w:rsid w:val="00E65C7A"/>
    <w:rsid w:val="00E65EC5"/>
    <w:rsid w:val="00E717C9"/>
    <w:rsid w:val="00E7188F"/>
    <w:rsid w:val="00E7305A"/>
    <w:rsid w:val="00E751BD"/>
    <w:rsid w:val="00E75F10"/>
    <w:rsid w:val="00E771C1"/>
    <w:rsid w:val="00E77F92"/>
    <w:rsid w:val="00E80D7C"/>
    <w:rsid w:val="00E81411"/>
    <w:rsid w:val="00E83139"/>
    <w:rsid w:val="00E84587"/>
    <w:rsid w:val="00E848A8"/>
    <w:rsid w:val="00E84BD9"/>
    <w:rsid w:val="00E869D0"/>
    <w:rsid w:val="00E90E1A"/>
    <w:rsid w:val="00E9142E"/>
    <w:rsid w:val="00E917A5"/>
    <w:rsid w:val="00E92286"/>
    <w:rsid w:val="00E94094"/>
    <w:rsid w:val="00E94E96"/>
    <w:rsid w:val="00EA0E52"/>
    <w:rsid w:val="00EA138F"/>
    <w:rsid w:val="00EA4146"/>
    <w:rsid w:val="00EA4161"/>
    <w:rsid w:val="00EA4549"/>
    <w:rsid w:val="00EA4B0F"/>
    <w:rsid w:val="00EA7294"/>
    <w:rsid w:val="00EA7840"/>
    <w:rsid w:val="00EB06EC"/>
    <w:rsid w:val="00EB16A7"/>
    <w:rsid w:val="00EB1AC5"/>
    <w:rsid w:val="00EB31DF"/>
    <w:rsid w:val="00EB4101"/>
    <w:rsid w:val="00EB5CDC"/>
    <w:rsid w:val="00EB66F3"/>
    <w:rsid w:val="00EB6C76"/>
    <w:rsid w:val="00EB764F"/>
    <w:rsid w:val="00EB79D9"/>
    <w:rsid w:val="00EC0C03"/>
    <w:rsid w:val="00EC3653"/>
    <w:rsid w:val="00EC38C7"/>
    <w:rsid w:val="00EC63B1"/>
    <w:rsid w:val="00EC6F89"/>
    <w:rsid w:val="00ED309D"/>
    <w:rsid w:val="00ED3943"/>
    <w:rsid w:val="00ED485C"/>
    <w:rsid w:val="00ED7050"/>
    <w:rsid w:val="00ED715D"/>
    <w:rsid w:val="00EE0430"/>
    <w:rsid w:val="00EE2775"/>
    <w:rsid w:val="00EE2C21"/>
    <w:rsid w:val="00EE3757"/>
    <w:rsid w:val="00EE390E"/>
    <w:rsid w:val="00EE6EFB"/>
    <w:rsid w:val="00EF1BAE"/>
    <w:rsid w:val="00EF1E3E"/>
    <w:rsid w:val="00EF1F17"/>
    <w:rsid w:val="00EF1F4E"/>
    <w:rsid w:val="00EF3B78"/>
    <w:rsid w:val="00EF3E7A"/>
    <w:rsid w:val="00EF4450"/>
    <w:rsid w:val="00EF4556"/>
    <w:rsid w:val="00EF5F19"/>
    <w:rsid w:val="00EF5FA4"/>
    <w:rsid w:val="00EF64F9"/>
    <w:rsid w:val="00EF683E"/>
    <w:rsid w:val="00F0047F"/>
    <w:rsid w:val="00F00C75"/>
    <w:rsid w:val="00F05432"/>
    <w:rsid w:val="00F0580C"/>
    <w:rsid w:val="00F07FAA"/>
    <w:rsid w:val="00F10EE8"/>
    <w:rsid w:val="00F11054"/>
    <w:rsid w:val="00F12406"/>
    <w:rsid w:val="00F12409"/>
    <w:rsid w:val="00F1457C"/>
    <w:rsid w:val="00F14B1E"/>
    <w:rsid w:val="00F14C92"/>
    <w:rsid w:val="00F15140"/>
    <w:rsid w:val="00F15E10"/>
    <w:rsid w:val="00F16417"/>
    <w:rsid w:val="00F16931"/>
    <w:rsid w:val="00F17C61"/>
    <w:rsid w:val="00F22201"/>
    <w:rsid w:val="00F22A9C"/>
    <w:rsid w:val="00F23E85"/>
    <w:rsid w:val="00F24EF6"/>
    <w:rsid w:val="00F25307"/>
    <w:rsid w:val="00F254B8"/>
    <w:rsid w:val="00F25F54"/>
    <w:rsid w:val="00F27332"/>
    <w:rsid w:val="00F276DC"/>
    <w:rsid w:val="00F317D8"/>
    <w:rsid w:val="00F31829"/>
    <w:rsid w:val="00F31A29"/>
    <w:rsid w:val="00F325C3"/>
    <w:rsid w:val="00F34AC8"/>
    <w:rsid w:val="00F34E74"/>
    <w:rsid w:val="00F35625"/>
    <w:rsid w:val="00F35D55"/>
    <w:rsid w:val="00F35E80"/>
    <w:rsid w:val="00F37962"/>
    <w:rsid w:val="00F40B43"/>
    <w:rsid w:val="00F41847"/>
    <w:rsid w:val="00F43A40"/>
    <w:rsid w:val="00F43EE3"/>
    <w:rsid w:val="00F440E0"/>
    <w:rsid w:val="00F44687"/>
    <w:rsid w:val="00F460C4"/>
    <w:rsid w:val="00F473F6"/>
    <w:rsid w:val="00F4786D"/>
    <w:rsid w:val="00F47C3B"/>
    <w:rsid w:val="00F501DA"/>
    <w:rsid w:val="00F51951"/>
    <w:rsid w:val="00F5263F"/>
    <w:rsid w:val="00F52B00"/>
    <w:rsid w:val="00F544E7"/>
    <w:rsid w:val="00F60DAB"/>
    <w:rsid w:val="00F60F49"/>
    <w:rsid w:val="00F610BA"/>
    <w:rsid w:val="00F6420C"/>
    <w:rsid w:val="00F648E0"/>
    <w:rsid w:val="00F66986"/>
    <w:rsid w:val="00F67200"/>
    <w:rsid w:val="00F6762D"/>
    <w:rsid w:val="00F7368C"/>
    <w:rsid w:val="00F742F3"/>
    <w:rsid w:val="00F74AC6"/>
    <w:rsid w:val="00F74BE3"/>
    <w:rsid w:val="00F76434"/>
    <w:rsid w:val="00F77D08"/>
    <w:rsid w:val="00F80A41"/>
    <w:rsid w:val="00F80E28"/>
    <w:rsid w:val="00F81309"/>
    <w:rsid w:val="00F8592F"/>
    <w:rsid w:val="00F85E7F"/>
    <w:rsid w:val="00F867A6"/>
    <w:rsid w:val="00F87231"/>
    <w:rsid w:val="00F877CB"/>
    <w:rsid w:val="00F87A8A"/>
    <w:rsid w:val="00F90C89"/>
    <w:rsid w:val="00F95785"/>
    <w:rsid w:val="00F95860"/>
    <w:rsid w:val="00F97B51"/>
    <w:rsid w:val="00FA0123"/>
    <w:rsid w:val="00FA0CB4"/>
    <w:rsid w:val="00FA0E02"/>
    <w:rsid w:val="00FA17A4"/>
    <w:rsid w:val="00FA1BCF"/>
    <w:rsid w:val="00FA1C42"/>
    <w:rsid w:val="00FA281A"/>
    <w:rsid w:val="00FA360E"/>
    <w:rsid w:val="00FA3946"/>
    <w:rsid w:val="00FA42D2"/>
    <w:rsid w:val="00FA5956"/>
    <w:rsid w:val="00FA5DD2"/>
    <w:rsid w:val="00FA6DBE"/>
    <w:rsid w:val="00FA7999"/>
    <w:rsid w:val="00FA7DF1"/>
    <w:rsid w:val="00FB13C8"/>
    <w:rsid w:val="00FB2392"/>
    <w:rsid w:val="00FB23AD"/>
    <w:rsid w:val="00FB285B"/>
    <w:rsid w:val="00FB32A1"/>
    <w:rsid w:val="00FB5917"/>
    <w:rsid w:val="00FB5CF2"/>
    <w:rsid w:val="00FB61C1"/>
    <w:rsid w:val="00FB7A6E"/>
    <w:rsid w:val="00FC21AC"/>
    <w:rsid w:val="00FC4083"/>
    <w:rsid w:val="00FC5543"/>
    <w:rsid w:val="00FC7DA1"/>
    <w:rsid w:val="00FD12FB"/>
    <w:rsid w:val="00FD1786"/>
    <w:rsid w:val="00FD17AE"/>
    <w:rsid w:val="00FD1827"/>
    <w:rsid w:val="00FD323B"/>
    <w:rsid w:val="00FD3C33"/>
    <w:rsid w:val="00FD4088"/>
    <w:rsid w:val="00FD539A"/>
    <w:rsid w:val="00FD5E21"/>
    <w:rsid w:val="00FD7789"/>
    <w:rsid w:val="00FE0A0E"/>
    <w:rsid w:val="00FE1EA0"/>
    <w:rsid w:val="00FF1431"/>
    <w:rsid w:val="00FF1CCA"/>
    <w:rsid w:val="00FF32EE"/>
    <w:rsid w:val="00FF34A0"/>
    <w:rsid w:val="00FF5168"/>
    <w:rsid w:val="00FF522D"/>
    <w:rsid w:val="00FF5C1D"/>
    <w:rsid w:val="00FF62A3"/>
    <w:rsid w:val="02A7903D"/>
    <w:rsid w:val="04C186A2"/>
    <w:rsid w:val="0579C168"/>
    <w:rsid w:val="0D423573"/>
    <w:rsid w:val="0EF18B9E"/>
    <w:rsid w:val="1384A933"/>
    <w:rsid w:val="14EC8BA6"/>
    <w:rsid w:val="174DF288"/>
    <w:rsid w:val="1799D9E3"/>
    <w:rsid w:val="19DD530B"/>
    <w:rsid w:val="1A243242"/>
    <w:rsid w:val="1BE68671"/>
    <w:rsid w:val="1C450522"/>
    <w:rsid w:val="1E1FE5E4"/>
    <w:rsid w:val="261E5199"/>
    <w:rsid w:val="2715399F"/>
    <w:rsid w:val="2EE93883"/>
    <w:rsid w:val="2F2021BE"/>
    <w:rsid w:val="2F493364"/>
    <w:rsid w:val="353BDB1E"/>
    <w:rsid w:val="3696A607"/>
    <w:rsid w:val="396799AB"/>
    <w:rsid w:val="39AF35B2"/>
    <w:rsid w:val="39D59BDC"/>
    <w:rsid w:val="3CE1C41D"/>
    <w:rsid w:val="3E23BE3B"/>
    <w:rsid w:val="3F7B4D35"/>
    <w:rsid w:val="4114445C"/>
    <w:rsid w:val="4236F354"/>
    <w:rsid w:val="44D9E359"/>
    <w:rsid w:val="45B87045"/>
    <w:rsid w:val="467CF47C"/>
    <w:rsid w:val="481B172D"/>
    <w:rsid w:val="4A2BD9D4"/>
    <w:rsid w:val="4A674FA6"/>
    <w:rsid w:val="5515E263"/>
    <w:rsid w:val="55C21DB6"/>
    <w:rsid w:val="58248C4A"/>
    <w:rsid w:val="5BE45482"/>
    <w:rsid w:val="5CA61632"/>
    <w:rsid w:val="63770D6F"/>
    <w:rsid w:val="66587C6B"/>
    <w:rsid w:val="677F389E"/>
    <w:rsid w:val="6BC5E753"/>
    <w:rsid w:val="6E1D4675"/>
    <w:rsid w:val="6F87C551"/>
    <w:rsid w:val="6F92085F"/>
    <w:rsid w:val="7236644B"/>
    <w:rsid w:val="723E52E7"/>
    <w:rsid w:val="757EE92B"/>
    <w:rsid w:val="7592A4D9"/>
    <w:rsid w:val="773A15B7"/>
    <w:rsid w:val="7AB0D210"/>
    <w:rsid w:val="7C0BDF7F"/>
    <w:rsid w:val="7E206285"/>
    <w:rsid w:val="7F4E70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0044E3E5"/>
  <w14:defaultImageDpi w14:val="300"/>
  <w15:docId w15:val="{833E27BD-9DCE-4A38-8417-F4BAA6779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SPS"/>
    <w:qFormat/>
    <w:rsid w:val="00F12406"/>
    <w:rPr>
      <w:rFonts w:ascii="Arial" w:hAnsi="Arial"/>
      <w:lang w:val="en-GB"/>
    </w:rPr>
  </w:style>
  <w:style w:type="paragraph" w:styleId="Heading1">
    <w:name w:val="heading 1"/>
    <w:basedOn w:val="Normal"/>
    <w:next w:val="Normal"/>
    <w:link w:val="Heading1Char"/>
    <w:uiPriority w:val="9"/>
    <w:qFormat/>
    <w:rsid w:val="00863100"/>
    <w:pPr>
      <w:keepNext/>
      <w:keepLines/>
      <w:spacing w:before="480"/>
      <w:outlineLvl w:val="0"/>
    </w:pPr>
    <w:rPr>
      <w:rFonts w:eastAsiaTheme="majorEastAsia" w:cstheme="majorBidi"/>
      <w:b/>
      <w:bCs/>
      <w:color w:val="01833E"/>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SPS Header"/>
    <w:basedOn w:val="Normal"/>
    <w:link w:val="HeaderChar"/>
    <w:uiPriority w:val="99"/>
    <w:unhideWhenUsed/>
    <w:rsid w:val="00CE2B90"/>
    <w:pPr>
      <w:tabs>
        <w:tab w:val="center" w:pos="4320"/>
        <w:tab w:val="right" w:pos="8640"/>
      </w:tabs>
    </w:pPr>
    <w:rPr>
      <w:b/>
      <w:color w:val="009D00"/>
      <w:sz w:val="28"/>
    </w:rPr>
  </w:style>
  <w:style w:type="character" w:customStyle="1" w:styleId="HeaderChar">
    <w:name w:val="Header Char"/>
    <w:aliases w:val="SPS Header Char"/>
    <w:basedOn w:val="DefaultParagraphFont"/>
    <w:link w:val="Header"/>
    <w:uiPriority w:val="99"/>
    <w:rsid w:val="00CE2B90"/>
    <w:rPr>
      <w:rFonts w:ascii="Arial" w:hAnsi="Arial"/>
      <w:b/>
      <w:color w:val="009D00"/>
      <w:sz w:val="28"/>
    </w:rPr>
  </w:style>
  <w:style w:type="paragraph" w:styleId="Footer">
    <w:name w:val="footer"/>
    <w:basedOn w:val="Normal"/>
    <w:link w:val="FooterChar"/>
    <w:uiPriority w:val="99"/>
    <w:unhideWhenUsed/>
    <w:rsid w:val="00F81309"/>
    <w:pPr>
      <w:tabs>
        <w:tab w:val="center" w:pos="4320"/>
        <w:tab w:val="right" w:pos="8640"/>
      </w:tabs>
    </w:pPr>
  </w:style>
  <w:style w:type="character" w:customStyle="1" w:styleId="FooterChar">
    <w:name w:val="Footer Char"/>
    <w:basedOn w:val="DefaultParagraphFont"/>
    <w:link w:val="Footer"/>
    <w:uiPriority w:val="99"/>
    <w:rsid w:val="00F81309"/>
  </w:style>
  <w:style w:type="paragraph" w:styleId="BalloonText">
    <w:name w:val="Balloon Text"/>
    <w:basedOn w:val="Normal"/>
    <w:link w:val="BalloonTextChar"/>
    <w:uiPriority w:val="99"/>
    <w:semiHidden/>
    <w:unhideWhenUsed/>
    <w:rsid w:val="00F8130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1309"/>
    <w:rPr>
      <w:rFonts w:ascii="Lucida Grande" w:hAnsi="Lucida Grande" w:cs="Lucida Grande"/>
      <w:sz w:val="18"/>
      <w:szCs w:val="18"/>
    </w:rPr>
  </w:style>
  <w:style w:type="character" w:styleId="PageNumber">
    <w:name w:val="page number"/>
    <w:basedOn w:val="DefaultParagraphFont"/>
    <w:uiPriority w:val="99"/>
    <w:semiHidden/>
    <w:unhideWhenUsed/>
    <w:rsid w:val="00495BCF"/>
  </w:style>
  <w:style w:type="character" w:styleId="Hyperlink">
    <w:name w:val="Hyperlink"/>
    <w:basedOn w:val="DefaultParagraphFont"/>
    <w:uiPriority w:val="99"/>
    <w:unhideWhenUsed/>
    <w:rsid w:val="00351692"/>
    <w:rPr>
      <w:rFonts w:ascii="Arial" w:hAnsi="Arial"/>
      <w:b w:val="0"/>
      <w:i w:val="0"/>
      <w:color w:val="009D00"/>
      <w:sz w:val="24"/>
      <w:u w:val="single"/>
    </w:rPr>
  </w:style>
  <w:style w:type="character" w:styleId="FollowedHyperlink">
    <w:name w:val="FollowedHyperlink"/>
    <w:basedOn w:val="DefaultParagraphFont"/>
    <w:uiPriority w:val="99"/>
    <w:semiHidden/>
    <w:unhideWhenUsed/>
    <w:rsid w:val="005D1E28"/>
    <w:rPr>
      <w:color w:val="800080" w:themeColor="followedHyperlink"/>
      <w:u w:val="single"/>
    </w:rPr>
  </w:style>
  <w:style w:type="paragraph" w:customStyle="1" w:styleId="SPSTitle">
    <w:name w:val="SPS Title"/>
    <w:basedOn w:val="Normal"/>
    <w:qFormat/>
    <w:rsid w:val="00863100"/>
    <w:pPr>
      <w:framePr w:hSpace="180" w:wrap="around" w:vAnchor="text" w:hAnchor="page" w:x="496" w:y="609"/>
    </w:pPr>
    <w:rPr>
      <w:rFonts w:cs="Arial"/>
      <w:b/>
      <w:color w:val="009D00"/>
      <w:sz w:val="48"/>
      <w:szCs w:val="48"/>
    </w:rPr>
  </w:style>
  <w:style w:type="table" w:styleId="TableGrid">
    <w:name w:val="Table Grid"/>
    <w:basedOn w:val="TableNormal"/>
    <w:uiPriority w:val="59"/>
    <w:rsid w:val="00562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100"/>
    <w:rPr>
      <w:rFonts w:ascii="Arial" w:eastAsiaTheme="majorEastAsia" w:hAnsi="Arial" w:cstheme="majorBidi"/>
      <w:b/>
      <w:bCs/>
      <w:color w:val="01833E"/>
      <w:sz w:val="32"/>
      <w:szCs w:val="32"/>
    </w:rPr>
  </w:style>
  <w:style w:type="paragraph" w:styleId="ListParagraph">
    <w:name w:val="List Paragraph"/>
    <w:basedOn w:val="Normal"/>
    <w:uiPriority w:val="34"/>
    <w:qFormat/>
    <w:rsid w:val="00E75F10"/>
    <w:pPr>
      <w:ind w:left="720"/>
      <w:contextualSpacing/>
    </w:pPr>
  </w:style>
  <w:style w:type="character" w:styleId="CommentReference">
    <w:name w:val="annotation reference"/>
    <w:basedOn w:val="DefaultParagraphFont"/>
    <w:uiPriority w:val="99"/>
    <w:semiHidden/>
    <w:unhideWhenUsed/>
    <w:rsid w:val="00830540"/>
    <w:rPr>
      <w:sz w:val="16"/>
      <w:szCs w:val="16"/>
    </w:rPr>
  </w:style>
  <w:style w:type="paragraph" w:styleId="CommentText">
    <w:name w:val="annotation text"/>
    <w:basedOn w:val="Normal"/>
    <w:link w:val="CommentTextChar"/>
    <w:uiPriority w:val="99"/>
    <w:unhideWhenUsed/>
    <w:rsid w:val="00830540"/>
    <w:rPr>
      <w:sz w:val="20"/>
      <w:szCs w:val="20"/>
    </w:rPr>
  </w:style>
  <w:style w:type="character" w:customStyle="1" w:styleId="CommentTextChar">
    <w:name w:val="Comment Text Char"/>
    <w:basedOn w:val="DefaultParagraphFont"/>
    <w:link w:val="CommentText"/>
    <w:uiPriority w:val="99"/>
    <w:rsid w:val="00830540"/>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830540"/>
    <w:rPr>
      <w:b/>
      <w:bCs/>
    </w:rPr>
  </w:style>
  <w:style w:type="character" w:customStyle="1" w:styleId="CommentSubjectChar">
    <w:name w:val="Comment Subject Char"/>
    <w:basedOn w:val="CommentTextChar"/>
    <w:link w:val="CommentSubject"/>
    <w:uiPriority w:val="99"/>
    <w:semiHidden/>
    <w:rsid w:val="00830540"/>
    <w:rPr>
      <w:rFonts w:ascii="Arial" w:hAnsi="Arial"/>
      <w:b/>
      <w:bCs/>
      <w:sz w:val="20"/>
      <w:szCs w:val="20"/>
      <w:lang w:val="en-GB"/>
    </w:rPr>
  </w:style>
  <w:style w:type="character" w:styleId="UnresolvedMention">
    <w:name w:val="Unresolved Mention"/>
    <w:basedOn w:val="DefaultParagraphFont"/>
    <w:uiPriority w:val="99"/>
    <w:semiHidden/>
    <w:unhideWhenUsed/>
    <w:rsid w:val="00850659"/>
    <w:rPr>
      <w:color w:val="605E5C"/>
      <w:shd w:val="clear" w:color="auto" w:fill="E1DFDD"/>
    </w:rPr>
  </w:style>
  <w:style w:type="paragraph" w:styleId="Revision">
    <w:name w:val="Revision"/>
    <w:hidden/>
    <w:uiPriority w:val="99"/>
    <w:semiHidden/>
    <w:rsid w:val="00AA6B8C"/>
    <w:rPr>
      <w:rFonts w:ascii="Arial" w:hAnsi="Arial"/>
      <w:lang w:val="en-GB"/>
    </w:rPr>
  </w:style>
  <w:style w:type="character" w:customStyle="1" w:styleId="ui-provider">
    <w:name w:val="ui-provider"/>
    <w:basedOn w:val="DefaultParagraphFont"/>
    <w:rsid w:val="00FB5CF2"/>
  </w:style>
  <w:style w:type="character" w:customStyle="1" w:styleId="cf01">
    <w:name w:val="cf01"/>
    <w:basedOn w:val="DefaultParagraphFont"/>
    <w:rsid w:val="000850FB"/>
    <w:rPr>
      <w:rFonts w:ascii="Segoe UI" w:hAnsi="Segoe UI" w:cs="Segoe UI" w:hint="default"/>
      <w:sz w:val="18"/>
      <w:szCs w:val="18"/>
    </w:rPr>
  </w:style>
  <w:style w:type="paragraph" w:customStyle="1" w:styleId="paragraph">
    <w:name w:val="paragraph"/>
    <w:basedOn w:val="Normal"/>
    <w:rsid w:val="004926D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4926D1"/>
  </w:style>
  <w:style w:type="character" w:customStyle="1" w:styleId="eop">
    <w:name w:val="eop"/>
    <w:basedOn w:val="DefaultParagraphFont"/>
    <w:rsid w:val="004926D1"/>
  </w:style>
  <w:style w:type="character" w:customStyle="1" w:styleId="scxw10204831">
    <w:name w:val="scxw10204831"/>
    <w:basedOn w:val="DefaultParagraphFont"/>
    <w:rsid w:val="00492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657506">
      <w:bodyDiv w:val="1"/>
      <w:marLeft w:val="0"/>
      <w:marRight w:val="0"/>
      <w:marTop w:val="0"/>
      <w:marBottom w:val="0"/>
      <w:divBdr>
        <w:top w:val="none" w:sz="0" w:space="0" w:color="auto"/>
        <w:left w:val="none" w:sz="0" w:space="0" w:color="auto"/>
        <w:bottom w:val="none" w:sz="0" w:space="0" w:color="auto"/>
        <w:right w:val="none" w:sz="0" w:space="0" w:color="auto"/>
      </w:divBdr>
    </w:div>
    <w:div w:id="994530972">
      <w:bodyDiv w:val="1"/>
      <w:marLeft w:val="0"/>
      <w:marRight w:val="0"/>
      <w:marTop w:val="0"/>
      <w:marBottom w:val="0"/>
      <w:divBdr>
        <w:top w:val="none" w:sz="0" w:space="0" w:color="auto"/>
        <w:left w:val="none" w:sz="0" w:space="0" w:color="auto"/>
        <w:bottom w:val="none" w:sz="0" w:space="0" w:color="auto"/>
        <w:right w:val="none" w:sz="0" w:space="0" w:color="auto"/>
      </w:divBdr>
      <w:divsChild>
        <w:div w:id="19548845">
          <w:marLeft w:val="0"/>
          <w:marRight w:val="0"/>
          <w:marTop w:val="0"/>
          <w:marBottom w:val="0"/>
          <w:divBdr>
            <w:top w:val="none" w:sz="0" w:space="0" w:color="auto"/>
            <w:left w:val="none" w:sz="0" w:space="0" w:color="auto"/>
            <w:bottom w:val="none" w:sz="0" w:space="0" w:color="auto"/>
            <w:right w:val="none" w:sz="0" w:space="0" w:color="auto"/>
          </w:divBdr>
        </w:div>
        <w:div w:id="145443850">
          <w:marLeft w:val="0"/>
          <w:marRight w:val="0"/>
          <w:marTop w:val="0"/>
          <w:marBottom w:val="0"/>
          <w:divBdr>
            <w:top w:val="none" w:sz="0" w:space="0" w:color="auto"/>
            <w:left w:val="none" w:sz="0" w:space="0" w:color="auto"/>
            <w:bottom w:val="none" w:sz="0" w:space="0" w:color="auto"/>
            <w:right w:val="none" w:sz="0" w:space="0" w:color="auto"/>
          </w:divBdr>
        </w:div>
        <w:div w:id="150408448">
          <w:marLeft w:val="0"/>
          <w:marRight w:val="0"/>
          <w:marTop w:val="0"/>
          <w:marBottom w:val="0"/>
          <w:divBdr>
            <w:top w:val="none" w:sz="0" w:space="0" w:color="auto"/>
            <w:left w:val="none" w:sz="0" w:space="0" w:color="auto"/>
            <w:bottom w:val="none" w:sz="0" w:space="0" w:color="auto"/>
            <w:right w:val="none" w:sz="0" w:space="0" w:color="auto"/>
          </w:divBdr>
        </w:div>
        <w:div w:id="206138408">
          <w:marLeft w:val="0"/>
          <w:marRight w:val="0"/>
          <w:marTop w:val="0"/>
          <w:marBottom w:val="0"/>
          <w:divBdr>
            <w:top w:val="none" w:sz="0" w:space="0" w:color="auto"/>
            <w:left w:val="none" w:sz="0" w:space="0" w:color="auto"/>
            <w:bottom w:val="none" w:sz="0" w:space="0" w:color="auto"/>
            <w:right w:val="none" w:sz="0" w:space="0" w:color="auto"/>
          </w:divBdr>
        </w:div>
        <w:div w:id="359741143">
          <w:marLeft w:val="0"/>
          <w:marRight w:val="0"/>
          <w:marTop w:val="0"/>
          <w:marBottom w:val="0"/>
          <w:divBdr>
            <w:top w:val="none" w:sz="0" w:space="0" w:color="auto"/>
            <w:left w:val="none" w:sz="0" w:space="0" w:color="auto"/>
            <w:bottom w:val="none" w:sz="0" w:space="0" w:color="auto"/>
            <w:right w:val="none" w:sz="0" w:space="0" w:color="auto"/>
          </w:divBdr>
        </w:div>
        <w:div w:id="506292636">
          <w:marLeft w:val="0"/>
          <w:marRight w:val="0"/>
          <w:marTop w:val="0"/>
          <w:marBottom w:val="0"/>
          <w:divBdr>
            <w:top w:val="none" w:sz="0" w:space="0" w:color="auto"/>
            <w:left w:val="none" w:sz="0" w:space="0" w:color="auto"/>
            <w:bottom w:val="none" w:sz="0" w:space="0" w:color="auto"/>
            <w:right w:val="none" w:sz="0" w:space="0" w:color="auto"/>
          </w:divBdr>
        </w:div>
        <w:div w:id="587425853">
          <w:marLeft w:val="0"/>
          <w:marRight w:val="0"/>
          <w:marTop w:val="0"/>
          <w:marBottom w:val="0"/>
          <w:divBdr>
            <w:top w:val="none" w:sz="0" w:space="0" w:color="auto"/>
            <w:left w:val="none" w:sz="0" w:space="0" w:color="auto"/>
            <w:bottom w:val="none" w:sz="0" w:space="0" w:color="auto"/>
            <w:right w:val="none" w:sz="0" w:space="0" w:color="auto"/>
          </w:divBdr>
        </w:div>
        <w:div w:id="651712701">
          <w:marLeft w:val="0"/>
          <w:marRight w:val="0"/>
          <w:marTop w:val="0"/>
          <w:marBottom w:val="0"/>
          <w:divBdr>
            <w:top w:val="none" w:sz="0" w:space="0" w:color="auto"/>
            <w:left w:val="none" w:sz="0" w:space="0" w:color="auto"/>
            <w:bottom w:val="none" w:sz="0" w:space="0" w:color="auto"/>
            <w:right w:val="none" w:sz="0" w:space="0" w:color="auto"/>
          </w:divBdr>
        </w:div>
        <w:div w:id="663818553">
          <w:marLeft w:val="0"/>
          <w:marRight w:val="0"/>
          <w:marTop w:val="0"/>
          <w:marBottom w:val="0"/>
          <w:divBdr>
            <w:top w:val="none" w:sz="0" w:space="0" w:color="auto"/>
            <w:left w:val="none" w:sz="0" w:space="0" w:color="auto"/>
            <w:bottom w:val="none" w:sz="0" w:space="0" w:color="auto"/>
            <w:right w:val="none" w:sz="0" w:space="0" w:color="auto"/>
          </w:divBdr>
        </w:div>
        <w:div w:id="751397168">
          <w:marLeft w:val="0"/>
          <w:marRight w:val="0"/>
          <w:marTop w:val="0"/>
          <w:marBottom w:val="0"/>
          <w:divBdr>
            <w:top w:val="none" w:sz="0" w:space="0" w:color="auto"/>
            <w:left w:val="none" w:sz="0" w:space="0" w:color="auto"/>
            <w:bottom w:val="none" w:sz="0" w:space="0" w:color="auto"/>
            <w:right w:val="none" w:sz="0" w:space="0" w:color="auto"/>
          </w:divBdr>
        </w:div>
        <w:div w:id="796216679">
          <w:marLeft w:val="0"/>
          <w:marRight w:val="0"/>
          <w:marTop w:val="0"/>
          <w:marBottom w:val="0"/>
          <w:divBdr>
            <w:top w:val="none" w:sz="0" w:space="0" w:color="auto"/>
            <w:left w:val="none" w:sz="0" w:space="0" w:color="auto"/>
            <w:bottom w:val="none" w:sz="0" w:space="0" w:color="auto"/>
            <w:right w:val="none" w:sz="0" w:space="0" w:color="auto"/>
          </w:divBdr>
        </w:div>
        <w:div w:id="809445605">
          <w:marLeft w:val="0"/>
          <w:marRight w:val="0"/>
          <w:marTop w:val="0"/>
          <w:marBottom w:val="0"/>
          <w:divBdr>
            <w:top w:val="none" w:sz="0" w:space="0" w:color="auto"/>
            <w:left w:val="none" w:sz="0" w:space="0" w:color="auto"/>
            <w:bottom w:val="none" w:sz="0" w:space="0" w:color="auto"/>
            <w:right w:val="none" w:sz="0" w:space="0" w:color="auto"/>
          </w:divBdr>
        </w:div>
        <w:div w:id="850264372">
          <w:marLeft w:val="0"/>
          <w:marRight w:val="0"/>
          <w:marTop w:val="0"/>
          <w:marBottom w:val="0"/>
          <w:divBdr>
            <w:top w:val="none" w:sz="0" w:space="0" w:color="auto"/>
            <w:left w:val="none" w:sz="0" w:space="0" w:color="auto"/>
            <w:bottom w:val="none" w:sz="0" w:space="0" w:color="auto"/>
            <w:right w:val="none" w:sz="0" w:space="0" w:color="auto"/>
          </w:divBdr>
        </w:div>
        <w:div w:id="941380170">
          <w:marLeft w:val="0"/>
          <w:marRight w:val="0"/>
          <w:marTop w:val="0"/>
          <w:marBottom w:val="0"/>
          <w:divBdr>
            <w:top w:val="none" w:sz="0" w:space="0" w:color="auto"/>
            <w:left w:val="none" w:sz="0" w:space="0" w:color="auto"/>
            <w:bottom w:val="none" w:sz="0" w:space="0" w:color="auto"/>
            <w:right w:val="none" w:sz="0" w:space="0" w:color="auto"/>
          </w:divBdr>
        </w:div>
        <w:div w:id="1092822293">
          <w:marLeft w:val="0"/>
          <w:marRight w:val="0"/>
          <w:marTop w:val="0"/>
          <w:marBottom w:val="0"/>
          <w:divBdr>
            <w:top w:val="none" w:sz="0" w:space="0" w:color="auto"/>
            <w:left w:val="none" w:sz="0" w:space="0" w:color="auto"/>
            <w:bottom w:val="none" w:sz="0" w:space="0" w:color="auto"/>
            <w:right w:val="none" w:sz="0" w:space="0" w:color="auto"/>
          </w:divBdr>
          <w:divsChild>
            <w:div w:id="356856733">
              <w:marLeft w:val="0"/>
              <w:marRight w:val="0"/>
              <w:marTop w:val="0"/>
              <w:marBottom w:val="0"/>
              <w:divBdr>
                <w:top w:val="none" w:sz="0" w:space="0" w:color="auto"/>
                <w:left w:val="none" w:sz="0" w:space="0" w:color="auto"/>
                <w:bottom w:val="none" w:sz="0" w:space="0" w:color="auto"/>
                <w:right w:val="none" w:sz="0" w:space="0" w:color="auto"/>
              </w:divBdr>
            </w:div>
            <w:div w:id="919942473">
              <w:marLeft w:val="0"/>
              <w:marRight w:val="0"/>
              <w:marTop w:val="0"/>
              <w:marBottom w:val="0"/>
              <w:divBdr>
                <w:top w:val="none" w:sz="0" w:space="0" w:color="auto"/>
                <w:left w:val="none" w:sz="0" w:space="0" w:color="auto"/>
                <w:bottom w:val="none" w:sz="0" w:space="0" w:color="auto"/>
                <w:right w:val="none" w:sz="0" w:space="0" w:color="auto"/>
              </w:divBdr>
            </w:div>
            <w:div w:id="1266501838">
              <w:marLeft w:val="0"/>
              <w:marRight w:val="0"/>
              <w:marTop w:val="0"/>
              <w:marBottom w:val="0"/>
              <w:divBdr>
                <w:top w:val="none" w:sz="0" w:space="0" w:color="auto"/>
                <w:left w:val="none" w:sz="0" w:space="0" w:color="auto"/>
                <w:bottom w:val="none" w:sz="0" w:space="0" w:color="auto"/>
                <w:right w:val="none" w:sz="0" w:space="0" w:color="auto"/>
              </w:divBdr>
            </w:div>
          </w:divsChild>
        </w:div>
        <w:div w:id="1129469412">
          <w:marLeft w:val="0"/>
          <w:marRight w:val="0"/>
          <w:marTop w:val="0"/>
          <w:marBottom w:val="0"/>
          <w:divBdr>
            <w:top w:val="none" w:sz="0" w:space="0" w:color="auto"/>
            <w:left w:val="none" w:sz="0" w:space="0" w:color="auto"/>
            <w:bottom w:val="none" w:sz="0" w:space="0" w:color="auto"/>
            <w:right w:val="none" w:sz="0" w:space="0" w:color="auto"/>
          </w:divBdr>
        </w:div>
        <w:div w:id="1533494803">
          <w:marLeft w:val="0"/>
          <w:marRight w:val="0"/>
          <w:marTop w:val="0"/>
          <w:marBottom w:val="0"/>
          <w:divBdr>
            <w:top w:val="none" w:sz="0" w:space="0" w:color="auto"/>
            <w:left w:val="none" w:sz="0" w:space="0" w:color="auto"/>
            <w:bottom w:val="none" w:sz="0" w:space="0" w:color="auto"/>
            <w:right w:val="none" w:sz="0" w:space="0" w:color="auto"/>
          </w:divBdr>
        </w:div>
        <w:div w:id="1537081684">
          <w:marLeft w:val="0"/>
          <w:marRight w:val="0"/>
          <w:marTop w:val="0"/>
          <w:marBottom w:val="0"/>
          <w:divBdr>
            <w:top w:val="none" w:sz="0" w:space="0" w:color="auto"/>
            <w:left w:val="none" w:sz="0" w:space="0" w:color="auto"/>
            <w:bottom w:val="none" w:sz="0" w:space="0" w:color="auto"/>
            <w:right w:val="none" w:sz="0" w:space="0" w:color="auto"/>
          </w:divBdr>
        </w:div>
        <w:div w:id="1584685047">
          <w:marLeft w:val="0"/>
          <w:marRight w:val="0"/>
          <w:marTop w:val="0"/>
          <w:marBottom w:val="0"/>
          <w:divBdr>
            <w:top w:val="none" w:sz="0" w:space="0" w:color="auto"/>
            <w:left w:val="none" w:sz="0" w:space="0" w:color="auto"/>
            <w:bottom w:val="none" w:sz="0" w:space="0" w:color="auto"/>
            <w:right w:val="none" w:sz="0" w:space="0" w:color="auto"/>
          </w:divBdr>
        </w:div>
        <w:div w:id="1597136419">
          <w:marLeft w:val="0"/>
          <w:marRight w:val="0"/>
          <w:marTop w:val="0"/>
          <w:marBottom w:val="0"/>
          <w:divBdr>
            <w:top w:val="none" w:sz="0" w:space="0" w:color="auto"/>
            <w:left w:val="none" w:sz="0" w:space="0" w:color="auto"/>
            <w:bottom w:val="none" w:sz="0" w:space="0" w:color="auto"/>
            <w:right w:val="none" w:sz="0" w:space="0" w:color="auto"/>
          </w:divBdr>
        </w:div>
        <w:div w:id="1688019042">
          <w:marLeft w:val="0"/>
          <w:marRight w:val="0"/>
          <w:marTop w:val="0"/>
          <w:marBottom w:val="0"/>
          <w:divBdr>
            <w:top w:val="none" w:sz="0" w:space="0" w:color="auto"/>
            <w:left w:val="none" w:sz="0" w:space="0" w:color="auto"/>
            <w:bottom w:val="none" w:sz="0" w:space="0" w:color="auto"/>
            <w:right w:val="none" w:sz="0" w:space="0" w:color="auto"/>
          </w:divBdr>
        </w:div>
        <w:div w:id="1714035751">
          <w:marLeft w:val="0"/>
          <w:marRight w:val="0"/>
          <w:marTop w:val="0"/>
          <w:marBottom w:val="0"/>
          <w:divBdr>
            <w:top w:val="none" w:sz="0" w:space="0" w:color="auto"/>
            <w:left w:val="none" w:sz="0" w:space="0" w:color="auto"/>
            <w:bottom w:val="none" w:sz="0" w:space="0" w:color="auto"/>
            <w:right w:val="none" w:sz="0" w:space="0" w:color="auto"/>
          </w:divBdr>
        </w:div>
        <w:div w:id="1800029479">
          <w:marLeft w:val="0"/>
          <w:marRight w:val="0"/>
          <w:marTop w:val="0"/>
          <w:marBottom w:val="0"/>
          <w:divBdr>
            <w:top w:val="none" w:sz="0" w:space="0" w:color="auto"/>
            <w:left w:val="none" w:sz="0" w:space="0" w:color="auto"/>
            <w:bottom w:val="none" w:sz="0" w:space="0" w:color="auto"/>
            <w:right w:val="none" w:sz="0" w:space="0" w:color="auto"/>
          </w:divBdr>
        </w:div>
        <w:div w:id="1892763132">
          <w:marLeft w:val="0"/>
          <w:marRight w:val="0"/>
          <w:marTop w:val="0"/>
          <w:marBottom w:val="0"/>
          <w:divBdr>
            <w:top w:val="none" w:sz="0" w:space="0" w:color="auto"/>
            <w:left w:val="none" w:sz="0" w:space="0" w:color="auto"/>
            <w:bottom w:val="none" w:sz="0" w:space="0" w:color="auto"/>
            <w:right w:val="none" w:sz="0" w:space="0" w:color="auto"/>
          </w:divBdr>
        </w:div>
        <w:div w:id="1942102043">
          <w:marLeft w:val="0"/>
          <w:marRight w:val="0"/>
          <w:marTop w:val="0"/>
          <w:marBottom w:val="0"/>
          <w:divBdr>
            <w:top w:val="none" w:sz="0" w:space="0" w:color="auto"/>
            <w:left w:val="none" w:sz="0" w:space="0" w:color="auto"/>
            <w:bottom w:val="none" w:sz="0" w:space="0" w:color="auto"/>
            <w:right w:val="none" w:sz="0" w:space="0" w:color="auto"/>
          </w:divBdr>
        </w:div>
        <w:div w:id="1961061608">
          <w:marLeft w:val="0"/>
          <w:marRight w:val="0"/>
          <w:marTop w:val="0"/>
          <w:marBottom w:val="0"/>
          <w:divBdr>
            <w:top w:val="none" w:sz="0" w:space="0" w:color="auto"/>
            <w:left w:val="none" w:sz="0" w:space="0" w:color="auto"/>
            <w:bottom w:val="none" w:sz="0" w:space="0" w:color="auto"/>
            <w:right w:val="none" w:sz="0" w:space="0" w:color="auto"/>
          </w:divBdr>
        </w:div>
        <w:div w:id="1962376865">
          <w:marLeft w:val="0"/>
          <w:marRight w:val="0"/>
          <w:marTop w:val="0"/>
          <w:marBottom w:val="0"/>
          <w:divBdr>
            <w:top w:val="none" w:sz="0" w:space="0" w:color="auto"/>
            <w:left w:val="none" w:sz="0" w:space="0" w:color="auto"/>
            <w:bottom w:val="none" w:sz="0" w:space="0" w:color="auto"/>
            <w:right w:val="none" w:sz="0" w:space="0" w:color="auto"/>
          </w:divBdr>
          <w:divsChild>
            <w:div w:id="449590037">
              <w:marLeft w:val="0"/>
              <w:marRight w:val="0"/>
              <w:marTop w:val="0"/>
              <w:marBottom w:val="0"/>
              <w:divBdr>
                <w:top w:val="none" w:sz="0" w:space="0" w:color="auto"/>
                <w:left w:val="none" w:sz="0" w:space="0" w:color="auto"/>
                <w:bottom w:val="none" w:sz="0" w:space="0" w:color="auto"/>
                <w:right w:val="none" w:sz="0" w:space="0" w:color="auto"/>
              </w:divBdr>
            </w:div>
            <w:div w:id="764156897">
              <w:marLeft w:val="0"/>
              <w:marRight w:val="0"/>
              <w:marTop w:val="0"/>
              <w:marBottom w:val="0"/>
              <w:divBdr>
                <w:top w:val="none" w:sz="0" w:space="0" w:color="auto"/>
                <w:left w:val="none" w:sz="0" w:space="0" w:color="auto"/>
                <w:bottom w:val="none" w:sz="0" w:space="0" w:color="auto"/>
                <w:right w:val="none" w:sz="0" w:space="0" w:color="auto"/>
              </w:divBdr>
            </w:div>
            <w:div w:id="1206412068">
              <w:marLeft w:val="0"/>
              <w:marRight w:val="0"/>
              <w:marTop w:val="0"/>
              <w:marBottom w:val="0"/>
              <w:divBdr>
                <w:top w:val="none" w:sz="0" w:space="0" w:color="auto"/>
                <w:left w:val="none" w:sz="0" w:space="0" w:color="auto"/>
                <w:bottom w:val="none" w:sz="0" w:space="0" w:color="auto"/>
                <w:right w:val="none" w:sz="0" w:space="0" w:color="auto"/>
              </w:divBdr>
            </w:div>
            <w:div w:id="1281836566">
              <w:marLeft w:val="0"/>
              <w:marRight w:val="0"/>
              <w:marTop w:val="0"/>
              <w:marBottom w:val="0"/>
              <w:divBdr>
                <w:top w:val="none" w:sz="0" w:space="0" w:color="auto"/>
                <w:left w:val="none" w:sz="0" w:space="0" w:color="auto"/>
                <w:bottom w:val="none" w:sz="0" w:space="0" w:color="auto"/>
                <w:right w:val="none" w:sz="0" w:space="0" w:color="auto"/>
              </w:divBdr>
            </w:div>
          </w:divsChild>
        </w:div>
        <w:div w:id="1979416358">
          <w:marLeft w:val="0"/>
          <w:marRight w:val="0"/>
          <w:marTop w:val="0"/>
          <w:marBottom w:val="0"/>
          <w:divBdr>
            <w:top w:val="none" w:sz="0" w:space="0" w:color="auto"/>
            <w:left w:val="none" w:sz="0" w:space="0" w:color="auto"/>
            <w:bottom w:val="none" w:sz="0" w:space="0" w:color="auto"/>
            <w:right w:val="none" w:sz="0" w:space="0" w:color="auto"/>
          </w:divBdr>
        </w:div>
        <w:div w:id="2033341285">
          <w:marLeft w:val="0"/>
          <w:marRight w:val="0"/>
          <w:marTop w:val="0"/>
          <w:marBottom w:val="0"/>
          <w:divBdr>
            <w:top w:val="none" w:sz="0" w:space="0" w:color="auto"/>
            <w:left w:val="none" w:sz="0" w:space="0" w:color="auto"/>
            <w:bottom w:val="none" w:sz="0" w:space="0" w:color="auto"/>
            <w:right w:val="none" w:sz="0" w:space="0" w:color="auto"/>
          </w:divBdr>
        </w:div>
        <w:div w:id="2043363562">
          <w:marLeft w:val="0"/>
          <w:marRight w:val="0"/>
          <w:marTop w:val="0"/>
          <w:marBottom w:val="0"/>
          <w:divBdr>
            <w:top w:val="none" w:sz="0" w:space="0" w:color="auto"/>
            <w:left w:val="none" w:sz="0" w:space="0" w:color="auto"/>
            <w:bottom w:val="none" w:sz="0" w:space="0" w:color="auto"/>
            <w:right w:val="none" w:sz="0" w:space="0" w:color="auto"/>
          </w:divBdr>
        </w:div>
        <w:div w:id="2054309980">
          <w:marLeft w:val="0"/>
          <w:marRight w:val="0"/>
          <w:marTop w:val="0"/>
          <w:marBottom w:val="0"/>
          <w:divBdr>
            <w:top w:val="none" w:sz="0" w:space="0" w:color="auto"/>
            <w:left w:val="none" w:sz="0" w:space="0" w:color="auto"/>
            <w:bottom w:val="none" w:sz="0" w:space="0" w:color="auto"/>
            <w:right w:val="none" w:sz="0" w:space="0" w:color="auto"/>
          </w:divBdr>
        </w:div>
        <w:div w:id="2081322957">
          <w:marLeft w:val="0"/>
          <w:marRight w:val="0"/>
          <w:marTop w:val="0"/>
          <w:marBottom w:val="0"/>
          <w:divBdr>
            <w:top w:val="none" w:sz="0" w:space="0" w:color="auto"/>
            <w:left w:val="none" w:sz="0" w:space="0" w:color="auto"/>
            <w:bottom w:val="none" w:sz="0" w:space="0" w:color="auto"/>
            <w:right w:val="none" w:sz="0" w:space="0" w:color="auto"/>
          </w:divBdr>
        </w:div>
      </w:divsChild>
    </w:div>
    <w:div w:id="1114521287">
      <w:bodyDiv w:val="1"/>
      <w:marLeft w:val="0"/>
      <w:marRight w:val="0"/>
      <w:marTop w:val="0"/>
      <w:marBottom w:val="0"/>
      <w:divBdr>
        <w:top w:val="none" w:sz="0" w:space="0" w:color="auto"/>
        <w:left w:val="none" w:sz="0" w:space="0" w:color="auto"/>
        <w:bottom w:val="none" w:sz="0" w:space="0" w:color="auto"/>
        <w:right w:val="none" w:sz="0" w:space="0" w:color="auto"/>
      </w:divBdr>
    </w:div>
    <w:div w:id="1584488529">
      <w:bodyDiv w:val="1"/>
      <w:marLeft w:val="0"/>
      <w:marRight w:val="0"/>
      <w:marTop w:val="0"/>
      <w:marBottom w:val="0"/>
      <w:divBdr>
        <w:top w:val="none" w:sz="0" w:space="0" w:color="auto"/>
        <w:left w:val="none" w:sz="0" w:space="0" w:color="auto"/>
        <w:bottom w:val="none" w:sz="0" w:space="0" w:color="auto"/>
        <w:right w:val="none" w:sz="0" w:space="0" w:color="auto"/>
      </w:divBdr>
    </w:div>
    <w:div w:id="1803230864">
      <w:bodyDiv w:val="1"/>
      <w:marLeft w:val="0"/>
      <w:marRight w:val="0"/>
      <w:marTop w:val="0"/>
      <w:marBottom w:val="0"/>
      <w:divBdr>
        <w:top w:val="none" w:sz="0" w:space="0" w:color="auto"/>
        <w:left w:val="none" w:sz="0" w:space="0" w:color="auto"/>
        <w:bottom w:val="none" w:sz="0" w:space="0" w:color="auto"/>
        <w:right w:val="none" w:sz="0" w:space="0" w:color="auto"/>
      </w:divBdr>
      <w:divsChild>
        <w:div w:id="10375984">
          <w:marLeft w:val="0"/>
          <w:marRight w:val="0"/>
          <w:marTop w:val="0"/>
          <w:marBottom w:val="0"/>
          <w:divBdr>
            <w:top w:val="none" w:sz="0" w:space="0" w:color="auto"/>
            <w:left w:val="none" w:sz="0" w:space="0" w:color="auto"/>
            <w:bottom w:val="none" w:sz="0" w:space="0" w:color="auto"/>
            <w:right w:val="none" w:sz="0" w:space="0" w:color="auto"/>
          </w:divBdr>
          <w:divsChild>
            <w:div w:id="274288475">
              <w:marLeft w:val="0"/>
              <w:marRight w:val="0"/>
              <w:marTop w:val="0"/>
              <w:marBottom w:val="0"/>
              <w:divBdr>
                <w:top w:val="none" w:sz="0" w:space="0" w:color="auto"/>
                <w:left w:val="none" w:sz="0" w:space="0" w:color="auto"/>
                <w:bottom w:val="none" w:sz="0" w:space="0" w:color="auto"/>
                <w:right w:val="none" w:sz="0" w:space="0" w:color="auto"/>
              </w:divBdr>
            </w:div>
          </w:divsChild>
        </w:div>
        <w:div w:id="65342024">
          <w:marLeft w:val="0"/>
          <w:marRight w:val="0"/>
          <w:marTop w:val="0"/>
          <w:marBottom w:val="0"/>
          <w:divBdr>
            <w:top w:val="none" w:sz="0" w:space="0" w:color="auto"/>
            <w:left w:val="none" w:sz="0" w:space="0" w:color="auto"/>
            <w:bottom w:val="none" w:sz="0" w:space="0" w:color="auto"/>
            <w:right w:val="none" w:sz="0" w:space="0" w:color="auto"/>
          </w:divBdr>
          <w:divsChild>
            <w:div w:id="360014651">
              <w:marLeft w:val="0"/>
              <w:marRight w:val="0"/>
              <w:marTop w:val="0"/>
              <w:marBottom w:val="0"/>
              <w:divBdr>
                <w:top w:val="none" w:sz="0" w:space="0" w:color="auto"/>
                <w:left w:val="none" w:sz="0" w:space="0" w:color="auto"/>
                <w:bottom w:val="none" w:sz="0" w:space="0" w:color="auto"/>
                <w:right w:val="none" w:sz="0" w:space="0" w:color="auto"/>
              </w:divBdr>
            </w:div>
          </w:divsChild>
        </w:div>
        <w:div w:id="88165992">
          <w:marLeft w:val="0"/>
          <w:marRight w:val="0"/>
          <w:marTop w:val="0"/>
          <w:marBottom w:val="0"/>
          <w:divBdr>
            <w:top w:val="none" w:sz="0" w:space="0" w:color="auto"/>
            <w:left w:val="none" w:sz="0" w:space="0" w:color="auto"/>
            <w:bottom w:val="none" w:sz="0" w:space="0" w:color="auto"/>
            <w:right w:val="none" w:sz="0" w:space="0" w:color="auto"/>
          </w:divBdr>
          <w:divsChild>
            <w:div w:id="1956987255">
              <w:marLeft w:val="0"/>
              <w:marRight w:val="0"/>
              <w:marTop w:val="0"/>
              <w:marBottom w:val="0"/>
              <w:divBdr>
                <w:top w:val="none" w:sz="0" w:space="0" w:color="auto"/>
                <w:left w:val="none" w:sz="0" w:space="0" w:color="auto"/>
                <w:bottom w:val="none" w:sz="0" w:space="0" w:color="auto"/>
                <w:right w:val="none" w:sz="0" w:space="0" w:color="auto"/>
              </w:divBdr>
            </w:div>
          </w:divsChild>
        </w:div>
        <w:div w:id="113210724">
          <w:marLeft w:val="0"/>
          <w:marRight w:val="0"/>
          <w:marTop w:val="0"/>
          <w:marBottom w:val="0"/>
          <w:divBdr>
            <w:top w:val="none" w:sz="0" w:space="0" w:color="auto"/>
            <w:left w:val="none" w:sz="0" w:space="0" w:color="auto"/>
            <w:bottom w:val="none" w:sz="0" w:space="0" w:color="auto"/>
            <w:right w:val="none" w:sz="0" w:space="0" w:color="auto"/>
          </w:divBdr>
          <w:divsChild>
            <w:div w:id="1366099918">
              <w:marLeft w:val="0"/>
              <w:marRight w:val="0"/>
              <w:marTop w:val="0"/>
              <w:marBottom w:val="0"/>
              <w:divBdr>
                <w:top w:val="none" w:sz="0" w:space="0" w:color="auto"/>
                <w:left w:val="none" w:sz="0" w:space="0" w:color="auto"/>
                <w:bottom w:val="none" w:sz="0" w:space="0" w:color="auto"/>
                <w:right w:val="none" w:sz="0" w:space="0" w:color="auto"/>
              </w:divBdr>
            </w:div>
          </w:divsChild>
        </w:div>
        <w:div w:id="125703292">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
          </w:divsChild>
        </w:div>
        <w:div w:id="140855191">
          <w:marLeft w:val="0"/>
          <w:marRight w:val="0"/>
          <w:marTop w:val="0"/>
          <w:marBottom w:val="0"/>
          <w:divBdr>
            <w:top w:val="none" w:sz="0" w:space="0" w:color="auto"/>
            <w:left w:val="none" w:sz="0" w:space="0" w:color="auto"/>
            <w:bottom w:val="none" w:sz="0" w:space="0" w:color="auto"/>
            <w:right w:val="none" w:sz="0" w:space="0" w:color="auto"/>
          </w:divBdr>
          <w:divsChild>
            <w:div w:id="1881044760">
              <w:marLeft w:val="0"/>
              <w:marRight w:val="0"/>
              <w:marTop w:val="0"/>
              <w:marBottom w:val="0"/>
              <w:divBdr>
                <w:top w:val="none" w:sz="0" w:space="0" w:color="auto"/>
                <w:left w:val="none" w:sz="0" w:space="0" w:color="auto"/>
                <w:bottom w:val="none" w:sz="0" w:space="0" w:color="auto"/>
                <w:right w:val="none" w:sz="0" w:space="0" w:color="auto"/>
              </w:divBdr>
            </w:div>
          </w:divsChild>
        </w:div>
        <w:div w:id="145632829">
          <w:marLeft w:val="0"/>
          <w:marRight w:val="0"/>
          <w:marTop w:val="0"/>
          <w:marBottom w:val="0"/>
          <w:divBdr>
            <w:top w:val="none" w:sz="0" w:space="0" w:color="auto"/>
            <w:left w:val="none" w:sz="0" w:space="0" w:color="auto"/>
            <w:bottom w:val="none" w:sz="0" w:space="0" w:color="auto"/>
            <w:right w:val="none" w:sz="0" w:space="0" w:color="auto"/>
          </w:divBdr>
          <w:divsChild>
            <w:div w:id="256787841">
              <w:marLeft w:val="0"/>
              <w:marRight w:val="0"/>
              <w:marTop w:val="0"/>
              <w:marBottom w:val="0"/>
              <w:divBdr>
                <w:top w:val="none" w:sz="0" w:space="0" w:color="auto"/>
                <w:left w:val="none" w:sz="0" w:space="0" w:color="auto"/>
                <w:bottom w:val="none" w:sz="0" w:space="0" w:color="auto"/>
                <w:right w:val="none" w:sz="0" w:space="0" w:color="auto"/>
              </w:divBdr>
            </w:div>
          </w:divsChild>
        </w:div>
        <w:div w:id="166023195">
          <w:marLeft w:val="0"/>
          <w:marRight w:val="0"/>
          <w:marTop w:val="0"/>
          <w:marBottom w:val="0"/>
          <w:divBdr>
            <w:top w:val="none" w:sz="0" w:space="0" w:color="auto"/>
            <w:left w:val="none" w:sz="0" w:space="0" w:color="auto"/>
            <w:bottom w:val="none" w:sz="0" w:space="0" w:color="auto"/>
            <w:right w:val="none" w:sz="0" w:space="0" w:color="auto"/>
          </w:divBdr>
          <w:divsChild>
            <w:div w:id="1810974028">
              <w:marLeft w:val="0"/>
              <w:marRight w:val="0"/>
              <w:marTop w:val="0"/>
              <w:marBottom w:val="0"/>
              <w:divBdr>
                <w:top w:val="none" w:sz="0" w:space="0" w:color="auto"/>
                <w:left w:val="none" w:sz="0" w:space="0" w:color="auto"/>
                <w:bottom w:val="none" w:sz="0" w:space="0" w:color="auto"/>
                <w:right w:val="none" w:sz="0" w:space="0" w:color="auto"/>
              </w:divBdr>
            </w:div>
          </w:divsChild>
        </w:div>
        <w:div w:id="166940337">
          <w:marLeft w:val="0"/>
          <w:marRight w:val="0"/>
          <w:marTop w:val="0"/>
          <w:marBottom w:val="0"/>
          <w:divBdr>
            <w:top w:val="none" w:sz="0" w:space="0" w:color="auto"/>
            <w:left w:val="none" w:sz="0" w:space="0" w:color="auto"/>
            <w:bottom w:val="none" w:sz="0" w:space="0" w:color="auto"/>
            <w:right w:val="none" w:sz="0" w:space="0" w:color="auto"/>
          </w:divBdr>
          <w:divsChild>
            <w:div w:id="782462333">
              <w:marLeft w:val="0"/>
              <w:marRight w:val="0"/>
              <w:marTop w:val="0"/>
              <w:marBottom w:val="0"/>
              <w:divBdr>
                <w:top w:val="none" w:sz="0" w:space="0" w:color="auto"/>
                <w:left w:val="none" w:sz="0" w:space="0" w:color="auto"/>
                <w:bottom w:val="none" w:sz="0" w:space="0" w:color="auto"/>
                <w:right w:val="none" w:sz="0" w:space="0" w:color="auto"/>
              </w:divBdr>
            </w:div>
          </w:divsChild>
        </w:div>
        <w:div w:id="171845124">
          <w:marLeft w:val="0"/>
          <w:marRight w:val="0"/>
          <w:marTop w:val="0"/>
          <w:marBottom w:val="0"/>
          <w:divBdr>
            <w:top w:val="none" w:sz="0" w:space="0" w:color="auto"/>
            <w:left w:val="none" w:sz="0" w:space="0" w:color="auto"/>
            <w:bottom w:val="none" w:sz="0" w:space="0" w:color="auto"/>
            <w:right w:val="none" w:sz="0" w:space="0" w:color="auto"/>
          </w:divBdr>
          <w:divsChild>
            <w:div w:id="1740011996">
              <w:marLeft w:val="0"/>
              <w:marRight w:val="0"/>
              <w:marTop w:val="0"/>
              <w:marBottom w:val="0"/>
              <w:divBdr>
                <w:top w:val="none" w:sz="0" w:space="0" w:color="auto"/>
                <w:left w:val="none" w:sz="0" w:space="0" w:color="auto"/>
                <w:bottom w:val="none" w:sz="0" w:space="0" w:color="auto"/>
                <w:right w:val="none" w:sz="0" w:space="0" w:color="auto"/>
              </w:divBdr>
            </w:div>
          </w:divsChild>
        </w:div>
        <w:div w:id="195192664">
          <w:marLeft w:val="0"/>
          <w:marRight w:val="0"/>
          <w:marTop w:val="0"/>
          <w:marBottom w:val="0"/>
          <w:divBdr>
            <w:top w:val="none" w:sz="0" w:space="0" w:color="auto"/>
            <w:left w:val="none" w:sz="0" w:space="0" w:color="auto"/>
            <w:bottom w:val="none" w:sz="0" w:space="0" w:color="auto"/>
            <w:right w:val="none" w:sz="0" w:space="0" w:color="auto"/>
          </w:divBdr>
          <w:divsChild>
            <w:div w:id="943926889">
              <w:marLeft w:val="0"/>
              <w:marRight w:val="0"/>
              <w:marTop w:val="0"/>
              <w:marBottom w:val="0"/>
              <w:divBdr>
                <w:top w:val="none" w:sz="0" w:space="0" w:color="auto"/>
                <w:left w:val="none" w:sz="0" w:space="0" w:color="auto"/>
                <w:bottom w:val="none" w:sz="0" w:space="0" w:color="auto"/>
                <w:right w:val="none" w:sz="0" w:space="0" w:color="auto"/>
              </w:divBdr>
            </w:div>
          </w:divsChild>
        </w:div>
        <w:div w:id="296841210">
          <w:marLeft w:val="0"/>
          <w:marRight w:val="0"/>
          <w:marTop w:val="0"/>
          <w:marBottom w:val="0"/>
          <w:divBdr>
            <w:top w:val="none" w:sz="0" w:space="0" w:color="auto"/>
            <w:left w:val="none" w:sz="0" w:space="0" w:color="auto"/>
            <w:bottom w:val="none" w:sz="0" w:space="0" w:color="auto"/>
            <w:right w:val="none" w:sz="0" w:space="0" w:color="auto"/>
          </w:divBdr>
          <w:divsChild>
            <w:div w:id="1792551142">
              <w:marLeft w:val="0"/>
              <w:marRight w:val="0"/>
              <w:marTop w:val="0"/>
              <w:marBottom w:val="0"/>
              <w:divBdr>
                <w:top w:val="none" w:sz="0" w:space="0" w:color="auto"/>
                <w:left w:val="none" w:sz="0" w:space="0" w:color="auto"/>
                <w:bottom w:val="none" w:sz="0" w:space="0" w:color="auto"/>
                <w:right w:val="none" w:sz="0" w:space="0" w:color="auto"/>
              </w:divBdr>
            </w:div>
          </w:divsChild>
        </w:div>
        <w:div w:id="376469504">
          <w:marLeft w:val="0"/>
          <w:marRight w:val="0"/>
          <w:marTop w:val="0"/>
          <w:marBottom w:val="0"/>
          <w:divBdr>
            <w:top w:val="none" w:sz="0" w:space="0" w:color="auto"/>
            <w:left w:val="none" w:sz="0" w:space="0" w:color="auto"/>
            <w:bottom w:val="none" w:sz="0" w:space="0" w:color="auto"/>
            <w:right w:val="none" w:sz="0" w:space="0" w:color="auto"/>
          </w:divBdr>
          <w:divsChild>
            <w:div w:id="434862389">
              <w:marLeft w:val="0"/>
              <w:marRight w:val="0"/>
              <w:marTop w:val="0"/>
              <w:marBottom w:val="0"/>
              <w:divBdr>
                <w:top w:val="none" w:sz="0" w:space="0" w:color="auto"/>
                <w:left w:val="none" w:sz="0" w:space="0" w:color="auto"/>
                <w:bottom w:val="none" w:sz="0" w:space="0" w:color="auto"/>
                <w:right w:val="none" w:sz="0" w:space="0" w:color="auto"/>
              </w:divBdr>
            </w:div>
          </w:divsChild>
        </w:div>
        <w:div w:id="442383982">
          <w:marLeft w:val="0"/>
          <w:marRight w:val="0"/>
          <w:marTop w:val="0"/>
          <w:marBottom w:val="0"/>
          <w:divBdr>
            <w:top w:val="none" w:sz="0" w:space="0" w:color="auto"/>
            <w:left w:val="none" w:sz="0" w:space="0" w:color="auto"/>
            <w:bottom w:val="none" w:sz="0" w:space="0" w:color="auto"/>
            <w:right w:val="none" w:sz="0" w:space="0" w:color="auto"/>
          </w:divBdr>
          <w:divsChild>
            <w:div w:id="1157767368">
              <w:marLeft w:val="0"/>
              <w:marRight w:val="0"/>
              <w:marTop w:val="0"/>
              <w:marBottom w:val="0"/>
              <w:divBdr>
                <w:top w:val="none" w:sz="0" w:space="0" w:color="auto"/>
                <w:left w:val="none" w:sz="0" w:space="0" w:color="auto"/>
                <w:bottom w:val="none" w:sz="0" w:space="0" w:color="auto"/>
                <w:right w:val="none" w:sz="0" w:space="0" w:color="auto"/>
              </w:divBdr>
            </w:div>
          </w:divsChild>
        </w:div>
        <w:div w:id="445737113">
          <w:marLeft w:val="0"/>
          <w:marRight w:val="0"/>
          <w:marTop w:val="0"/>
          <w:marBottom w:val="0"/>
          <w:divBdr>
            <w:top w:val="none" w:sz="0" w:space="0" w:color="auto"/>
            <w:left w:val="none" w:sz="0" w:space="0" w:color="auto"/>
            <w:bottom w:val="none" w:sz="0" w:space="0" w:color="auto"/>
            <w:right w:val="none" w:sz="0" w:space="0" w:color="auto"/>
          </w:divBdr>
          <w:divsChild>
            <w:div w:id="701127417">
              <w:marLeft w:val="0"/>
              <w:marRight w:val="0"/>
              <w:marTop w:val="0"/>
              <w:marBottom w:val="0"/>
              <w:divBdr>
                <w:top w:val="none" w:sz="0" w:space="0" w:color="auto"/>
                <w:left w:val="none" w:sz="0" w:space="0" w:color="auto"/>
                <w:bottom w:val="none" w:sz="0" w:space="0" w:color="auto"/>
                <w:right w:val="none" w:sz="0" w:space="0" w:color="auto"/>
              </w:divBdr>
            </w:div>
          </w:divsChild>
        </w:div>
        <w:div w:id="471409009">
          <w:marLeft w:val="0"/>
          <w:marRight w:val="0"/>
          <w:marTop w:val="0"/>
          <w:marBottom w:val="0"/>
          <w:divBdr>
            <w:top w:val="none" w:sz="0" w:space="0" w:color="auto"/>
            <w:left w:val="none" w:sz="0" w:space="0" w:color="auto"/>
            <w:bottom w:val="none" w:sz="0" w:space="0" w:color="auto"/>
            <w:right w:val="none" w:sz="0" w:space="0" w:color="auto"/>
          </w:divBdr>
          <w:divsChild>
            <w:div w:id="1046373777">
              <w:marLeft w:val="0"/>
              <w:marRight w:val="0"/>
              <w:marTop w:val="0"/>
              <w:marBottom w:val="0"/>
              <w:divBdr>
                <w:top w:val="none" w:sz="0" w:space="0" w:color="auto"/>
                <w:left w:val="none" w:sz="0" w:space="0" w:color="auto"/>
                <w:bottom w:val="none" w:sz="0" w:space="0" w:color="auto"/>
                <w:right w:val="none" w:sz="0" w:space="0" w:color="auto"/>
              </w:divBdr>
            </w:div>
          </w:divsChild>
        </w:div>
        <w:div w:id="475341924">
          <w:marLeft w:val="0"/>
          <w:marRight w:val="0"/>
          <w:marTop w:val="0"/>
          <w:marBottom w:val="0"/>
          <w:divBdr>
            <w:top w:val="none" w:sz="0" w:space="0" w:color="auto"/>
            <w:left w:val="none" w:sz="0" w:space="0" w:color="auto"/>
            <w:bottom w:val="none" w:sz="0" w:space="0" w:color="auto"/>
            <w:right w:val="none" w:sz="0" w:space="0" w:color="auto"/>
          </w:divBdr>
          <w:divsChild>
            <w:div w:id="1129082021">
              <w:marLeft w:val="0"/>
              <w:marRight w:val="0"/>
              <w:marTop w:val="0"/>
              <w:marBottom w:val="0"/>
              <w:divBdr>
                <w:top w:val="none" w:sz="0" w:space="0" w:color="auto"/>
                <w:left w:val="none" w:sz="0" w:space="0" w:color="auto"/>
                <w:bottom w:val="none" w:sz="0" w:space="0" w:color="auto"/>
                <w:right w:val="none" w:sz="0" w:space="0" w:color="auto"/>
              </w:divBdr>
            </w:div>
          </w:divsChild>
        </w:div>
        <w:div w:id="481627500">
          <w:marLeft w:val="0"/>
          <w:marRight w:val="0"/>
          <w:marTop w:val="0"/>
          <w:marBottom w:val="0"/>
          <w:divBdr>
            <w:top w:val="none" w:sz="0" w:space="0" w:color="auto"/>
            <w:left w:val="none" w:sz="0" w:space="0" w:color="auto"/>
            <w:bottom w:val="none" w:sz="0" w:space="0" w:color="auto"/>
            <w:right w:val="none" w:sz="0" w:space="0" w:color="auto"/>
          </w:divBdr>
          <w:divsChild>
            <w:div w:id="1925257482">
              <w:marLeft w:val="0"/>
              <w:marRight w:val="0"/>
              <w:marTop w:val="0"/>
              <w:marBottom w:val="0"/>
              <w:divBdr>
                <w:top w:val="none" w:sz="0" w:space="0" w:color="auto"/>
                <w:left w:val="none" w:sz="0" w:space="0" w:color="auto"/>
                <w:bottom w:val="none" w:sz="0" w:space="0" w:color="auto"/>
                <w:right w:val="none" w:sz="0" w:space="0" w:color="auto"/>
              </w:divBdr>
            </w:div>
          </w:divsChild>
        </w:div>
        <w:div w:id="503518761">
          <w:marLeft w:val="0"/>
          <w:marRight w:val="0"/>
          <w:marTop w:val="0"/>
          <w:marBottom w:val="0"/>
          <w:divBdr>
            <w:top w:val="none" w:sz="0" w:space="0" w:color="auto"/>
            <w:left w:val="none" w:sz="0" w:space="0" w:color="auto"/>
            <w:bottom w:val="none" w:sz="0" w:space="0" w:color="auto"/>
            <w:right w:val="none" w:sz="0" w:space="0" w:color="auto"/>
          </w:divBdr>
          <w:divsChild>
            <w:div w:id="1479879103">
              <w:marLeft w:val="0"/>
              <w:marRight w:val="0"/>
              <w:marTop w:val="0"/>
              <w:marBottom w:val="0"/>
              <w:divBdr>
                <w:top w:val="none" w:sz="0" w:space="0" w:color="auto"/>
                <w:left w:val="none" w:sz="0" w:space="0" w:color="auto"/>
                <w:bottom w:val="none" w:sz="0" w:space="0" w:color="auto"/>
                <w:right w:val="none" w:sz="0" w:space="0" w:color="auto"/>
              </w:divBdr>
            </w:div>
          </w:divsChild>
        </w:div>
        <w:div w:id="528681874">
          <w:marLeft w:val="0"/>
          <w:marRight w:val="0"/>
          <w:marTop w:val="0"/>
          <w:marBottom w:val="0"/>
          <w:divBdr>
            <w:top w:val="none" w:sz="0" w:space="0" w:color="auto"/>
            <w:left w:val="none" w:sz="0" w:space="0" w:color="auto"/>
            <w:bottom w:val="none" w:sz="0" w:space="0" w:color="auto"/>
            <w:right w:val="none" w:sz="0" w:space="0" w:color="auto"/>
          </w:divBdr>
          <w:divsChild>
            <w:div w:id="502548973">
              <w:marLeft w:val="0"/>
              <w:marRight w:val="0"/>
              <w:marTop w:val="0"/>
              <w:marBottom w:val="0"/>
              <w:divBdr>
                <w:top w:val="none" w:sz="0" w:space="0" w:color="auto"/>
                <w:left w:val="none" w:sz="0" w:space="0" w:color="auto"/>
                <w:bottom w:val="none" w:sz="0" w:space="0" w:color="auto"/>
                <w:right w:val="none" w:sz="0" w:space="0" w:color="auto"/>
              </w:divBdr>
            </w:div>
          </w:divsChild>
        </w:div>
        <w:div w:id="555969225">
          <w:marLeft w:val="0"/>
          <w:marRight w:val="0"/>
          <w:marTop w:val="0"/>
          <w:marBottom w:val="0"/>
          <w:divBdr>
            <w:top w:val="none" w:sz="0" w:space="0" w:color="auto"/>
            <w:left w:val="none" w:sz="0" w:space="0" w:color="auto"/>
            <w:bottom w:val="none" w:sz="0" w:space="0" w:color="auto"/>
            <w:right w:val="none" w:sz="0" w:space="0" w:color="auto"/>
          </w:divBdr>
          <w:divsChild>
            <w:div w:id="1618754615">
              <w:marLeft w:val="0"/>
              <w:marRight w:val="0"/>
              <w:marTop w:val="0"/>
              <w:marBottom w:val="0"/>
              <w:divBdr>
                <w:top w:val="none" w:sz="0" w:space="0" w:color="auto"/>
                <w:left w:val="none" w:sz="0" w:space="0" w:color="auto"/>
                <w:bottom w:val="none" w:sz="0" w:space="0" w:color="auto"/>
                <w:right w:val="none" w:sz="0" w:space="0" w:color="auto"/>
              </w:divBdr>
            </w:div>
          </w:divsChild>
        </w:div>
        <w:div w:id="571965358">
          <w:marLeft w:val="0"/>
          <w:marRight w:val="0"/>
          <w:marTop w:val="0"/>
          <w:marBottom w:val="0"/>
          <w:divBdr>
            <w:top w:val="none" w:sz="0" w:space="0" w:color="auto"/>
            <w:left w:val="none" w:sz="0" w:space="0" w:color="auto"/>
            <w:bottom w:val="none" w:sz="0" w:space="0" w:color="auto"/>
            <w:right w:val="none" w:sz="0" w:space="0" w:color="auto"/>
          </w:divBdr>
          <w:divsChild>
            <w:div w:id="737753580">
              <w:marLeft w:val="0"/>
              <w:marRight w:val="0"/>
              <w:marTop w:val="0"/>
              <w:marBottom w:val="0"/>
              <w:divBdr>
                <w:top w:val="none" w:sz="0" w:space="0" w:color="auto"/>
                <w:left w:val="none" w:sz="0" w:space="0" w:color="auto"/>
                <w:bottom w:val="none" w:sz="0" w:space="0" w:color="auto"/>
                <w:right w:val="none" w:sz="0" w:space="0" w:color="auto"/>
              </w:divBdr>
            </w:div>
          </w:divsChild>
        </w:div>
        <w:div w:id="643194515">
          <w:marLeft w:val="0"/>
          <w:marRight w:val="0"/>
          <w:marTop w:val="0"/>
          <w:marBottom w:val="0"/>
          <w:divBdr>
            <w:top w:val="none" w:sz="0" w:space="0" w:color="auto"/>
            <w:left w:val="none" w:sz="0" w:space="0" w:color="auto"/>
            <w:bottom w:val="none" w:sz="0" w:space="0" w:color="auto"/>
            <w:right w:val="none" w:sz="0" w:space="0" w:color="auto"/>
          </w:divBdr>
          <w:divsChild>
            <w:div w:id="59132841">
              <w:marLeft w:val="0"/>
              <w:marRight w:val="0"/>
              <w:marTop w:val="0"/>
              <w:marBottom w:val="0"/>
              <w:divBdr>
                <w:top w:val="none" w:sz="0" w:space="0" w:color="auto"/>
                <w:left w:val="none" w:sz="0" w:space="0" w:color="auto"/>
                <w:bottom w:val="none" w:sz="0" w:space="0" w:color="auto"/>
                <w:right w:val="none" w:sz="0" w:space="0" w:color="auto"/>
              </w:divBdr>
            </w:div>
          </w:divsChild>
        </w:div>
        <w:div w:id="686324697">
          <w:marLeft w:val="0"/>
          <w:marRight w:val="0"/>
          <w:marTop w:val="0"/>
          <w:marBottom w:val="0"/>
          <w:divBdr>
            <w:top w:val="none" w:sz="0" w:space="0" w:color="auto"/>
            <w:left w:val="none" w:sz="0" w:space="0" w:color="auto"/>
            <w:bottom w:val="none" w:sz="0" w:space="0" w:color="auto"/>
            <w:right w:val="none" w:sz="0" w:space="0" w:color="auto"/>
          </w:divBdr>
          <w:divsChild>
            <w:div w:id="1667517303">
              <w:marLeft w:val="0"/>
              <w:marRight w:val="0"/>
              <w:marTop w:val="0"/>
              <w:marBottom w:val="0"/>
              <w:divBdr>
                <w:top w:val="none" w:sz="0" w:space="0" w:color="auto"/>
                <w:left w:val="none" w:sz="0" w:space="0" w:color="auto"/>
                <w:bottom w:val="none" w:sz="0" w:space="0" w:color="auto"/>
                <w:right w:val="none" w:sz="0" w:space="0" w:color="auto"/>
              </w:divBdr>
            </w:div>
          </w:divsChild>
        </w:div>
        <w:div w:id="750197594">
          <w:marLeft w:val="0"/>
          <w:marRight w:val="0"/>
          <w:marTop w:val="0"/>
          <w:marBottom w:val="0"/>
          <w:divBdr>
            <w:top w:val="none" w:sz="0" w:space="0" w:color="auto"/>
            <w:left w:val="none" w:sz="0" w:space="0" w:color="auto"/>
            <w:bottom w:val="none" w:sz="0" w:space="0" w:color="auto"/>
            <w:right w:val="none" w:sz="0" w:space="0" w:color="auto"/>
          </w:divBdr>
          <w:divsChild>
            <w:div w:id="1648166543">
              <w:marLeft w:val="0"/>
              <w:marRight w:val="0"/>
              <w:marTop w:val="0"/>
              <w:marBottom w:val="0"/>
              <w:divBdr>
                <w:top w:val="none" w:sz="0" w:space="0" w:color="auto"/>
                <w:left w:val="none" w:sz="0" w:space="0" w:color="auto"/>
                <w:bottom w:val="none" w:sz="0" w:space="0" w:color="auto"/>
                <w:right w:val="none" w:sz="0" w:space="0" w:color="auto"/>
              </w:divBdr>
            </w:div>
          </w:divsChild>
        </w:div>
        <w:div w:id="796342221">
          <w:marLeft w:val="0"/>
          <w:marRight w:val="0"/>
          <w:marTop w:val="0"/>
          <w:marBottom w:val="0"/>
          <w:divBdr>
            <w:top w:val="none" w:sz="0" w:space="0" w:color="auto"/>
            <w:left w:val="none" w:sz="0" w:space="0" w:color="auto"/>
            <w:bottom w:val="none" w:sz="0" w:space="0" w:color="auto"/>
            <w:right w:val="none" w:sz="0" w:space="0" w:color="auto"/>
          </w:divBdr>
          <w:divsChild>
            <w:div w:id="1572035705">
              <w:marLeft w:val="0"/>
              <w:marRight w:val="0"/>
              <w:marTop w:val="0"/>
              <w:marBottom w:val="0"/>
              <w:divBdr>
                <w:top w:val="none" w:sz="0" w:space="0" w:color="auto"/>
                <w:left w:val="none" w:sz="0" w:space="0" w:color="auto"/>
                <w:bottom w:val="none" w:sz="0" w:space="0" w:color="auto"/>
                <w:right w:val="none" w:sz="0" w:space="0" w:color="auto"/>
              </w:divBdr>
            </w:div>
          </w:divsChild>
        </w:div>
        <w:div w:id="798763578">
          <w:marLeft w:val="0"/>
          <w:marRight w:val="0"/>
          <w:marTop w:val="0"/>
          <w:marBottom w:val="0"/>
          <w:divBdr>
            <w:top w:val="none" w:sz="0" w:space="0" w:color="auto"/>
            <w:left w:val="none" w:sz="0" w:space="0" w:color="auto"/>
            <w:bottom w:val="none" w:sz="0" w:space="0" w:color="auto"/>
            <w:right w:val="none" w:sz="0" w:space="0" w:color="auto"/>
          </w:divBdr>
          <w:divsChild>
            <w:div w:id="484274095">
              <w:marLeft w:val="0"/>
              <w:marRight w:val="0"/>
              <w:marTop w:val="0"/>
              <w:marBottom w:val="0"/>
              <w:divBdr>
                <w:top w:val="none" w:sz="0" w:space="0" w:color="auto"/>
                <w:left w:val="none" w:sz="0" w:space="0" w:color="auto"/>
                <w:bottom w:val="none" w:sz="0" w:space="0" w:color="auto"/>
                <w:right w:val="none" w:sz="0" w:space="0" w:color="auto"/>
              </w:divBdr>
            </w:div>
          </w:divsChild>
        </w:div>
        <w:div w:id="812135302">
          <w:marLeft w:val="0"/>
          <w:marRight w:val="0"/>
          <w:marTop w:val="0"/>
          <w:marBottom w:val="0"/>
          <w:divBdr>
            <w:top w:val="none" w:sz="0" w:space="0" w:color="auto"/>
            <w:left w:val="none" w:sz="0" w:space="0" w:color="auto"/>
            <w:bottom w:val="none" w:sz="0" w:space="0" w:color="auto"/>
            <w:right w:val="none" w:sz="0" w:space="0" w:color="auto"/>
          </w:divBdr>
          <w:divsChild>
            <w:div w:id="858278198">
              <w:marLeft w:val="0"/>
              <w:marRight w:val="0"/>
              <w:marTop w:val="0"/>
              <w:marBottom w:val="0"/>
              <w:divBdr>
                <w:top w:val="none" w:sz="0" w:space="0" w:color="auto"/>
                <w:left w:val="none" w:sz="0" w:space="0" w:color="auto"/>
                <w:bottom w:val="none" w:sz="0" w:space="0" w:color="auto"/>
                <w:right w:val="none" w:sz="0" w:space="0" w:color="auto"/>
              </w:divBdr>
            </w:div>
          </w:divsChild>
        </w:div>
        <w:div w:id="826435940">
          <w:marLeft w:val="0"/>
          <w:marRight w:val="0"/>
          <w:marTop w:val="0"/>
          <w:marBottom w:val="0"/>
          <w:divBdr>
            <w:top w:val="none" w:sz="0" w:space="0" w:color="auto"/>
            <w:left w:val="none" w:sz="0" w:space="0" w:color="auto"/>
            <w:bottom w:val="none" w:sz="0" w:space="0" w:color="auto"/>
            <w:right w:val="none" w:sz="0" w:space="0" w:color="auto"/>
          </w:divBdr>
          <w:divsChild>
            <w:div w:id="962003929">
              <w:marLeft w:val="0"/>
              <w:marRight w:val="0"/>
              <w:marTop w:val="0"/>
              <w:marBottom w:val="0"/>
              <w:divBdr>
                <w:top w:val="none" w:sz="0" w:space="0" w:color="auto"/>
                <w:left w:val="none" w:sz="0" w:space="0" w:color="auto"/>
                <w:bottom w:val="none" w:sz="0" w:space="0" w:color="auto"/>
                <w:right w:val="none" w:sz="0" w:space="0" w:color="auto"/>
              </w:divBdr>
            </w:div>
          </w:divsChild>
        </w:div>
        <w:div w:id="857695358">
          <w:marLeft w:val="0"/>
          <w:marRight w:val="0"/>
          <w:marTop w:val="0"/>
          <w:marBottom w:val="0"/>
          <w:divBdr>
            <w:top w:val="none" w:sz="0" w:space="0" w:color="auto"/>
            <w:left w:val="none" w:sz="0" w:space="0" w:color="auto"/>
            <w:bottom w:val="none" w:sz="0" w:space="0" w:color="auto"/>
            <w:right w:val="none" w:sz="0" w:space="0" w:color="auto"/>
          </w:divBdr>
          <w:divsChild>
            <w:div w:id="1084649968">
              <w:marLeft w:val="0"/>
              <w:marRight w:val="0"/>
              <w:marTop w:val="0"/>
              <w:marBottom w:val="0"/>
              <w:divBdr>
                <w:top w:val="none" w:sz="0" w:space="0" w:color="auto"/>
                <w:left w:val="none" w:sz="0" w:space="0" w:color="auto"/>
                <w:bottom w:val="none" w:sz="0" w:space="0" w:color="auto"/>
                <w:right w:val="none" w:sz="0" w:space="0" w:color="auto"/>
              </w:divBdr>
            </w:div>
          </w:divsChild>
        </w:div>
        <w:div w:id="863175802">
          <w:marLeft w:val="0"/>
          <w:marRight w:val="0"/>
          <w:marTop w:val="0"/>
          <w:marBottom w:val="0"/>
          <w:divBdr>
            <w:top w:val="none" w:sz="0" w:space="0" w:color="auto"/>
            <w:left w:val="none" w:sz="0" w:space="0" w:color="auto"/>
            <w:bottom w:val="none" w:sz="0" w:space="0" w:color="auto"/>
            <w:right w:val="none" w:sz="0" w:space="0" w:color="auto"/>
          </w:divBdr>
          <w:divsChild>
            <w:div w:id="1191719817">
              <w:marLeft w:val="0"/>
              <w:marRight w:val="0"/>
              <w:marTop w:val="0"/>
              <w:marBottom w:val="0"/>
              <w:divBdr>
                <w:top w:val="none" w:sz="0" w:space="0" w:color="auto"/>
                <w:left w:val="none" w:sz="0" w:space="0" w:color="auto"/>
                <w:bottom w:val="none" w:sz="0" w:space="0" w:color="auto"/>
                <w:right w:val="none" w:sz="0" w:space="0" w:color="auto"/>
              </w:divBdr>
            </w:div>
          </w:divsChild>
        </w:div>
        <w:div w:id="907879175">
          <w:marLeft w:val="0"/>
          <w:marRight w:val="0"/>
          <w:marTop w:val="0"/>
          <w:marBottom w:val="0"/>
          <w:divBdr>
            <w:top w:val="none" w:sz="0" w:space="0" w:color="auto"/>
            <w:left w:val="none" w:sz="0" w:space="0" w:color="auto"/>
            <w:bottom w:val="none" w:sz="0" w:space="0" w:color="auto"/>
            <w:right w:val="none" w:sz="0" w:space="0" w:color="auto"/>
          </w:divBdr>
          <w:divsChild>
            <w:div w:id="1748647638">
              <w:marLeft w:val="0"/>
              <w:marRight w:val="0"/>
              <w:marTop w:val="0"/>
              <w:marBottom w:val="0"/>
              <w:divBdr>
                <w:top w:val="none" w:sz="0" w:space="0" w:color="auto"/>
                <w:left w:val="none" w:sz="0" w:space="0" w:color="auto"/>
                <w:bottom w:val="none" w:sz="0" w:space="0" w:color="auto"/>
                <w:right w:val="none" w:sz="0" w:space="0" w:color="auto"/>
              </w:divBdr>
            </w:div>
          </w:divsChild>
        </w:div>
        <w:div w:id="967391154">
          <w:marLeft w:val="0"/>
          <w:marRight w:val="0"/>
          <w:marTop w:val="0"/>
          <w:marBottom w:val="0"/>
          <w:divBdr>
            <w:top w:val="none" w:sz="0" w:space="0" w:color="auto"/>
            <w:left w:val="none" w:sz="0" w:space="0" w:color="auto"/>
            <w:bottom w:val="none" w:sz="0" w:space="0" w:color="auto"/>
            <w:right w:val="none" w:sz="0" w:space="0" w:color="auto"/>
          </w:divBdr>
          <w:divsChild>
            <w:div w:id="359279807">
              <w:marLeft w:val="0"/>
              <w:marRight w:val="0"/>
              <w:marTop w:val="0"/>
              <w:marBottom w:val="0"/>
              <w:divBdr>
                <w:top w:val="none" w:sz="0" w:space="0" w:color="auto"/>
                <w:left w:val="none" w:sz="0" w:space="0" w:color="auto"/>
                <w:bottom w:val="none" w:sz="0" w:space="0" w:color="auto"/>
                <w:right w:val="none" w:sz="0" w:space="0" w:color="auto"/>
              </w:divBdr>
            </w:div>
          </w:divsChild>
        </w:div>
        <w:div w:id="989283603">
          <w:marLeft w:val="0"/>
          <w:marRight w:val="0"/>
          <w:marTop w:val="0"/>
          <w:marBottom w:val="0"/>
          <w:divBdr>
            <w:top w:val="none" w:sz="0" w:space="0" w:color="auto"/>
            <w:left w:val="none" w:sz="0" w:space="0" w:color="auto"/>
            <w:bottom w:val="none" w:sz="0" w:space="0" w:color="auto"/>
            <w:right w:val="none" w:sz="0" w:space="0" w:color="auto"/>
          </w:divBdr>
          <w:divsChild>
            <w:div w:id="1669207440">
              <w:marLeft w:val="0"/>
              <w:marRight w:val="0"/>
              <w:marTop w:val="0"/>
              <w:marBottom w:val="0"/>
              <w:divBdr>
                <w:top w:val="none" w:sz="0" w:space="0" w:color="auto"/>
                <w:left w:val="none" w:sz="0" w:space="0" w:color="auto"/>
                <w:bottom w:val="none" w:sz="0" w:space="0" w:color="auto"/>
                <w:right w:val="none" w:sz="0" w:space="0" w:color="auto"/>
              </w:divBdr>
            </w:div>
          </w:divsChild>
        </w:div>
        <w:div w:id="1019041915">
          <w:marLeft w:val="0"/>
          <w:marRight w:val="0"/>
          <w:marTop w:val="0"/>
          <w:marBottom w:val="0"/>
          <w:divBdr>
            <w:top w:val="none" w:sz="0" w:space="0" w:color="auto"/>
            <w:left w:val="none" w:sz="0" w:space="0" w:color="auto"/>
            <w:bottom w:val="none" w:sz="0" w:space="0" w:color="auto"/>
            <w:right w:val="none" w:sz="0" w:space="0" w:color="auto"/>
          </w:divBdr>
          <w:divsChild>
            <w:div w:id="505095556">
              <w:marLeft w:val="0"/>
              <w:marRight w:val="0"/>
              <w:marTop w:val="0"/>
              <w:marBottom w:val="0"/>
              <w:divBdr>
                <w:top w:val="none" w:sz="0" w:space="0" w:color="auto"/>
                <w:left w:val="none" w:sz="0" w:space="0" w:color="auto"/>
                <w:bottom w:val="none" w:sz="0" w:space="0" w:color="auto"/>
                <w:right w:val="none" w:sz="0" w:space="0" w:color="auto"/>
              </w:divBdr>
            </w:div>
          </w:divsChild>
        </w:div>
        <w:div w:id="1031761313">
          <w:marLeft w:val="0"/>
          <w:marRight w:val="0"/>
          <w:marTop w:val="0"/>
          <w:marBottom w:val="0"/>
          <w:divBdr>
            <w:top w:val="none" w:sz="0" w:space="0" w:color="auto"/>
            <w:left w:val="none" w:sz="0" w:space="0" w:color="auto"/>
            <w:bottom w:val="none" w:sz="0" w:space="0" w:color="auto"/>
            <w:right w:val="none" w:sz="0" w:space="0" w:color="auto"/>
          </w:divBdr>
          <w:divsChild>
            <w:div w:id="408120402">
              <w:marLeft w:val="0"/>
              <w:marRight w:val="0"/>
              <w:marTop w:val="0"/>
              <w:marBottom w:val="0"/>
              <w:divBdr>
                <w:top w:val="none" w:sz="0" w:space="0" w:color="auto"/>
                <w:left w:val="none" w:sz="0" w:space="0" w:color="auto"/>
                <w:bottom w:val="none" w:sz="0" w:space="0" w:color="auto"/>
                <w:right w:val="none" w:sz="0" w:space="0" w:color="auto"/>
              </w:divBdr>
            </w:div>
          </w:divsChild>
        </w:div>
        <w:div w:id="1204710879">
          <w:marLeft w:val="0"/>
          <w:marRight w:val="0"/>
          <w:marTop w:val="0"/>
          <w:marBottom w:val="0"/>
          <w:divBdr>
            <w:top w:val="none" w:sz="0" w:space="0" w:color="auto"/>
            <w:left w:val="none" w:sz="0" w:space="0" w:color="auto"/>
            <w:bottom w:val="none" w:sz="0" w:space="0" w:color="auto"/>
            <w:right w:val="none" w:sz="0" w:space="0" w:color="auto"/>
          </w:divBdr>
          <w:divsChild>
            <w:div w:id="1716002243">
              <w:marLeft w:val="0"/>
              <w:marRight w:val="0"/>
              <w:marTop w:val="0"/>
              <w:marBottom w:val="0"/>
              <w:divBdr>
                <w:top w:val="none" w:sz="0" w:space="0" w:color="auto"/>
                <w:left w:val="none" w:sz="0" w:space="0" w:color="auto"/>
                <w:bottom w:val="none" w:sz="0" w:space="0" w:color="auto"/>
                <w:right w:val="none" w:sz="0" w:space="0" w:color="auto"/>
              </w:divBdr>
            </w:div>
          </w:divsChild>
        </w:div>
        <w:div w:id="1360164354">
          <w:marLeft w:val="0"/>
          <w:marRight w:val="0"/>
          <w:marTop w:val="0"/>
          <w:marBottom w:val="0"/>
          <w:divBdr>
            <w:top w:val="none" w:sz="0" w:space="0" w:color="auto"/>
            <w:left w:val="none" w:sz="0" w:space="0" w:color="auto"/>
            <w:bottom w:val="none" w:sz="0" w:space="0" w:color="auto"/>
            <w:right w:val="none" w:sz="0" w:space="0" w:color="auto"/>
          </w:divBdr>
          <w:divsChild>
            <w:div w:id="2048526989">
              <w:marLeft w:val="0"/>
              <w:marRight w:val="0"/>
              <w:marTop w:val="0"/>
              <w:marBottom w:val="0"/>
              <w:divBdr>
                <w:top w:val="none" w:sz="0" w:space="0" w:color="auto"/>
                <w:left w:val="none" w:sz="0" w:space="0" w:color="auto"/>
                <w:bottom w:val="none" w:sz="0" w:space="0" w:color="auto"/>
                <w:right w:val="none" w:sz="0" w:space="0" w:color="auto"/>
              </w:divBdr>
            </w:div>
          </w:divsChild>
        </w:div>
        <w:div w:id="1384518571">
          <w:marLeft w:val="0"/>
          <w:marRight w:val="0"/>
          <w:marTop w:val="0"/>
          <w:marBottom w:val="0"/>
          <w:divBdr>
            <w:top w:val="none" w:sz="0" w:space="0" w:color="auto"/>
            <w:left w:val="none" w:sz="0" w:space="0" w:color="auto"/>
            <w:bottom w:val="none" w:sz="0" w:space="0" w:color="auto"/>
            <w:right w:val="none" w:sz="0" w:space="0" w:color="auto"/>
          </w:divBdr>
          <w:divsChild>
            <w:div w:id="2141654816">
              <w:marLeft w:val="0"/>
              <w:marRight w:val="0"/>
              <w:marTop w:val="0"/>
              <w:marBottom w:val="0"/>
              <w:divBdr>
                <w:top w:val="none" w:sz="0" w:space="0" w:color="auto"/>
                <w:left w:val="none" w:sz="0" w:space="0" w:color="auto"/>
                <w:bottom w:val="none" w:sz="0" w:space="0" w:color="auto"/>
                <w:right w:val="none" w:sz="0" w:space="0" w:color="auto"/>
              </w:divBdr>
            </w:div>
          </w:divsChild>
        </w:div>
        <w:div w:id="1385062326">
          <w:marLeft w:val="0"/>
          <w:marRight w:val="0"/>
          <w:marTop w:val="0"/>
          <w:marBottom w:val="0"/>
          <w:divBdr>
            <w:top w:val="none" w:sz="0" w:space="0" w:color="auto"/>
            <w:left w:val="none" w:sz="0" w:space="0" w:color="auto"/>
            <w:bottom w:val="none" w:sz="0" w:space="0" w:color="auto"/>
            <w:right w:val="none" w:sz="0" w:space="0" w:color="auto"/>
          </w:divBdr>
          <w:divsChild>
            <w:div w:id="1602371394">
              <w:marLeft w:val="0"/>
              <w:marRight w:val="0"/>
              <w:marTop w:val="0"/>
              <w:marBottom w:val="0"/>
              <w:divBdr>
                <w:top w:val="none" w:sz="0" w:space="0" w:color="auto"/>
                <w:left w:val="none" w:sz="0" w:space="0" w:color="auto"/>
                <w:bottom w:val="none" w:sz="0" w:space="0" w:color="auto"/>
                <w:right w:val="none" w:sz="0" w:space="0" w:color="auto"/>
              </w:divBdr>
            </w:div>
          </w:divsChild>
        </w:div>
        <w:div w:id="1387489637">
          <w:marLeft w:val="0"/>
          <w:marRight w:val="0"/>
          <w:marTop w:val="0"/>
          <w:marBottom w:val="0"/>
          <w:divBdr>
            <w:top w:val="none" w:sz="0" w:space="0" w:color="auto"/>
            <w:left w:val="none" w:sz="0" w:space="0" w:color="auto"/>
            <w:bottom w:val="none" w:sz="0" w:space="0" w:color="auto"/>
            <w:right w:val="none" w:sz="0" w:space="0" w:color="auto"/>
          </w:divBdr>
          <w:divsChild>
            <w:div w:id="1873223864">
              <w:marLeft w:val="0"/>
              <w:marRight w:val="0"/>
              <w:marTop w:val="0"/>
              <w:marBottom w:val="0"/>
              <w:divBdr>
                <w:top w:val="none" w:sz="0" w:space="0" w:color="auto"/>
                <w:left w:val="none" w:sz="0" w:space="0" w:color="auto"/>
                <w:bottom w:val="none" w:sz="0" w:space="0" w:color="auto"/>
                <w:right w:val="none" w:sz="0" w:space="0" w:color="auto"/>
              </w:divBdr>
            </w:div>
          </w:divsChild>
        </w:div>
        <w:div w:id="1387799405">
          <w:marLeft w:val="0"/>
          <w:marRight w:val="0"/>
          <w:marTop w:val="0"/>
          <w:marBottom w:val="0"/>
          <w:divBdr>
            <w:top w:val="none" w:sz="0" w:space="0" w:color="auto"/>
            <w:left w:val="none" w:sz="0" w:space="0" w:color="auto"/>
            <w:bottom w:val="none" w:sz="0" w:space="0" w:color="auto"/>
            <w:right w:val="none" w:sz="0" w:space="0" w:color="auto"/>
          </w:divBdr>
          <w:divsChild>
            <w:div w:id="1522359888">
              <w:marLeft w:val="0"/>
              <w:marRight w:val="0"/>
              <w:marTop w:val="0"/>
              <w:marBottom w:val="0"/>
              <w:divBdr>
                <w:top w:val="none" w:sz="0" w:space="0" w:color="auto"/>
                <w:left w:val="none" w:sz="0" w:space="0" w:color="auto"/>
                <w:bottom w:val="none" w:sz="0" w:space="0" w:color="auto"/>
                <w:right w:val="none" w:sz="0" w:space="0" w:color="auto"/>
              </w:divBdr>
            </w:div>
          </w:divsChild>
        </w:div>
        <w:div w:id="1406995306">
          <w:marLeft w:val="0"/>
          <w:marRight w:val="0"/>
          <w:marTop w:val="0"/>
          <w:marBottom w:val="0"/>
          <w:divBdr>
            <w:top w:val="none" w:sz="0" w:space="0" w:color="auto"/>
            <w:left w:val="none" w:sz="0" w:space="0" w:color="auto"/>
            <w:bottom w:val="none" w:sz="0" w:space="0" w:color="auto"/>
            <w:right w:val="none" w:sz="0" w:space="0" w:color="auto"/>
          </w:divBdr>
          <w:divsChild>
            <w:div w:id="1509370401">
              <w:marLeft w:val="0"/>
              <w:marRight w:val="0"/>
              <w:marTop w:val="0"/>
              <w:marBottom w:val="0"/>
              <w:divBdr>
                <w:top w:val="none" w:sz="0" w:space="0" w:color="auto"/>
                <w:left w:val="none" w:sz="0" w:space="0" w:color="auto"/>
                <w:bottom w:val="none" w:sz="0" w:space="0" w:color="auto"/>
                <w:right w:val="none" w:sz="0" w:space="0" w:color="auto"/>
              </w:divBdr>
            </w:div>
          </w:divsChild>
        </w:div>
        <w:div w:id="1478306900">
          <w:marLeft w:val="0"/>
          <w:marRight w:val="0"/>
          <w:marTop w:val="0"/>
          <w:marBottom w:val="0"/>
          <w:divBdr>
            <w:top w:val="none" w:sz="0" w:space="0" w:color="auto"/>
            <w:left w:val="none" w:sz="0" w:space="0" w:color="auto"/>
            <w:bottom w:val="none" w:sz="0" w:space="0" w:color="auto"/>
            <w:right w:val="none" w:sz="0" w:space="0" w:color="auto"/>
          </w:divBdr>
          <w:divsChild>
            <w:div w:id="1942950245">
              <w:marLeft w:val="0"/>
              <w:marRight w:val="0"/>
              <w:marTop w:val="0"/>
              <w:marBottom w:val="0"/>
              <w:divBdr>
                <w:top w:val="none" w:sz="0" w:space="0" w:color="auto"/>
                <w:left w:val="none" w:sz="0" w:space="0" w:color="auto"/>
                <w:bottom w:val="none" w:sz="0" w:space="0" w:color="auto"/>
                <w:right w:val="none" w:sz="0" w:space="0" w:color="auto"/>
              </w:divBdr>
            </w:div>
          </w:divsChild>
        </w:div>
        <w:div w:id="1572037823">
          <w:marLeft w:val="0"/>
          <w:marRight w:val="0"/>
          <w:marTop w:val="0"/>
          <w:marBottom w:val="0"/>
          <w:divBdr>
            <w:top w:val="none" w:sz="0" w:space="0" w:color="auto"/>
            <w:left w:val="none" w:sz="0" w:space="0" w:color="auto"/>
            <w:bottom w:val="none" w:sz="0" w:space="0" w:color="auto"/>
            <w:right w:val="none" w:sz="0" w:space="0" w:color="auto"/>
          </w:divBdr>
          <w:divsChild>
            <w:div w:id="1163356456">
              <w:marLeft w:val="0"/>
              <w:marRight w:val="0"/>
              <w:marTop w:val="0"/>
              <w:marBottom w:val="0"/>
              <w:divBdr>
                <w:top w:val="none" w:sz="0" w:space="0" w:color="auto"/>
                <w:left w:val="none" w:sz="0" w:space="0" w:color="auto"/>
                <w:bottom w:val="none" w:sz="0" w:space="0" w:color="auto"/>
                <w:right w:val="none" w:sz="0" w:space="0" w:color="auto"/>
              </w:divBdr>
            </w:div>
          </w:divsChild>
        </w:div>
        <w:div w:id="1574853191">
          <w:marLeft w:val="0"/>
          <w:marRight w:val="0"/>
          <w:marTop w:val="0"/>
          <w:marBottom w:val="0"/>
          <w:divBdr>
            <w:top w:val="none" w:sz="0" w:space="0" w:color="auto"/>
            <w:left w:val="none" w:sz="0" w:space="0" w:color="auto"/>
            <w:bottom w:val="none" w:sz="0" w:space="0" w:color="auto"/>
            <w:right w:val="none" w:sz="0" w:space="0" w:color="auto"/>
          </w:divBdr>
          <w:divsChild>
            <w:div w:id="161284593">
              <w:marLeft w:val="0"/>
              <w:marRight w:val="0"/>
              <w:marTop w:val="0"/>
              <w:marBottom w:val="0"/>
              <w:divBdr>
                <w:top w:val="none" w:sz="0" w:space="0" w:color="auto"/>
                <w:left w:val="none" w:sz="0" w:space="0" w:color="auto"/>
                <w:bottom w:val="none" w:sz="0" w:space="0" w:color="auto"/>
                <w:right w:val="none" w:sz="0" w:space="0" w:color="auto"/>
              </w:divBdr>
            </w:div>
            <w:div w:id="215510782">
              <w:marLeft w:val="0"/>
              <w:marRight w:val="0"/>
              <w:marTop w:val="0"/>
              <w:marBottom w:val="0"/>
              <w:divBdr>
                <w:top w:val="none" w:sz="0" w:space="0" w:color="auto"/>
                <w:left w:val="none" w:sz="0" w:space="0" w:color="auto"/>
                <w:bottom w:val="none" w:sz="0" w:space="0" w:color="auto"/>
                <w:right w:val="none" w:sz="0" w:space="0" w:color="auto"/>
              </w:divBdr>
            </w:div>
            <w:div w:id="654531069">
              <w:marLeft w:val="0"/>
              <w:marRight w:val="0"/>
              <w:marTop w:val="0"/>
              <w:marBottom w:val="0"/>
              <w:divBdr>
                <w:top w:val="none" w:sz="0" w:space="0" w:color="auto"/>
                <w:left w:val="none" w:sz="0" w:space="0" w:color="auto"/>
                <w:bottom w:val="none" w:sz="0" w:space="0" w:color="auto"/>
                <w:right w:val="none" w:sz="0" w:space="0" w:color="auto"/>
              </w:divBdr>
            </w:div>
            <w:div w:id="1012951651">
              <w:marLeft w:val="0"/>
              <w:marRight w:val="0"/>
              <w:marTop w:val="0"/>
              <w:marBottom w:val="0"/>
              <w:divBdr>
                <w:top w:val="none" w:sz="0" w:space="0" w:color="auto"/>
                <w:left w:val="none" w:sz="0" w:space="0" w:color="auto"/>
                <w:bottom w:val="none" w:sz="0" w:space="0" w:color="auto"/>
                <w:right w:val="none" w:sz="0" w:space="0" w:color="auto"/>
              </w:divBdr>
            </w:div>
          </w:divsChild>
        </w:div>
        <w:div w:id="1604875767">
          <w:marLeft w:val="0"/>
          <w:marRight w:val="0"/>
          <w:marTop w:val="0"/>
          <w:marBottom w:val="0"/>
          <w:divBdr>
            <w:top w:val="none" w:sz="0" w:space="0" w:color="auto"/>
            <w:left w:val="none" w:sz="0" w:space="0" w:color="auto"/>
            <w:bottom w:val="none" w:sz="0" w:space="0" w:color="auto"/>
            <w:right w:val="none" w:sz="0" w:space="0" w:color="auto"/>
          </w:divBdr>
          <w:divsChild>
            <w:div w:id="213202727">
              <w:marLeft w:val="0"/>
              <w:marRight w:val="0"/>
              <w:marTop w:val="0"/>
              <w:marBottom w:val="0"/>
              <w:divBdr>
                <w:top w:val="none" w:sz="0" w:space="0" w:color="auto"/>
                <w:left w:val="none" w:sz="0" w:space="0" w:color="auto"/>
                <w:bottom w:val="none" w:sz="0" w:space="0" w:color="auto"/>
                <w:right w:val="none" w:sz="0" w:space="0" w:color="auto"/>
              </w:divBdr>
            </w:div>
            <w:div w:id="1805999149">
              <w:marLeft w:val="0"/>
              <w:marRight w:val="0"/>
              <w:marTop w:val="0"/>
              <w:marBottom w:val="0"/>
              <w:divBdr>
                <w:top w:val="none" w:sz="0" w:space="0" w:color="auto"/>
                <w:left w:val="none" w:sz="0" w:space="0" w:color="auto"/>
                <w:bottom w:val="none" w:sz="0" w:space="0" w:color="auto"/>
                <w:right w:val="none" w:sz="0" w:space="0" w:color="auto"/>
              </w:divBdr>
            </w:div>
            <w:div w:id="2046589343">
              <w:marLeft w:val="0"/>
              <w:marRight w:val="0"/>
              <w:marTop w:val="0"/>
              <w:marBottom w:val="0"/>
              <w:divBdr>
                <w:top w:val="none" w:sz="0" w:space="0" w:color="auto"/>
                <w:left w:val="none" w:sz="0" w:space="0" w:color="auto"/>
                <w:bottom w:val="none" w:sz="0" w:space="0" w:color="auto"/>
                <w:right w:val="none" w:sz="0" w:space="0" w:color="auto"/>
              </w:divBdr>
            </w:div>
          </w:divsChild>
        </w:div>
        <w:div w:id="1623464866">
          <w:marLeft w:val="0"/>
          <w:marRight w:val="0"/>
          <w:marTop w:val="0"/>
          <w:marBottom w:val="0"/>
          <w:divBdr>
            <w:top w:val="none" w:sz="0" w:space="0" w:color="auto"/>
            <w:left w:val="none" w:sz="0" w:space="0" w:color="auto"/>
            <w:bottom w:val="none" w:sz="0" w:space="0" w:color="auto"/>
            <w:right w:val="none" w:sz="0" w:space="0" w:color="auto"/>
          </w:divBdr>
          <w:divsChild>
            <w:div w:id="33385959">
              <w:marLeft w:val="0"/>
              <w:marRight w:val="0"/>
              <w:marTop w:val="0"/>
              <w:marBottom w:val="0"/>
              <w:divBdr>
                <w:top w:val="none" w:sz="0" w:space="0" w:color="auto"/>
                <w:left w:val="none" w:sz="0" w:space="0" w:color="auto"/>
                <w:bottom w:val="none" w:sz="0" w:space="0" w:color="auto"/>
                <w:right w:val="none" w:sz="0" w:space="0" w:color="auto"/>
              </w:divBdr>
            </w:div>
          </w:divsChild>
        </w:div>
        <w:div w:id="1660038943">
          <w:marLeft w:val="0"/>
          <w:marRight w:val="0"/>
          <w:marTop w:val="0"/>
          <w:marBottom w:val="0"/>
          <w:divBdr>
            <w:top w:val="none" w:sz="0" w:space="0" w:color="auto"/>
            <w:left w:val="none" w:sz="0" w:space="0" w:color="auto"/>
            <w:bottom w:val="none" w:sz="0" w:space="0" w:color="auto"/>
            <w:right w:val="none" w:sz="0" w:space="0" w:color="auto"/>
          </w:divBdr>
          <w:divsChild>
            <w:div w:id="1895583215">
              <w:marLeft w:val="0"/>
              <w:marRight w:val="0"/>
              <w:marTop w:val="0"/>
              <w:marBottom w:val="0"/>
              <w:divBdr>
                <w:top w:val="none" w:sz="0" w:space="0" w:color="auto"/>
                <w:left w:val="none" w:sz="0" w:space="0" w:color="auto"/>
                <w:bottom w:val="none" w:sz="0" w:space="0" w:color="auto"/>
                <w:right w:val="none" w:sz="0" w:space="0" w:color="auto"/>
              </w:divBdr>
            </w:div>
          </w:divsChild>
        </w:div>
        <w:div w:id="1720543619">
          <w:marLeft w:val="0"/>
          <w:marRight w:val="0"/>
          <w:marTop w:val="0"/>
          <w:marBottom w:val="0"/>
          <w:divBdr>
            <w:top w:val="none" w:sz="0" w:space="0" w:color="auto"/>
            <w:left w:val="none" w:sz="0" w:space="0" w:color="auto"/>
            <w:bottom w:val="none" w:sz="0" w:space="0" w:color="auto"/>
            <w:right w:val="none" w:sz="0" w:space="0" w:color="auto"/>
          </w:divBdr>
          <w:divsChild>
            <w:div w:id="1655913525">
              <w:marLeft w:val="0"/>
              <w:marRight w:val="0"/>
              <w:marTop w:val="0"/>
              <w:marBottom w:val="0"/>
              <w:divBdr>
                <w:top w:val="none" w:sz="0" w:space="0" w:color="auto"/>
                <w:left w:val="none" w:sz="0" w:space="0" w:color="auto"/>
                <w:bottom w:val="none" w:sz="0" w:space="0" w:color="auto"/>
                <w:right w:val="none" w:sz="0" w:space="0" w:color="auto"/>
              </w:divBdr>
            </w:div>
          </w:divsChild>
        </w:div>
        <w:div w:id="1723753101">
          <w:marLeft w:val="0"/>
          <w:marRight w:val="0"/>
          <w:marTop w:val="0"/>
          <w:marBottom w:val="0"/>
          <w:divBdr>
            <w:top w:val="none" w:sz="0" w:space="0" w:color="auto"/>
            <w:left w:val="none" w:sz="0" w:space="0" w:color="auto"/>
            <w:bottom w:val="none" w:sz="0" w:space="0" w:color="auto"/>
            <w:right w:val="none" w:sz="0" w:space="0" w:color="auto"/>
          </w:divBdr>
          <w:divsChild>
            <w:div w:id="424501377">
              <w:marLeft w:val="0"/>
              <w:marRight w:val="0"/>
              <w:marTop w:val="0"/>
              <w:marBottom w:val="0"/>
              <w:divBdr>
                <w:top w:val="none" w:sz="0" w:space="0" w:color="auto"/>
                <w:left w:val="none" w:sz="0" w:space="0" w:color="auto"/>
                <w:bottom w:val="none" w:sz="0" w:space="0" w:color="auto"/>
                <w:right w:val="none" w:sz="0" w:space="0" w:color="auto"/>
              </w:divBdr>
            </w:div>
          </w:divsChild>
        </w:div>
        <w:div w:id="1782408809">
          <w:marLeft w:val="0"/>
          <w:marRight w:val="0"/>
          <w:marTop w:val="0"/>
          <w:marBottom w:val="0"/>
          <w:divBdr>
            <w:top w:val="none" w:sz="0" w:space="0" w:color="auto"/>
            <w:left w:val="none" w:sz="0" w:space="0" w:color="auto"/>
            <w:bottom w:val="none" w:sz="0" w:space="0" w:color="auto"/>
            <w:right w:val="none" w:sz="0" w:space="0" w:color="auto"/>
          </w:divBdr>
          <w:divsChild>
            <w:div w:id="2024551984">
              <w:marLeft w:val="0"/>
              <w:marRight w:val="0"/>
              <w:marTop w:val="0"/>
              <w:marBottom w:val="0"/>
              <w:divBdr>
                <w:top w:val="none" w:sz="0" w:space="0" w:color="auto"/>
                <w:left w:val="none" w:sz="0" w:space="0" w:color="auto"/>
                <w:bottom w:val="none" w:sz="0" w:space="0" w:color="auto"/>
                <w:right w:val="none" w:sz="0" w:space="0" w:color="auto"/>
              </w:divBdr>
            </w:div>
          </w:divsChild>
        </w:div>
        <w:div w:id="1849638811">
          <w:marLeft w:val="0"/>
          <w:marRight w:val="0"/>
          <w:marTop w:val="0"/>
          <w:marBottom w:val="0"/>
          <w:divBdr>
            <w:top w:val="none" w:sz="0" w:space="0" w:color="auto"/>
            <w:left w:val="none" w:sz="0" w:space="0" w:color="auto"/>
            <w:bottom w:val="none" w:sz="0" w:space="0" w:color="auto"/>
            <w:right w:val="none" w:sz="0" w:space="0" w:color="auto"/>
          </w:divBdr>
          <w:divsChild>
            <w:div w:id="543449354">
              <w:marLeft w:val="0"/>
              <w:marRight w:val="0"/>
              <w:marTop w:val="0"/>
              <w:marBottom w:val="0"/>
              <w:divBdr>
                <w:top w:val="none" w:sz="0" w:space="0" w:color="auto"/>
                <w:left w:val="none" w:sz="0" w:space="0" w:color="auto"/>
                <w:bottom w:val="none" w:sz="0" w:space="0" w:color="auto"/>
                <w:right w:val="none" w:sz="0" w:space="0" w:color="auto"/>
              </w:divBdr>
            </w:div>
          </w:divsChild>
        </w:div>
        <w:div w:id="1929118657">
          <w:marLeft w:val="0"/>
          <w:marRight w:val="0"/>
          <w:marTop w:val="0"/>
          <w:marBottom w:val="0"/>
          <w:divBdr>
            <w:top w:val="none" w:sz="0" w:space="0" w:color="auto"/>
            <w:left w:val="none" w:sz="0" w:space="0" w:color="auto"/>
            <w:bottom w:val="none" w:sz="0" w:space="0" w:color="auto"/>
            <w:right w:val="none" w:sz="0" w:space="0" w:color="auto"/>
          </w:divBdr>
          <w:divsChild>
            <w:div w:id="560868958">
              <w:marLeft w:val="0"/>
              <w:marRight w:val="0"/>
              <w:marTop w:val="0"/>
              <w:marBottom w:val="0"/>
              <w:divBdr>
                <w:top w:val="none" w:sz="0" w:space="0" w:color="auto"/>
                <w:left w:val="none" w:sz="0" w:space="0" w:color="auto"/>
                <w:bottom w:val="none" w:sz="0" w:space="0" w:color="auto"/>
                <w:right w:val="none" w:sz="0" w:space="0" w:color="auto"/>
              </w:divBdr>
            </w:div>
          </w:divsChild>
        </w:div>
        <w:div w:id="1938979506">
          <w:marLeft w:val="0"/>
          <w:marRight w:val="0"/>
          <w:marTop w:val="0"/>
          <w:marBottom w:val="0"/>
          <w:divBdr>
            <w:top w:val="none" w:sz="0" w:space="0" w:color="auto"/>
            <w:left w:val="none" w:sz="0" w:space="0" w:color="auto"/>
            <w:bottom w:val="none" w:sz="0" w:space="0" w:color="auto"/>
            <w:right w:val="none" w:sz="0" w:space="0" w:color="auto"/>
          </w:divBdr>
          <w:divsChild>
            <w:div w:id="1926693651">
              <w:marLeft w:val="0"/>
              <w:marRight w:val="0"/>
              <w:marTop w:val="0"/>
              <w:marBottom w:val="0"/>
              <w:divBdr>
                <w:top w:val="none" w:sz="0" w:space="0" w:color="auto"/>
                <w:left w:val="none" w:sz="0" w:space="0" w:color="auto"/>
                <w:bottom w:val="none" w:sz="0" w:space="0" w:color="auto"/>
                <w:right w:val="none" w:sz="0" w:space="0" w:color="auto"/>
              </w:divBdr>
            </w:div>
          </w:divsChild>
        </w:div>
        <w:div w:id="2081512346">
          <w:marLeft w:val="0"/>
          <w:marRight w:val="0"/>
          <w:marTop w:val="0"/>
          <w:marBottom w:val="0"/>
          <w:divBdr>
            <w:top w:val="none" w:sz="0" w:space="0" w:color="auto"/>
            <w:left w:val="none" w:sz="0" w:space="0" w:color="auto"/>
            <w:bottom w:val="none" w:sz="0" w:space="0" w:color="auto"/>
            <w:right w:val="none" w:sz="0" w:space="0" w:color="auto"/>
          </w:divBdr>
          <w:divsChild>
            <w:div w:id="1109160718">
              <w:marLeft w:val="0"/>
              <w:marRight w:val="0"/>
              <w:marTop w:val="0"/>
              <w:marBottom w:val="0"/>
              <w:divBdr>
                <w:top w:val="none" w:sz="0" w:space="0" w:color="auto"/>
                <w:left w:val="none" w:sz="0" w:space="0" w:color="auto"/>
                <w:bottom w:val="none" w:sz="0" w:space="0" w:color="auto"/>
                <w:right w:val="none" w:sz="0" w:space="0" w:color="auto"/>
              </w:divBdr>
            </w:div>
          </w:divsChild>
        </w:div>
        <w:div w:id="2096510767">
          <w:marLeft w:val="0"/>
          <w:marRight w:val="0"/>
          <w:marTop w:val="0"/>
          <w:marBottom w:val="0"/>
          <w:divBdr>
            <w:top w:val="none" w:sz="0" w:space="0" w:color="auto"/>
            <w:left w:val="none" w:sz="0" w:space="0" w:color="auto"/>
            <w:bottom w:val="none" w:sz="0" w:space="0" w:color="auto"/>
            <w:right w:val="none" w:sz="0" w:space="0" w:color="auto"/>
          </w:divBdr>
          <w:divsChild>
            <w:div w:id="603457316">
              <w:marLeft w:val="0"/>
              <w:marRight w:val="0"/>
              <w:marTop w:val="0"/>
              <w:marBottom w:val="0"/>
              <w:divBdr>
                <w:top w:val="none" w:sz="0" w:space="0" w:color="auto"/>
                <w:left w:val="none" w:sz="0" w:space="0" w:color="auto"/>
                <w:bottom w:val="none" w:sz="0" w:space="0" w:color="auto"/>
                <w:right w:val="none" w:sz="0" w:space="0" w:color="auto"/>
              </w:divBdr>
            </w:div>
          </w:divsChild>
        </w:div>
        <w:div w:id="2097506973">
          <w:marLeft w:val="0"/>
          <w:marRight w:val="0"/>
          <w:marTop w:val="0"/>
          <w:marBottom w:val="0"/>
          <w:divBdr>
            <w:top w:val="none" w:sz="0" w:space="0" w:color="auto"/>
            <w:left w:val="none" w:sz="0" w:space="0" w:color="auto"/>
            <w:bottom w:val="none" w:sz="0" w:space="0" w:color="auto"/>
            <w:right w:val="none" w:sz="0" w:space="0" w:color="auto"/>
          </w:divBdr>
          <w:divsChild>
            <w:div w:id="267782765">
              <w:marLeft w:val="0"/>
              <w:marRight w:val="0"/>
              <w:marTop w:val="0"/>
              <w:marBottom w:val="0"/>
              <w:divBdr>
                <w:top w:val="none" w:sz="0" w:space="0" w:color="auto"/>
                <w:left w:val="none" w:sz="0" w:space="0" w:color="auto"/>
                <w:bottom w:val="none" w:sz="0" w:space="0" w:color="auto"/>
                <w:right w:val="none" w:sz="0" w:space="0" w:color="auto"/>
              </w:divBdr>
            </w:div>
          </w:divsChild>
        </w:div>
        <w:div w:id="2114593178">
          <w:marLeft w:val="0"/>
          <w:marRight w:val="0"/>
          <w:marTop w:val="0"/>
          <w:marBottom w:val="0"/>
          <w:divBdr>
            <w:top w:val="none" w:sz="0" w:space="0" w:color="auto"/>
            <w:left w:val="none" w:sz="0" w:space="0" w:color="auto"/>
            <w:bottom w:val="none" w:sz="0" w:space="0" w:color="auto"/>
            <w:right w:val="none" w:sz="0" w:space="0" w:color="auto"/>
          </w:divBdr>
          <w:divsChild>
            <w:div w:id="1738237595">
              <w:marLeft w:val="0"/>
              <w:marRight w:val="0"/>
              <w:marTop w:val="0"/>
              <w:marBottom w:val="0"/>
              <w:divBdr>
                <w:top w:val="none" w:sz="0" w:space="0" w:color="auto"/>
                <w:left w:val="none" w:sz="0" w:space="0" w:color="auto"/>
                <w:bottom w:val="none" w:sz="0" w:space="0" w:color="auto"/>
                <w:right w:val="none" w:sz="0" w:space="0" w:color="auto"/>
              </w:divBdr>
            </w:div>
          </w:divsChild>
        </w:div>
        <w:div w:id="2126194890">
          <w:marLeft w:val="0"/>
          <w:marRight w:val="0"/>
          <w:marTop w:val="0"/>
          <w:marBottom w:val="0"/>
          <w:divBdr>
            <w:top w:val="none" w:sz="0" w:space="0" w:color="auto"/>
            <w:left w:val="none" w:sz="0" w:space="0" w:color="auto"/>
            <w:bottom w:val="none" w:sz="0" w:space="0" w:color="auto"/>
            <w:right w:val="none" w:sz="0" w:space="0" w:color="auto"/>
          </w:divBdr>
          <w:divsChild>
            <w:div w:id="109296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emf" Id="rId13" /><Relationship Type="http://schemas.openxmlformats.org/officeDocument/2006/relationships/oleObject" Target="embeddings/oleObject3.bin" Id="rId18"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5.emf"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oleObject" Target="embeddings/oleObject2.bin"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image" Target="media/image4.emf" Id="rId15" /><Relationship Type="http://schemas.openxmlformats.org/officeDocument/2006/relationships/footer" Target="footer3.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oleObject" Target="embeddings/oleObject1.bin" Id="rId14" /><Relationship Type="http://schemas.openxmlformats.org/officeDocument/2006/relationships/header" Target="header2.xml" Id="rId22" /><Relationship Type="http://schemas.openxmlformats.org/officeDocument/2006/relationships/customXml" Target="/customXML/item7.xml" Id="R67b7a9926b394a07" /></Relationships>
</file>

<file path=word/_rels/footer2.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ps.nhs.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7.xml><?xml version="1.0" encoding="utf-8"?>
<metadata xmlns="http://www.objective.com/ecm/document/metadata/E082C855B2CC4CE58E7448F960A4E632" version="1.0.0">
  <systemFields>
    <field name="Objective-Id">
      <value order="0">A2816906</value>
    </field>
    <field name="Objective-Title">
      <value order="0">Document No. 07b - Quality Assurance Policy to Support the National Contract Procurement of Licensed Medicines v6 (Issued October 2023)</value>
    </field>
    <field name="Objective-Description">
      <value order="0"/>
    </field>
    <field name="Objective-CreationStamp">
      <value order="0">2024-10-11T15:38:18Z</value>
    </field>
    <field name="Objective-IsApproved">
      <value order="0">false</value>
    </field>
    <field name="Objective-IsPublished">
      <value order="0">true</value>
    </field>
    <field name="Objective-DatePublished">
      <value order="0">2024-11-07T15:31:18Z</value>
    </field>
    <field name="Objective-ModificationStamp">
      <value order="0">2024-11-07T15:34:13Z</value>
    </field>
    <field name="Objective-Owner">
      <value order="0">Tierney, Lynne</value>
    </field>
    <field name="Objective-Path">
      <value order="0">Global Folder:02 Branded Medicines Projects and Contracts:02 Frameworks:23 Branded Team Pharmaceutical Projects 2025:CM/PHR/22/5683 - NHS National Branded Proprietary Category Tender - 1 May 2025:03 Tender:03 ITO Documentation</value>
    </field>
    <field name="Objective-Parent">
      <value order="0">03 ITO Documentation</value>
    </field>
    <field name="Objective-State">
      <value order="0">Published</value>
    </field>
    <field name="Objective-VersionId">
      <value order="0">vA4342188</value>
    </field>
    <field name="Objective-Version">
      <value order="0">3.0</value>
    </field>
    <field name="Objective-VersionNumber">
      <value order="0">3</value>
    </field>
    <field name="Objective-VersionComment">
      <value order="0"/>
    </field>
    <field name="Objective-FileNumber">
      <value order="0"/>
    </field>
    <field name="Objective-Classification">
      <value order="0"/>
    </field>
    <field name="Objective-Caveats">
      <value order="0"/>
    </field>
  </systemFields>
  <catalogues/>
</metadata>
</file>

<file path=customXML/itemProps7.xml><?xml version="1.0" encoding="utf-8"?>
<ds:datastoreItem xmlns:ds="http://schemas.openxmlformats.org/officeDocument/2006/customXml" ds:itemID="{5745109E-2DDF-40CB-AC2B-FF9B10C90820}">
  <ds:schemaRefs>
    <ds:schemaRef ds:uri="http://www.objective.com/ecm/document/metadata/E082C855B2CC4CE58E7448F960A4E632"/>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B2D4C4C5F7F448571F8F4943D2341" ma:contentTypeVersion="19" ma:contentTypeDescription="Create a new document." ma:contentTypeScope="" ma:versionID="7b10e1559f0458d6742bea2a64f946e8">
  <xsd:schema xmlns:xsd="http://www.w3.org/2001/XMLSchema" xmlns:xs="http://www.w3.org/2001/XMLSchema" xmlns:p="http://schemas.microsoft.com/office/2006/metadata/properties" xmlns:ns2="9a0fa921-05ea-47a4-8348-6eb14e9cff1c" xmlns:ns3="47338f7e-5619-4093-9a29-9f976c213b15" targetNamespace="http://schemas.microsoft.com/office/2006/metadata/properties" ma:root="true" ma:fieldsID="77b0abfc6d1facdbed5f26cfd7d1b264" ns2:_="" ns3:_="">
    <xsd:import namespace="9a0fa921-05ea-47a4-8348-6eb14e9cff1c"/>
    <xsd:import namespace="47338f7e-5619-4093-9a29-9f976c213b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_Flow_SignoffStatus" minOccurs="0"/>
                <xsd:element ref="ns2:ReviewDate" minOccurs="0"/>
                <xsd:element ref="ns2:MediaLengthInSeconds" minOccurs="0"/>
                <xsd:element ref="ns2:Owne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fa921-05ea-47a4-8348-6eb14e9cf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f7bbe51-9dae-4c22-8e8f-1dcfaba280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ReviewDate" ma:index="22" nillable="true" ma:displayName="Review Date" ma:format="DateOnly" ma:indexed="true" ma:internalName="Review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Owner" ma:index="24"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38f7e-5619-4093-9a29-9f976c213b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5fa42fe-1faa-48b4-94fd-915f207b5f1c}" ma:internalName="TaxCatchAll" ma:showField="CatchAllData" ma:web="47338f7e-5619-4093-9a29-9f976c213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338f7e-5619-4093-9a29-9f976c213b15" xsi:nil="true"/>
    <lcf76f155ced4ddcb4097134ff3c332f xmlns="9a0fa921-05ea-47a4-8348-6eb14e9cff1c">
      <Terms xmlns="http://schemas.microsoft.com/office/infopath/2007/PartnerControls"/>
    </lcf76f155ced4ddcb4097134ff3c332f>
    <_Flow_SignoffStatus xmlns="9a0fa921-05ea-47a4-8348-6eb14e9cff1c" xsi:nil="true"/>
    <ReviewDate xmlns="9a0fa921-05ea-47a4-8348-6eb14e9cff1c" xsi:nil="true"/>
    <Owner xmlns="9a0fa921-05ea-47a4-8348-6eb14e9cff1c">
      <UserInfo>
        <DisplayName/>
        <AccountId xsi:nil="true"/>
        <AccountType/>
      </UserInfo>
    </Owner>
    <SharedWithUsers xmlns="47338f7e-5619-4093-9a29-9f976c213b15">
      <UserInfo>
        <DisplayName>Ian Allen</DisplayName>
        <AccountId>20</AccountId>
        <AccountType/>
      </UserInfo>
    </SharedWithUsers>
  </documentManagement>
</p:properties>
</file>

<file path=customXml/itemProps1.xml><?xml version="1.0" encoding="utf-8"?>
<ds:datastoreItem xmlns:ds="http://schemas.openxmlformats.org/officeDocument/2006/customXml" ds:itemID="{A48D3BC0-3133-4D2F-A4ED-069A56998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fa921-05ea-47a4-8348-6eb14e9cff1c"/>
    <ds:schemaRef ds:uri="47338f7e-5619-4093-9a29-9f976c213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A37FE-1709-4C5F-BD17-E4559A3E8F6D}">
  <ds:schemaRefs>
    <ds:schemaRef ds:uri="http://schemas.openxmlformats.org/officeDocument/2006/bibliography"/>
  </ds:schemaRefs>
</ds:datastoreItem>
</file>

<file path=customXml/itemProps3.xml><?xml version="1.0" encoding="utf-8"?>
<ds:datastoreItem xmlns:ds="http://schemas.openxmlformats.org/officeDocument/2006/customXml" ds:itemID="{393C2FA0-1EE7-4DBD-85F8-623319B0AD31}">
  <ds:schemaRefs>
    <ds:schemaRef ds:uri="http://schemas.microsoft.com/sharepoint/v3/contenttype/forms"/>
  </ds:schemaRefs>
</ds:datastoreItem>
</file>

<file path=customXml/itemProps4.xml><?xml version="1.0" encoding="utf-8"?>
<ds:datastoreItem xmlns:ds="http://schemas.openxmlformats.org/officeDocument/2006/customXml" ds:itemID="{71A86228-26F5-440C-A450-708048F5018F}">
  <ds:schemaRefs>
    <ds:schemaRef ds:uri="88a61839-e02f-4d0c-b697-2781b130d132"/>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purl.org/dc/terms/"/>
    <ds:schemaRef ds:uri="47338f7e-5619-4093-9a29-9f976c213b15"/>
    <ds:schemaRef ds:uri="http://schemas.microsoft.com/office/infopath/2007/PartnerControls"/>
    <ds:schemaRef ds:uri="http://www.w3.org/XML/1998/namespace"/>
    <ds:schemaRef ds:uri="9a0fa921-05ea-47a4-8348-6eb14e9cff1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2424</Words>
  <Characters>13823</Characters>
  <Application>Microsoft Office Word</Application>
  <DocSecurity>8</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Splinter</Company>
  <LinksUpToDate>false</LinksUpToDate>
  <CharactersWithSpaces>16215</CharactersWithSpaces>
  <SharedDoc>false</SharedDoc>
  <HLinks>
    <vt:vector size="18" baseType="variant">
      <vt:variant>
        <vt:i4>4718686</vt:i4>
      </vt:variant>
      <vt:variant>
        <vt:i4>0</vt:i4>
      </vt:variant>
      <vt:variant>
        <vt:i4>0</vt:i4>
      </vt:variant>
      <vt:variant>
        <vt:i4>5</vt:i4>
      </vt:variant>
      <vt:variant>
        <vt:lpwstr>https://www.gov.uk/government/publications/best-practice-in-the-labelling-and-packaging-of-medicines</vt:lpwstr>
      </vt:variant>
      <vt:variant>
        <vt:lpwstr/>
      </vt:variant>
      <vt:variant>
        <vt:i4>7077923</vt:i4>
      </vt:variant>
      <vt:variant>
        <vt:i4>11</vt:i4>
      </vt:variant>
      <vt:variant>
        <vt:i4>0</vt:i4>
      </vt:variant>
      <vt:variant>
        <vt:i4>5</vt:i4>
      </vt:variant>
      <vt:variant>
        <vt:lpwstr>http://www.sps.nhs.uk/</vt:lpwstr>
      </vt:variant>
      <vt:variant>
        <vt:lpwstr/>
      </vt:variant>
      <vt:variant>
        <vt:i4>7077923</vt:i4>
      </vt:variant>
      <vt:variant>
        <vt:i4>5</vt:i4>
      </vt:variant>
      <vt:variant>
        <vt:i4>0</vt:i4>
      </vt:variant>
      <vt:variant>
        <vt:i4>5</vt:i4>
      </vt:variant>
      <vt:variant>
        <vt:lpwstr>http://www.sps.nhs.uk/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Parsons</dc:creator>
  <cp:keywords/>
  <dc:description/>
  <cp:lastModifiedBy>Matthew Phythian</cp:lastModifiedBy>
  <cp:revision>3</cp:revision>
  <cp:lastPrinted>2022-07-29T00:03:00Z</cp:lastPrinted>
  <dcterms:created xsi:type="dcterms:W3CDTF">2023-10-16T12:39:00Z</dcterms:created>
  <dcterms:modified xsi:type="dcterms:W3CDTF">2023-10-17T10:07:00Z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0x010100ABDB2D4C4C5F7F448571F8F4943D2341</vt:lpwstr>
  </property>
  <property fmtid="{D5CDD505-2E9C-101B-9397-08002B2CF9AE}" pid="3" name="MediaServiceImageTags">
    <vt:lpwstr/>
  </property>
  <property fmtid="{D5CDD505-2E9C-101B-9397-08002B2CF9AE}" pid="4" name="category">
    <vt:lpwstr/>
  </property>
  <property fmtid="{D5CDD505-2E9C-101B-9397-08002B2CF9AE}" pid="5" name="Order">
    <vt:r8>47700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y fmtid="{D5CDD505-2E9C-101B-9397-08002B2CF9AE}" pid="14" name="Objective-Id">
    <vt:lpwstr>A2816906</vt:lpwstr>
  </property>
  <property fmtid="{D5CDD505-2E9C-101B-9397-08002B2CF9AE}" pid="15" name="Objective-Title">
    <vt:lpwstr>Document No. 07b - Quality Assurance Policy to Support the National Contract Procurement of Licensed Medicines v6 (Issued October 2023)</vt:lpwstr>
  </property>
  <property fmtid="{D5CDD505-2E9C-101B-9397-08002B2CF9AE}" pid="16" name="Objective-Description">
    <vt:lpwstr/>
  </property>
  <property fmtid="{D5CDD505-2E9C-101B-9397-08002B2CF9AE}" pid="17" name="Objective-CreationStamp">
    <vt:filetime>2024-10-11T15:38:18Z</vt:filetime>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DatePublished">
    <vt:filetime>2024-11-07T15:31:18Z</vt:filetime>
  </property>
  <property fmtid="{D5CDD505-2E9C-101B-9397-08002B2CF9AE}" pid="21" name="Objective-ModificationStamp">
    <vt:filetime>2024-11-07T15:34:13Z</vt:filetime>
  </property>
  <property fmtid="{D5CDD505-2E9C-101B-9397-08002B2CF9AE}" pid="22" name="Objective-Owner">
    <vt:lpwstr>Tierney, Lynne</vt:lpwstr>
  </property>
  <property fmtid="{D5CDD505-2E9C-101B-9397-08002B2CF9AE}" pid="23" name="Objective-Path">
    <vt:lpwstr>Global Folder:02 Branded Medicines Projects and Contracts:02 Frameworks:23 Branded Team Pharmaceutical Projects 2025:CM/PHR/22/5683 - NHS National Branded Proprietary Category Tender - 1 May 2025:03 Tender:03 ITO Documentation</vt:lpwstr>
  </property>
  <property fmtid="{D5CDD505-2E9C-101B-9397-08002B2CF9AE}" pid="24" name="Objective-Parent">
    <vt:lpwstr>03 ITO Documentation</vt:lpwstr>
  </property>
  <property fmtid="{D5CDD505-2E9C-101B-9397-08002B2CF9AE}" pid="25" name="Objective-State">
    <vt:lpwstr>Published</vt:lpwstr>
  </property>
  <property fmtid="{D5CDD505-2E9C-101B-9397-08002B2CF9AE}" pid="26" name="Objective-VersionId">
    <vt:lpwstr>vA4342188</vt:lpwstr>
  </property>
  <property fmtid="{D5CDD505-2E9C-101B-9397-08002B2CF9AE}" pid="27" name="Objective-Version">
    <vt:lpwstr>3.0</vt:lpwstr>
  </property>
  <property fmtid="{D5CDD505-2E9C-101B-9397-08002B2CF9AE}" pid="28" name="Objective-VersionNumber">
    <vt:r8>3</vt:r8>
  </property>
  <property fmtid="{D5CDD505-2E9C-101B-9397-08002B2CF9AE}" pid="29" name="Objective-VersionComment">
    <vt:lpwstr/>
  </property>
  <property fmtid="{D5CDD505-2E9C-101B-9397-08002B2CF9AE}" pid="30" name="Objective-FileNumber">
    <vt:lpwstr/>
  </property>
  <property fmtid="{D5CDD505-2E9C-101B-9397-08002B2CF9AE}" pid="31" name="Objective-Classification">
    <vt:lpwstr/>
  </property>
  <property fmtid="{D5CDD505-2E9C-101B-9397-08002B2CF9AE}" pid="32" name="Objective-Caveats">
    <vt:lpwstr/>
  </property>
  <property fmtid="{D5CDD505-2E9C-101B-9397-08002B2CF9AE}" pid="33" name="Objective-Comment">
    <vt:lpwstr/>
  </property>
</Properties>
</file>