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2DB10" w14:textId="367F1F58"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r w:rsidR="00854D71">
        <w:rPr>
          <w:rFonts w:ascii="Arial" w:eastAsia="Arial" w:hAnsi="Arial" w:cs="Arial"/>
          <w:b/>
          <w:sz w:val="36"/>
          <w:szCs w:val="36"/>
        </w:rPr>
        <w:t>and Call-Off Schedules</w:t>
      </w:r>
    </w:p>
    <w:p w14:paraId="1D5AB7BA" w14:textId="77777777" w:rsidR="00E60470" w:rsidRDefault="00E60470">
      <w:pPr>
        <w:spacing w:after="0" w:line="259" w:lineRule="auto"/>
        <w:rPr>
          <w:rFonts w:ascii="Arial" w:eastAsia="Arial" w:hAnsi="Arial" w:cs="Arial"/>
          <w:b/>
          <w:sz w:val="36"/>
          <w:szCs w:val="36"/>
        </w:rPr>
      </w:pPr>
    </w:p>
    <w:p w14:paraId="10D2DED2" w14:textId="77777777" w:rsidR="00E60470" w:rsidRDefault="00E60470">
      <w:pPr>
        <w:spacing w:after="0" w:line="259" w:lineRule="auto"/>
        <w:rPr>
          <w:rFonts w:ascii="Arial" w:eastAsia="Arial" w:hAnsi="Arial" w:cs="Arial"/>
          <w:b/>
          <w:sz w:val="24"/>
          <w:szCs w:val="24"/>
        </w:rPr>
      </w:pPr>
    </w:p>
    <w:p w14:paraId="0C75F03E" w14:textId="77840DA8" w:rsidR="00E60470" w:rsidRDefault="00FC47FD">
      <w:pPr>
        <w:spacing w:after="0" w:line="259" w:lineRule="auto"/>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CD56C2" w:rsidRPr="00CD56C2">
        <w:rPr>
          <w:rFonts w:ascii="Arial" w:eastAsia="Arial" w:hAnsi="Arial" w:cs="Arial"/>
          <w:b/>
          <w:sz w:val="24"/>
          <w:szCs w:val="24"/>
        </w:rPr>
        <w:t>CCLL23A11</w:t>
      </w:r>
    </w:p>
    <w:p w14:paraId="200CD9B9" w14:textId="77777777" w:rsidR="00CD56C2" w:rsidRDefault="00CD56C2">
      <w:pPr>
        <w:spacing w:after="0" w:line="259" w:lineRule="auto"/>
        <w:rPr>
          <w:rFonts w:ascii="Arial" w:eastAsia="Arial" w:hAnsi="Arial" w:cs="Arial"/>
          <w:sz w:val="24"/>
          <w:szCs w:val="24"/>
        </w:rPr>
      </w:pPr>
    </w:p>
    <w:p w14:paraId="0120F341" w14:textId="43323EBF" w:rsidR="00480C97" w:rsidRPr="001F454C" w:rsidRDefault="00FC47FD" w:rsidP="00480C97">
      <w:pPr>
        <w:pStyle w:val="Standard"/>
        <w:spacing w:after="0" w:line="247" w:lineRule="auto"/>
      </w:pPr>
      <w:r w:rsidRPr="001F454C">
        <w:rPr>
          <w:rFonts w:ascii="Arial" w:eastAsia="Arial" w:hAnsi="Arial" w:cs="Arial"/>
          <w:sz w:val="24"/>
          <w:szCs w:val="24"/>
        </w:rPr>
        <w:t>THE BUYER:</w:t>
      </w:r>
      <w:r w:rsidRPr="001F454C">
        <w:rPr>
          <w:rFonts w:ascii="Arial" w:eastAsia="Arial" w:hAnsi="Arial" w:cs="Arial"/>
          <w:sz w:val="24"/>
          <w:szCs w:val="24"/>
        </w:rPr>
        <w:tab/>
      </w:r>
      <w:r w:rsidRPr="001F454C">
        <w:rPr>
          <w:rFonts w:ascii="Arial" w:eastAsia="Arial" w:hAnsi="Arial" w:cs="Arial"/>
          <w:sz w:val="24"/>
          <w:szCs w:val="24"/>
        </w:rPr>
        <w:tab/>
      </w:r>
      <w:r w:rsidRPr="001F454C">
        <w:rPr>
          <w:rFonts w:ascii="Arial" w:eastAsia="Arial" w:hAnsi="Arial" w:cs="Arial"/>
          <w:sz w:val="24"/>
          <w:szCs w:val="24"/>
        </w:rPr>
        <w:tab/>
      </w:r>
      <w:r w:rsidR="00B11B63">
        <w:rPr>
          <w:rFonts w:ascii="Arial" w:eastAsia="Arial" w:hAnsi="Arial" w:cs="Arial"/>
          <w:b/>
          <w:sz w:val="24"/>
          <w:szCs w:val="24"/>
        </w:rPr>
        <w:t>Cabinet Office</w:t>
      </w:r>
    </w:p>
    <w:p w14:paraId="6820AEA5" w14:textId="77777777" w:rsidR="00480C97" w:rsidRPr="001F454C" w:rsidRDefault="00480C97" w:rsidP="00480C97">
      <w:pPr>
        <w:pStyle w:val="Standard"/>
        <w:spacing w:after="0" w:line="247" w:lineRule="auto"/>
      </w:pPr>
      <w:r w:rsidRPr="001F454C">
        <w:rPr>
          <w:rFonts w:ascii="Arial" w:eastAsia="Arial" w:hAnsi="Arial" w:cs="Arial"/>
          <w:sz w:val="24"/>
          <w:szCs w:val="24"/>
        </w:rPr>
        <w:t xml:space="preserve"> </w:t>
      </w:r>
    </w:p>
    <w:p w14:paraId="44EEFF2C" w14:textId="0BB1AD37" w:rsidR="00480C97" w:rsidRPr="00CD56C2" w:rsidRDefault="00480C97" w:rsidP="00CD56C2">
      <w:pPr>
        <w:pStyle w:val="Standard"/>
        <w:spacing w:after="0" w:line="247" w:lineRule="auto"/>
        <w:ind w:left="3600" w:hanging="3600"/>
        <w:rPr>
          <w:b/>
        </w:rPr>
      </w:pPr>
      <w:r w:rsidRPr="001F454C">
        <w:rPr>
          <w:rFonts w:ascii="Arial" w:eastAsia="Arial" w:hAnsi="Arial" w:cs="Arial"/>
          <w:sz w:val="24"/>
          <w:szCs w:val="24"/>
        </w:rPr>
        <w:t>BUYER ADDRESS</w:t>
      </w:r>
      <w:r w:rsidRPr="001F454C">
        <w:rPr>
          <w:rFonts w:ascii="Arial" w:eastAsia="Arial" w:hAnsi="Arial" w:cs="Arial"/>
          <w:sz w:val="24"/>
          <w:szCs w:val="24"/>
        </w:rPr>
        <w:tab/>
      </w:r>
      <w:r w:rsidRPr="00CD56C2">
        <w:rPr>
          <w:rFonts w:ascii="Arial" w:eastAsia="Arial" w:hAnsi="Arial" w:cs="Arial"/>
          <w:b/>
          <w:sz w:val="24"/>
          <w:szCs w:val="24"/>
        </w:rPr>
        <w:t>Public Sector Fraud Authority, Cabinet Office, 70 Whitehall, London, SW1A 2AS</w:t>
      </w:r>
      <w:r w:rsidRPr="00CD56C2">
        <w:rPr>
          <w:rFonts w:ascii="Arial" w:eastAsia="Arial" w:hAnsi="Arial" w:cs="Arial"/>
          <w:b/>
          <w:sz w:val="24"/>
          <w:szCs w:val="24"/>
          <w:shd w:val="clear" w:color="auto" w:fill="FFFF00"/>
        </w:rPr>
        <w:t xml:space="preserve"> </w:t>
      </w:r>
      <w:r w:rsidRPr="00CD56C2">
        <w:rPr>
          <w:rFonts w:ascii="Arial" w:eastAsia="Arial" w:hAnsi="Arial" w:cs="Arial"/>
          <w:b/>
          <w:sz w:val="24"/>
          <w:szCs w:val="24"/>
        </w:rPr>
        <w:t xml:space="preserve">  </w:t>
      </w:r>
    </w:p>
    <w:p w14:paraId="1FC01EB7" w14:textId="77777777" w:rsidR="00480C97" w:rsidRDefault="00480C97" w:rsidP="00480C97">
      <w:pPr>
        <w:pStyle w:val="Standard"/>
        <w:spacing w:after="0" w:line="247" w:lineRule="auto"/>
        <w:rPr>
          <w:rFonts w:ascii="Arial" w:eastAsia="Arial" w:hAnsi="Arial" w:cs="Arial"/>
          <w:sz w:val="24"/>
          <w:szCs w:val="24"/>
        </w:rPr>
      </w:pPr>
    </w:p>
    <w:p w14:paraId="51D22E74" w14:textId="065BDDD6" w:rsidR="00E60470" w:rsidRDefault="00FC47FD" w:rsidP="00480C97">
      <w:pPr>
        <w:spacing w:after="0" w:line="259" w:lineRule="auto"/>
        <w:rPr>
          <w:rFonts w:ascii="Arial" w:eastAsia="Arial" w:hAnsi="Arial" w:cs="Arial"/>
          <w:b/>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6188C" w:rsidRPr="00E34673">
        <w:rPr>
          <w:rFonts w:ascii="Arial" w:eastAsia="Arial" w:hAnsi="Arial" w:cs="Arial"/>
          <w:b/>
          <w:sz w:val="24"/>
          <w:szCs w:val="24"/>
          <w:lang w:eastAsia="zh-CN" w:bidi="hi-IN"/>
        </w:rPr>
        <w:t>Ashurst LLP</w:t>
      </w:r>
      <w:r>
        <w:rPr>
          <w:rFonts w:ascii="Arial" w:eastAsia="Arial" w:hAnsi="Arial" w:cs="Arial"/>
          <w:b/>
          <w:sz w:val="24"/>
          <w:szCs w:val="24"/>
        </w:rPr>
        <w:t xml:space="preserve"> </w:t>
      </w:r>
    </w:p>
    <w:p w14:paraId="1D0F03A1" w14:textId="77777777" w:rsidR="00CD56C2" w:rsidRDefault="00CD56C2" w:rsidP="00480C97">
      <w:pPr>
        <w:spacing w:after="0" w:line="259" w:lineRule="auto"/>
        <w:rPr>
          <w:rFonts w:ascii="Arial" w:eastAsia="Arial" w:hAnsi="Arial" w:cs="Arial"/>
          <w:sz w:val="24"/>
          <w:szCs w:val="24"/>
        </w:rPr>
      </w:pPr>
    </w:p>
    <w:p w14:paraId="074CF368" w14:textId="2DE3389F" w:rsidR="00E60470" w:rsidRDefault="00FC47FD" w:rsidP="0096188C">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96188C">
        <w:rPr>
          <w:rFonts w:ascii="Arial" w:eastAsia="Arial" w:hAnsi="Arial" w:cs="Arial"/>
          <w:b/>
          <w:sz w:val="24"/>
          <w:szCs w:val="24"/>
        </w:rPr>
        <w:tab/>
        <w:t>London Fruit &amp; Wool Exchange</w:t>
      </w:r>
    </w:p>
    <w:p w14:paraId="2FB7A500" w14:textId="0D68BDD0" w:rsidR="0096188C" w:rsidRPr="0096188C" w:rsidRDefault="0096188C" w:rsidP="0096188C">
      <w:pPr>
        <w:spacing w:line="240"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96188C">
        <w:rPr>
          <w:rFonts w:ascii="Arial" w:eastAsia="Arial" w:hAnsi="Arial" w:cs="Arial"/>
          <w:b/>
          <w:sz w:val="24"/>
          <w:szCs w:val="24"/>
        </w:rPr>
        <w:t>1 Duval Place, London</w:t>
      </w:r>
    </w:p>
    <w:p w14:paraId="06467A2E" w14:textId="358D0F66" w:rsidR="0096188C" w:rsidRPr="0096188C" w:rsidRDefault="0096188C" w:rsidP="0096188C">
      <w:pPr>
        <w:spacing w:line="240" w:lineRule="auto"/>
        <w:rPr>
          <w:rFonts w:ascii="Arial" w:eastAsia="Arial" w:hAnsi="Arial" w:cs="Arial"/>
          <w:b/>
          <w:sz w:val="24"/>
          <w:szCs w:val="24"/>
        </w:rPr>
      </w:pPr>
      <w:r w:rsidRPr="0096188C">
        <w:rPr>
          <w:rFonts w:ascii="Arial" w:eastAsia="Arial" w:hAnsi="Arial" w:cs="Arial"/>
          <w:b/>
          <w:sz w:val="24"/>
          <w:szCs w:val="24"/>
        </w:rPr>
        <w:tab/>
      </w:r>
      <w:r w:rsidRPr="0096188C">
        <w:rPr>
          <w:rFonts w:ascii="Arial" w:eastAsia="Arial" w:hAnsi="Arial" w:cs="Arial"/>
          <w:b/>
          <w:sz w:val="24"/>
          <w:szCs w:val="24"/>
        </w:rPr>
        <w:tab/>
      </w:r>
      <w:r w:rsidRPr="0096188C">
        <w:rPr>
          <w:rFonts w:ascii="Arial" w:eastAsia="Arial" w:hAnsi="Arial" w:cs="Arial"/>
          <w:b/>
          <w:sz w:val="24"/>
          <w:szCs w:val="24"/>
        </w:rPr>
        <w:tab/>
      </w:r>
      <w:r w:rsidRPr="0096188C">
        <w:rPr>
          <w:rFonts w:ascii="Arial" w:eastAsia="Arial" w:hAnsi="Arial" w:cs="Arial"/>
          <w:b/>
          <w:sz w:val="24"/>
          <w:szCs w:val="24"/>
        </w:rPr>
        <w:tab/>
      </w:r>
      <w:r w:rsidRPr="0096188C">
        <w:rPr>
          <w:rFonts w:ascii="Arial" w:eastAsia="Arial" w:hAnsi="Arial" w:cs="Arial"/>
          <w:b/>
          <w:sz w:val="24"/>
          <w:szCs w:val="24"/>
        </w:rPr>
        <w:tab/>
        <w:t>E1 6PW</w:t>
      </w:r>
    </w:p>
    <w:p w14:paraId="2E229966" w14:textId="3D957AF1"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34673" w:rsidRPr="00E34673">
        <w:rPr>
          <w:rFonts w:ascii="Arial" w:hAnsi="Arial" w:cs="Arial"/>
          <w:b/>
          <w:bCs/>
          <w:color w:val="000000"/>
          <w:sz w:val="24"/>
          <w:szCs w:val="24"/>
          <w:shd w:val="clear" w:color="auto" w:fill="FFFFFF"/>
        </w:rPr>
        <w:t>OC330252</w:t>
      </w:r>
      <w:r w:rsidRPr="00E34673">
        <w:rPr>
          <w:rFonts w:ascii="Arial" w:eastAsia="Arial" w:hAnsi="Arial" w:cs="Arial"/>
          <w:b/>
          <w:sz w:val="24"/>
          <w:szCs w:val="24"/>
        </w:rPr>
        <w:t xml:space="preserve">  </w:t>
      </w:r>
    </w:p>
    <w:p w14:paraId="0C45015C" w14:textId="600CBBD0"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6866EA" w:rsidRPr="006866EA">
        <w:rPr>
          <w:rFonts w:ascii="Arial" w:hAnsi="Arial" w:cs="Arial"/>
          <w:b/>
          <w:bCs/>
          <w:color w:val="000000"/>
          <w:sz w:val="24"/>
          <w:szCs w:val="24"/>
          <w:shd w:val="clear" w:color="auto" w:fill="FFFFFF"/>
        </w:rPr>
        <w:t>21-008-9859</w:t>
      </w:r>
    </w:p>
    <w:p w14:paraId="638E136C" w14:textId="77777777" w:rsidR="006866EA" w:rsidRDefault="006866EA">
      <w:pPr>
        <w:spacing w:line="240" w:lineRule="auto"/>
        <w:rPr>
          <w:rFonts w:ascii="Arial" w:eastAsia="Arial" w:hAnsi="Arial" w:cs="Arial"/>
          <w:b/>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Pr="001F454C" w:rsidRDefault="00FC47FD">
      <w:pPr>
        <w:spacing w:after="0" w:line="259" w:lineRule="auto"/>
        <w:rPr>
          <w:rFonts w:ascii="Arial" w:eastAsia="Arial" w:hAnsi="Arial" w:cs="Arial"/>
          <w:b/>
          <w:sz w:val="24"/>
          <w:szCs w:val="24"/>
        </w:rPr>
      </w:pPr>
      <w:r w:rsidRPr="001F454C">
        <w:rPr>
          <w:rFonts w:ascii="Arial" w:eastAsia="Arial" w:hAnsi="Arial" w:cs="Arial"/>
          <w:b/>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2AADF8D5"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066BF8">
        <w:rPr>
          <w:rFonts w:ascii="Arial" w:eastAsia="Arial" w:hAnsi="Arial" w:cs="Arial"/>
          <w:sz w:val="24"/>
          <w:szCs w:val="24"/>
        </w:rPr>
        <w:t>11</w:t>
      </w:r>
      <w:r w:rsidR="00066BF8" w:rsidRPr="00066BF8">
        <w:rPr>
          <w:rFonts w:ascii="Arial" w:eastAsia="Arial" w:hAnsi="Arial" w:cs="Arial"/>
          <w:sz w:val="24"/>
          <w:szCs w:val="24"/>
          <w:vertAlign w:val="superscript"/>
        </w:rPr>
        <w:t>th</w:t>
      </w:r>
      <w:r w:rsidR="00066BF8">
        <w:rPr>
          <w:rFonts w:ascii="Arial" w:eastAsia="Arial" w:hAnsi="Arial" w:cs="Arial"/>
          <w:sz w:val="24"/>
          <w:szCs w:val="24"/>
        </w:rPr>
        <w:t xml:space="preserve"> March 2024 </w:t>
      </w:r>
      <w:r>
        <w:rPr>
          <w:rFonts w:ascii="Arial" w:eastAsia="Arial" w:hAnsi="Arial" w:cs="Arial"/>
          <w:sz w:val="24"/>
          <w:szCs w:val="24"/>
        </w:rPr>
        <w:t xml:space="preserve">date of issue. </w:t>
      </w:r>
    </w:p>
    <w:p w14:paraId="6F2FBB6C" w14:textId="77777777" w:rsidR="000F2A29" w:rsidRDefault="000F2A29">
      <w:pPr>
        <w:spacing w:after="0" w:line="259" w:lineRule="auto"/>
        <w:jc w:val="both"/>
        <w:rPr>
          <w:rFonts w:ascii="Arial" w:eastAsia="Arial" w:hAnsi="Arial" w:cs="Arial"/>
          <w:sz w:val="24"/>
          <w:szCs w:val="24"/>
        </w:rPr>
      </w:pP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Pr="001F454C" w:rsidRDefault="00FC47FD">
      <w:pPr>
        <w:tabs>
          <w:tab w:val="left" w:pos="2257"/>
        </w:tabs>
        <w:spacing w:after="0" w:line="259" w:lineRule="auto"/>
        <w:ind w:left="2880" w:hanging="2880"/>
        <w:rPr>
          <w:rFonts w:ascii="Arial" w:eastAsia="Arial" w:hAnsi="Arial" w:cs="Arial"/>
          <w:b/>
          <w:sz w:val="24"/>
          <w:szCs w:val="24"/>
        </w:rPr>
      </w:pPr>
      <w:r w:rsidRPr="001F454C">
        <w:rPr>
          <w:rFonts w:ascii="Arial" w:eastAsia="Arial" w:hAnsi="Arial" w:cs="Arial"/>
          <w:b/>
          <w:sz w:val="24"/>
          <w:szCs w:val="24"/>
        </w:rPr>
        <w:t>CALL-OFF LOT(S):</w:t>
      </w:r>
    </w:p>
    <w:p w14:paraId="4B4554DC" w14:textId="77777777" w:rsidR="00B231C7" w:rsidRDefault="00B231C7">
      <w:pPr>
        <w:tabs>
          <w:tab w:val="left" w:pos="2257"/>
        </w:tabs>
        <w:spacing w:after="0" w:line="259" w:lineRule="auto"/>
        <w:ind w:left="2880" w:hanging="2880"/>
        <w:rPr>
          <w:rFonts w:ascii="Arial" w:eastAsia="Arial" w:hAnsi="Arial" w:cs="Arial"/>
          <w:b/>
          <w:sz w:val="24"/>
          <w:szCs w:val="24"/>
          <w:highlight w:val="yellow"/>
        </w:rPr>
      </w:pPr>
    </w:p>
    <w:p w14:paraId="380F901C" w14:textId="0A54275F" w:rsidR="00E60470" w:rsidRDefault="00667A57">
      <w:pPr>
        <w:tabs>
          <w:tab w:val="left" w:pos="2257"/>
        </w:tabs>
        <w:spacing w:after="0" w:line="259" w:lineRule="auto"/>
        <w:ind w:left="2880" w:hanging="2880"/>
        <w:rPr>
          <w:rFonts w:ascii="Arial" w:eastAsia="Arial" w:hAnsi="Arial" w:cs="Arial"/>
          <w:b/>
          <w:i/>
          <w:sz w:val="24"/>
          <w:szCs w:val="24"/>
        </w:rPr>
      </w:pPr>
      <w:r w:rsidRPr="00CD56C2">
        <w:rPr>
          <w:rFonts w:ascii="Arial" w:eastAsia="Arial" w:hAnsi="Arial" w:cs="Arial"/>
          <w:b/>
          <w:sz w:val="24"/>
          <w:szCs w:val="24"/>
        </w:rPr>
        <w:t>Lot 2 – Finance and Complex Legal Services</w:t>
      </w:r>
    </w:p>
    <w:p w14:paraId="3B9E5324" w14:textId="77777777" w:rsidR="00B231C7" w:rsidRDefault="00B231C7">
      <w:bookmarkStart w:id="0" w:name="_heading=h.gjdgxs" w:colFirst="0" w:colLast="0"/>
      <w:bookmarkEnd w:id="0"/>
    </w:p>
    <w:p w14:paraId="6AAE23D4" w14:textId="77777777" w:rsidR="00E60470" w:rsidRPr="001F454C" w:rsidRDefault="00FC47FD" w:rsidP="001F454C">
      <w:pPr>
        <w:rPr>
          <w:rFonts w:ascii="Arial" w:eastAsia="Arial" w:hAnsi="Arial" w:cs="Arial"/>
          <w:b/>
          <w:sz w:val="24"/>
          <w:szCs w:val="24"/>
        </w:rPr>
      </w:pPr>
      <w:r w:rsidRPr="001F454C">
        <w:rPr>
          <w:rFonts w:ascii="Arial" w:eastAsia="Arial" w:hAnsi="Arial" w:cs="Arial"/>
          <w:b/>
          <w:sz w:val="24"/>
          <w:szCs w:val="24"/>
        </w:rPr>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46A083FC" w14:textId="45713CBA"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26B6EC97" w14:textId="77777777" w:rsidR="00E60470" w:rsidRDefault="00E60470" w:rsidP="001F454C">
      <w:pPr>
        <w:keepNext/>
        <w:pBdr>
          <w:top w:val="nil"/>
          <w:left w:val="nil"/>
          <w:bottom w:val="nil"/>
          <w:right w:val="nil"/>
          <w:between w:val="nil"/>
        </w:pBdr>
        <w:spacing w:after="0" w:line="259" w:lineRule="auto"/>
        <w:rPr>
          <w:rFonts w:ascii="Arial" w:eastAsia="Arial" w:hAnsi="Arial" w:cs="Arial"/>
          <w:color w:val="000000"/>
          <w:sz w:val="24"/>
          <w:szCs w:val="24"/>
        </w:rPr>
      </w:pPr>
    </w:p>
    <w:p w14:paraId="486D909E" w14:textId="77777777" w:rsidR="00BF2868" w:rsidRDefault="00BF2868" w:rsidP="00BF2868">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2E51DE0F" w14:textId="77777777" w:rsidR="00BF2868" w:rsidRDefault="00BF2868" w:rsidP="00BF2868">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0A511" w14:textId="77777777" w:rsidR="00BF2868" w:rsidRDefault="00BF2868" w:rsidP="00BF2868">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1A8938D2" w14:textId="2D03B3BD" w:rsidR="00BF2868" w:rsidRDefault="00BF2868" w:rsidP="00BF2868">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21315AF" w14:textId="36D0FF3F" w:rsidR="00F65CFA" w:rsidRPr="00F65CFA" w:rsidRDefault="00F65CFA" w:rsidP="00F65CFA">
      <w:pPr>
        <w:numPr>
          <w:ilvl w:val="1"/>
          <w:numId w:val="2"/>
        </w:numPr>
        <w:spacing w:after="0" w:line="256" w:lineRule="auto"/>
        <w:rPr>
          <w:rFonts w:ascii="Arial" w:eastAsia="Arial" w:hAnsi="Arial" w:cs="Arial"/>
          <w:color w:val="000000"/>
          <w:sz w:val="24"/>
          <w:szCs w:val="24"/>
        </w:rPr>
      </w:pPr>
      <w:r w:rsidRPr="00F65CFA">
        <w:rPr>
          <w:rFonts w:ascii="Arial" w:eastAsia="Arial" w:hAnsi="Arial" w:cs="Arial"/>
          <w:color w:val="000000"/>
          <w:sz w:val="24"/>
          <w:szCs w:val="24"/>
        </w:rPr>
        <w:t xml:space="preserve">Joint Schedule 6 </w:t>
      </w:r>
      <w:hyperlink r:id="rId9" w:history="1">
        <w:r>
          <w:rPr>
            <w:rFonts w:ascii="Arial" w:eastAsia="Arial" w:hAnsi="Arial" w:cs="Arial"/>
            <w:color w:val="000000"/>
            <w:sz w:val="24"/>
            <w:szCs w:val="24"/>
          </w:rPr>
          <w:t>(</w:t>
        </w:r>
        <w:r w:rsidRPr="00F65CFA">
          <w:rPr>
            <w:rFonts w:ascii="Arial" w:eastAsia="Arial" w:hAnsi="Arial" w:cs="Arial"/>
            <w:color w:val="000000"/>
            <w:sz w:val="24"/>
            <w:szCs w:val="24"/>
          </w:rPr>
          <w:t>key subcontractors</w:t>
        </w:r>
        <w:r>
          <w:rPr>
            <w:rFonts w:ascii="Arial" w:eastAsia="Arial" w:hAnsi="Arial" w:cs="Arial"/>
            <w:color w:val="000000"/>
            <w:sz w:val="24"/>
            <w:szCs w:val="24"/>
          </w:rPr>
          <w:t>)</w:t>
        </w:r>
        <w:r w:rsidRPr="00F65CFA">
          <w:rPr>
            <w:rFonts w:ascii="Arial" w:eastAsia="Arial" w:hAnsi="Arial" w:cs="Arial"/>
            <w:color w:val="000000"/>
            <w:sz w:val="24"/>
            <w:szCs w:val="24"/>
          </w:rPr>
          <w:t xml:space="preserve"> </w:t>
        </w:r>
      </w:hyperlink>
    </w:p>
    <w:p w14:paraId="5FC3EB55" w14:textId="77777777" w:rsidR="00BF2868" w:rsidRDefault="00BF2868" w:rsidP="00BF2868">
      <w:pPr>
        <w:numPr>
          <w:ilvl w:val="1"/>
          <w:numId w:val="2"/>
        </w:numP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A280048" w14:textId="1DA5D7B6" w:rsidR="00BF2868" w:rsidRPr="00F65CFA" w:rsidRDefault="00BF2868" w:rsidP="00BF2868">
      <w:pPr>
        <w:numPr>
          <w:ilvl w:val="1"/>
          <w:numId w:val="2"/>
        </w:numPr>
        <w:spacing w:after="0" w:line="256" w:lineRule="auto"/>
        <w:rPr>
          <w:rFonts w:ascii="Arial" w:eastAsia="Arial" w:hAnsi="Arial" w:cs="Arial"/>
          <w:sz w:val="24"/>
          <w:szCs w:val="24"/>
        </w:rPr>
      </w:pPr>
      <w:r>
        <w:rPr>
          <w:rFonts w:ascii="Arial" w:eastAsia="Arial" w:hAnsi="Arial" w:cs="Arial"/>
          <w:color w:val="000000"/>
          <w:sz w:val="24"/>
          <w:szCs w:val="24"/>
        </w:rPr>
        <w:t xml:space="preserve">Joint Schedule </w:t>
      </w:r>
      <w:r w:rsidRPr="00F65CFA">
        <w:rPr>
          <w:rFonts w:ascii="Arial" w:eastAsia="Arial" w:hAnsi="Arial" w:cs="Arial"/>
          <w:sz w:val="24"/>
          <w:szCs w:val="24"/>
        </w:rPr>
        <w:t>11 (Processing Data)</w:t>
      </w:r>
      <w:r w:rsidRPr="00F65CFA">
        <w:rPr>
          <w:rFonts w:ascii="Arial" w:eastAsia="Arial" w:hAnsi="Arial" w:cs="Arial"/>
          <w:sz w:val="24"/>
          <w:szCs w:val="24"/>
        </w:rPr>
        <w:tab/>
      </w:r>
    </w:p>
    <w:p w14:paraId="7E512C0B" w14:textId="04965E26" w:rsidR="00F65CFA" w:rsidRPr="00F65CFA" w:rsidRDefault="00F65CFA" w:rsidP="00BF2868">
      <w:pPr>
        <w:numPr>
          <w:ilvl w:val="1"/>
          <w:numId w:val="2"/>
        </w:numPr>
        <w:spacing w:after="0" w:line="256" w:lineRule="auto"/>
        <w:rPr>
          <w:rFonts w:ascii="Arial" w:eastAsia="Arial" w:hAnsi="Arial" w:cs="Arial"/>
          <w:sz w:val="24"/>
          <w:szCs w:val="24"/>
        </w:rPr>
      </w:pPr>
      <w:r w:rsidRPr="00F65CFA">
        <w:rPr>
          <w:rFonts w:ascii="Arial" w:eastAsia="Arial" w:hAnsi="Arial" w:cs="Arial"/>
          <w:sz w:val="24"/>
          <w:szCs w:val="24"/>
        </w:rPr>
        <w:t>Joint Schedule 12 (Supply-Chain-Visibility)</w:t>
      </w:r>
    </w:p>
    <w:p w14:paraId="68ADA500" w14:textId="33ABB31C" w:rsidR="00BF2868" w:rsidRPr="00F65CFA" w:rsidRDefault="00BF2868" w:rsidP="00BF2868">
      <w:pPr>
        <w:numPr>
          <w:ilvl w:val="0"/>
          <w:numId w:val="2"/>
        </w:numPr>
        <w:spacing w:after="0"/>
        <w:rPr>
          <w:rFonts w:ascii="Arial" w:eastAsia="Arial" w:hAnsi="Arial" w:cs="Arial"/>
          <w:sz w:val="24"/>
          <w:szCs w:val="24"/>
        </w:rPr>
      </w:pPr>
      <w:r w:rsidRPr="00F65CFA">
        <w:rPr>
          <w:rFonts w:ascii="Arial" w:eastAsia="Arial" w:hAnsi="Arial" w:cs="Arial"/>
          <w:sz w:val="24"/>
          <w:szCs w:val="24"/>
        </w:rPr>
        <w:t xml:space="preserve">Call-Off Schedules for </w:t>
      </w:r>
      <w:r w:rsidR="00B231C7" w:rsidRPr="00F65CFA">
        <w:rPr>
          <w:rFonts w:ascii="Arial" w:eastAsia="Arial" w:hAnsi="Arial" w:cs="Arial"/>
          <w:sz w:val="24"/>
          <w:szCs w:val="24"/>
        </w:rPr>
        <w:t>RM6179</w:t>
      </w:r>
      <w:r w:rsidRPr="00F65CFA">
        <w:rPr>
          <w:rFonts w:ascii="Arial" w:eastAsia="Arial" w:hAnsi="Arial" w:cs="Arial"/>
          <w:sz w:val="24"/>
          <w:szCs w:val="24"/>
        </w:rPr>
        <w:tab/>
      </w:r>
      <w:r w:rsidRPr="00F65CFA">
        <w:rPr>
          <w:rFonts w:ascii="Arial" w:eastAsia="Arial" w:hAnsi="Arial" w:cs="Arial"/>
          <w:sz w:val="24"/>
          <w:szCs w:val="24"/>
        </w:rPr>
        <w:tab/>
      </w:r>
      <w:r w:rsidRPr="00F65CFA">
        <w:rPr>
          <w:rFonts w:ascii="Arial" w:eastAsia="Arial" w:hAnsi="Arial" w:cs="Arial"/>
          <w:sz w:val="24"/>
          <w:szCs w:val="24"/>
        </w:rPr>
        <w:tab/>
      </w:r>
    </w:p>
    <w:p w14:paraId="689FD4BA" w14:textId="77777777" w:rsidR="00BF2868" w:rsidRPr="00F65CFA" w:rsidRDefault="00BF2868" w:rsidP="00BF2868">
      <w:pPr>
        <w:numPr>
          <w:ilvl w:val="1"/>
          <w:numId w:val="2"/>
        </w:numPr>
        <w:spacing w:after="0" w:line="256" w:lineRule="auto"/>
        <w:rPr>
          <w:rFonts w:ascii="Arial" w:eastAsia="Arial" w:hAnsi="Arial" w:cs="Arial"/>
          <w:sz w:val="24"/>
          <w:szCs w:val="24"/>
        </w:rPr>
      </w:pPr>
      <w:r w:rsidRPr="00F65CFA">
        <w:rPr>
          <w:rFonts w:ascii="Arial" w:eastAsia="Arial" w:hAnsi="Arial" w:cs="Arial"/>
          <w:sz w:val="24"/>
          <w:szCs w:val="24"/>
        </w:rPr>
        <w:t>Call-Off Schedule 1 (Transparency Reports)</w:t>
      </w:r>
    </w:p>
    <w:p w14:paraId="56B0DAB5" w14:textId="77777777" w:rsidR="00BF2868" w:rsidRPr="00F65CFA" w:rsidRDefault="00BF2868" w:rsidP="00BF2868">
      <w:pPr>
        <w:numPr>
          <w:ilvl w:val="1"/>
          <w:numId w:val="2"/>
        </w:numPr>
        <w:spacing w:after="0" w:line="256" w:lineRule="auto"/>
        <w:rPr>
          <w:rFonts w:ascii="Arial" w:eastAsia="Arial" w:hAnsi="Arial" w:cs="Arial"/>
          <w:color w:val="000000"/>
          <w:sz w:val="24"/>
          <w:szCs w:val="24"/>
        </w:rPr>
      </w:pPr>
      <w:r w:rsidRPr="00F65CFA">
        <w:rPr>
          <w:rFonts w:ascii="Arial" w:eastAsia="Arial" w:hAnsi="Arial" w:cs="Arial"/>
          <w:color w:val="000000"/>
          <w:sz w:val="24"/>
          <w:szCs w:val="24"/>
        </w:rPr>
        <w:t>Call-Off Schedule 2 (Staff Transfer)</w:t>
      </w:r>
    </w:p>
    <w:p w14:paraId="59C32440" w14:textId="181D997A" w:rsidR="00BF2868" w:rsidRPr="00F65CFA" w:rsidRDefault="00BF2868" w:rsidP="00BF2868">
      <w:pPr>
        <w:numPr>
          <w:ilvl w:val="1"/>
          <w:numId w:val="2"/>
        </w:numPr>
        <w:spacing w:after="0" w:line="256" w:lineRule="auto"/>
        <w:rPr>
          <w:rFonts w:ascii="Arial" w:eastAsia="Arial" w:hAnsi="Arial" w:cs="Arial"/>
          <w:color w:val="000000"/>
          <w:sz w:val="24"/>
          <w:szCs w:val="24"/>
        </w:rPr>
      </w:pPr>
      <w:r w:rsidRPr="00F65CFA">
        <w:rPr>
          <w:rFonts w:ascii="Arial" w:eastAsia="Arial" w:hAnsi="Arial" w:cs="Arial"/>
          <w:color w:val="000000"/>
          <w:sz w:val="24"/>
          <w:szCs w:val="24"/>
        </w:rPr>
        <w:t>Call-Off Schedule 3 (Continuous Improvement)</w:t>
      </w:r>
    </w:p>
    <w:p w14:paraId="4295AE3E" w14:textId="7CA3B592" w:rsidR="00F65CFA" w:rsidRPr="00F65CFA" w:rsidRDefault="00F65CFA" w:rsidP="00BF2868">
      <w:pPr>
        <w:numPr>
          <w:ilvl w:val="1"/>
          <w:numId w:val="2"/>
        </w:numPr>
        <w:spacing w:after="0" w:line="256" w:lineRule="auto"/>
        <w:rPr>
          <w:rFonts w:ascii="Arial" w:eastAsia="Arial" w:hAnsi="Arial" w:cs="Arial"/>
          <w:color w:val="000000"/>
          <w:sz w:val="24"/>
          <w:szCs w:val="24"/>
        </w:rPr>
      </w:pPr>
      <w:r w:rsidRPr="00F65CFA">
        <w:rPr>
          <w:rFonts w:ascii="Arial" w:eastAsia="Arial" w:hAnsi="Arial" w:cs="Arial"/>
          <w:color w:val="000000"/>
          <w:sz w:val="24"/>
          <w:szCs w:val="24"/>
        </w:rPr>
        <w:t>Call-Off Schedule 4 (Call-Off-Tender)</w:t>
      </w:r>
    </w:p>
    <w:p w14:paraId="2E528491" w14:textId="1EBCF392" w:rsidR="00BF2868" w:rsidRPr="001F454C" w:rsidRDefault="00BF2868" w:rsidP="00BF2868">
      <w:pPr>
        <w:numPr>
          <w:ilvl w:val="1"/>
          <w:numId w:val="2"/>
        </w:numPr>
        <w:spacing w:after="0" w:line="256" w:lineRule="auto"/>
        <w:rPr>
          <w:rFonts w:ascii="Arial" w:eastAsia="Arial" w:hAnsi="Arial" w:cs="Arial"/>
          <w:color w:val="000000"/>
          <w:sz w:val="24"/>
          <w:szCs w:val="24"/>
        </w:rPr>
      </w:pPr>
      <w:r w:rsidRPr="001F454C">
        <w:rPr>
          <w:rFonts w:ascii="Arial" w:eastAsia="Arial" w:hAnsi="Arial" w:cs="Arial"/>
          <w:color w:val="000000"/>
          <w:sz w:val="24"/>
          <w:szCs w:val="24"/>
        </w:rPr>
        <w:t>Call-Off Schedule 5 (Pricing Details)</w:t>
      </w:r>
      <w:r w:rsidRPr="001F454C">
        <w:rPr>
          <w:rFonts w:ascii="Arial" w:eastAsia="Arial" w:hAnsi="Arial" w:cs="Arial"/>
          <w:color w:val="000000"/>
          <w:sz w:val="24"/>
          <w:szCs w:val="24"/>
        </w:rPr>
        <w:tab/>
      </w:r>
      <w:r w:rsidRPr="001F454C">
        <w:rPr>
          <w:rFonts w:ascii="Arial" w:eastAsia="Arial" w:hAnsi="Arial" w:cs="Arial"/>
          <w:color w:val="000000"/>
          <w:sz w:val="24"/>
          <w:szCs w:val="24"/>
        </w:rPr>
        <w:tab/>
      </w:r>
      <w:r w:rsidRPr="001F454C">
        <w:rPr>
          <w:rFonts w:ascii="Arial" w:eastAsia="Arial" w:hAnsi="Arial" w:cs="Arial"/>
          <w:color w:val="000000"/>
          <w:sz w:val="24"/>
          <w:szCs w:val="24"/>
        </w:rPr>
        <w:tab/>
        <w:t xml:space="preserve"> </w:t>
      </w:r>
    </w:p>
    <w:p w14:paraId="4D3953E4" w14:textId="14D5C01B" w:rsidR="00BF2868" w:rsidRPr="00F6503A" w:rsidRDefault="00BF2868" w:rsidP="00F6503A">
      <w:pPr>
        <w:numPr>
          <w:ilvl w:val="1"/>
          <w:numId w:val="2"/>
        </w:numPr>
        <w:spacing w:after="0" w:line="256" w:lineRule="auto"/>
        <w:rPr>
          <w:rFonts w:ascii="Arial" w:eastAsia="Arial" w:hAnsi="Arial" w:cs="Arial"/>
          <w:color w:val="000000"/>
          <w:sz w:val="24"/>
          <w:szCs w:val="24"/>
        </w:rPr>
      </w:pPr>
      <w:r w:rsidRPr="001F454C">
        <w:rPr>
          <w:rFonts w:ascii="Arial" w:eastAsia="Arial" w:hAnsi="Arial" w:cs="Arial"/>
          <w:color w:val="000000"/>
          <w:sz w:val="24"/>
          <w:szCs w:val="24"/>
        </w:rPr>
        <w:t>Call-Off Sched</w:t>
      </w:r>
      <w:r w:rsidR="00F6503A">
        <w:rPr>
          <w:rFonts w:ascii="Arial" w:eastAsia="Arial" w:hAnsi="Arial" w:cs="Arial"/>
          <w:color w:val="000000"/>
          <w:sz w:val="24"/>
          <w:szCs w:val="24"/>
        </w:rPr>
        <w:t>ule 7 (Key Supplier Staff)</w:t>
      </w:r>
      <w:r w:rsidR="00F6503A">
        <w:rPr>
          <w:rFonts w:ascii="Arial" w:eastAsia="Arial" w:hAnsi="Arial" w:cs="Arial"/>
          <w:color w:val="000000"/>
          <w:sz w:val="24"/>
          <w:szCs w:val="24"/>
        </w:rPr>
        <w:tab/>
      </w:r>
      <w:r w:rsidR="00F6503A">
        <w:rPr>
          <w:rFonts w:ascii="Arial" w:eastAsia="Arial" w:hAnsi="Arial" w:cs="Arial"/>
          <w:color w:val="000000"/>
          <w:sz w:val="24"/>
          <w:szCs w:val="24"/>
        </w:rPr>
        <w:tab/>
      </w:r>
      <w:r w:rsidRPr="00F6503A">
        <w:rPr>
          <w:rFonts w:ascii="Arial" w:eastAsia="Arial" w:hAnsi="Arial" w:cs="Arial"/>
          <w:color w:val="000000"/>
          <w:sz w:val="24"/>
          <w:szCs w:val="24"/>
        </w:rPr>
        <w:tab/>
        <w:t xml:space="preserve"> </w:t>
      </w:r>
      <w:r w:rsidRPr="00F6503A">
        <w:rPr>
          <w:rFonts w:ascii="Arial" w:eastAsia="Arial" w:hAnsi="Arial" w:cs="Arial"/>
          <w:color w:val="000000"/>
          <w:sz w:val="24"/>
          <w:szCs w:val="24"/>
        </w:rPr>
        <w:tab/>
      </w:r>
    </w:p>
    <w:p w14:paraId="2B543AF4" w14:textId="5B047A6E" w:rsidR="00BF2868" w:rsidRPr="001F454C" w:rsidRDefault="00BF2868" w:rsidP="00BF2868">
      <w:pPr>
        <w:numPr>
          <w:ilvl w:val="1"/>
          <w:numId w:val="2"/>
        </w:numPr>
        <w:spacing w:after="0" w:line="256" w:lineRule="auto"/>
        <w:rPr>
          <w:rFonts w:ascii="Arial" w:eastAsia="Arial" w:hAnsi="Arial" w:cs="Arial"/>
          <w:color w:val="000000"/>
          <w:sz w:val="24"/>
          <w:szCs w:val="24"/>
        </w:rPr>
      </w:pPr>
      <w:r w:rsidRPr="001F454C">
        <w:rPr>
          <w:rFonts w:ascii="Arial" w:eastAsia="Arial" w:hAnsi="Arial" w:cs="Arial"/>
          <w:color w:val="000000"/>
          <w:sz w:val="24"/>
          <w:szCs w:val="24"/>
        </w:rPr>
        <w:t xml:space="preserve">Call-Off Schedule 10 (Exit Management) </w:t>
      </w:r>
      <w:r w:rsidRPr="001F454C">
        <w:rPr>
          <w:rFonts w:ascii="Arial" w:eastAsia="Arial" w:hAnsi="Arial" w:cs="Arial"/>
          <w:color w:val="000000"/>
          <w:sz w:val="24"/>
          <w:szCs w:val="24"/>
        </w:rPr>
        <w:tab/>
      </w:r>
      <w:r w:rsidRPr="001F454C">
        <w:rPr>
          <w:rFonts w:ascii="Arial" w:eastAsia="Arial" w:hAnsi="Arial" w:cs="Arial"/>
          <w:color w:val="000000"/>
          <w:sz w:val="24"/>
          <w:szCs w:val="24"/>
        </w:rPr>
        <w:tab/>
      </w:r>
      <w:r w:rsidRPr="001F454C">
        <w:rPr>
          <w:rFonts w:ascii="Arial" w:eastAsia="Arial" w:hAnsi="Arial" w:cs="Arial"/>
          <w:color w:val="000000"/>
          <w:sz w:val="24"/>
          <w:szCs w:val="24"/>
        </w:rPr>
        <w:tab/>
        <w:t xml:space="preserve"> </w:t>
      </w:r>
      <w:r w:rsidRPr="001F454C">
        <w:rPr>
          <w:rFonts w:ascii="Arial" w:eastAsia="Arial" w:hAnsi="Arial" w:cs="Arial"/>
          <w:color w:val="000000"/>
          <w:sz w:val="24"/>
          <w:szCs w:val="24"/>
        </w:rPr>
        <w:tab/>
        <w:t xml:space="preserve"> </w:t>
      </w:r>
    </w:p>
    <w:p w14:paraId="78A96193" w14:textId="485409B0" w:rsidR="00BF2868" w:rsidRPr="001F454C" w:rsidRDefault="00BF2868" w:rsidP="00BF2868">
      <w:pPr>
        <w:numPr>
          <w:ilvl w:val="1"/>
          <w:numId w:val="2"/>
        </w:numPr>
        <w:spacing w:after="0" w:line="256" w:lineRule="auto"/>
        <w:rPr>
          <w:rFonts w:ascii="Arial" w:eastAsia="Arial" w:hAnsi="Arial" w:cs="Arial"/>
          <w:color w:val="000000"/>
          <w:sz w:val="24"/>
          <w:szCs w:val="24"/>
        </w:rPr>
      </w:pPr>
      <w:r w:rsidRPr="001F454C">
        <w:rPr>
          <w:rFonts w:ascii="Arial" w:eastAsia="Arial" w:hAnsi="Arial" w:cs="Arial"/>
          <w:color w:val="000000"/>
          <w:sz w:val="24"/>
          <w:szCs w:val="24"/>
        </w:rPr>
        <w:t xml:space="preserve">Call-Off Schedule 14 (Service Levels) </w:t>
      </w:r>
      <w:r w:rsidRPr="001F454C">
        <w:rPr>
          <w:rFonts w:ascii="Arial" w:eastAsia="Arial" w:hAnsi="Arial" w:cs="Arial"/>
          <w:color w:val="000000"/>
          <w:sz w:val="24"/>
          <w:szCs w:val="24"/>
        </w:rPr>
        <w:tab/>
      </w:r>
      <w:r w:rsidRPr="001F454C">
        <w:rPr>
          <w:rFonts w:ascii="Arial" w:eastAsia="Arial" w:hAnsi="Arial" w:cs="Arial"/>
          <w:color w:val="000000"/>
          <w:sz w:val="24"/>
          <w:szCs w:val="24"/>
        </w:rPr>
        <w:tab/>
      </w:r>
      <w:r w:rsidRPr="001F454C">
        <w:rPr>
          <w:rFonts w:ascii="Arial" w:eastAsia="Arial" w:hAnsi="Arial" w:cs="Arial"/>
          <w:color w:val="000000"/>
          <w:sz w:val="24"/>
          <w:szCs w:val="24"/>
        </w:rPr>
        <w:tab/>
      </w:r>
      <w:r w:rsidRPr="001F454C">
        <w:rPr>
          <w:rFonts w:ascii="Arial" w:eastAsia="Arial" w:hAnsi="Arial" w:cs="Arial"/>
          <w:color w:val="000000"/>
          <w:sz w:val="24"/>
          <w:szCs w:val="24"/>
        </w:rPr>
        <w:tab/>
        <w:t xml:space="preserve"> </w:t>
      </w:r>
    </w:p>
    <w:p w14:paraId="1511473B" w14:textId="402A581D" w:rsidR="00BF2868" w:rsidRPr="001F454C" w:rsidRDefault="00BF2868" w:rsidP="00BF2868">
      <w:pPr>
        <w:numPr>
          <w:ilvl w:val="1"/>
          <w:numId w:val="2"/>
        </w:numPr>
        <w:spacing w:after="0" w:line="256" w:lineRule="auto"/>
        <w:rPr>
          <w:rFonts w:ascii="Arial" w:eastAsia="Arial" w:hAnsi="Arial" w:cs="Arial"/>
          <w:color w:val="000000"/>
          <w:sz w:val="24"/>
          <w:szCs w:val="24"/>
        </w:rPr>
      </w:pPr>
      <w:r w:rsidRPr="001F454C">
        <w:rPr>
          <w:rFonts w:ascii="Arial" w:eastAsia="Arial" w:hAnsi="Arial" w:cs="Arial"/>
          <w:color w:val="000000"/>
          <w:sz w:val="24"/>
          <w:szCs w:val="24"/>
        </w:rPr>
        <w:t xml:space="preserve">Call-Off Schedule 15 (Call-Off Contract Management) </w:t>
      </w:r>
      <w:r w:rsidRPr="001F454C">
        <w:rPr>
          <w:rFonts w:ascii="Arial" w:eastAsia="Arial" w:hAnsi="Arial" w:cs="Arial"/>
          <w:color w:val="000000"/>
          <w:sz w:val="24"/>
          <w:szCs w:val="24"/>
        </w:rPr>
        <w:tab/>
      </w:r>
      <w:r w:rsidRPr="001F454C">
        <w:rPr>
          <w:rFonts w:ascii="Arial" w:eastAsia="Arial" w:hAnsi="Arial" w:cs="Arial"/>
          <w:color w:val="000000"/>
          <w:sz w:val="24"/>
          <w:szCs w:val="24"/>
        </w:rPr>
        <w:tab/>
        <w:t xml:space="preserve"> </w:t>
      </w:r>
    </w:p>
    <w:p w14:paraId="5CD97581" w14:textId="13D42A11" w:rsidR="00BF2868" w:rsidRPr="001F454C" w:rsidRDefault="00BF2868" w:rsidP="00BF2868">
      <w:pPr>
        <w:numPr>
          <w:ilvl w:val="1"/>
          <w:numId w:val="2"/>
        </w:numPr>
        <w:spacing w:after="0" w:line="256" w:lineRule="auto"/>
        <w:rPr>
          <w:rFonts w:ascii="Arial" w:eastAsia="Arial" w:hAnsi="Arial" w:cs="Arial"/>
          <w:color w:val="000000"/>
          <w:sz w:val="24"/>
          <w:szCs w:val="24"/>
        </w:rPr>
      </w:pPr>
      <w:r w:rsidRPr="001F454C">
        <w:rPr>
          <w:rFonts w:ascii="Arial" w:eastAsia="Arial" w:hAnsi="Arial" w:cs="Arial"/>
          <w:color w:val="000000"/>
          <w:sz w:val="24"/>
          <w:szCs w:val="24"/>
        </w:rPr>
        <w:t xml:space="preserve">Call-Off Schedule 18 (Background Checks) </w:t>
      </w:r>
      <w:r w:rsidRPr="001F454C">
        <w:rPr>
          <w:rFonts w:ascii="Arial" w:eastAsia="Arial" w:hAnsi="Arial" w:cs="Arial"/>
          <w:color w:val="000000"/>
          <w:sz w:val="24"/>
          <w:szCs w:val="24"/>
        </w:rPr>
        <w:tab/>
      </w:r>
      <w:r w:rsidRPr="001F454C">
        <w:rPr>
          <w:rFonts w:ascii="Arial" w:eastAsia="Arial" w:hAnsi="Arial" w:cs="Arial"/>
          <w:color w:val="000000"/>
          <w:sz w:val="24"/>
          <w:szCs w:val="24"/>
        </w:rPr>
        <w:tab/>
      </w:r>
      <w:r w:rsidRPr="001F454C">
        <w:rPr>
          <w:rFonts w:ascii="Arial" w:eastAsia="Arial" w:hAnsi="Arial" w:cs="Arial"/>
          <w:color w:val="000000"/>
          <w:sz w:val="24"/>
          <w:szCs w:val="24"/>
        </w:rPr>
        <w:tab/>
        <w:t xml:space="preserve"> </w:t>
      </w:r>
    </w:p>
    <w:p w14:paraId="7C5120F6" w14:textId="4D5E9296" w:rsidR="00BF2868" w:rsidRPr="001F454C" w:rsidRDefault="00BF2868" w:rsidP="00BF2868">
      <w:pPr>
        <w:numPr>
          <w:ilvl w:val="1"/>
          <w:numId w:val="2"/>
        </w:numPr>
        <w:spacing w:after="0" w:line="256" w:lineRule="auto"/>
        <w:rPr>
          <w:rFonts w:ascii="Arial" w:eastAsia="Arial" w:hAnsi="Arial" w:cs="Arial"/>
          <w:color w:val="000000"/>
          <w:sz w:val="24"/>
          <w:szCs w:val="24"/>
        </w:rPr>
      </w:pPr>
      <w:r w:rsidRPr="001F454C">
        <w:rPr>
          <w:rFonts w:ascii="Arial" w:eastAsia="Arial" w:hAnsi="Arial" w:cs="Arial"/>
          <w:color w:val="000000"/>
          <w:sz w:val="24"/>
          <w:szCs w:val="24"/>
        </w:rPr>
        <w:t>Call-Off Schedule 20 (Call-Off Specification)</w:t>
      </w:r>
      <w:r w:rsidRPr="001F454C">
        <w:rPr>
          <w:rFonts w:ascii="Arial" w:eastAsia="Arial" w:hAnsi="Arial" w:cs="Arial"/>
          <w:color w:val="000000"/>
          <w:sz w:val="24"/>
          <w:szCs w:val="24"/>
        </w:rPr>
        <w:tab/>
      </w:r>
      <w:r w:rsidRPr="001F454C">
        <w:rPr>
          <w:rFonts w:ascii="Arial" w:eastAsia="Arial" w:hAnsi="Arial" w:cs="Arial"/>
          <w:color w:val="000000"/>
          <w:sz w:val="24"/>
          <w:szCs w:val="24"/>
        </w:rPr>
        <w:tab/>
      </w:r>
      <w:r w:rsidRPr="001F454C">
        <w:rPr>
          <w:rFonts w:ascii="Arial" w:eastAsia="Arial" w:hAnsi="Arial" w:cs="Arial"/>
          <w:color w:val="000000"/>
          <w:sz w:val="24"/>
          <w:szCs w:val="24"/>
        </w:rPr>
        <w:tab/>
        <w:t xml:space="preserve"> </w:t>
      </w:r>
    </w:p>
    <w:p w14:paraId="4985366B" w14:textId="77777777" w:rsidR="00BF2868" w:rsidRPr="0064061E" w:rsidRDefault="00BF2868" w:rsidP="00BF2868">
      <w:pPr>
        <w:numPr>
          <w:ilvl w:val="1"/>
          <w:numId w:val="2"/>
        </w:numPr>
        <w:spacing w:after="0" w:line="256" w:lineRule="auto"/>
        <w:rPr>
          <w:rFonts w:ascii="Arial" w:eastAsia="Arial" w:hAnsi="Arial" w:cs="Arial"/>
          <w:color w:val="000000"/>
          <w:sz w:val="24"/>
          <w:szCs w:val="24"/>
        </w:rPr>
      </w:pPr>
      <w:r w:rsidRPr="0064061E">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121D5758" w:rsidR="00E60470" w:rsidRPr="001F454C" w:rsidRDefault="00FC47FD" w:rsidP="001F454C">
      <w:pPr>
        <w:tabs>
          <w:tab w:val="left" w:pos="2257"/>
          <w:tab w:val="left" w:pos="3700"/>
        </w:tabs>
        <w:spacing w:after="0" w:line="259" w:lineRule="auto"/>
        <w:rPr>
          <w:rFonts w:ascii="Arial" w:eastAsia="Arial" w:hAnsi="Arial" w:cs="Arial"/>
          <w:b/>
          <w:sz w:val="24"/>
          <w:szCs w:val="24"/>
        </w:rPr>
      </w:pPr>
      <w:r w:rsidRPr="001F454C">
        <w:rPr>
          <w:rFonts w:ascii="Arial" w:eastAsia="Arial" w:hAnsi="Arial" w:cs="Arial"/>
          <w:b/>
          <w:sz w:val="24"/>
          <w:szCs w:val="24"/>
        </w:rPr>
        <w:t>CALL-</w:t>
      </w:r>
      <w:r w:rsidR="00F65CFA">
        <w:rPr>
          <w:rFonts w:ascii="Arial" w:eastAsia="Arial" w:hAnsi="Arial" w:cs="Arial"/>
          <w:b/>
          <w:sz w:val="24"/>
          <w:szCs w:val="24"/>
        </w:rPr>
        <w:t xml:space="preserve"> </w:t>
      </w:r>
      <w:r w:rsidRPr="001F454C">
        <w:rPr>
          <w:rFonts w:ascii="Arial" w:eastAsia="Arial" w:hAnsi="Arial" w:cs="Arial"/>
          <w:b/>
          <w:sz w:val="24"/>
          <w:szCs w:val="24"/>
        </w:rPr>
        <w:t>OFF SPECIAL TERMS</w:t>
      </w:r>
      <w:r w:rsidR="00B231C7" w:rsidRPr="001F454C">
        <w:rPr>
          <w:rFonts w:ascii="Arial" w:eastAsia="Arial" w:hAnsi="Arial" w:cs="Arial"/>
          <w:b/>
          <w:sz w:val="24"/>
          <w:szCs w:val="24"/>
        </w:rPr>
        <w:tab/>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02B7CEAF" w14:textId="70F5E2AD" w:rsidR="000C3B6F" w:rsidRPr="00700035" w:rsidRDefault="00FC47FD">
      <w:pPr>
        <w:tabs>
          <w:tab w:val="left" w:pos="2257"/>
        </w:tabs>
        <w:spacing w:after="0" w:line="259" w:lineRule="auto"/>
        <w:rPr>
          <w:rFonts w:ascii="Arial" w:eastAsia="Arial" w:hAnsi="Arial" w:cs="Arial"/>
          <w:b/>
          <w:sz w:val="24"/>
          <w:szCs w:val="24"/>
        </w:rPr>
      </w:pPr>
      <w:r w:rsidRPr="00700035">
        <w:rPr>
          <w:rFonts w:ascii="Arial" w:eastAsia="Arial" w:hAnsi="Arial" w:cs="Arial"/>
          <w:b/>
          <w:sz w:val="24"/>
          <w:szCs w:val="24"/>
          <w:u w:val="single"/>
        </w:rPr>
        <w:t>Special Term 1</w:t>
      </w:r>
      <w:r w:rsidR="000C3B6F" w:rsidRPr="00700035">
        <w:rPr>
          <w:rFonts w:ascii="Arial" w:eastAsia="Arial" w:hAnsi="Arial" w:cs="Arial"/>
          <w:b/>
          <w:sz w:val="24"/>
          <w:szCs w:val="24"/>
        </w:rPr>
        <w:t xml:space="preserve"> </w:t>
      </w:r>
    </w:p>
    <w:p w14:paraId="3FA08E09" w14:textId="77777777" w:rsidR="000C3B6F" w:rsidRDefault="000C3B6F">
      <w:pPr>
        <w:tabs>
          <w:tab w:val="left" w:pos="2257"/>
        </w:tabs>
        <w:spacing w:after="0" w:line="259" w:lineRule="auto"/>
        <w:rPr>
          <w:rFonts w:ascii="Arial" w:eastAsia="Arial" w:hAnsi="Arial" w:cs="Arial"/>
          <w:sz w:val="24"/>
          <w:szCs w:val="24"/>
        </w:rPr>
      </w:pPr>
    </w:p>
    <w:p w14:paraId="4F1C88C7" w14:textId="6D174B94" w:rsidR="000C3B6F" w:rsidRPr="000C3B6F" w:rsidRDefault="001D1F21" w:rsidP="00CD56C2">
      <w:pPr>
        <w:pStyle w:val="TableNormal1"/>
        <w:spacing w:after="0"/>
        <w:ind w:left="0" w:right="1025"/>
        <w:jc w:val="left"/>
        <w:rPr>
          <w:rFonts w:ascii="Arial" w:hAnsi="Arial"/>
          <w:i/>
          <w:sz w:val="24"/>
          <w:szCs w:val="24"/>
        </w:rPr>
      </w:pPr>
      <w:proofErr w:type="gramStart"/>
      <w:r w:rsidRPr="001D1F21">
        <w:rPr>
          <w:rFonts w:ascii="Arial" w:hAnsi="Arial"/>
          <w:sz w:val="24"/>
          <w:szCs w:val="24"/>
        </w:rPr>
        <w:t>”</w:t>
      </w:r>
      <w:r w:rsidR="000C3B6F" w:rsidRPr="000C3B6F">
        <w:rPr>
          <w:rFonts w:ascii="Arial" w:hAnsi="Arial"/>
          <w:i/>
          <w:sz w:val="24"/>
          <w:szCs w:val="24"/>
        </w:rPr>
        <w:t>The</w:t>
      </w:r>
      <w:proofErr w:type="gramEnd"/>
      <w:r w:rsidR="000C3B6F" w:rsidRPr="000C3B6F">
        <w:rPr>
          <w:rFonts w:ascii="Arial" w:hAnsi="Arial"/>
          <w:i/>
          <w:sz w:val="24"/>
          <w:szCs w:val="24"/>
        </w:rPr>
        <w:t xml:space="preserve"> Supplier has numerous clients that rely upon it for general representation. The Supplier advises clients in matters arising under the laws of: one or more of the constituent parts of the United Kingdom, the European Union, a Member State of the European Union, the WTO, other international trade and/or investment agreements, or public international law generally. As a result, without advance conflicts waivers from Supplier clients, conflicts of interest could arise that could deprive either the Buyer or other Supplier clients of the right to select the Supplier as counsel.</w:t>
      </w:r>
    </w:p>
    <w:p w14:paraId="14B82BD0" w14:textId="77777777" w:rsidR="000C3B6F" w:rsidRPr="000C3B6F" w:rsidRDefault="000C3B6F" w:rsidP="000C3B6F">
      <w:pPr>
        <w:pStyle w:val="TableNormal1"/>
        <w:spacing w:after="0"/>
        <w:ind w:left="0" w:right="1025"/>
        <w:rPr>
          <w:rFonts w:ascii="Arial" w:hAnsi="Arial"/>
          <w:i/>
          <w:sz w:val="24"/>
          <w:szCs w:val="24"/>
        </w:rPr>
      </w:pPr>
    </w:p>
    <w:p w14:paraId="78758527" w14:textId="77777777" w:rsidR="000C3B6F" w:rsidRPr="000C3B6F" w:rsidRDefault="000C3B6F" w:rsidP="00CD56C2">
      <w:pPr>
        <w:ind w:right="1025"/>
        <w:rPr>
          <w:rFonts w:ascii="Arial" w:hAnsi="Arial"/>
          <w:i/>
          <w:sz w:val="24"/>
          <w:szCs w:val="24"/>
        </w:rPr>
      </w:pPr>
      <w:r w:rsidRPr="000C3B6F">
        <w:rPr>
          <w:rFonts w:ascii="Arial" w:hAnsi="Arial"/>
          <w:i/>
          <w:sz w:val="24"/>
          <w:szCs w:val="24"/>
        </w:rPr>
        <w:t xml:space="preserve">In light of the foregoing, other current or future clients of the Supplier including those identified in the preceding paragraph (collectively, the “Other Clients”) may ask the Supplier to represent them in matters (including litigation) that are </w:t>
      </w:r>
      <w:proofErr w:type="gramStart"/>
      <w:r w:rsidRPr="000C3B6F">
        <w:rPr>
          <w:rFonts w:ascii="Arial" w:hAnsi="Arial"/>
          <w:i/>
          <w:sz w:val="24"/>
          <w:szCs w:val="24"/>
        </w:rPr>
        <w:t>adverse</w:t>
      </w:r>
      <w:proofErr w:type="gramEnd"/>
      <w:r w:rsidRPr="000C3B6F">
        <w:rPr>
          <w:rFonts w:ascii="Arial" w:hAnsi="Arial"/>
          <w:i/>
          <w:sz w:val="24"/>
          <w:szCs w:val="24"/>
        </w:rPr>
        <w:t xml:space="preserve"> to the Buyer but that are not </w:t>
      </w:r>
      <w:r w:rsidRPr="000C3B6F">
        <w:rPr>
          <w:rFonts w:ascii="Arial" w:hAnsi="Arial"/>
          <w:i/>
          <w:sz w:val="24"/>
          <w:szCs w:val="24"/>
        </w:rPr>
        <w:lastRenderedPageBreak/>
        <w:t>substantially related to the Supplier’s representation of the Buyer. If the Supplier is not representing the Buyer in such a matter, and the matter in which the Buyer and the Other Client have adverse interests is not substantially related to our current or past representation of the Buyer, then:</w:t>
      </w:r>
    </w:p>
    <w:p w14:paraId="4F822B05" w14:textId="77777777" w:rsidR="000C3B6F" w:rsidRPr="000C3B6F" w:rsidRDefault="000C3B6F" w:rsidP="00CD56C2">
      <w:pPr>
        <w:pStyle w:val="ListParagraph"/>
        <w:numPr>
          <w:ilvl w:val="0"/>
          <w:numId w:val="12"/>
        </w:numPr>
        <w:spacing w:after="0" w:line="240" w:lineRule="auto"/>
        <w:ind w:left="567" w:right="1025" w:hanging="425"/>
        <w:rPr>
          <w:rFonts w:ascii="Times New Roman" w:hAnsi="Times New Roman"/>
          <w:i/>
          <w:sz w:val="24"/>
          <w:szCs w:val="24"/>
        </w:rPr>
      </w:pPr>
      <w:r w:rsidRPr="000C3B6F">
        <w:rPr>
          <w:rFonts w:ascii="Arial" w:hAnsi="Arial"/>
          <w:i/>
          <w:sz w:val="24"/>
          <w:szCs w:val="24"/>
        </w:rPr>
        <w:t>the Buyer agrees that the Supplier may represent such Other Client to the extent and provided that the Supplier is and remains not substantially related to the Supplier’s representation of the Buyer;</w:t>
      </w:r>
    </w:p>
    <w:p w14:paraId="4FB9306A" w14:textId="77777777" w:rsidR="000C3B6F" w:rsidRPr="000C3B6F" w:rsidRDefault="000C3B6F" w:rsidP="00CD56C2">
      <w:pPr>
        <w:pStyle w:val="ListParagraph"/>
        <w:ind w:left="567" w:right="1025" w:hanging="425"/>
        <w:rPr>
          <w:rFonts w:ascii="Times New Roman" w:hAnsi="Times New Roman"/>
          <w:i/>
          <w:sz w:val="24"/>
          <w:szCs w:val="24"/>
        </w:rPr>
      </w:pPr>
    </w:p>
    <w:p w14:paraId="0E8324EF" w14:textId="77777777" w:rsidR="000C3B6F" w:rsidRPr="000C3B6F" w:rsidRDefault="000C3B6F" w:rsidP="00CD56C2">
      <w:pPr>
        <w:pStyle w:val="ListParagraph"/>
        <w:numPr>
          <w:ilvl w:val="0"/>
          <w:numId w:val="12"/>
        </w:numPr>
        <w:spacing w:after="0" w:line="240" w:lineRule="auto"/>
        <w:ind w:left="567" w:right="1025" w:hanging="425"/>
        <w:rPr>
          <w:rFonts w:ascii="Times New Roman" w:hAnsi="Times New Roman"/>
          <w:i/>
          <w:sz w:val="24"/>
          <w:szCs w:val="24"/>
        </w:rPr>
      </w:pPr>
      <w:r w:rsidRPr="000C3B6F">
        <w:rPr>
          <w:rFonts w:ascii="Arial" w:hAnsi="Arial"/>
          <w:i/>
          <w:sz w:val="24"/>
          <w:szCs w:val="24"/>
        </w:rPr>
        <w:t xml:space="preserve">the Buyer waives any conflict of interest arising from such representation; and </w:t>
      </w:r>
    </w:p>
    <w:p w14:paraId="582C90CE" w14:textId="77777777" w:rsidR="000C3B6F" w:rsidRPr="000C3B6F" w:rsidRDefault="000C3B6F" w:rsidP="00CD56C2">
      <w:pPr>
        <w:pStyle w:val="ListParagraph"/>
        <w:ind w:left="567" w:right="1025" w:hanging="425"/>
        <w:rPr>
          <w:rFonts w:ascii="Arial" w:hAnsi="Arial"/>
          <w:i/>
          <w:sz w:val="24"/>
          <w:szCs w:val="24"/>
        </w:rPr>
      </w:pPr>
    </w:p>
    <w:p w14:paraId="40BC2094" w14:textId="77777777" w:rsidR="000C3B6F" w:rsidRPr="000C3B6F" w:rsidRDefault="000C3B6F" w:rsidP="00CD56C2">
      <w:pPr>
        <w:pStyle w:val="ListParagraph"/>
        <w:numPr>
          <w:ilvl w:val="0"/>
          <w:numId w:val="12"/>
        </w:numPr>
        <w:spacing w:after="0" w:line="240" w:lineRule="auto"/>
        <w:ind w:left="567" w:right="1025" w:hanging="425"/>
        <w:rPr>
          <w:rFonts w:ascii="Times New Roman" w:hAnsi="Times New Roman"/>
          <w:i/>
          <w:sz w:val="24"/>
          <w:szCs w:val="24"/>
        </w:rPr>
      </w:pPr>
      <w:r w:rsidRPr="000C3B6F">
        <w:rPr>
          <w:rFonts w:ascii="Arial" w:hAnsi="Arial"/>
          <w:i/>
          <w:sz w:val="24"/>
          <w:szCs w:val="24"/>
        </w:rPr>
        <w:t xml:space="preserve">the Buyer agrees that it will not seek to disqualify or otherwise prevent the Supplier from representing such Other Client, </w:t>
      </w:r>
    </w:p>
    <w:p w14:paraId="0C3A9D45" w14:textId="77777777" w:rsidR="000C3B6F" w:rsidRPr="000C3B6F" w:rsidRDefault="000C3B6F" w:rsidP="00CD56C2">
      <w:pPr>
        <w:pStyle w:val="ListParagraph"/>
        <w:ind w:left="738" w:right="1025"/>
        <w:rPr>
          <w:rFonts w:ascii="Arial" w:hAnsi="Arial"/>
          <w:i/>
          <w:sz w:val="24"/>
          <w:szCs w:val="24"/>
        </w:rPr>
      </w:pPr>
    </w:p>
    <w:p w14:paraId="3FB008D4" w14:textId="77777777" w:rsidR="000C3B6F" w:rsidRPr="000C3B6F" w:rsidRDefault="000C3B6F" w:rsidP="00CD56C2">
      <w:pPr>
        <w:pStyle w:val="ListParagraph"/>
        <w:ind w:left="0" w:right="1025"/>
        <w:rPr>
          <w:i/>
          <w:sz w:val="24"/>
          <w:szCs w:val="24"/>
        </w:rPr>
      </w:pPr>
      <w:r w:rsidRPr="000C3B6F">
        <w:rPr>
          <w:rFonts w:ascii="Arial" w:hAnsi="Arial"/>
          <w:i/>
          <w:sz w:val="24"/>
          <w:szCs w:val="24"/>
        </w:rPr>
        <w:t>provided that any Confidential Information and Personal Data held by lawyers of the Supplier that assisted the Buyer in this matter is kept confidential, in the case of Confidential Information, and Processed, in the case of Personal Data, in accordance with Clauses 14 and 15 of the Core Terms, respectively.</w:t>
      </w:r>
      <w:r w:rsidRPr="000C3B6F">
        <w:rPr>
          <w:i/>
          <w:sz w:val="24"/>
          <w:szCs w:val="24"/>
        </w:rPr>
        <w:t xml:space="preserve"> </w:t>
      </w:r>
    </w:p>
    <w:p w14:paraId="1CCBB8D1" w14:textId="77777777" w:rsidR="00F6503A" w:rsidRDefault="000C3B6F" w:rsidP="00CD56C2">
      <w:pPr>
        <w:tabs>
          <w:tab w:val="left" w:pos="2257"/>
        </w:tabs>
        <w:spacing w:after="0" w:line="259" w:lineRule="auto"/>
        <w:rPr>
          <w:rFonts w:ascii="Arial" w:hAnsi="Arial"/>
          <w:i/>
          <w:sz w:val="24"/>
          <w:szCs w:val="24"/>
        </w:rPr>
      </w:pPr>
      <w:r w:rsidRPr="000C3B6F">
        <w:rPr>
          <w:rFonts w:ascii="Arial" w:hAnsi="Arial"/>
          <w:i/>
          <w:sz w:val="24"/>
          <w:szCs w:val="24"/>
        </w:rPr>
        <w:t>The Buyer acknowledges that it has had an opportunity to consult with other counsel (in-house or otherwise) before agreeing to this waiver</w:t>
      </w:r>
      <w:r w:rsidRPr="001F7E30">
        <w:rPr>
          <w:rFonts w:ascii="Arial" w:hAnsi="Arial"/>
          <w:b/>
          <w:i/>
          <w:sz w:val="24"/>
          <w:szCs w:val="24"/>
        </w:rPr>
        <w:t>.</w:t>
      </w:r>
      <w:r w:rsidR="000F581F" w:rsidRPr="000F581F">
        <w:rPr>
          <w:rFonts w:ascii="Arial" w:hAnsi="Arial"/>
          <w:i/>
          <w:sz w:val="24"/>
          <w:szCs w:val="24"/>
        </w:rPr>
        <w:t>”</w:t>
      </w:r>
    </w:p>
    <w:p w14:paraId="3E5E8BCA" w14:textId="77777777" w:rsidR="00F6503A" w:rsidRDefault="00F6503A" w:rsidP="00CD56C2">
      <w:pPr>
        <w:tabs>
          <w:tab w:val="left" w:pos="2257"/>
        </w:tabs>
        <w:spacing w:after="0" w:line="259" w:lineRule="auto"/>
        <w:rPr>
          <w:rFonts w:ascii="Arial" w:hAnsi="Arial"/>
          <w:i/>
          <w:sz w:val="24"/>
          <w:szCs w:val="24"/>
        </w:rPr>
      </w:pPr>
    </w:p>
    <w:p w14:paraId="4BBB3B1C" w14:textId="77777777" w:rsidR="00F6503A" w:rsidRPr="00700035" w:rsidRDefault="00F6503A" w:rsidP="00CD56C2">
      <w:pPr>
        <w:tabs>
          <w:tab w:val="left" w:pos="2257"/>
        </w:tabs>
        <w:spacing w:after="0" w:line="259" w:lineRule="auto"/>
        <w:rPr>
          <w:rFonts w:ascii="Arial" w:eastAsia="Arial" w:hAnsi="Arial" w:cs="Arial"/>
          <w:b/>
          <w:u w:val="single"/>
        </w:rPr>
      </w:pPr>
      <w:r w:rsidRPr="00700035">
        <w:rPr>
          <w:rFonts w:ascii="Arial" w:eastAsia="Arial" w:hAnsi="Arial" w:cs="Arial"/>
          <w:b/>
          <w:u w:val="single"/>
        </w:rPr>
        <w:t>Special Term 2</w:t>
      </w:r>
    </w:p>
    <w:p w14:paraId="21F01426" w14:textId="77777777" w:rsidR="00F6503A" w:rsidRDefault="00F6503A" w:rsidP="00CD56C2">
      <w:pPr>
        <w:tabs>
          <w:tab w:val="left" w:pos="2257"/>
        </w:tabs>
        <w:spacing w:after="0" w:line="259" w:lineRule="auto"/>
        <w:rPr>
          <w:rFonts w:ascii="Arial" w:eastAsia="Arial" w:hAnsi="Arial" w:cs="Arial"/>
          <w:sz w:val="24"/>
          <w:szCs w:val="24"/>
          <w:u w:val="single"/>
        </w:rPr>
      </w:pPr>
    </w:p>
    <w:p w14:paraId="3FA15A3D" w14:textId="77777777" w:rsidR="00785250" w:rsidRDefault="00F6503A" w:rsidP="00CD56C2">
      <w:pPr>
        <w:tabs>
          <w:tab w:val="left" w:pos="2257"/>
        </w:tabs>
        <w:spacing w:after="0" w:line="259" w:lineRule="auto"/>
        <w:rPr>
          <w:rFonts w:ascii="Arial" w:hAnsi="Arial" w:cs="Arial"/>
        </w:rPr>
      </w:pPr>
      <w:r w:rsidRPr="00F6503A">
        <w:rPr>
          <w:rFonts w:ascii="Arial" w:hAnsi="Arial" w:cs="Arial"/>
        </w:rPr>
        <w:t>Special Term 2: Schedule (Security Management: (Consultancy/Professional Services)</w:t>
      </w:r>
      <w:r>
        <w:rPr>
          <w:rFonts w:ascii="Arial" w:hAnsi="Arial" w:cs="Arial"/>
        </w:rPr>
        <w:t xml:space="preserve">, </w:t>
      </w:r>
      <w:r w:rsidRPr="00F6503A">
        <w:rPr>
          <w:rFonts w:ascii="Arial" w:hAnsi="Arial" w:cs="Arial"/>
        </w:rPr>
        <w:t xml:space="preserve">this is to be used instead of the </w:t>
      </w:r>
      <w:r>
        <w:rPr>
          <w:rFonts w:ascii="Arial" w:hAnsi="Arial" w:cs="Arial"/>
        </w:rPr>
        <w:t>Call-off</w:t>
      </w:r>
      <w:r w:rsidRPr="00F6503A">
        <w:rPr>
          <w:rFonts w:ascii="Arial" w:hAnsi="Arial" w:cs="Arial"/>
        </w:rPr>
        <w:t xml:space="preserve"> Schedule 9 (Security Management) on the RM6179 Framework.</w:t>
      </w:r>
      <w:r>
        <w:rPr>
          <w:rFonts w:ascii="Arial" w:hAnsi="Arial" w:cs="Arial"/>
        </w:rPr>
        <w:t xml:space="preserve"> </w:t>
      </w:r>
    </w:p>
    <w:p w14:paraId="6F5BB321" w14:textId="77777777" w:rsidR="00785250" w:rsidRDefault="00785250" w:rsidP="00CD56C2">
      <w:pPr>
        <w:tabs>
          <w:tab w:val="left" w:pos="2257"/>
        </w:tabs>
        <w:spacing w:after="0" w:line="259" w:lineRule="auto"/>
        <w:rPr>
          <w:rFonts w:ascii="Arial" w:hAnsi="Arial" w:cs="Arial"/>
          <w:sz w:val="24"/>
          <w:szCs w:val="24"/>
        </w:rPr>
      </w:pPr>
    </w:p>
    <w:p w14:paraId="2BF3E5A3" w14:textId="77777777" w:rsidR="00785250" w:rsidRDefault="00785250" w:rsidP="00785250">
      <w:pPr>
        <w:rPr>
          <w:rFonts w:ascii="Arial" w:eastAsia="Arial" w:hAnsi="Arial" w:cs="Arial"/>
          <w:b/>
          <w:sz w:val="24"/>
          <w:szCs w:val="24"/>
          <w:shd w:val="clear" w:color="auto" w:fill="D9EAD3"/>
        </w:rPr>
      </w:pPr>
      <w:r>
        <w:rPr>
          <w:rFonts w:ascii="Arial" w:eastAsia="Arial" w:hAnsi="Arial" w:cs="Arial"/>
          <w:b/>
          <w:sz w:val="24"/>
          <w:szCs w:val="24"/>
        </w:rPr>
        <w:t>Effective Date</w:t>
      </w:r>
      <w:r w:rsidRPr="005845FB">
        <w:rPr>
          <w:rFonts w:ascii="Arial" w:eastAsia="Arial" w:hAnsi="Arial" w:cs="Arial"/>
          <w:b/>
          <w:sz w:val="24"/>
          <w:szCs w:val="24"/>
        </w:rPr>
        <w:t>:</w:t>
      </w:r>
      <w:r>
        <w:rPr>
          <w:rFonts w:ascii="Arial" w:eastAsia="Arial" w:hAnsi="Arial" w:cs="Arial"/>
          <w:b/>
          <w:sz w:val="24"/>
          <w:szCs w:val="24"/>
        </w:rPr>
        <w:t xml:space="preserve"> </w:t>
      </w:r>
      <w:r>
        <w:rPr>
          <w:rFonts w:ascii="Arial" w:eastAsia="Arial" w:hAnsi="Arial" w:cs="Arial"/>
          <w:b/>
          <w:color w:val="000000"/>
          <w:sz w:val="24"/>
          <w:szCs w:val="24"/>
          <w:shd w:val="clear" w:color="auto" w:fill="D9EAD3"/>
        </w:rPr>
        <w:t>(</w:t>
      </w:r>
      <w:r>
        <w:rPr>
          <w:rFonts w:ascii="Arial" w:eastAsia="Arial" w:hAnsi="Arial" w:cs="Arial"/>
          <w:b/>
          <w:sz w:val="24"/>
          <w:szCs w:val="24"/>
          <w:shd w:val="clear" w:color="auto" w:fill="D9EAD3"/>
        </w:rPr>
        <w:t>Dependant on signature date)</w:t>
      </w:r>
    </w:p>
    <w:p w14:paraId="46BD6060" w14:textId="77777777" w:rsidR="00785250" w:rsidRDefault="00785250" w:rsidP="00785250">
      <w:pPr>
        <w:rPr>
          <w:rFonts w:ascii="Arial" w:eastAsia="Arial" w:hAnsi="Arial" w:cs="Arial"/>
          <w:sz w:val="24"/>
          <w:szCs w:val="24"/>
          <w:shd w:val="clear" w:color="auto" w:fill="D9EAD3"/>
        </w:rPr>
      </w:pPr>
      <w:r>
        <w:rPr>
          <w:rFonts w:ascii="Arial" w:eastAsia="Arial" w:hAnsi="Arial" w:cs="Arial"/>
          <w:b/>
          <w:color w:val="000000"/>
          <w:sz w:val="24"/>
          <w:szCs w:val="24"/>
        </w:rPr>
        <w:t xml:space="preserve">Date the Contract Period commences: </w:t>
      </w:r>
      <w:r>
        <w:rPr>
          <w:rFonts w:ascii="Arial" w:eastAsia="Arial" w:hAnsi="Arial" w:cs="Arial"/>
          <w:b/>
          <w:sz w:val="24"/>
          <w:szCs w:val="24"/>
          <w:shd w:val="clear" w:color="auto" w:fill="D9EAD3"/>
        </w:rPr>
        <w:t>(Dependant on signature date)</w:t>
      </w:r>
    </w:p>
    <w:p w14:paraId="6A272B9F" w14:textId="77777777" w:rsidR="00785250" w:rsidRDefault="00785250" w:rsidP="00785250">
      <w:pPr>
        <w:rPr>
          <w:rFonts w:ascii="Arial" w:eastAsia="Arial" w:hAnsi="Arial" w:cs="Arial"/>
          <w:color w:val="000000"/>
          <w:sz w:val="24"/>
          <w:szCs w:val="24"/>
          <w:shd w:val="clear" w:color="auto" w:fill="D9EAD3"/>
        </w:rPr>
      </w:pPr>
      <w:r>
        <w:rPr>
          <w:rFonts w:ascii="Arial" w:eastAsia="Arial" w:hAnsi="Arial" w:cs="Arial"/>
          <w:b/>
          <w:color w:val="000000"/>
          <w:sz w:val="24"/>
          <w:szCs w:val="24"/>
        </w:rPr>
        <w:t>Date Call-Off Initial Period ends:</w:t>
      </w:r>
      <w:r>
        <w:rPr>
          <w:rFonts w:ascii="Arial" w:eastAsia="Arial" w:hAnsi="Arial" w:cs="Arial"/>
          <w:b/>
          <w:color w:val="000000"/>
          <w:sz w:val="24"/>
          <w:szCs w:val="24"/>
          <w:shd w:val="clear" w:color="auto" w:fill="D9EAD3"/>
        </w:rPr>
        <w:t xml:space="preserve"> (Dependant on </w:t>
      </w:r>
      <w:r>
        <w:rPr>
          <w:rFonts w:ascii="Arial" w:eastAsia="Arial" w:hAnsi="Arial" w:cs="Arial"/>
          <w:b/>
          <w:sz w:val="24"/>
          <w:szCs w:val="24"/>
          <w:shd w:val="clear" w:color="auto" w:fill="D9EAD3"/>
        </w:rPr>
        <w:t>E</w:t>
      </w:r>
      <w:r>
        <w:rPr>
          <w:rFonts w:ascii="Arial" w:eastAsia="Arial" w:hAnsi="Arial" w:cs="Arial"/>
          <w:b/>
          <w:color w:val="000000"/>
          <w:sz w:val="24"/>
          <w:szCs w:val="24"/>
          <w:shd w:val="clear" w:color="auto" w:fill="D9EAD3"/>
        </w:rPr>
        <w:t xml:space="preserve">ffective </w:t>
      </w:r>
      <w:r>
        <w:rPr>
          <w:rFonts w:ascii="Arial" w:eastAsia="Arial" w:hAnsi="Arial" w:cs="Arial"/>
          <w:b/>
          <w:sz w:val="24"/>
          <w:szCs w:val="24"/>
          <w:shd w:val="clear" w:color="auto" w:fill="D9EAD3"/>
        </w:rPr>
        <w:t>D</w:t>
      </w:r>
      <w:r>
        <w:rPr>
          <w:rFonts w:ascii="Arial" w:eastAsia="Arial" w:hAnsi="Arial" w:cs="Arial"/>
          <w:b/>
          <w:color w:val="000000"/>
          <w:sz w:val="24"/>
          <w:szCs w:val="24"/>
          <w:shd w:val="clear" w:color="auto" w:fill="D9EAD3"/>
        </w:rPr>
        <w:t>ate)</w:t>
      </w:r>
    </w:p>
    <w:p w14:paraId="0D4B24A2" w14:textId="77777777" w:rsidR="00785250" w:rsidRDefault="00785250" w:rsidP="00785250">
      <w:pPr>
        <w:rPr>
          <w:rFonts w:ascii="Arial" w:eastAsia="Arial" w:hAnsi="Arial" w:cs="Arial"/>
          <w:sz w:val="24"/>
          <w:szCs w:val="24"/>
          <w:shd w:val="clear" w:color="auto" w:fill="D9EAD3"/>
        </w:rPr>
      </w:pPr>
      <w:r>
        <w:rPr>
          <w:rFonts w:ascii="Arial" w:eastAsia="Arial" w:hAnsi="Arial" w:cs="Arial"/>
          <w:b/>
          <w:color w:val="000000"/>
          <w:sz w:val="24"/>
          <w:szCs w:val="24"/>
        </w:rPr>
        <w:t>CALL-OFF OPTIONAL EXTENSION PERIODS:</w:t>
      </w:r>
      <w:r>
        <w:rPr>
          <w:rFonts w:ascii="Arial" w:eastAsia="Arial" w:hAnsi="Arial" w:cs="Arial"/>
          <w:sz w:val="24"/>
          <w:szCs w:val="24"/>
        </w:rPr>
        <w:br/>
      </w:r>
      <w:r>
        <w:rPr>
          <w:rFonts w:ascii="Arial" w:eastAsia="Arial" w:hAnsi="Arial" w:cs="Arial"/>
          <w:b/>
          <w:color w:val="000000"/>
          <w:sz w:val="24"/>
          <w:szCs w:val="24"/>
        </w:rPr>
        <w:t>Call Off Optional Extension Period</w:t>
      </w:r>
      <w:r>
        <w:rPr>
          <w:rFonts w:ascii="Arial" w:eastAsia="Arial" w:hAnsi="Arial" w:cs="Arial"/>
          <w:color w:val="000000"/>
          <w:sz w:val="24"/>
          <w:szCs w:val="24"/>
        </w:rPr>
        <w:t xml:space="preserve">: </w:t>
      </w:r>
      <w:r>
        <w:rPr>
          <w:rFonts w:ascii="Arial" w:eastAsia="Arial" w:hAnsi="Arial" w:cs="Arial"/>
          <w:b/>
          <w:sz w:val="24"/>
          <w:szCs w:val="24"/>
          <w:shd w:val="clear" w:color="auto" w:fill="D9EAD3"/>
        </w:rPr>
        <w:t>(Dependant on signature date)</w:t>
      </w:r>
    </w:p>
    <w:p w14:paraId="3AF82C84" w14:textId="77777777" w:rsidR="00785250" w:rsidRDefault="00785250" w:rsidP="00785250">
      <w:pPr>
        <w:rPr>
          <w:rFonts w:ascii="Arial" w:eastAsia="Arial" w:hAnsi="Arial" w:cs="Arial"/>
          <w:b/>
          <w:sz w:val="24"/>
          <w:szCs w:val="24"/>
        </w:rPr>
      </w:pPr>
    </w:p>
    <w:p w14:paraId="5071936E" w14:textId="16C9135A" w:rsidR="00E60470" w:rsidRPr="00785250" w:rsidRDefault="00FC47FD" w:rsidP="00785250">
      <w:pPr>
        <w:rPr>
          <w:rFonts w:ascii="Arial" w:eastAsia="Arial" w:hAnsi="Arial" w:cs="Arial"/>
          <w:sz w:val="24"/>
          <w:szCs w:val="24"/>
          <w:shd w:val="clear" w:color="auto" w:fill="D9EAD3"/>
        </w:rPr>
      </w:pPr>
      <w:r w:rsidRPr="001F454C">
        <w:rPr>
          <w:rFonts w:ascii="Arial" w:eastAsia="Arial" w:hAnsi="Arial" w:cs="Arial"/>
          <w:b/>
          <w:sz w:val="24"/>
          <w:szCs w:val="24"/>
        </w:rPr>
        <w:t xml:space="preserve">CALL-OFF DELIVERABLES </w:t>
      </w:r>
    </w:p>
    <w:p w14:paraId="50C6997E" w14:textId="5B858BB5"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Pr="001F454C" w:rsidRDefault="00667A57" w:rsidP="005675D9">
      <w:pPr>
        <w:spacing w:after="0" w:line="259" w:lineRule="auto"/>
        <w:ind w:left="4395" w:hanging="4395"/>
        <w:rPr>
          <w:rFonts w:ascii="Arial" w:eastAsia="Arial" w:hAnsi="Arial" w:cs="Arial"/>
          <w:b/>
          <w:sz w:val="24"/>
          <w:szCs w:val="24"/>
        </w:rPr>
      </w:pPr>
      <w:r w:rsidRPr="001F454C">
        <w:rPr>
          <w:rFonts w:ascii="Arial" w:eastAsia="Arial" w:hAnsi="Arial" w:cs="Arial"/>
          <w:b/>
          <w:sz w:val="24"/>
          <w:szCs w:val="24"/>
        </w:rPr>
        <w:t xml:space="preserve">MANAGEMENT OF </w:t>
      </w:r>
      <w:r w:rsidR="005675D9" w:rsidRPr="001F454C">
        <w:rPr>
          <w:rFonts w:ascii="Arial" w:eastAsia="Arial" w:hAnsi="Arial" w:cs="Arial"/>
          <w:b/>
          <w:sz w:val="24"/>
          <w:szCs w:val="24"/>
        </w:rPr>
        <w:t>CONFLICT OF INTEREST</w:t>
      </w:r>
    </w:p>
    <w:p w14:paraId="351D8A65" w14:textId="3426C4CD" w:rsidR="005675D9" w:rsidRDefault="00B231C7" w:rsidP="005675D9">
      <w:pPr>
        <w:spacing w:after="0" w:line="259" w:lineRule="auto"/>
        <w:rPr>
          <w:rFonts w:ascii="Arial" w:eastAsia="Arial" w:hAnsi="Arial" w:cs="Arial"/>
          <w:sz w:val="24"/>
          <w:szCs w:val="24"/>
        </w:rPr>
      </w:pPr>
      <w:r>
        <w:rPr>
          <w:rFonts w:ascii="Arial" w:eastAsia="Arial" w:hAnsi="Arial" w:cs="Arial"/>
          <w:sz w:val="24"/>
          <w:szCs w:val="24"/>
        </w:rPr>
        <w:t>See Special Term 1 above</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Pr="001F454C" w:rsidRDefault="005675D9" w:rsidP="005675D9">
      <w:pPr>
        <w:spacing w:after="0" w:line="259" w:lineRule="auto"/>
        <w:rPr>
          <w:rFonts w:ascii="Arial" w:eastAsia="Arial" w:hAnsi="Arial" w:cs="Arial"/>
          <w:b/>
          <w:sz w:val="24"/>
          <w:szCs w:val="24"/>
        </w:rPr>
      </w:pPr>
      <w:r w:rsidRPr="001F454C">
        <w:rPr>
          <w:rFonts w:ascii="Arial" w:eastAsia="Arial" w:hAnsi="Arial" w:cs="Arial"/>
          <w:b/>
          <w:sz w:val="24"/>
          <w:szCs w:val="24"/>
        </w:rPr>
        <w:lastRenderedPageBreak/>
        <w:t>CONFIDENTIALITY</w:t>
      </w:r>
    </w:p>
    <w:p w14:paraId="145F9DBD" w14:textId="7777FC57" w:rsidR="005675D9" w:rsidRDefault="00B231C7" w:rsidP="005675D9">
      <w:pPr>
        <w:spacing w:after="0" w:line="259" w:lineRule="auto"/>
        <w:rPr>
          <w:rFonts w:ascii="Arial" w:eastAsia="Arial" w:hAnsi="Arial" w:cs="Arial"/>
          <w:sz w:val="24"/>
          <w:szCs w:val="24"/>
        </w:rPr>
      </w:pPr>
      <w:r>
        <w:rPr>
          <w:rFonts w:ascii="Arial" w:eastAsia="Arial" w:hAnsi="Arial" w:cs="Arial"/>
          <w:sz w:val="24"/>
          <w:szCs w:val="24"/>
        </w:rPr>
        <w:t>Legal professional privilege (where it applies) and contractual confidentially should be observed.</w:t>
      </w:r>
    </w:p>
    <w:p w14:paraId="6DBCA018" w14:textId="77777777" w:rsidR="005675D9" w:rsidRDefault="005675D9">
      <w:pPr>
        <w:tabs>
          <w:tab w:val="left" w:pos="2257"/>
        </w:tabs>
        <w:spacing w:after="0" w:line="259" w:lineRule="auto"/>
        <w:rPr>
          <w:rFonts w:ascii="Arial" w:eastAsia="Arial" w:hAnsi="Arial" w:cs="Arial"/>
          <w:sz w:val="24"/>
          <w:szCs w:val="24"/>
        </w:rPr>
      </w:pPr>
    </w:p>
    <w:p w14:paraId="07420DB0" w14:textId="1C2BE237" w:rsidR="00B231C7" w:rsidRDefault="00B231C7" w:rsidP="00B231C7">
      <w:pPr>
        <w:pBdr>
          <w:top w:val="nil"/>
          <w:left w:val="nil"/>
          <w:bottom w:val="nil"/>
          <w:right w:val="nil"/>
          <w:between w:val="nil"/>
        </w:pBdr>
        <w:spacing w:after="0" w:line="252" w:lineRule="auto"/>
        <w:rPr>
          <w:rFonts w:ascii="Arial" w:eastAsia="Arial" w:hAnsi="Arial" w:cs="Arial"/>
          <w:color w:val="000000"/>
          <w:sz w:val="24"/>
          <w:szCs w:val="24"/>
          <w:highlight w:val="yellow"/>
        </w:rPr>
      </w:pPr>
      <w:r w:rsidRPr="00BC70E3">
        <w:rPr>
          <w:rFonts w:ascii="Arial" w:eastAsia="Arial" w:hAnsi="Arial" w:cs="Arial"/>
          <w:color w:val="000000"/>
          <w:sz w:val="24"/>
          <w:szCs w:val="24"/>
          <w:highlight w:val="yellow"/>
        </w:rPr>
        <w:t>To be updated at contract award</w:t>
      </w:r>
    </w:p>
    <w:p w14:paraId="5A921126" w14:textId="77777777" w:rsidR="00A84882" w:rsidRPr="00BC70E3" w:rsidRDefault="00A84882" w:rsidP="00B231C7">
      <w:pPr>
        <w:pBdr>
          <w:top w:val="nil"/>
          <w:left w:val="nil"/>
          <w:bottom w:val="nil"/>
          <w:right w:val="nil"/>
          <w:between w:val="nil"/>
        </w:pBdr>
        <w:spacing w:after="0" w:line="252" w:lineRule="auto"/>
        <w:rPr>
          <w:color w:val="000000"/>
        </w:rPr>
      </w:pP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7D6918A4" w14:textId="77777777" w:rsidR="00E60470" w:rsidRDefault="00E60470">
      <w:pPr>
        <w:tabs>
          <w:tab w:val="left" w:pos="2257"/>
        </w:tabs>
        <w:spacing w:after="0" w:line="259" w:lineRule="auto"/>
        <w:rPr>
          <w:rFonts w:ascii="Arial" w:eastAsia="Arial" w:hAnsi="Arial" w:cs="Arial"/>
          <w:sz w:val="24"/>
          <w:szCs w:val="24"/>
        </w:rPr>
      </w:pPr>
    </w:p>
    <w:p w14:paraId="43E3548C" w14:textId="6EBB229D"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D65A0A" w:rsidRPr="00D65A0A">
        <w:t xml:space="preserve"> </w:t>
      </w:r>
      <w:r w:rsidR="00D65A0A" w:rsidRPr="00D65A0A">
        <w:rPr>
          <w:rFonts w:ascii="Arial" w:eastAsia="Arial" w:hAnsi="Arial" w:cs="Arial"/>
          <w:sz w:val="24"/>
          <w:szCs w:val="24"/>
        </w:rPr>
        <w:t>£2,145,833.</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Pr="001F454C" w:rsidRDefault="00FC47FD">
      <w:pPr>
        <w:tabs>
          <w:tab w:val="left" w:pos="2257"/>
        </w:tabs>
        <w:spacing w:after="0" w:line="259" w:lineRule="auto"/>
        <w:rPr>
          <w:rFonts w:ascii="Arial" w:eastAsia="Arial" w:hAnsi="Arial" w:cs="Arial"/>
          <w:b/>
          <w:sz w:val="24"/>
          <w:szCs w:val="24"/>
        </w:rPr>
      </w:pPr>
      <w:r w:rsidRPr="001F454C">
        <w:rPr>
          <w:rFonts w:ascii="Arial" w:eastAsia="Arial" w:hAnsi="Arial" w:cs="Arial"/>
          <w:b/>
          <w:sz w:val="24"/>
          <w:szCs w:val="24"/>
        </w:rPr>
        <w:t>CALL-OFF CHARGES</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068F0984" w14:textId="42359042"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3EA65311" w14:textId="53652EE4"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0DCD79D6" w14:textId="77C9664E" w:rsidR="00E60470" w:rsidRDefault="00FC47F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1EC7C53C" w14:textId="71C8A6FC" w:rsidR="00E60470" w:rsidRDefault="00FC47F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1F454C" w:rsidRDefault="00642334">
      <w:pPr>
        <w:tabs>
          <w:tab w:val="left" w:pos="2257"/>
        </w:tabs>
        <w:spacing w:after="0" w:line="259" w:lineRule="auto"/>
        <w:rPr>
          <w:rFonts w:ascii="Arial" w:eastAsia="Arial" w:hAnsi="Arial" w:cs="Arial"/>
          <w:b/>
          <w:sz w:val="24"/>
          <w:szCs w:val="24"/>
        </w:rPr>
      </w:pPr>
      <w:r w:rsidRPr="001F454C">
        <w:rPr>
          <w:rFonts w:ascii="Arial" w:eastAsia="Arial" w:hAnsi="Arial" w:cs="Arial"/>
          <w:b/>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Pr="001F454C" w:rsidRDefault="00FC47FD">
      <w:pPr>
        <w:tabs>
          <w:tab w:val="left" w:pos="2257"/>
        </w:tabs>
        <w:spacing w:after="0" w:line="259" w:lineRule="auto"/>
        <w:rPr>
          <w:rFonts w:ascii="Arial" w:eastAsia="Arial" w:hAnsi="Arial" w:cs="Arial"/>
          <w:b/>
          <w:sz w:val="24"/>
          <w:szCs w:val="24"/>
        </w:rPr>
      </w:pPr>
      <w:r w:rsidRPr="001F454C">
        <w:rPr>
          <w:rFonts w:ascii="Arial" w:eastAsia="Arial" w:hAnsi="Arial" w:cs="Arial"/>
          <w:b/>
          <w:sz w:val="24"/>
          <w:szCs w:val="24"/>
        </w:rPr>
        <w:t>REIMBURSABLE EXPENSES</w:t>
      </w:r>
    </w:p>
    <w:p w14:paraId="63B63F89" w14:textId="77777777" w:rsidR="00CD56C2" w:rsidRDefault="00D65A0A">
      <w:pPr>
        <w:tabs>
          <w:tab w:val="left" w:pos="2257"/>
        </w:tabs>
        <w:spacing w:after="0" w:line="259" w:lineRule="auto"/>
        <w:rPr>
          <w:rFonts w:ascii="Arial" w:eastAsia="Arial" w:hAnsi="Arial" w:cs="Arial"/>
          <w:sz w:val="24"/>
          <w:szCs w:val="24"/>
        </w:rPr>
      </w:pPr>
      <w:r w:rsidRPr="00CD56C2">
        <w:rPr>
          <w:rFonts w:ascii="Arial" w:eastAsia="Arial" w:hAnsi="Arial" w:cs="Arial"/>
          <w:sz w:val="24"/>
          <w:szCs w:val="24"/>
        </w:rPr>
        <w:t>Expenses must be included within the rates.</w:t>
      </w:r>
    </w:p>
    <w:p w14:paraId="65CCE63E" w14:textId="070847C7" w:rsidR="00E60470" w:rsidRDefault="00D65A0A">
      <w:pPr>
        <w:tabs>
          <w:tab w:val="left" w:pos="2257"/>
        </w:tabs>
        <w:spacing w:after="0" w:line="259" w:lineRule="auto"/>
        <w:rPr>
          <w:rFonts w:ascii="Arial" w:eastAsia="Arial" w:hAnsi="Arial" w:cs="Arial"/>
          <w:b/>
          <w:sz w:val="24"/>
          <w:szCs w:val="24"/>
        </w:rPr>
      </w:pPr>
      <w:r w:rsidRPr="00CD56C2">
        <w:rPr>
          <w:rFonts w:ascii="Arial" w:eastAsia="Arial" w:hAnsi="Arial" w:cs="Arial"/>
          <w:sz w:val="24"/>
          <w:szCs w:val="24"/>
        </w:rPr>
        <w:t xml:space="preserve"> </w:t>
      </w:r>
    </w:p>
    <w:p w14:paraId="75FBC7A2" w14:textId="77777777" w:rsidR="00830352" w:rsidRPr="001F454C" w:rsidRDefault="00830352" w:rsidP="00830352">
      <w:pPr>
        <w:tabs>
          <w:tab w:val="left" w:pos="2257"/>
        </w:tabs>
        <w:spacing w:after="0" w:line="259" w:lineRule="auto"/>
        <w:rPr>
          <w:rFonts w:ascii="Arial" w:eastAsia="Arial" w:hAnsi="Arial" w:cs="Arial"/>
          <w:b/>
          <w:sz w:val="24"/>
          <w:szCs w:val="24"/>
        </w:rPr>
      </w:pPr>
      <w:r w:rsidRPr="001F454C">
        <w:rPr>
          <w:rFonts w:ascii="Arial" w:eastAsia="Arial" w:hAnsi="Arial" w:cs="Arial"/>
          <w:b/>
          <w:sz w:val="24"/>
          <w:szCs w:val="24"/>
        </w:rPr>
        <w:t>DISBURSEMENTS</w:t>
      </w:r>
    </w:p>
    <w:p w14:paraId="57267894" w14:textId="1165DF45" w:rsidR="00830352" w:rsidRDefault="00D65A0A" w:rsidP="00830352">
      <w:pPr>
        <w:tabs>
          <w:tab w:val="left" w:pos="2257"/>
        </w:tabs>
        <w:spacing w:after="0" w:line="259" w:lineRule="auto"/>
        <w:rPr>
          <w:rFonts w:ascii="Arial" w:eastAsia="Arial" w:hAnsi="Arial" w:cs="Arial"/>
          <w:sz w:val="24"/>
          <w:szCs w:val="24"/>
        </w:rPr>
      </w:pPr>
      <w:r w:rsidRPr="00CD56C2">
        <w:rPr>
          <w:rFonts w:ascii="Arial" w:eastAsia="Arial" w:hAnsi="Arial" w:cs="Arial"/>
          <w:sz w:val="24"/>
          <w:szCs w:val="24"/>
        </w:rPr>
        <w:t>Not payable</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Pr="001F454C" w:rsidRDefault="00830352" w:rsidP="00830352">
      <w:pPr>
        <w:tabs>
          <w:tab w:val="left" w:pos="2257"/>
        </w:tabs>
        <w:spacing w:after="0" w:line="259" w:lineRule="auto"/>
        <w:rPr>
          <w:rFonts w:ascii="Arial" w:eastAsia="Arial" w:hAnsi="Arial" w:cs="Arial"/>
          <w:b/>
          <w:sz w:val="24"/>
          <w:szCs w:val="24"/>
        </w:rPr>
      </w:pPr>
      <w:r w:rsidRPr="001F454C">
        <w:rPr>
          <w:rFonts w:ascii="Arial" w:eastAsia="Arial" w:hAnsi="Arial" w:cs="Arial"/>
          <w:b/>
          <w:sz w:val="24"/>
          <w:szCs w:val="24"/>
        </w:rPr>
        <w:t>ADDITIONAL TRAINING CHARGE</w:t>
      </w:r>
    </w:p>
    <w:p w14:paraId="427EEAF9" w14:textId="5C8DE1C0" w:rsidR="00830352" w:rsidRDefault="00D65A0A" w:rsidP="00830352">
      <w:pPr>
        <w:tabs>
          <w:tab w:val="left" w:pos="2257"/>
        </w:tabs>
        <w:spacing w:after="0" w:line="259" w:lineRule="auto"/>
        <w:rPr>
          <w:rFonts w:ascii="Arial" w:eastAsia="Arial" w:hAnsi="Arial" w:cs="Arial"/>
          <w:sz w:val="24"/>
          <w:szCs w:val="24"/>
        </w:rPr>
      </w:pPr>
      <w:r w:rsidRPr="00CD56C2">
        <w:rPr>
          <w:rFonts w:ascii="Arial" w:eastAsia="Arial" w:hAnsi="Arial" w:cs="Arial"/>
          <w:sz w:val="24"/>
          <w:szCs w:val="24"/>
        </w:rPr>
        <w:t>N/A</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Pr="001F454C" w:rsidRDefault="00830352" w:rsidP="00830352">
      <w:pPr>
        <w:tabs>
          <w:tab w:val="left" w:pos="2257"/>
        </w:tabs>
        <w:spacing w:after="0" w:line="259" w:lineRule="auto"/>
        <w:rPr>
          <w:rFonts w:ascii="Arial" w:eastAsia="Arial" w:hAnsi="Arial" w:cs="Arial"/>
          <w:b/>
          <w:sz w:val="24"/>
          <w:szCs w:val="24"/>
        </w:rPr>
      </w:pPr>
      <w:r w:rsidRPr="001F454C">
        <w:rPr>
          <w:rFonts w:ascii="Arial" w:eastAsia="Arial" w:hAnsi="Arial" w:cs="Arial"/>
          <w:b/>
          <w:sz w:val="24"/>
          <w:szCs w:val="24"/>
        </w:rPr>
        <w:t>SECONDMENT CHARGE</w:t>
      </w:r>
    </w:p>
    <w:p w14:paraId="3523A04D" w14:textId="1AFEE2F4" w:rsidR="00830352" w:rsidRPr="00CD56C2" w:rsidRDefault="00D65A0A">
      <w:pPr>
        <w:tabs>
          <w:tab w:val="left" w:pos="2257"/>
        </w:tabs>
        <w:spacing w:after="0" w:line="259" w:lineRule="auto"/>
        <w:rPr>
          <w:rFonts w:ascii="Arial" w:eastAsia="Arial" w:hAnsi="Arial" w:cs="Arial"/>
          <w:sz w:val="24"/>
          <w:szCs w:val="24"/>
        </w:rPr>
      </w:pPr>
      <w:r w:rsidRPr="00CD56C2">
        <w:rPr>
          <w:rFonts w:ascii="Arial" w:eastAsia="Arial" w:hAnsi="Arial" w:cs="Arial"/>
          <w:sz w:val="24"/>
          <w:szCs w:val="24"/>
        </w:rPr>
        <w:t>N/A</w:t>
      </w:r>
    </w:p>
    <w:p w14:paraId="43DC3D28" w14:textId="77777777" w:rsidR="00830352" w:rsidRDefault="00830352">
      <w:pPr>
        <w:tabs>
          <w:tab w:val="left" w:pos="2257"/>
        </w:tabs>
        <w:spacing w:after="0" w:line="259" w:lineRule="auto"/>
        <w:rPr>
          <w:rFonts w:ascii="Arial" w:eastAsia="Arial" w:hAnsi="Arial" w:cs="Arial"/>
          <w:b/>
          <w:sz w:val="24"/>
          <w:szCs w:val="24"/>
        </w:rPr>
      </w:pPr>
    </w:p>
    <w:p w14:paraId="3ADC2686" w14:textId="77777777" w:rsidR="00C2069F" w:rsidRDefault="00C2069F" w:rsidP="00C2069F">
      <w:pPr>
        <w:pStyle w:val="Heading3"/>
        <w:numPr>
          <w:ilvl w:val="2"/>
          <w:numId w:val="17"/>
        </w:numPr>
        <w:pBdr>
          <w:top w:val="nil"/>
          <w:left w:val="nil"/>
          <w:bottom w:val="nil"/>
          <w:right w:val="nil"/>
          <w:between w:val="nil"/>
        </w:pBdr>
        <w:tabs>
          <w:tab w:val="left" w:pos="0"/>
          <w:tab w:val="left" w:pos="2257"/>
        </w:tabs>
        <w:spacing w:before="0" w:after="0" w:line="246" w:lineRule="auto"/>
      </w:pPr>
      <w:r>
        <w:t>PAYMENT METHOD</w:t>
      </w:r>
    </w:p>
    <w:p w14:paraId="2ABEB3E7" w14:textId="77777777" w:rsidR="00C2069F" w:rsidRDefault="00C2069F" w:rsidP="00C2069F">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Via BACS. Below is the Accounts Payable address:</w:t>
      </w:r>
    </w:p>
    <w:p w14:paraId="71087ADC" w14:textId="77777777" w:rsidR="00C2069F" w:rsidRDefault="00C2069F" w:rsidP="00C2069F">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6D5E30DF" w14:textId="77777777" w:rsidR="00C2069F" w:rsidRDefault="00C2069F" w:rsidP="00C2069F">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Postal address:</w:t>
      </w:r>
      <w:r>
        <w:rPr>
          <w:rFonts w:ascii="Arial" w:eastAsia="Arial" w:hAnsi="Arial" w:cs="Arial"/>
          <w:color w:val="222222"/>
          <w:sz w:val="24"/>
          <w:szCs w:val="24"/>
        </w:rPr>
        <w:br/>
        <w:t>Shared Services Connected Limited</w:t>
      </w:r>
      <w:r>
        <w:rPr>
          <w:rFonts w:ascii="Arial" w:eastAsia="Arial" w:hAnsi="Arial" w:cs="Arial"/>
          <w:color w:val="222222"/>
          <w:sz w:val="24"/>
          <w:szCs w:val="24"/>
        </w:rPr>
        <w:br/>
        <w:t>CAB Procure to Pay</w:t>
      </w:r>
      <w:r>
        <w:rPr>
          <w:rFonts w:ascii="Arial" w:eastAsia="Arial" w:hAnsi="Arial" w:cs="Arial"/>
          <w:color w:val="222222"/>
          <w:sz w:val="24"/>
          <w:szCs w:val="24"/>
        </w:rPr>
        <w:br/>
      </w:r>
      <w:r>
        <w:rPr>
          <w:rFonts w:ascii="Arial" w:eastAsia="Arial" w:hAnsi="Arial" w:cs="Arial"/>
          <w:color w:val="222222"/>
          <w:sz w:val="24"/>
          <w:szCs w:val="24"/>
        </w:rPr>
        <w:lastRenderedPageBreak/>
        <w:t>PO Box 405</w:t>
      </w:r>
      <w:r>
        <w:rPr>
          <w:rFonts w:ascii="Arial" w:eastAsia="Arial" w:hAnsi="Arial" w:cs="Arial"/>
          <w:color w:val="222222"/>
          <w:sz w:val="24"/>
          <w:szCs w:val="24"/>
        </w:rPr>
        <w:br/>
        <w:t>Newport</w:t>
      </w:r>
      <w:r>
        <w:rPr>
          <w:rFonts w:ascii="Arial" w:eastAsia="Arial" w:hAnsi="Arial" w:cs="Arial"/>
          <w:color w:val="222222"/>
          <w:sz w:val="24"/>
          <w:szCs w:val="24"/>
        </w:rPr>
        <w:br/>
        <w:t>NP10 8FZ</w:t>
      </w:r>
    </w:p>
    <w:p w14:paraId="5185CB07" w14:textId="77777777" w:rsidR="00C2069F" w:rsidRDefault="00C2069F" w:rsidP="00C2069F">
      <w:pPr>
        <w:pBdr>
          <w:top w:val="nil"/>
          <w:left w:val="nil"/>
          <w:bottom w:val="nil"/>
          <w:right w:val="nil"/>
          <w:between w:val="nil"/>
        </w:pBdr>
        <w:shd w:val="clear" w:color="auto" w:fill="FFFFFF"/>
        <w:spacing w:after="0" w:line="240" w:lineRule="auto"/>
        <w:rPr>
          <w:color w:val="000000"/>
        </w:rPr>
      </w:pPr>
      <w:r>
        <w:rPr>
          <w:rFonts w:ascii="Arial" w:eastAsia="Arial" w:hAnsi="Arial" w:cs="Arial"/>
          <w:color w:val="222222"/>
          <w:sz w:val="24"/>
          <w:szCs w:val="24"/>
        </w:rPr>
        <w:br/>
        <w:t>Email address: </w:t>
      </w:r>
      <w:hyperlink r:id="rId10">
        <w:r>
          <w:rPr>
            <w:rFonts w:ascii="Arial" w:eastAsia="Arial" w:hAnsi="Arial" w:cs="Arial"/>
            <w:color w:val="1155CC"/>
            <w:sz w:val="24"/>
            <w:szCs w:val="24"/>
            <w:u w:val="single"/>
          </w:rPr>
          <w:t>APinvoices-cab-u@gov.sscl.com</w:t>
        </w:r>
      </w:hyperlink>
    </w:p>
    <w:p w14:paraId="14CABAAA" w14:textId="77777777" w:rsidR="00C2069F" w:rsidRDefault="00C2069F" w:rsidP="00C2069F">
      <w:pPr>
        <w:pBdr>
          <w:top w:val="nil"/>
          <w:left w:val="nil"/>
          <w:bottom w:val="nil"/>
          <w:right w:val="nil"/>
          <w:between w:val="nil"/>
        </w:pBdr>
        <w:shd w:val="clear" w:color="auto" w:fill="FFFFFF"/>
        <w:spacing w:after="0" w:line="240" w:lineRule="auto"/>
        <w:rPr>
          <w:rFonts w:ascii="Arial" w:eastAsia="Arial" w:hAnsi="Arial" w:cs="Arial"/>
          <w:color w:val="222222"/>
          <w:sz w:val="24"/>
          <w:szCs w:val="24"/>
        </w:rPr>
      </w:pPr>
    </w:p>
    <w:p w14:paraId="4067CD8C" w14:textId="77777777" w:rsidR="00C2069F" w:rsidRPr="00BC70E3" w:rsidRDefault="00C2069F" w:rsidP="00C2069F">
      <w:pPr>
        <w:pBdr>
          <w:top w:val="nil"/>
          <w:left w:val="nil"/>
          <w:bottom w:val="nil"/>
          <w:right w:val="nil"/>
          <w:between w:val="nil"/>
        </w:pBdr>
        <w:shd w:val="clear" w:color="auto" w:fill="FFFFFF"/>
        <w:spacing w:after="0" w:line="240" w:lineRule="auto"/>
        <w:rPr>
          <w:rFonts w:ascii="Arial" w:eastAsia="Arial" w:hAnsi="Arial" w:cs="Arial"/>
          <w:color w:val="000000" w:themeColor="text1"/>
          <w:sz w:val="24"/>
          <w:szCs w:val="24"/>
        </w:rPr>
      </w:pPr>
      <w:r w:rsidRPr="00BC70E3">
        <w:rPr>
          <w:rFonts w:ascii="Arial" w:eastAsia="Arial" w:hAnsi="Arial" w:cs="Arial"/>
          <w:color w:val="000000" w:themeColor="text1"/>
          <w:sz w:val="24"/>
          <w:szCs w:val="24"/>
        </w:rPr>
        <w:t>Invoices must be sent to the above email address only – do not copy in multiple addresses.</w:t>
      </w:r>
    </w:p>
    <w:p w14:paraId="694539C4" w14:textId="77777777" w:rsidR="00C2069F" w:rsidRPr="00BC70E3" w:rsidRDefault="00C2069F" w:rsidP="00C2069F">
      <w:pPr>
        <w:pBdr>
          <w:top w:val="nil"/>
          <w:left w:val="nil"/>
          <w:bottom w:val="nil"/>
          <w:right w:val="nil"/>
          <w:between w:val="nil"/>
        </w:pBdr>
        <w:shd w:val="clear" w:color="auto" w:fill="FFFFFF"/>
        <w:spacing w:after="0" w:line="240" w:lineRule="auto"/>
        <w:rPr>
          <w:rFonts w:ascii="Arial" w:eastAsia="Arial" w:hAnsi="Arial" w:cs="Arial"/>
          <w:color w:val="000000" w:themeColor="text1"/>
          <w:sz w:val="24"/>
          <w:szCs w:val="24"/>
        </w:rPr>
      </w:pPr>
    </w:p>
    <w:p w14:paraId="1FC6001A" w14:textId="77777777" w:rsidR="00C2069F" w:rsidRPr="00BC70E3" w:rsidRDefault="00C2069F" w:rsidP="00C2069F">
      <w:pPr>
        <w:pBdr>
          <w:top w:val="nil"/>
          <w:left w:val="nil"/>
          <w:bottom w:val="nil"/>
          <w:right w:val="nil"/>
          <w:between w:val="nil"/>
        </w:pBdr>
        <w:shd w:val="clear" w:color="auto" w:fill="FFFFFF"/>
        <w:spacing w:after="0" w:line="240" w:lineRule="auto"/>
        <w:rPr>
          <w:color w:val="000000" w:themeColor="text1"/>
        </w:rPr>
      </w:pPr>
      <w:r w:rsidRPr="00BC70E3">
        <w:rPr>
          <w:rFonts w:ascii="Arial" w:eastAsia="Arial" w:hAnsi="Arial" w:cs="Arial"/>
          <w:color w:val="000000" w:themeColor="text1"/>
          <w:sz w:val="24"/>
          <w:szCs w:val="24"/>
          <w:highlight w:val="white"/>
        </w:rPr>
        <w:t>All invoices submitted by suppliers must quote a valid SOP iProcurement purchase order number and must be submitted to the correct PO Box number or email address.</w:t>
      </w:r>
    </w:p>
    <w:p w14:paraId="09FEAE81" w14:textId="77777777" w:rsidR="00C2069F" w:rsidRPr="00BC70E3" w:rsidRDefault="00C2069F" w:rsidP="00CD56C2">
      <w:pPr>
        <w:pBdr>
          <w:top w:val="nil"/>
          <w:left w:val="nil"/>
          <w:bottom w:val="nil"/>
          <w:right w:val="nil"/>
          <w:between w:val="nil"/>
        </w:pBdr>
        <w:shd w:val="clear" w:color="auto" w:fill="FFFFFF" w:themeFill="background1"/>
        <w:spacing w:after="0" w:line="240" w:lineRule="auto"/>
        <w:rPr>
          <w:rFonts w:ascii="Arial" w:eastAsia="Arial" w:hAnsi="Arial" w:cs="Arial"/>
          <w:color w:val="000000" w:themeColor="text1"/>
          <w:sz w:val="24"/>
          <w:szCs w:val="24"/>
        </w:rPr>
      </w:pPr>
      <w:r w:rsidRPr="00BC70E3">
        <w:rPr>
          <w:rFonts w:ascii="Arial" w:eastAsia="Arial" w:hAnsi="Arial" w:cs="Arial"/>
          <w:color w:val="000000" w:themeColor="text1"/>
          <w:sz w:val="24"/>
          <w:szCs w:val="24"/>
        </w:rPr>
        <w:t>Any invoices that are submitted and do not meet the following criteria will not be processed:</w:t>
      </w:r>
    </w:p>
    <w:p w14:paraId="0A79422A" w14:textId="77777777" w:rsidR="00C2069F" w:rsidRPr="00BC70E3" w:rsidRDefault="00C2069F" w:rsidP="00CD56C2">
      <w:pPr>
        <w:numPr>
          <w:ilvl w:val="0"/>
          <w:numId w:val="16"/>
        </w:numPr>
        <w:pBdr>
          <w:top w:val="nil"/>
          <w:left w:val="nil"/>
          <w:bottom w:val="nil"/>
          <w:right w:val="nil"/>
          <w:between w:val="nil"/>
        </w:pBdr>
        <w:shd w:val="clear" w:color="auto" w:fill="FFFFFF" w:themeFill="background1"/>
        <w:spacing w:after="0" w:line="240" w:lineRule="auto"/>
        <w:rPr>
          <w:color w:val="000000" w:themeColor="text1"/>
        </w:rPr>
      </w:pPr>
      <w:r w:rsidRPr="00BC70E3">
        <w:rPr>
          <w:rFonts w:ascii="Arial" w:eastAsia="Arial" w:hAnsi="Arial" w:cs="Arial"/>
          <w:color w:val="000000" w:themeColor="text1"/>
          <w:sz w:val="24"/>
          <w:szCs w:val="24"/>
        </w:rPr>
        <w:t>Email size must not exceed 4mb</w:t>
      </w:r>
    </w:p>
    <w:p w14:paraId="68EBFAAE" w14:textId="77777777" w:rsidR="00C2069F" w:rsidRPr="00BC70E3" w:rsidRDefault="00C2069F" w:rsidP="00CD56C2">
      <w:pPr>
        <w:numPr>
          <w:ilvl w:val="0"/>
          <w:numId w:val="16"/>
        </w:numPr>
        <w:pBdr>
          <w:top w:val="nil"/>
          <w:left w:val="nil"/>
          <w:bottom w:val="nil"/>
          <w:right w:val="nil"/>
          <w:between w:val="nil"/>
        </w:pBdr>
        <w:shd w:val="clear" w:color="auto" w:fill="FFFFFF" w:themeFill="background1"/>
        <w:spacing w:after="0" w:line="240" w:lineRule="auto"/>
        <w:rPr>
          <w:color w:val="000000" w:themeColor="text1"/>
        </w:rPr>
      </w:pPr>
      <w:r w:rsidRPr="00BC70E3">
        <w:rPr>
          <w:rFonts w:ascii="Arial" w:eastAsia="Arial" w:hAnsi="Arial" w:cs="Arial"/>
          <w:color w:val="000000" w:themeColor="text1"/>
          <w:sz w:val="24"/>
          <w:szCs w:val="24"/>
        </w:rPr>
        <w:t>All files/invoices must be in PDF format attached directly to the email (No folders etc)</w:t>
      </w:r>
    </w:p>
    <w:p w14:paraId="3FFCD29B" w14:textId="77777777" w:rsidR="00C2069F" w:rsidRPr="00BC70E3" w:rsidRDefault="00C2069F" w:rsidP="00CD56C2">
      <w:pPr>
        <w:numPr>
          <w:ilvl w:val="0"/>
          <w:numId w:val="16"/>
        </w:numPr>
        <w:pBdr>
          <w:top w:val="nil"/>
          <w:left w:val="nil"/>
          <w:bottom w:val="nil"/>
          <w:right w:val="nil"/>
          <w:between w:val="nil"/>
        </w:pBdr>
        <w:shd w:val="clear" w:color="auto" w:fill="FFFFFF" w:themeFill="background1"/>
        <w:spacing w:after="0" w:line="240" w:lineRule="auto"/>
        <w:rPr>
          <w:color w:val="000000" w:themeColor="text1"/>
        </w:rPr>
      </w:pPr>
      <w:r w:rsidRPr="00BC70E3">
        <w:rPr>
          <w:rFonts w:ascii="Arial" w:eastAsia="Arial" w:hAnsi="Arial" w:cs="Arial"/>
          <w:color w:val="000000" w:themeColor="text1"/>
          <w:sz w:val="24"/>
          <w:szCs w:val="24"/>
        </w:rPr>
        <w:t>One PDF per invoice – all supporting documentation must be included within the single PDF. Do not attach additional/separate supporting documentation as a separate file</w:t>
      </w:r>
    </w:p>
    <w:p w14:paraId="612865A4" w14:textId="77777777" w:rsidR="00C2069F" w:rsidRPr="00BC70E3" w:rsidRDefault="00C2069F" w:rsidP="00CD56C2">
      <w:pPr>
        <w:numPr>
          <w:ilvl w:val="0"/>
          <w:numId w:val="16"/>
        </w:numPr>
        <w:pBdr>
          <w:top w:val="nil"/>
          <w:left w:val="nil"/>
          <w:bottom w:val="nil"/>
          <w:right w:val="nil"/>
          <w:between w:val="nil"/>
        </w:pBdr>
        <w:shd w:val="clear" w:color="auto" w:fill="FFFFFF" w:themeFill="background1"/>
        <w:spacing w:after="0" w:line="240" w:lineRule="auto"/>
        <w:rPr>
          <w:color w:val="000000" w:themeColor="text1"/>
        </w:rPr>
      </w:pPr>
      <w:r w:rsidRPr="00BC70E3">
        <w:rPr>
          <w:rFonts w:ascii="Arial" w:eastAsia="Arial" w:hAnsi="Arial" w:cs="Arial"/>
          <w:color w:val="000000" w:themeColor="text1"/>
          <w:sz w:val="24"/>
          <w:szCs w:val="24"/>
        </w:rPr>
        <w:t>Multiple invoices can be attached to one email but each invoice must be in a separate PDF (with no additional supporting files as described above)</w:t>
      </w:r>
    </w:p>
    <w:p w14:paraId="65D01C8B" w14:textId="77777777" w:rsidR="00C2069F" w:rsidRPr="00BC70E3" w:rsidRDefault="00C2069F" w:rsidP="00C2069F">
      <w:pPr>
        <w:tabs>
          <w:tab w:val="left" w:pos="2257"/>
        </w:tabs>
        <w:spacing w:after="0" w:line="246" w:lineRule="auto"/>
        <w:rPr>
          <w:rFonts w:ascii="Arial" w:eastAsia="Arial" w:hAnsi="Arial" w:cs="Arial"/>
          <w:color w:val="000000" w:themeColor="text1"/>
          <w:sz w:val="24"/>
          <w:szCs w:val="24"/>
          <w:highlight w:val="white"/>
        </w:rPr>
      </w:pPr>
    </w:p>
    <w:p w14:paraId="7BE3E3C6" w14:textId="77777777" w:rsidR="00C2069F" w:rsidRDefault="00C2069F" w:rsidP="00C2069F">
      <w:pPr>
        <w:tabs>
          <w:tab w:val="left" w:pos="2257"/>
        </w:tabs>
        <w:spacing w:after="0" w:line="246" w:lineRule="auto"/>
        <w:rPr>
          <w:rFonts w:ascii="Arial" w:eastAsia="Arial" w:hAnsi="Arial" w:cs="Arial"/>
          <w:b/>
          <w:sz w:val="24"/>
          <w:szCs w:val="24"/>
        </w:rPr>
      </w:pPr>
    </w:p>
    <w:p w14:paraId="07D9F9BC" w14:textId="77777777" w:rsidR="00E60470" w:rsidRDefault="00E60470">
      <w:pPr>
        <w:tabs>
          <w:tab w:val="left" w:pos="2257"/>
        </w:tabs>
        <w:spacing w:after="0" w:line="259" w:lineRule="auto"/>
        <w:rPr>
          <w:rFonts w:ascii="Arial" w:eastAsia="Arial" w:hAnsi="Arial" w:cs="Arial"/>
          <w:sz w:val="24"/>
          <w:szCs w:val="24"/>
        </w:rPr>
      </w:pPr>
    </w:p>
    <w:p w14:paraId="130FD9DB" w14:textId="530AF22D" w:rsidR="00C2069F" w:rsidRDefault="00C2069F" w:rsidP="00C2069F">
      <w:pPr>
        <w:pStyle w:val="Heading3"/>
        <w:numPr>
          <w:ilvl w:val="2"/>
          <w:numId w:val="17"/>
        </w:numPr>
        <w:pBdr>
          <w:top w:val="nil"/>
          <w:left w:val="nil"/>
          <w:bottom w:val="nil"/>
          <w:right w:val="nil"/>
          <w:between w:val="nil"/>
        </w:pBdr>
        <w:tabs>
          <w:tab w:val="left" w:pos="0"/>
          <w:tab w:val="left" w:pos="2257"/>
        </w:tabs>
        <w:spacing w:before="0" w:after="0" w:line="246" w:lineRule="auto"/>
      </w:pPr>
      <w:r>
        <w:t>BUYER’S AUTHORISED REPRESENTATIVE</w:t>
      </w:r>
    </w:p>
    <w:p w14:paraId="2F99E1E5" w14:textId="77777777" w:rsidR="0067341B" w:rsidRPr="0067341B" w:rsidRDefault="0067341B" w:rsidP="0067341B">
      <w:pPr>
        <w:pStyle w:val="ListParagraph"/>
        <w:numPr>
          <w:ilvl w:val="0"/>
          <w:numId w:val="17"/>
        </w:numPr>
        <w:pBdr>
          <w:top w:val="nil"/>
          <w:left w:val="nil"/>
          <w:bottom w:val="nil"/>
          <w:right w:val="nil"/>
          <w:between w:val="nil"/>
        </w:pBdr>
        <w:tabs>
          <w:tab w:val="left" w:pos="2257"/>
        </w:tabs>
        <w:spacing w:after="0" w:line="246" w:lineRule="auto"/>
        <w:rPr>
          <w:rFonts w:ascii="Arial" w:eastAsia="Arial" w:hAnsi="Arial" w:cs="Arial"/>
          <w:sz w:val="24"/>
          <w:szCs w:val="24"/>
        </w:rPr>
      </w:pPr>
      <w:r w:rsidRPr="0067341B">
        <w:rPr>
          <w:rFonts w:ascii="Arial" w:eastAsia="Arial" w:hAnsi="Arial" w:cs="Arial"/>
          <w:sz w:val="24"/>
          <w:szCs w:val="24"/>
        </w:rPr>
        <w:t>Redacted under FOIA section 40, Personal Information</w:t>
      </w:r>
    </w:p>
    <w:p w14:paraId="3D7BE69B" w14:textId="77777777" w:rsidR="0067341B" w:rsidRPr="0067341B" w:rsidRDefault="0067341B" w:rsidP="0067341B">
      <w:pPr>
        <w:pStyle w:val="ListParagraph"/>
        <w:numPr>
          <w:ilvl w:val="0"/>
          <w:numId w:val="17"/>
        </w:numPr>
        <w:pBdr>
          <w:top w:val="nil"/>
          <w:left w:val="nil"/>
          <w:bottom w:val="nil"/>
          <w:right w:val="nil"/>
          <w:between w:val="nil"/>
        </w:pBdr>
        <w:tabs>
          <w:tab w:val="left" w:pos="2257"/>
        </w:tabs>
        <w:spacing w:after="0" w:line="246" w:lineRule="auto"/>
        <w:rPr>
          <w:rFonts w:ascii="Arial" w:eastAsia="Arial" w:hAnsi="Arial" w:cs="Arial"/>
          <w:sz w:val="24"/>
          <w:szCs w:val="24"/>
        </w:rPr>
      </w:pPr>
      <w:r w:rsidRPr="0067341B">
        <w:rPr>
          <w:rFonts w:ascii="Arial" w:eastAsia="Arial" w:hAnsi="Arial" w:cs="Arial"/>
          <w:sz w:val="24"/>
          <w:szCs w:val="24"/>
        </w:rPr>
        <w:t>Redacted under FOIA section 40, Personal Information</w:t>
      </w:r>
    </w:p>
    <w:p w14:paraId="554AAF09" w14:textId="77777777" w:rsidR="0067341B" w:rsidRPr="0067341B" w:rsidRDefault="0067341B" w:rsidP="0067341B">
      <w:pPr>
        <w:pStyle w:val="ListParagraph"/>
        <w:numPr>
          <w:ilvl w:val="0"/>
          <w:numId w:val="17"/>
        </w:numPr>
        <w:pBdr>
          <w:top w:val="nil"/>
          <w:left w:val="nil"/>
          <w:bottom w:val="nil"/>
          <w:right w:val="nil"/>
          <w:between w:val="nil"/>
        </w:pBdr>
        <w:tabs>
          <w:tab w:val="left" w:pos="2257"/>
        </w:tabs>
        <w:spacing w:after="0" w:line="246" w:lineRule="auto"/>
        <w:rPr>
          <w:rFonts w:ascii="Arial" w:eastAsia="Arial" w:hAnsi="Arial" w:cs="Arial"/>
          <w:sz w:val="24"/>
          <w:szCs w:val="24"/>
        </w:rPr>
      </w:pPr>
      <w:r w:rsidRPr="0067341B">
        <w:rPr>
          <w:rFonts w:ascii="Arial" w:eastAsia="Arial" w:hAnsi="Arial" w:cs="Arial"/>
          <w:sz w:val="24"/>
          <w:szCs w:val="24"/>
        </w:rPr>
        <w:t>Redacted under FOIA section 40, Personal Information</w:t>
      </w:r>
    </w:p>
    <w:p w14:paraId="2D29C73C" w14:textId="77777777" w:rsidR="0067341B" w:rsidRPr="0067341B" w:rsidRDefault="0067341B" w:rsidP="0067341B">
      <w:pPr>
        <w:pStyle w:val="ListParagraph"/>
        <w:numPr>
          <w:ilvl w:val="0"/>
          <w:numId w:val="17"/>
        </w:numPr>
        <w:pBdr>
          <w:top w:val="nil"/>
          <w:left w:val="nil"/>
          <w:bottom w:val="nil"/>
          <w:right w:val="nil"/>
          <w:between w:val="nil"/>
        </w:pBdr>
        <w:tabs>
          <w:tab w:val="left" w:pos="2257"/>
        </w:tabs>
        <w:spacing w:after="0" w:line="246" w:lineRule="auto"/>
        <w:rPr>
          <w:rFonts w:ascii="Arial" w:eastAsia="Arial" w:hAnsi="Arial" w:cs="Arial"/>
          <w:sz w:val="24"/>
          <w:szCs w:val="24"/>
        </w:rPr>
      </w:pPr>
      <w:r w:rsidRPr="0067341B">
        <w:rPr>
          <w:rFonts w:ascii="Arial" w:eastAsia="Arial" w:hAnsi="Arial" w:cs="Arial"/>
          <w:sz w:val="24"/>
          <w:szCs w:val="24"/>
        </w:rPr>
        <w:t>Redacted under FOIA section 40, Personal Information</w:t>
      </w:r>
    </w:p>
    <w:p w14:paraId="65F97F6A" w14:textId="77777777" w:rsidR="0067341B" w:rsidRPr="0067341B" w:rsidRDefault="0067341B" w:rsidP="0067341B"/>
    <w:p w14:paraId="37B872FE" w14:textId="77777777" w:rsidR="00C2069F" w:rsidRDefault="00C2069F" w:rsidP="00C2069F">
      <w:pPr>
        <w:pStyle w:val="Heading3"/>
        <w:numPr>
          <w:ilvl w:val="2"/>
          <w:numId w:val="17"/>
        </w:numPr>
        <w:pBdr>
          <w:top w:val="nil"/>
          <w:left w:val="nil"/>
          <w:bottom w:val="nil"/>
          <w:right w:val="nil"/>
          <w:between w:val="nil"/>
        </w:pBdr>
        <w:tabs>
          <w:tab w:val="left" w:pos="0"/>
          <w:tab w:val="left" w:pos="2257"/>
        </w:tabs>
        <w:spacing w:before="0" w:after="0" w:line="246" w:lineRule="auto"/>
      </w:pPr>
      <w:r>
        <w:t>BUYER’S ENVIRONMENTAL POLICY</w:t>
      </w:r>
    </w:p>
    <w:p w14:paraId="3A2050D1" w14:textId="77777777" w:rsidR="00C2069F" w:rsidRDefault="00C2069F" w:rsidP="00C2069F">
      <w:pPr>
        <w:tabs>
          <w:tab w:val="left" w:pos="2257"/>
        </w:tabs>
        <w:spacing w:after="0" w:line="246" w:lineRule="auto"/>
        <w:rPr>
          <w:rFonts w:ascii="Arial" w:eastAsia="Arial" w:hAnsi="Arial" w:cs="Arial"/>
          <w:color w:val="0000FF"/>
          <w:sz w:val="24"/>
          <w:szCs w:val="24"/>
          <w:u w:val="single"/>
        </w:rPr>
      </w:pPr>
      <w:r>
        <w:rPr>
          <w:rFonts w:ascii="Arial" w:eastAsia="Arial" w:hAnsi="Arial" w:cs="Arial"/>
          <w:sz w:val="24"/>
          <w:szCs w:val="24"/>
        </w:rPr>
        <w:t xml:space="preserve">Cabinet Office Environmental Policy: </w:t>
      </w:r>
      <w:hyperlink r:id="rId11">
        <w:r>
          <w:rPr>
            <w:rFonts w:ascii="Arial" w:eastAsia="Arial" w:hAnsi="Arial" w:cs="Arial"/>
            <w:color w:val="0000FF"/>
            <w:sz w:val="24"/>
            <w:szCs w:val="24"/>
            <w:u w:val="single"/>
          </w:rPr>
          <w:t>https://intranet.cabinetoffice.gov.uk/wp-content/uploads/2015/02/Environmental-Policy-2023.pdf</w:t>
        </w:r>
      </w:hyperlink>
    </w:p>
    <w:p w14:paraId="04C933E7" w14:textId="77777777" w:rsidR="00C2069F" w:rsidRDefault="00C2069F" w:rsidP="00C2069F">
      <w:pPr>
        <w:tabs>
          <w:tab w:val="left" w:pos="2257"/>
        </w:tabs>
        <w:spacing w:after="0" w:line="246" w:lineRule="auto"/>
        <w:rPr>
          <w:rFonts w:ascii="Arial" w:eastAsia="Arial" w:hAnsi="Arial" w:cs="Arial"/>
          <w:sz w:val="24"/>
          <w:szCs w:val="24"/>
        </w:rPr>
      </w:pPr>
    </w:p>
    <w:p w14:paraId="35D8CD75" w14:textId="77777777" w:rsidR="00C2069F" w:rsidRDefault="00C2069F" w:rsidP="00C2069F">
      <w:pPr>
        <w:tabs>
          <w:tab w:val="left" w:pos="2257"/>
        </w:tabs>
        <w:spacing w:after="0" w:line="246" w:lineRule="auto"/>
        <w:rPr>
          <w:rFonts w:ascii="Arial" w:eastAsia="Arial" w:hAnsi="Arial" w:cs="Arial"/>
          <w:sz w:val="24"/>
          <w:szCs w:val="24"/>
        </w:rPr>
      </w:pPr>
    </w:p>
    <w:p w14:paraId="594EBF3E" w14:textId="77777777" w:rsidR="00C2069F" w:rsidRDefault="00C2069F" w:rsidP="00C2069F">
      <w:pPr>
        <w:pStyle w:val="Heading3"/>
        <w:numPr>
          <w:ilvl w:val="2"/>
          <w:numId w:val="17"/>
        </w:numPr>
        <w:pBdr>
          <w:top w:val="nil"/>
          <w:left w:val="nil"/>
          <w:bottom w:val="nil"/>
          <w:right w:val="nil"/>
          <w:between w:val="nil"/>
        </w:pBdr>
        <w:tabs>
          <w:tab w:val="left" w:pos="0"/>
          <w:tab w:val="left" w:pos="2257"/>
        </w:tabs>
        <w:spacing w:before="0" w:after="0" w:line="246" w:lineRule="auto"/>
      </w:pPr>
      <w:bookmarkStart w:id="1" w:name="_3j2qqm3" w:colFirst="0" w:colLast="0"/>
      <w:bookmarkEnd w:id="1"/>
      <w:r>
        <w:t>BUYER’S SECURITY POLICY</w:t>
      </w:r>
    </w:p>
    <w:p w14:paraId="3D0BA123" w14:textId="77777777" w:rsidR="00C2069F" w:rsidRDefault="00C2069F" w:rsidP="00C2069F">
      <w:pPr>
        <w:widowControl w:val="0"/>
        <w:numPr>
          <w:ilvl w:val="2"/>
          <w:numId w:val="17"/>
        </w:numPr>
        <w:tabs>
          <w:tab w:val="left" w:pos="0"/>
          <w:tab w:val="left" w:pos="2257"/>
        </w:tabs>
        <w:spacing w:after="0"/>
      </w:pPr>
      <w:r>
        <w:rPr>
          <w:rFonts w:ascii="Arial" w:eastAsia="Arial" w:hAnsi="Arial" w:cs="Arial"/>
          <w:sz w:val="24"/>
          <w:szCs w:val="24"/>
        </w:rPr>
        <w:t xml:space="preserve">Cabinet Office Security Policy: </w:t>
      </w:r>
    </w:p>
    <w:p w14:paraId="02319FF9" w14:textId="77777777" w:rsidR="00C2069F" w:rsidRDefault="00615E14" w:rsidP="00C2069F">
      <w:pPr>
        <w:widowControl w:val="0"/>
        <w:numPr>
          <w:ilvl w:val="2"/>
          <w:numId w:val="17"/>
        </w:numPr>
        <w:tabs>
          <w:tab w:val="left" w:pos="0"/>
          <w:tab w:val="left" w:pos="2257"/>
        </w:tabs>
        <w:spacing w:after="0"/>
      </w:pPr>
      <w:hyperlink r:id="rId12">
        <w:r w:rsidR="00C2069F">
          <w:rPr>
            <w:rFonts w:ascii="Arial" w:eastAsia="Arial" w:hAnsi="Arial" w:cs="Arial"/>
            <w:color w:val="0000FF"/>
            <w:sz w:val="24"/>
            <w:szCs w:val="24"/>
            <w:u w:val="single"/>
          </w:rPr>
          <w:t>https://www.gov.uk/government/collections/government-security</w:t>
        </w:r>
      </w:hyperlink>
    </w:p>
    <w:p w14:paraId="3BAA68F2" w14:textId="7D458FF8" w:rsidR="00E223AC" w:rsidRDefault="00E223AC">
      <w:pPr>
        <w:tabs>
          <w:tab w:val="left" w:pos="2257"/>
        </w:tabs>
        <w:spacing w:after="0" w:line="259" w:lineRule="auto"/>
        <w:rPr>
          <w:rFonts w:ascii="Arial" w:eastAsia="Arial" w:hAnsi="Arial" w:cs="Arial"/>
          <w:sz w:val="24"/>
          <w:szCs w:val="24"/>
        </w:rPr>
      </w:pPr>
    </w:p>
    <w:p w14:paraId="0BB8FF96" w14:textId="77777777" w:rsidR="00E223AC" w:rsidRPr="00CD56C2" w:rsidRDefault="00E223AC" w:rsidP="00E223AC">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BUYER’S ICT POLICY</w:t>
      </w:r>
    </w:p>
    <w:p w14:paraId="3BF36BB1" w14:textId="444FA0B3" w:rsidR="00E223AC" w:rsidRPr="00CD56C2" w:rsidRDefault="001C61CF" w:rsidP="00CD56C2">
      <w:pPr>
        <w:shd w:val="clear" w:color="auto" w:fill="FFFFFF" w:themeFill="background1"/>
        <w:tabs>
          <w:tab w:val="left" w:pos="2257"/>
        </w:tabs>
        <w:spacing w:after="0" w:line="259" w:lineRule="auto"/>
        <w:rPr>
          <w:rFonts w:ascii="Arial" w:eastAsia="Arial" w:hAnsi="Arial" w:cs="Arial"/>
          <w:sz w:val="24"/>
          <w:szCs w:val="24"/>
        </w:rPr>
      </w:pPr>
      <w:r w:rsidRPr="00CD56C2">
        <w:rPr>
          <w:rFonts w:ascii="Arial" w:eastAsia="Arial" w:hAnsi="Arial" w:cs="Arial"/>
          <w:sz w:val="24"/>
          <w:szCs w:val="24"/>
        </w:rPr>
        <w:t>N/A</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0AB00911" w:rsidR="00E60470" w:rsidRDefault="00FC47FD">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SUPPLIER’S AUTHORISED REPRESENTATIVE</w:t>
      </w:r>
    </w:p>
    <w:p w14:paraId="468C5954"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114BCCED"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240158AC"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62B37747"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lastRenderedPageBreak/>
        <w:t>Redacted under FOIA section 40, Personal Information</w:t>
      </w:r>
    </w:p>
    <w:p w14:paraId="1E588FAB" w14:textId="77777777" w:rsidR="0067341B" w:rsidRPr="00CD56C2" w:rsidRDefault="0067341B">
      <w:pPr>
        <w:tabs>
          <w:tab w:val="left" w:pos="2257"/>
        </w:tabs>
        <w:spacing w:after="0" w:line="259" w:lineRule="auto"/>
        <w:rPr>
          <w:rFonts w:ascii="Arial" w:eastAsia="Arial" w:hAnsi="Arial" w:cs="Arial"/>
          <w:b/>
          <w:sz w:val="24"/>
          <w:szCs w:val="24"/>
        </w:rPr>
      </w:pPr>
    </w:p>
    <w:p w14:paraId="7E78C057" w14:textId="77777777" w:rsidR="00E60470" w:rsidRDefault="00E60470">
      <w:pPr>
        <w:tabs>
          <w:tab w:val="left" w:pos="2257"/>
        </w:tabs>
        <w:spacing w:after="0" w:line="259" w:lineRule="auto"/>
        <w:rPr>
          <w:rFonts w:ascii="Arial" w:eastAsia="Arial" w:hAnsi="Arial" w:cs="Arial"/>
          <w:sz w:val="24"/>
          <w:szCs w:val="24"/>
        </w:rPr>
      </w:pPr>
    </w:p>
    <w:p w14:paraId="7977CA8E" w14:textId="19F3D2DC" w:rsidR="00E60470" w:rsidRDefault="00FC47FD">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SUPPLIER’S CONTRACT MANAGER</w:t>
      </w:r>
    </w:p>
    <w:p w14:paraId="54A2E3CD"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080A0DBC"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04BDAC1C"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7B80543B" w14:textId="77777777" w:rsidR="0067341B" w:rsidRDefault="0067341B" w:rsidP="0067341B">
      <w:pPr>
        <w:pBdr>
          <w:top w:val="nil"/>
          <w:left w:val="nil"/>
          <w:bottom w:val="nil"/>
          <w:right w:val="nil"/>
          <w:between w:val="nil"/>
        </w:pBd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39ED0343" w14:textId="77777777" w:rsidR="0067341B" w:rsidRPr="00CD56C2" w:rsidRDefault="0067341B">
      <w:pPr>
        <w:tabs>
          <w:tab w:val="left" w:pos="2257"/>
        </w:tabs>
        <w:spacing w:after="0" w:line="259" w:lineRule="auto"/>
        <w:rPr>
          <w:rFonts w:ascii="Arial" w:eastAsia="Arial" w:hAnsi="Arial" w:cs="Arial"/>
          <w:b/>
          <w:sz w:val="24"/>
          <w:szCs w:val="24"/>
        </w:rPr>
      </w:pPr>
    </w:p>
    <w:p w14:paraId="7E84C38F" w14:textId="757B31B8" w:rsidR="00537F10" w:rsidRDefault="00537F10">
      <w:pPr>
        <w:tabs>
          <w:tab w:val="left" w:pos="2257"/>
        </w:tabs>
        <w:spacing w:after="0" w:line="259" w:lineRule="auto"/>
        <w:rPr>
          <w:rFonts w:ascii="Arial" w:eastAsia="Arial" w:hAnsi="Arial" w:cs="Arial"/>
          <w:sz w:val="24"/>
          <w:szCs w:val="24"/>
        </w:rPr>
      </w:pPr>
    </w:p>
    <w:p w14:paraId="4DF184D6" w14:textId="77777777" w:rsidR="00537F10" w:rsidRPr="00CD56C2" w:rsidRDefault="00537F10" w:rsidP="00537F10">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PROGRESS REPORT</w:t>
      </w:r>
    </w:p>
    <w:p w14:paraId="4581EE7E" w14:textId="000041F3" w:rsidR="00537F10" w:rsidRDefault="004A6341" w:rsidP="00537F10">
      <w:pPr>
        <w:tabs>
          <w:tab w:val="left" w:pos="2257"/>
        </w:tabs>
        <w:spacing w:after="0" w:line="259" w:lineRule="auto"/>
        <w:rPr>
          <w:rFonts w:ascii="Arial" w:eastAsia="Arial" w:hAnsi="Arial" w:cs="Arial"/>
          <w:sz w:val="24"/>
          <w:szCs w:val="24"/>
        </w:rPr>
      </w:pPr>
      <w:r w:rsidRPr="00CD56C2">
        <w:rPr>
          <w:rFonts w:ascii="Arial" w:eastAsia="Arial" w:hAnsi="Arial" w:cs="Arial"/>
          <w:sz w:val="24"/>
          <w:szCs w:val="24"/>
        </w:rPr>
        <w:t xml:space="preserve">On the first working </w:t>
      </w:r>
      <w:r w:rsidR="00F94B94">
        <w:rPr>
          <w:rFonts w:ascii="Arial" w:eastAsia="Arial" w:hAnsi="Arial" w:cs="Arial"/>
          <w:sz w:val="24"/>
          <w:szCs w:val="24"/>
        </w:rPr>
        <w:t>d</w:t>
      </w:r>
      <w:r w:rsidRPr="00CD56C2">
        <w:rPr>
          <w:rFonts w:ascii="Arial" w:eastAsia="Arial" w:hAnsi="Arial" w:cs="Arial"/>
          <w:sz w:val="24"/>
          <w:szCs w:val="24"/>
        </w:rPr>
        <w:t>ay of each calendar month and/or on conclusion of a Work Order, as applicable</w:t>
      </w:r>
    </w:p>
    <w:p w14:paraId="5863BEAA" w14:textId="77777777" w:rsidR="00E60470" w:rsidRDefault="00E60470">
      <w:pPr>
        <w:tabs>
          <w:tab w:val="left" w:pos="2257"/>
        </w:tabs>
        <w:spacing w:after="0" w:line="259" w:lineRule="auto"/>
        <w:rPr>
          <w:rFonts w:ascii="Arial" w:eastAsia="Arial" w:hAnsi="Arial" w:cs="Arial"/>
          <w:b/>
          <w:sz w:val="24"/>
          <w:szCs w:val="24"/>
        </w:rPr>
      </w:pPr>
    </w:p>
    <w:p w14:paraId="0596563B" w14:textId="42589668" w:rsidR="00E60470" w:rsidRPr="00CD56C2" w:rsidRDefault="00FC47FD">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PROGRESS MEETING</w:t>
      </w:r>
      <w:r w:rsidR="00316A89" w:rsidRPr="00CD56C2">
        <w:rPr>
          <w:rFonts w:ascii="Arial" w:eastAsia="Arial" w:hAnsi="Arial" w:cs="Arial"/>
          <w:b/>
          <w:sz w:val="24"/>
          <w:szCs w:val="24"/>
        </w:rPr>
        <w:t>S AND PROGRESS MEETING</w:t>
      </w:r>
      <w:r w:rsidRPr="00CD56C2">
        <w:rPr>
          <w:rFonts w:ascii="Arial" w:eastAsia="Arial" w:hAnsi="Arial" w:cs="Arial"/>
          <w:b/>
          <w:sz w:val="24"/>
          <w:szCs w:val="24"/>
        </w:rPr>
        <w:t xml:space="preserve"> FREQUENCY</w:t>
      </w:r>
    </w:p>
    <w:p w14:paraId="7376BA12" w14:textId="51BCEF6F" w:rsidR="00E60470" w:rsidRPr="00140C90" w:rsidRDefault="004A6341">
      <w:pPr>
        <w:tabs>
          <w:tab w:val="left" w:pos="2257"/>
        </w:tabs>
        <w:spacing w:after="0" w:line="259" w:lineRule="auto"/>
        <w:rPr>
          <w:rFonts w:ascii="Arial" w:eastAsia="Arial" w:hAnsi="Arial" w:cs="Arial"/>
          <w:sz w:val="24"/>
          <w:szCs w:val="24"/>
        </w:rPr>
      </w:pPr>
      <w:r w:rsidRPr="00140C90">
        <w:rPr>
          <w:rFonts w:ascii="Arial" w:eastAsia="Arial" w:hAnsi="Arial" w:cs="Arial"/>
          <w:sz w:val="24"/>
          <w:szCs w:val="24"/>
        </w:rPr>
        <w:t>Once a month</w:t>
      </w:r>
    </w:p>
    <w:p w14:paraId="2CCD3DED" w14:textId="77777777" w:rsidR="00E60470" w:rsidRDefault="00E60470">
      <w:pPr>
        <w:tabs>
          <w:tab w:val="left" w:pos="2257"/>
        </w:tabs>
        <w:spacing w:after="0" w:line="259" w:lineRule="auto"/>
        <w:rPr>
          <w:rFonts w:ascii="Arial" w:eastAsia="Arial" w:hAnsi="Arial" w:cs="Arial"/>
          <w:b/>
          <w:sz w:val="24"/>
          <w:szCs w:val="24"/>
        </w:rPr>
      </w:pPr>
    </w:p>
    <w:p w14:paraId="58CD6A76" w14:textId="050FF8B8" w:rsidR="00E60470" w:rsidRDefault="00FC47FD">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KEY STAFF</w:t>
      </w:r>
    </w:p>
    <w:p w14:paraId="415E0354" w14:textId="77777777" w:rsidR="0067341B" w:rsidRDefault="0067341B" w:rsidP="0067341B">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4EB285C8" w14:textId="77777777" w:rsidR="0067341B" w:rsidRDefault="0067341B" w:rsidP="0067341B">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31C32273" w14:textId="77777777" w:rsidR="0067341B" w:rsidRDefault="0067341B" w:rsidP="0067341B">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260D529F" w14:textId="77777777" w:rsidR="0067341B" w:rsidRDefault="0067341B" w:rsidP="0067341B">
      <w:pPr>
        <w:tabs>
          <w:tab w:val="left" w:pos="2257"/>
        </w:tabs>
        <w:spacing w:after="0" w:line="246" w:lineRule="auto"/>
        <w:rPr>
          <w:rFonts w:ascii="Arial" w:eastAsia="Arial" w:hAnsi="Arial" w:cs="Arial"/>
          <w:sz w:val="24"/>
          <w:szCs w:val="24"/>
        </w:rPr>
      </w:pPr>
      <w:r w:rsidRPr="00C5137F">
        <w:rPr>
          <w:rFonts w:ascii="Arial" w:eastAsia="Arial" w:hAnsi="Arial" w:cs="Arial"/>
          <w:sz w:val="24"/>
          <w:szCs w:val="24"/>
        </w:rPr>
        <w:t>Redacted under FOIA section 40, Personal Information</w:t>
      </w:r>
    </w:p>
    <w:p w14:paraId="6827641E" w14:textId="77777777" w:rsidR="0067341B" w:rsidRDefault="0067341B" w:rsidP="0067341B">
      <w:pPr>
        <w:tabs>
          <w:tab w:val="left" w:pos="2257"/>
        </w:tabs>
        <w:spacing w:after="0" w:line="246" w:lineRule="auto"/>
        <w:rPr>
          <w:rFonts w:ascii="Arial" w:eastAsia="Arial" w:hAnsi="Arial" w:cs="Arial"/>
          <w:sz w:val="24"/>
          <w:szCs w:val="24"/>
        </w:rPr>
      </w:pPr>
    </w:p>
    <w:p w14:paraId="50C56FC7" w14:textId="77777777" w:rsidR="0067341B" w:rsidRPr="00CD56C2" w:rsidRDefault="0067341B">
      <w:pPr>
        <w:tabs>
          <w:tab w:val="left" w:pos="2257"/>
        </w:tabs>
        <w:spacing w:after="0" w:line="259" w:lineRule="auto"/>
        <w:rPr>
          <w:rFonts w:ascii="Arial" w:eastAsia="Arial" w:hAnsi="Arial" w:cs="Arial"/>
          <w:b/>
          <w:sz w:val="24"/>
          <w:szCs w:val="24"/>
        </w:rPr>
      </w:pPr>
    </w:p>
    <w:p w14:paraId="0C2BA051" w14:textId="583D8EC0" w:rsidR="00E60470" w:rsidRDefault="00FC47FD">
      <w:pPr>
        <w:tabs>
          <w:tab w:val="left" w:pos="2257"/>
        </w:tabs>
        <w:spacing w:after="0" w:line="259" w:lineRule="auto"/>
        <w:rPr>
          <w:rFonts w:ascii="Arial" w:eastAsia="Arial" w:hAnsi="Arial" w:cs="Arial"/>
          <w:b/>
          <w:sz w:val="24"/>
          <w:szCs w:val="24"/>
        </w:rPr>
      </w:pPr>
      <w:r w:rsidRPr="009C12F2">
        <w:rPr>
          <w:rFonts w:ascii="Arial" w:eastAsia="Arial" w:hAnsi="Arial" w:cs="Arial"/>
          <w:b/>
          <w:sz w:val="24"/>
          <w:szCs w:val="24"/>
        </w:rPr>
        <w:t>KEY SUBCONTRACTOR(S)</w:t>
      </w:r>
    </w:p>
    <w:p w14:paraId="533A7133" w14:textId="77777777" w:rsidR="009C12F2" w:rsidRPr="00D24919" w:rsidRDefault="009C12F2" w:rsidP="009C12F2">
      <w:pPr>
        <w:pBdr>
          <w:top w:val="nil"/>
          <w:left w:val="nil"/>
          <w:bottom w:val="nil"/>
          <w:right w:val="nil"/>
          <w:between w:val="nil"/>
        </w:pBdr>
        <w:spacing w:after="0" w:line="252" w:lineRule="auto"/>
        <w:rPr>
          <w:color w:val="000000"/>
        </w:rPr>
      </w:pPr>
      <w:r w:rsidRPr="00D24919">
        <w:rPr>
          <w:rFonts w:ascii="Arial" w:eastAsia="Arial" w:hAnsi="Arial" w:cs="Arial"/>
          <w:color w:val="000000"/>
          <w:sz w:val="24"/>
          <w:szCs w:val="24"/>
          <w:highlight w:val="yellow"/>
        </w:rPr>
        <w:t>To be updated at contract award</w:t>
      </w:r>
    </w:p>
    <w:p w14:paraId="48A43335" w14:textId="77777777" w:rsidR="00E60470" w:rsidRDefault="00E60470">
      <w:pPr>
        <w:tabs>
          <w:tab w:val="left" w:pos="2257"/>
        </w:tabs>
        <w:spacing w:after="0" w:line="259" w:lineRule="auto"/>
        <w:rPr>
          <w:rFonts w:ascii="Arial" w:eastAsia="Arial" w:hAnsi="Arial" w:cs="Arial"/>
          <w:b/>
          <w:sz w:val="24"/>
          <w:szCs w:val="24"/>
        </w:rPr>
      </w:pPr>
    </w:p>
    <w:p w14:paraId="5E4D54F1" w14:textId="77777777" w:rsidR="00E60470" w:rsidRPr="00CD56C2" w:rsidRDefault="00FC47FD">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COMMERCIALLY SENSITIVE INFORMATION</w:t>
      </w:r>
    </w:p>
    <w:p w14:paraId="35DFCD79" w14:textId="77777777" w:rsidR="004A6341" w:rsidRPr="00D24919" w:rsidRDefault="004A6341" w:rsidP="004A6341">
      <w:pPr>
        <w:pBdr>
          <w:top w:val="nil"/>
          <w:left w:val="nil"/>
          <w:bottom w:val="nil"/>
          <w:right w:val="nil"/>
          <w:between w:val="nil"/>
        </w:pBdr>
        <w:spacing w:after="0" w:line="252" w:lineRule="auto"/>
        <w:rPr>
          <w:color w:val="000000"/>
        </w:rPr>
      </w:pPr>
      <w:r w:rsidRPr="00D24919">
        <w:rPr>
          <w:rFonts w:ascii="Arial" w:eastAsia="Arial" w:hAnsi="Arial" w:cs="Arial"/>
          <w:color w:val="000000"/>
          <w:sz w:val="24"/>
          <w:szCs w:val="24"/>
          <w:highlight w:val="yellow"/>
        </w:rPr>
        <w:t>To be updated at contract award</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Pr="00CD56C2" w:rsidRDefault="00FC47FD">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SERVICE CREDITS</w:t>
      </w:r>
    </w:p>
    <w:p w14:paraId="65DA6103" w14:textId="36A62A2C" w:rsidR="004A6341" w:rsidRDefault="00837E7E" w:rsidP="004A6341">
      <w:pPr>
        <w:pBdr>
          <w:top w:val="nil"/>
          <w:left w:val="nil"/>
          <w:bottom w:val="nil"/>
          <w:right w:val="nil"/>
          <w:between w:val="nil"/>
        </w:pBdr>
        <w:spacing w:after="0" w:line="252" w:lineRule="auto"/>
        <w:rPr>
          <w:color w:val="000000"/>
        </w:rPr>
      </w:pPr>
      <w:r w:rsidRPr="00837E7E">
        <w:rPr>
          <w:rFonts w:ascii="Arial" w:eastAsia="Arial" w:hAnsi="Arial" w:cs="Arial"/>
          <w:sz w:val="24"/>
          <w:szCs w:val="24"/>
          <w:highlight w:val="yellow"/>
        </w:rPr>
        <w:t>TBC</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Pr="00CD56C2" w:rsidRDefault="00FC47FD">
      <w:pPr>
        <w:tabs>
          <w:tab w:val="left" w:pos="2257"/>
        </w:tabs>
        <w:spacing w:after="0" w:line="259" w:lineRule="auto"/>
        <w:rPr>
          <w:rFonts w:ascii="Arial" w:eastAsia="Arial" w:hAnsi="Arial" w:cs="Arial"/>
          <w:b/>
          <w:sz w:val="24"/>
          <w:szCs w:val="24"/>
        </w:rPr>
      </w:pPr>
      <w:r w:rsidRPr="00CD56C2">
        <w:rPr>
          <w:rFonts w:ascii="Arial" w:eastAsia="Arial" w:hAnsi="Arial" w:cs="Arial"/>
          <w:b/>
          <w:sz w:val="24"/>
          <w:szCs w:val="24"/>
        </w:rPr>
        <w:t>ADDITIONAL INSURANCES</w:t>
      </w:r>
    </w:p>
    <w:p w14:paraId="66156CE6" w14:textId="07E00936" w:rsidR="00E60470" w:rsidRDefault="00CD56C2">
      <w:pPr>
        <w:spacing w:after="0" w:line="259" w:lineRule="auto"/>
        <w:rPr>
          <w:rFonts w:ascii="Arial" w:eastAsia="Arial" w:hAnsi="Arial" w:cs="Arial"/>
          <w:sz w:val="24"/>
          <w:szCs w:val="24"/>
        </w:rPr>
      </w:pPr>
      <w:r>
        <w:rPr>
          <w:rFonts w:ascii="Arial" w:eastAsia="Arial" w:hAnsi="Arial" w:cs="Arial"/>
          <w:sz w:val="24"/>
          <w:szCs w:val="24"/>
        </w:rPr>
        <w:t>N/a</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Pr="00CD56C2" w:rsidRDefault="00FC47FD">
      <w:pPr>
        <w:spacing w:after="0" w:line="240" w:lineRule="auto"/>
        <w:jc w:val="both"/>
        <w:rPr>
          <w:rFonts w:ascii="Arial" w:eastAsia="Arial" w:hAnsi="Arial" w:cs="Arial"/>
          <w:b/>
          <w:sz w:val="24"/>
          <w:szCs w:val="24"/>
        </w:rPr>
      </w:pPr>
      <w:r w:rsidRPr="00CD56C2">
        <w:rPr>
          <w:rFonts w:ascii="Arial" w:eastAsia="Arial" w:hAnsi="Arial" w:cs="Arial"/>
          <w:b/>
          <w:sz w:val="24"/>
          <w:szCs w:val="24"/>
        </w:rPr>
        <w:t>GUARANTEE</w:t>
      </w:r>
    </w:p>
    <w:p w14:paraId="1470F536" w14:textId="6C76A95D" w:rsidR="00E60470" w:rsidRDefault="00FC47FD">
      <w:pPr>
        <w:spacing w:after="0" w:line="259" w:lineRule="auto"/>
        <w:rPr>
          <w:rFonts w:ascii="Arial" w:eastAsia="Arial" w:hAnsi="Arial" w:cs="Arial"/>
          <w:sz w:val="24"/>
          <w:szCs w:val="24"/>
        </w:rPr>
      </w:pPr>
      <w:r>
        <w:rPr>
          <w:rFonts w:ascii="Arial" w:eastAsia="Arial" w:hAnsi="Arial" w:cs="Arial"/>
          <w:sz w:val="24"/>
          <w:szCs w:val="24"/>
        </w:rPr>
        <w:t>N</w:t>
      </w:r>
      <w:r w:rsidR="00CD56C2">
        <w:rPr>
          <w:rFonts w:ascii="Arial" w:eastAsia="Arial" w:hAnsi="Arial" w:cs="Arial"/>
          <w:sz w:val="24"/>
          <w:szCs w:val="24"/>
        </w:rPr>
        <w:t>/a</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Pr="00CD56C2" w:rsidRDefault="00FC47FD">
      <w:pPr>
        <w:spacing w:after="0" w:line="240" w:lineRule="auto"/>
        <w:jc w:val="both"/>
        <w:rPr>
          <w:rFonts w:ascii="Arial" w:eastAsia="Arial" w:hAnsi="Arial" w:cs="Arial"/>
          <w:b/>
          <w:sz w:val="24"/>
          <w:szCs w:val="24"/>
        </w:rPr>
      </w:pPr>
      <w:r w:rsidRPr="00CD56C2">
        <w:rPr>
          <w:rFonts w:ascii="Arial" w:eastAsia="Arial" w:hAnsi="Arial" w:cs="Arial"/>
          <w:b/>
          <w:sz w:val="24"/>
          <w:szCs w:val="24"/>
        </w:rPr>
        <w:t>SOCIAL VALUE COMMITMENT</w:t>
      </w:r>
    </w:p>
    <w:p w14:paraId="12A35E73" w14:textId="4ECF5C84" w:rsidR="00E60470" w:rsidRDefault="00CD56C2">
      <w:pPr>
        <w:spacing w:after="0" w:line="240" w:lineRule="auto"/>
        <w:jc w:val="both"/>
        <w:rPr>
          <w:rFonts w:ascii="Arial" w:eastAsia="Arial" w:hAnsi="Arial" w:cs="Arial"/>
          <w:sz w:val="24"/>
          <w:szCs w:val="24"/>
        </w:rPr>
      </w:pPr>
      <w:r>
        <w:rPr>
          <w:rFonts w:ascii="Arial" w:eastAsia="Arial" w:hAnsi="Arial" w:cs="Arial"/>
          <w:sz w:val="24"/>
          <w:szCs w:val="24"/>
        </w:rPr>
        <w:t>N/a</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228AD2E7" w:rsidR="00E60470" w:rsidRDefault="0067341B" w:rsidP="002530A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61E5D024" w:rsidR="00E60470" w:rsidRDefault="0067341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42C9AE47" w:rsidR="00E60470" w:rsidRDefault="0067341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486ED9EE" w:rsidR="00E60470" w:rsidRDefault="0067341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4E2FA2C6" w:rsidR="00E60470" w:rsidRDefault="0067341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5FAB6C08" w:rsidR="00E60470" w:rsidRDefault="0067341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34E21FAC" w:rsidR="00E60470" w:rsidRDefault="0067341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4E5C5050" w:rsidR="00E60470" w:rsidRDefault="0067341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5137F">
              <w:rPr>
                <w:rFonts w:ascii="Arial" w:eastAsia="Arial" w:hAnsi="Arial" w:cs="Arial"/>
                <w:color w:val="000000"/>
                <w:sz w:val="24"/>
                <w:szCs w:val="24"/>
              </w:rPr>
              <w:t>Redacted under FOIA section 40, Personal Information</w:t>
            </w:r>
            <w:bookmarkStart w:id="2" w:name="_GoBack"/>
            <w:bookmarkEnd w:id="2"/>
          </w:p>
        </w:tc>
      </w:tr>
    </w:tbl>
    <w:p w14:paraId="3E16C282" w14:textId="77777777" w:rsidR="00E60470" w:rsidRDefault="00E60470">
      <w:pPr>
        <w:rPr>
          <w:rFonts w:ascii="Arial" w:eastAsia="Arial" w:hAnsi="Arial" w:cs="Arial"/>
          <w:color w:val="1F497D"/>
          <w:sz w:val="24"/>
          <w:szCs w:val="24"/>
          <w:highlight w:val="yellow"/>
        </w:rPr>
      </w:pPr>
    </w:p>
    <w:p w14:paraId="0DBB2E65" w14:textId="05BD2EF8" w:rsidR="00E60470" w:rsidRDefault="00E60470">
      <w:pPr>
        <w:rPr>
          <w:rFonts w:ascii="Arial" w:eastAsia="Arial" w:hAnsi="Arial" w:cs="Arial"/>
        </w:rPr>
      </w:pPr>
    </w:p>
    <w:sectPr w:rsidR="00E604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8422A" w14:textId="77777777" w:rsidR="00615E14" w:rsidRDefault="00615E14">
      <w:pPr>
        <w:spacing w:after="0" w:line="240" w:lineRule="auto"/>
      </w:pPr>
      <w:r>
        <w:separator/>
      </w:r>
    </w:p>
  </w:endnote>
  <w:endnote w:type="continuationSeparator" w:id="0">
    <w:p w14:paraId="669F4BF0" w14:textId="77777777" w:rsidR="00615E14" w:rsidRDefault="0061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046A" w14:textId="77777777" w:rsidR="002530AB" w:rsidRDefault="00253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5EB6" w14:textId="7ED2A75F" w:rsidR="0042670D" w:rsidRDefault="0042670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r w:rsidR="00C1712D">
      <w:rPr>
        <w:rFonts w:ascii="Arial" w:eastAsia="Arial" w:hAnsi="Arial" w:cs="Arial"/>
        <w:sz w:val="20"/>
        <w:szCs w:val="20"/>
      </w:rPr>
      <w:t>6179</w:t>
    </w:r>
    <w:r>
      <w:rPr>
        <w:rFonts w:ascii="Arial" w:eastAsia="Arial" w:hAnsi="Arial" w:cs="Arial"/>
        <w:sz w:val="20"/>
        <w:szCs w:val="20"/>
      </w:rPr>
      <w:tab/>
      <w:t xml:space="preserve">                                           </w:t>
    </w:r>
  </w:p>
  <w:p w14:paraId="73E43698" w14:textId="106E05F9"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05CE">
      <w:rPr>
        <w:rFonts w:ascii="Arial" w:eastAsia="Arial" w:hAnsi="Arial" w:cs="Arial"/>
        <w:noProof/>
        <w:color w:val="000000"/>
        <w:sz w:val="20"/>
        <w:szCs w:val="20"/>
      </w:rPr>
      <w:t>7</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E3D75" w14:textId="77777777" w:rsidR="00615E14" w:rsidRDefault="00615E14">
      <w:pPr>
        <w:spacing w:after="0" w:line="240" w:lineRule="auto"/>
      </w:pPr>
      <w:r>
        <w:separator/>
      </w:r>
    </w:p>
  </w:footnote>
  <w:footnote w:type="continuationSeparator" w:id="0">
    <w:p w14:paraId="53A33932" w14:textId="77777777" w:rsidR="00615E14" w:rsidRDefault="0061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A685B" w14:textId="77777777" w:rsidR="002530AB" w:rsidRDefault="00253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52CBB"/>
    <w:multiLevelType w:val="multilevel"/>
    <w:tmpl w:val="81B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12526"/>
    <w:multiLevelType w:val="multilevel"/>
    <w:tmpl w:val="CE22AE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FE91CB3"/>
    <w:multiLevelType w:val="multilevel"/>
    <w:tmpl w:val="817E5FF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E86372"/>
    <w:multiLevelType w:val="multilevel"/>
    <w:tmpl w:val="9D289884"/>
    <w:styleLink w:val="WWNum1"/>
    <w:lvl w:ilvl="0">
      <w:numFmt w:val="bullet"/>
      <w:lvlText w:val="●"/>
      <w:lvlJc w:val="left"/>
      <w:pPr>
        <w:ind w:left="1080" w:hanging="360"/>
      </w:pPr>
      <w:rPr>
        <w:sz w:val="24"/>
        <w:szCs w:val="24"/>
      </w:rPr>
    </w:lvl>
    <w:lvl w:ilvl="1">
      <w:numFmt w:val="bullet"/>
      <w:lvlText w:val="o"/>
      <w:lvlJc w:val="left"/>
      <w:pPr>
        <w:ind w:left="1800" w:hanging="360"/>
      </w:pPr>
      <w:rPr>
        <w:rFonts w:ascii="Arial" w:hAnsi="Arial"/>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14"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8"/>
  </w:num>
  <w:num w:numId="3">
    <w:abstractNumId w:val="1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10"/>
  </w:num>
  <w:num w:numId="10">
    <w:abstractNumId w:val="4"/>
  </w:num>
  <w:num w:numId="11">
    <w:abstractNumId w:val="6"/>
  </w:num>
  <w:num w:numId="12">
    <w:abstractNumId w:val="11"/>
  </w:num>
  <w:num w:numId="13">
    <w:abstractNumId w:val="13"/>
  </w:num>
  <w:num w:numId="14">
    <w:abstractNumId w:val="13"/>
  </w:num>
  <w:num w:numId="15">
    <w:abstractNumId w:val="8"/>
  </w:num>
  <w:num w:numId="16">
    <w:abstractNumId w:val="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22840"/>
    <w:rsid w:val="00066BF8"/>
    <w:rsid w:val="00070E2B"/>
    <w:rsid w:val="00073355"/>
    <w:rsid w:val="0007567F"/>
    <w:rsid w:val="000C3B6F"/>
    <w:rsid w:val="000F2A29"/>
    <w:rsid w:val="000F581F"/>
    <w:rsid w:val="000F64C6"/>
    <w:rsid w:val="00100E76"/>
    <w:rsid w:val="0011347D"/>
    <w:rsid w:val="00140C90"/>
    <w:rsid w:val="001C1BBD"/>
    <w:rsid w:val="001C61CF"/>
    <w:rsid w:val="001D1F21"/>
    <w:rsid w:val="001F454C"/>
    <w:rsid w:val="001F7E30"/>
    <w:rsid w:val="002446C2"/>
    <w:rsid w:val="002452EB"/>
    <w:rsid w:val="002530AB"/>
    <w:rsid w:val="002865DD"/>
    <w:rsid w:val="002A4A51"/>
    <w:rsid w:val="002E0BD8"/>
    <w:rsid w:val="003043A1"/>
    <w:rsid w:val="00307E5F"/>
    <w:rsid w:val="00316A89"/>
    <w:rsid w:val="003300D5"/>
    <w:rsid w:val="00381A8B"/>
    <w:rsid w:val="003E06BA"/>
    <w:rsid w:val="003F123B"/>
    <w:rsid w:val="004262E2"/>
    <w:rsid w:val="0042670D"/>
    <w:rsid w:val="00443EDD"/>
    <w:rsid w:val="00462C3A"/>
    <w:rsid w:val="00465A97"/>
    <w:rsid w:val="00480C97"/>
    <w:rsid w:val="004963A6"/>
    <w:rsid w:val="004A6341"/>
    <w:rsid w:val="004C5217"/>
    <w:rsid w:val="0053719C"/>
    <w:rsid w:val="00537F10"/>
    <w:rsid w:val="00545246"/>
    <w:rsid w:val="005619DA"/>
    <w:rsid w:val="005675D9"/>
    <w:rsid w:val="00585C67"/>
    <w:rsid w:val="005B0EB5"/>
    <w:rsid w:val="005C1D07"/>
    <w:rsid w:val="005D1679"/>
    <w:rsid w:val="005E702B"/>
    <w:rsid w:val="006005CE"/>
    <w:rsid w:val="00615E14"/>
    <w:rsid w:val="0064061E"/>
    <w:rsid w:val="00642334"/>
    <w:rsid w:val="00647CC8"/>
    <w:rsid w:val="00667A57"/>
    <w:rsid w:val="0067341B"/>
    <w:rsid w:val="00677B77"/>
    <w:rsid w:val="006866EA"/>
    <w:rsid w:val="006D283F"/>
    <w:rsid w:val="006E73AA"/>
    <w:rsid w:val="006F71F8"/>
    <w:rsid w:val="006F74F1"/>
    <w:rsid w:val="00700035"/>
    <w:rsid w:val="00700A42"/>
    <w:rsid w:val="00705876"/>
    <w:rsid w:val="007234D4"/>
    <w:rsid w:val="00735043"/>
    <w:rsid w:val="00747BC0"/>
    <w:rsid w:val="00771066"/>
    <w:rsid w:val="00785250"/>
    <w:rsid w:val="007945E8"/>
    <w:rsid w:val="007A1249"/>
    <w:rsid w:val="007D3F76"/>
    <w:rsid w:val="007E17C6"/>
    <w:rsid w:val="00810D67"/>
    <w:rsid w:val="00830352"/>
    <w:rsid w:val="00837E7E"/>
    <w:rsid w:val="00854D71"/>
    <w:rsid w:val="00882E51"/>
    <w:rsid w:val="008A7B93"/>
    <w:rsid w:val="008E7B16"/>
    <w:rsid w:val="008F68DD"/>
    <w:rsid w:val="008F68F0"/>
    <w:rsid w:val="00947977"/>
    <w:rsid w:val="009558D2"/>
    <w:rsid w:val="0096188C"/>
    <w:rsid w:val="009A1FA7"/>
    <w:rsid w:val="009C12F2"/>
    <w:rsid w:val="009D0CA5"/>
    <w:rsid w:val="009D4282"/>
    <w:rsid w:val="009E54A1"/>
    <w:rsid w:val="00A11998"/>
    <w:rsid w:val="00A22DF3"/>
    <w:rsid w:val="00A84882"/>
    <w:rsid w:val="00A84E80"/>
    <w:rsid w:val="00AB5A9B"/>
    <w:rsid w:val="00AE6960"/>
    <w:rsid w:val="00B11B63"/>
    <w:rsid w:val="00B231C7"/>
    <w:rsid w:val="00B54853"/>
    <w:rsid w:val="00B867EB"/>
    <w:rsid w:val="00BC5613"/>
    <w:rsid w:val="00BC70E3"/>
    <w:rsid w:val="00BF2868"/>
    <w:rsid w:val="00C00C6A"/>
    <w:rsid w:val="00C12552"/>
    <w:rsid w:val="00C1712D"/>
    <w:rsid w:val="00C2069F"/>
    <w:rsid w:val="00C31BC5"/>
    <w:rsid w:val="00C61764"/>
    <w:rsid w:val="00C97DB1"/>
    <w:rsid w:val="00CC259D"/>
    <w:rsid w:val="00CD56C2"/>
    <w:rsid w:val="00CE5AB2"/>
    <w:rsid w:val="00D11DA0"/>
    <w:rsid w:val="00D24919"/>
    <w:rsid w:val="00D50BB6"/>
    <w:rsid w:val="00D539C8"/>
    <w:rsid w:val="00D616F5"/>
    <w:rsid w:val="00D65A0A"/>
    <w:rsid w:val="00D9117A"/>
    <w:rsid w:val="00E223AC"/>
    <w:rsid w:val="00E2636F"/>
    <w:rsid w:val="00E34673"/>
    <w:rsid w:val="00E554C5"/>
    <w:rsid w:val="00E60470"/>
    <w:rsid w:val="00EB6072"/>
    <w:rsid w:val="00F22991"/>
    <w:rsid w:val="00F6503A"/>
    <w:rsid w:val="00F65CFA"/>
    <w:rsid w:val="00F94B94"/>
    <w:rsid w:val="00FC0E3F"/>
    <w:rsid w:val="00FC47FD"/>
    <w:rsid w:val="00FC79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B94"/>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Standard">
    <w:name w:val="Standard"/>
    <w:rsid w:val="00480C97"/>
    <w:pPr>
      <w:widowControl w:val="0"/>
      <w:suppressAutoHyphens/>
      <w:autoSpaceDN w:val="0"/>
      <w:textAlignment w:val="baseline"/>
    </w:pPr>
    <w:rPr>
      <w:lang w:eastAsia="zh-CN" w:bidi="hi-IN"/>
    </w:rPr>
  </w:style>
  <w:style w:type="numbering" w:customStyle="1" w:styleId="WWNum1">
    <w:name w:val="WWNum1"/>
    <w:basedOn w:val="NoList"/>
    <w:rsid w:val="00480C97"/>
    <w:pPr>
      <w:numPr>
        <w:numId w:val="13"/>
      </w:numPr>
    </w:pPr>
  </w:style>
  <w:style w:type="character" w:styleId="Hyperlink">
    <w:name w:val="Hyperlink"/>
    <w:basedOn w:val="DefaultParagraphFont"/>
    <w:uiPriority w:val="99"/>
    <w:unhideWhenUsed/>
    <w:rsid w:val="00F65CFA"/>
    <w:rPr>
      <w:color w:val="0000FF"/>
      <w:u w:val="single"/>
    </w:rPr>
  </w:style>
  <w:style w:type="character" w:customStyle="1" w:styleId="TitleChar">
    <w:name w:val="Title Char"/>
    <w:basedOn w:val="DefaultParagraphFont"/>
    <w:link w:val="Title"/>
    <w:rsid w:val="00F6503A"/>
    <w:rPr>
      <w:rFonts w:cs="Times New Roman"/>
      <w:b/>
      <w:sz w:val="72"/>
      <w:szCs w:val="72"/>
    </w:rPr>
  </w:style>
  <w:style w:type="character" w:styleId="UnresolvedMention">
    <w:name w:val="Unresolved Mention"/>
    <w:basedOn w:val="DefaultParagraphFont"/>
    <w:uiPriority w:val="99"/>
    <w:semiHidden/>
    <w:unhideWhenUsed/>
    <w:rsid w:val="0025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95556">
      <w:bodyDiv w:val="1"/>
      <w:marLeft w:val="0"/>
      <w:marRight w:val="0"/>
      <w:marTop w:val="0"/>
      <w:marBottom w:val="0"/>
      <w:divBdr>
        <w:top w:val="none" w:sz="0" w:space="0" w:color="auto"/>
        <w:left w:val="none" w:sz="0" w:space="0" w:color="auto"/>
        <w:bottom w:val="none" w:sz="0" w:space="0" w:color="auto"/>
        <w:right w:val="none" w:sz="0" w:space="0" w:color="auto"/>
      </w:divBdr>
    </w:div>
    <w:div w:id="478159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collections/government-secur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ranet.cabinetoffice.gov.uk/wp-content/uploads/2015/02/Environmental-Policy-2023.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Pinvoices-cab-u@gov.ssc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ssets.crowncommercial.gov.uk/wp-content/uploads/Joint-Schedule-6-Key-Subcontractors-v.3.1-RM6179.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E3166A-0572-4C31-B0ED-D8DC39CC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Andrew Glanvill</cp:lastModifiedBy>
  <cp:revision>2</cp:revision>
  <dcterms:created xsi:type="dcterms:W3CDTF">2024-04-09T09:15:00Z</dcterms:created>
  <dcterms:modified xsi:type="dcterms:W3CDTF">2024-04-09T09:15:00Z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