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4C59" w14:textId="1ABA7056" w:rsidR="00A65A2E" w:rsidRDefault="00C1271D" w:rsidP="00C1271D">
      <w:pPr>
        <w:jc w:val="center"/>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SFA Workstream A – Construction KPIs</w:t>
      </w:r>
    </w:p>
    <w:p w14:paraId="7D744F2E" w14:textId="720EA3E6" w:rsidR="00C1271D" w:rsidRDefault="00C1271D" w:rsidP="00C1271D">
      <w:pPr>
        <w:rPr>
          <w:rStyle w:val="normaltextrun"/>
          <w:rFonts w:ascii="Arial" w:hAnsi="Arial" w:cs="Arial"/>
          <w:b/>
          <w:bCs/>
          <w:color w:val="000000"/>
          <w:shd w:val="clear" w:color="auto" w:fill="FFFFFF"/>
        </w:rPr>
      </w:pPr>
    </w:p>
    <w:tbl>
      <w:tblPr>
        <w:tblW w:w="14874" w:type="dxa"/>
        <w:tblCellMar>
          <w:left w:w="0" w:type="dxa"/>
          <w:right w:w="0" w:type="dxa"/>
        </w:tblCellMar>
        <w:tblLook w:val="04A0" w:firstRow="1" w:lastRow="0" w:firstColumn="1" w:lastColumn="0" w:noHBand="0" w:noVBand="1"/>
        <w:tblCaption w:val=""/>
        <w:tblDescription w:val=""/>
      </w:tblPr>
      <w:tblGrid>
        <w:gridCol w:w="1192"/>
        <w:gridCol w:w="1296"/>
        <w:gridCol w:w="1409"/>
        <w:gridCol w:w="2259"/>
        <w:gridCol w:w="2259"/>
        <w:gridCol w:w="2397"/>
        <w:gridCol w:w="4062"/>
      </w:tblGrid>
      <w:tr w:rsidR="00C1271D" w:rsidRPr="00C1271D" w14:paraId="2F236A92" w14:textId="77777777" w:rsidTr="00C1271D">
        <w:trPr>
          <w:trHeight w:val="174"/>
        </w:trPr>
        <w:tc>
          <w:tcPr>
            <w:tcW w:w="1103" w:type="dxa"/>
            <w:tcBorders>
              <w:top w:val="nil"/>
              <w:left w:val="single" w:sz="8" w:space="0" w:color="A3A3A3"/>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4CD5D647"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Theme &amp; Aim</w:t>
            </w:r>
          </w:p>
        </w:tc>
        <w:tc>
          <w:tcPr>
            <w:tcW w:w="1297" w:type="dxa"/>
            <w:tcBorders>
              <w:top w:val="nil"/>
              <w:left w:val="nil"/>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428A4CB7"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Target</w:t>
            </w:r>
          </w:p>
        </w:tc>
        <w:tc>
          <w:tcPr>
            <w:tcW w:w="1418" w:type="dxa"/>
            <w:tcBorders>
              <w:top w:val="nil"/>
              <w:left w:val="nil"/>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4EADEA09"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1</w:t>
            </w:r>
          </w:p>
        </w:tc>
        <w:tc>
          <w:tcPr>
            <w:tcW w:w="2268" w:type="dxa"/>
            <w:tcBorders>
              <w:top w:val="nil"/>
              <w:left w:val="nil"/>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00F84825"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2</w:t>
            </w:r>
          </w:p>
        </w:tc>
        <w:tc>
          <w:tcPr>
            <w:tcW w:w="2268" w:type="dxa"/>
            <w:tcBorders>
              <w:top w:val="nil"/>
              <w:left w:val="nil"/>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4FF463FF"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3</w:t>
            </w:r>
          </w:p>
        </w:tc>
        <w:tc>
          <w:tcPr>
            <w:tcW w:w="2409" w:type="dxa"/>
            <w:tcBorders>
              <w:top w:val="nil"/>
              <w:left w:val="nil"/>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6DACFC16"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4</w:t>
            </w:r>
          </w:p>
        </w:tc>
        <w:tc>
          <w:tcPr>
            <w:tcW w:w="4111" w:type="dxa"/>
            <w:tcBorders>
              <w:top w:val="nil"/>
              <w:left w:val="nil"/>
              <w:bottom w:val="single" w:sz="8" w:space="0" w:color="A3A3A3"/>
              <w:right w:val="single" w:sz="8" w:space="0" w:color="A3A3A3"/>
            </w:tcBorders>
            <w:shd w:val="clear" w:color="auto" w:fill="D9E2F3" w:themeFill="accent1" w:themeFillTint="33"/>
            <w:tcMar>
              <w:top w:w="80" w:type="dxa"/>
              <w:left w:w="80" w:type="dxa"/>
              <w:bottom w:w="80" w:type="dxa"/>
              <w:right w:w="80" w:type="dxa"/>
            </w:tcMar>
            <w:hideMark/>
          </w:tcPr>
          <w:p w14:paraId="204FC41E" w14:textId="77777777" w:rsidR="00C1271D" w:rsidRPr="00C1271D" w:rsidRDefault="00C1271D" w:rsidP="00B462E6">
            <w:pPr>
              <w:rPr>
                <w:rFonts w:ascii="Arial" w:hAnsi="Arial" w:cs="Arial"/>
                <w:b/>
                <w:bCs/>
                <w:sz w:val="16"/>
                <w:szCs w:val="16"/>
              </w:rPr>
            </w:pPr>
            <w:r w:rsidRPr="00C1271D">
              <w:rPr>
                <w:rFonts w:ascii="Arial" w:hAnsi="Arial" w:cs="Arial"/>
                <w:b/>
                <w:bCs/>
                <w:color w:val="000000"/>
                <w:sz w:val="16"/>
                <w:szCs w:val="16"/>
              </w:rPr>
              <w:t>5</w:t>
            </w:r>
          </w:p>
        </w:tc>
      </w:tr>
      <w:tr w:rsidR="00C1271D" w14:paraId="45C7AE62" w14:textId="77777777" w:rsidTr="00B462E6">
        <w:trPr>
          <w:trHeight w:val="1651"/>
        </w:trPr>
        <w:tc>
          <w:tcPr>
            <w:tcW w:w="11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CBC3B4D" w14:textId="77777777" w:rsidR="00C1271D" w:rsidRPr="00C1271D" w:rsidRDefault="00C1271D" w:rsidP="00B462E6">
            <w:pPr>
              <w:rPr>
                <w:rFonts w:ascii="Arial" w:hAnsi="Arial" w:cs="Arial"/>
                <w:b/>
                <w:bCs/>
                <w:sz w:val="16"/>
                <w:szCs w:val="16"/>
              </w:rPr>
            </w:pPr>
            <w:r w:rsidRPr="00C1271D">
              <w:rPr>
                <w:rFonts w:ascii="Arial" w:hAnsi="Arial" w:cs="Arial"/>
                <w:b/>
                <w:bCs/>
                <w:sz w:val="16"/>
                <w:szCs w:val="16"/>
              </w:rPr>
              <w:t>Schedule accuracy</w:t>
            </w:r>
          </w:p>
        </w:tc>
        <w:tc>
          <w:tcPr>
            <w:tcW w:w="1297" w:type="dxa"/>
            <w:tcBorders>
              <w:top w:val="nil"/>
              <w:left w:val="nil"/>
              <w:bottom w:val="single" w:sz="8" w:space="0" w:color="A3A3A3"/>
              <w:right w:val="single" w:sz="8" w:space="0" w:color="A3A3A3"/>
            </w:tcBorders>
            <w:tcMar>
              <w:top w:w="80" w:type="dxa"/>
              <w:left w:w="80" w:type="dxa"/>
              <w:bottom w:w="80" w:type="dxa"/>
              <w:right w:w="80" w:type="dxa"/>
            </w:tcMar>
            <w:hideMark/>
          </w:tcPr>
          <w:p w14:paraId="5C3BF820" w14:textId="77777777" w:rsidR="00C1271D" w:rsidRPr="00C1271D" w:rsidRDefault="00C1271D" w:rsidP="00B462E6">
            <w:pPr>
              <w:rPr>
                <w:rFonts w:ascii="Arial" w:hAnsi="Arial" w:cs="Arial"/>
                <w:b/>
                <w:bCs/>
                <w:sz w:val="16"/>
                <w:szCs w:val="16"/>
              </w:rPr>
            </w:pPr>
            <w:r w:rsidRPr="00C1271D">
              <w:rPr>
                <w:rFonts w:ascii="Arial" w:hAnsi="Arial" w:cs="Arial"/>
                <w:b/>
                <w:bCs/>
                <w:sz w:val="16"/>
                <w:szCs w:val="16"/>
              </w:rPr>
              <w:t>Accurate programme forecasting, and delivery reliability</w:t>
            </w:r>
          </w:p>
        </w:tc>
        <w:tc>
          <w:tcPr>
            <w:tcW w:w="1418" w:type="dxa"/>
            <w:tcBorders>
              <w:top w:val="nil"/>
              <w:left w:val="nil"/>
              <w:bottom w:val="single" w:sz="8" w:space="0" w:color="A3A3A3"/>
              <w:right w:val="single" w:sz="8" w:space="0" w:color="A3A3A3"/>
            </w:tcBorders>
            <w:tcMar>
              <w:top w:w="80" w:type="dxa"/>
              <w:left w:w="80" w:type="dxa"/>
              <w:bottom w:w="80" w:type="dxa"/>
              <w:right w:w="80" w:type="dxa"/>
            </w:tcMar>
            <w:hideMark/>
          </w:tcPr>
          <w:p w14:paraId="03AAC6E9" w14:textId="77777777" w:rsidR="00C1271D" w:rsidRDefault="00C1271D" w:rsidP="00B462E6">
            <w:pPr>
              <w:rPr>
                <w:rFonts w:ascii="Arial" w:hAnsi="Arial" w:cs="Arial"/>
                <w:sz w:val="16"/>
                <w:szCs w:val="16"/>
              </w:rPr>
            </w:pPr>
            <w:r>
              <w:rPr>
                <w:rFonts w:ascii="Arial" w:hAnsi="Arial" w:cs="Arial"/>
                <w:sz w:val="16"/>
                <w:szCs w:val="16"/>
              </w:rPr>
              <w:t>Inadequate programme, estimate and forecasting which do not fully cover the Project activities</w:t>
            </w:r>
          </w:p>
        </w:tc>
        <w:tc>
          <w:tcPr>
            <w:tcW w:w="2268" w:type="dxa"/>
            <w:tcBorders>
              <w:top w:val="nil"/>
              <w:left w:val="nil"/>
              <w:bottom w:val="single" w:sz="8" w:space="0" w:color="A3A3A3"/>
              <w:right w:val="single" w:sz="8" w:space="0" w:color="A3A3A3"/>
            </w:tcBorders>
            <w:tcMar>
              <w:top w:w="80" w:type="dxa"/>
              <w:left w:w="80" w:type="dxa"/>
              <w:bottom w:w="80" w:type="dxa"/>
              <w:right w:w="80" w:type="dxa"/>
            </w:tcMar>
            <w:hideMark/>
          </w:tcPr>
          <w:p w14:paraId="499D7F9B" w14:textId="77777777" w:rsidR="00C1271D" w:rsidRDefault="00C1271D" w:rsidP="00B462E6">
            <w:pPr>
              <w:rPr>
                <w:rFonts w:ascii="Arial" w:hAnsi="Arial" w:cs="Arial"/>
                <w:sz w:val="16"/>
                <w:szCs w:val="16"/>
              </w:rPr>
            </w:pPr>
            <w:r>
              <w:rPr>
                <w:rFonts w:ascii="Arial" w:hAnsi="Arial" w:cs="Arial"/>
                <w:sz w:val="16"/>
                <w:szCs w:val="16"/>
              </w:rPr>
              <w:t xml:space="preserve">Programme, </w:t>
            </w:r>
            <w:proofErr w:type="gramStart"/>
            <w:r>
              <w:rPr>
                <w:rFonts w:ascii="Arial" w:hAnsi="Arial" w:cs="Arial"/>
                <w:sz w:val="16"/>
                <w:szCs w:val="16"/>
              </w:rPr>
              <w:t>estimate</w:t>
            </w:r>
            <w:proofErr w:type="gramEnd"/>
            <w:r>
              <w:rPr>
                <w:rFonts w:ascii="Arial" w:hAnsi="Arial" w:cs="Arial"/>
                <w:sz w:val="16"/>
                <w:szCs w:val="16"/>
              </w:rPr>
              <w:t xml:space="preserve"> and forecast are only updated when requested by other members of the Integrated Project Team. Outputs delivered late affecting Project delivery</w:t>
            </w:r>
          </w:p>
        </w:tc>
        <w:tc>
          <w:tcPr>
            <w:tcW w:w="2268" w:type="dxa"/>
            <w:tcBorders>
              <w:top w:val="nil"/>
              <w:left w:val="nil"/>
              <w:bottom w:val="single" w:sz="8" w:space="0" w:color="A3A3A3"/>
              <w:right w:val="single" w:sz="8" w:space="0" w:color="A3A3A3"/>
            </w:tcBorders>
            <w:tcMar>
              <w:top w:w="80" w:type="dxa"/>
              <w:left w:w="80" w:type="dxa"/>
              <w:bottom w:w="80" w:type="dxa"/>
              <w:right w:w="80" w:type="dxa"/>
            </w:tcMar>
            <w:hideMark/>
          </w:tcPr>
          <w:p w14:paraId="3A354888" w14:textId="6CF14315" w:rsidR="00C1271D" w:rsidRDefault="00C1271D" w:rsidP="00B462E6">
            <w:pPr>
              <w:rPr>
                <w:rFonts w:ascii="Arial" w:hAnsi="Arial" w:cs="Arial"/>
                <w:sz w:val="16"/>
                <w:szCs w:val="16"/>
              </w:rPr>
            </w:pPr>
            <w:r>
              <w:rPr>
                <w:rFonts w:ascii="Arial" w:hAnsi="Arial" w:cs="Arial"/>
                <w:sz w:val="16"/>
                <w:szCs w:val="16"/>
              </w:rPr>
              <w:t xml:space="preserve">Programme, </w:t>
            </w:r>
            <w:proofErr w:type="gramStart"/>
            <w:r>
              <w:rPr>
                <w:rFonts w:ascii="Arial" w:hAnsi="Arial" w:cs="Arial"/>
                <w:sz w:val="16"/>
                <w:szCs w:val="16"/>
              </w:rPr>
              <w:t>estimate</w:t>
            </w:r>
            <w:proofErr w:type="gramEnd"/>
            <w:r>
              <w:rPr>
                <w:rFonts w:ascii="Arial" w:hAnsi="Arial" w:cs="Arial"/>
                <w:sz w:val="16"/>
                <w:szCs w:val="16"/>
              </w:rPr>
              <w:t xml:space="preserve"> and forecast are updated in accordance with the </w:t>
            </w:r>
            <w:r w:rsidR="00725E84">
              <w:rPr>
                <w:rFonts w:ascii="Arial" w:hAnsi="Arial" w:cs="Arial"/>
                <w:sz w:val="16"/>
                <w:szCs w:val="16"/>
              </w:rPr>
              <w:t>C</w:t>
            </w:r>
            <w:r w:rsidR="00725E84">
              <w:rPr>
                <w:sz w:val="16"/>
                <w:szCs w:val="16"/>
              </w:rPr>
              <w:t>lient</w:t>
            </w:r>
            <w:r>
              <w:rPr>
                <w:rFonts w:ascii="Arial" w:hAnsi="Arial" w:cs="Arial"/>
                <w:sz w:val="16"/>
                <w:szCs w:val="16"/>
              </w:rPr>
              <w:t>’s requirements</w:t>
            </w:r>
          </w:p>
        </w:tc>
        <w:tc>
          <w:tcPr>
            <w:tcW w:w="2409" w:type="dxa"/>
            <w:tcBorders>
              <w:top w:val="nil"/>
              <w:left w:val="nil"/>
              <w:bottom w:val="single" w:sz="8" w:space="0" w:color="A3A3A3"/>
              <w:right w:val="single" w:sz="8" w:space="0" w:color="A3A3A3"/>
            </w:tcBorders>
            <w:tcMar>
              <w:top w:w="80" w:type="dxa"/>
              <w:left w:w="80" w:type="dxa"/>
              <w:bottom w:w="80" w:type="dxa"/>
              <w:right w:w="80" w:type="dxa"/>
            </w:tcMar>
            <w:hideMark/>
          </w:tcPr>
          <w:p w14:paraId="292C607A" w14:textId="77777777" w:rsidR="00C1271D" w:rsidRDefault="00C1271D" w:rsidP="00B462E6">
            <w:pPr>
              <w:rPr>
                <w:rFonts w:ascii="Arial" w:hAnsi="Arial" w:cs="Arial"/>
                <w:sz w:val="16"/>
                <w:szCs w:val="16"/>
              </w:rPr>
            </w:pPr>
            <w:r>
              <w:rPr>
                <w:rFonts w:ascii="Arial" w:hAnsi="Arial" w:cs="Arial"/>
                <w:sz w:val="16"/>
                <w:szCs w:val="16"/>
              </w:rPr>
              <w:t xml:space="preserve">Programme, </w:t>
            </w:r>
            <w:proofErr w:type="gramStart"/>
            <w:r>
              <w:rPr>
                <w:rFonts w:ascii="Arial" w:hAnsi="Arial" w:cs="Arial"/>
                <w:sz w:val="16"/>
                <w:szCs w:val="16"/>
              </w:rPr>
              <w:t>estimate</w:t>
            </w:r>
            <w:proofErr w:type="gramEnd"/>
            <w:r>
              <w:rPr>
                <w:rFonts w:ascii="Arial" w:hAnsi="Arial" w:cs="Arial"/>
                <w:sz w:val="16"/>
                <w:szCs w:val="16"/>
              </w:rPr>
              <w:t xml:space="preserve"> and forecast are updated more often than required. Timely delivery of key outputs</w:t>
            </w:r>
          </w:p>
        </w:tc>
        <w:tc>
          <w:tcPr>
            <w:tcW w:w="4111" w:type="dxa"/>
            <w:tcBorders>
              <w:top w:val="nil"/>
              <w:left w:val="nil"/>
              <w:bottom w:val="single" w:sz="8" w:space="0" w:color="A3A3A3"/>
              <w:right w:val="single" w:sz="8" w:space="0" w:color="A3A3A3"/>
            </w:tcBorders>
            <w:tcMar>
              <w:top w:w="80" w:type="dxa"/>
              <w:left w:w="80" w:type="dxa"/>
              <w:bottom w:w="80" w:type="dxa"/>
              <w:right w:w="80" w:type="dxa"/>
            </w:tcMar>
            <w:hideMark/>
          </w:tcPr>
          <w:p w14:paraId="267DDE58" w14:textId="77777777" w:rsidR="00C1271D" w:rsidRDefault="00C1271D" w:rsidP="00B462E6">
            <w:pPr>
              <w:rPr>
                <w:rFonts w:ascii="Arial" w:hAnsi="Arial" w:cs="Arial"/>
                <w:sz w:val="16"/>
                <w:szCs w:val="16"/>
              </w:rPr>
            </w:pPr>
            <w:r>
              <w:rPr>
                <w:rFonts w:ascii="Arial" w:hAnsi="Arial" w:cs="Arial"/>
                <w:sz w:val="16"/>
                <w:szCs w:val="16"/>
              </w:rPr>
              <w:t xml:space="preserve">Programme, </w:t>
            </w:r>
            <w:proofErr w:type="gramStart"/>
            <w:r>
              <w:rPr>
                <w:rFonts w:ascii="Arial" w:hAnsi="Arial" w:cs="Arial"/>
                <w:sz w:val="16"/>
                <w:szCs w:val="16"/>
              </w:rPr>
              <w:t>estimate</w:t>
            </w:r>
            <w:proofErr w:type="gramEnd"/>
            <w:r>
              <w:rPr>
                <w:rFonts w:ascii="Arial" w:hAnsi="Arial" w:cs="Arial"/>
                <w:sz w:val="16"/>
                <w:szCs w:val="16"/>
              </w:rPr>
              <w:t xml:space="preserve"> and forecast are updated regularly and proactively, and in response to changes that affect critical activities, and any change is managed and reported to fully understand any delays in order to mitigate their impact. All outputs delivered on time.</w:t>
            </w:r>
          </w:p>
        </w:tc>
      </w:tr>
      <w:tr w:rsidR="00C1271D" w14:paraId="0F3ECC20" w14:textId="77777777" w:rsidTr="00B462E6">
        <w:trPr>
          <w:trHeight w:val="3463"/>
        </w:trPr>
        <w:tc>
          <w:tcPr>
            <w:tcW w:w="11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1879CC55" w14:textId="77777777" w:rsidR="00C1271D" w:rsidRPr="00C1271D" w:rsidRDefault="00C1271D" w:rsidP="00B462E6">
            <w:pPr>
              <w:rPr>
                <w:rFonts w:ascii="Arial" w:hAnsi="Arial" w:cs="Arial"/>
                <w:b/>
                <w:bCs/>
                <w:sz w:val="16"/>
                <w:szCs w:val="16"/>
              </w:rPr>
            </w:pPr>
            <w:r w:rsidRPr="00C1271D">
              <w:rPr>
                <w:rFonts w:ascii="Arial" w:hAnsi="Arial" w:cs="Arial"/>
                <w:b/>
                <w:bCs/>
                <w:sz w:val="16"/>
                <w:szCs w:val="16"/>
              </w:rPr>
              <w:t>Collaboration</w:t>
            </w:r>
          </w:p>
        </w:tc>
        <w:tc>
          <w:tcPr>
            <w:tcW w:w="1297" w:type="dxa"/>
            <w:tcBorders>
              <w:top w:val="nil"/>
              <w:left w:val="nil"/>
              <w:bottom w:val="single" w:sz="8" w:space="0" w:color="A3A3A3"/>
              <w:right w:val="single" w:sz="8" w:space="0" w:color="A3A3A3"/>
            </w:tcBorders>
            <w:tcMar>
              <w:top w:w="80" w:type="dxa"/>
              <w:left w:w="80" w:type="dxa"/>
              <w:bottom w:w="80" w:type="dxa"/>
              <w:right w:w="80" w:type="dxa"/>
            </w:tcMar>
            <w:hideMark/>
          </w:tcPr>
          <w:p w14:paraId="13A08D7B" w14:textId="77777777" w:rsidR="00C1271D" w:rsidRPr="00C1271D" w:rsidRDefault="00C1271D" w:rsidP="00B462E6">
            <w:pPr>
              <w:rPr>
                <w:rFonts w:ascii="Arial" w:hAnsi="Arial" w:cs="Arial"/>
                <w:b/>
                <w:bCs/>
                <w:sz w:val="16"/>
                <w:szCs w:val="16"/>
              </w:rPr>
            </w:pPr>
            <w:r w:rsidRPr="00C1271D">
              <w:rPr>
                <w:rFonts w:ascii="Arial" w:hAnsi="Arial" w:cs="Arial"/>
                <w:b/>
                <w:bCs/>
                <w:sz w:val="16"/>
                <w:szCs w:val="16"/>
              </w:rPr>
              <w:t xml:space="preserve">Display collaborative behaviours to better deliver </w:t>
            </w:r>
          </w:p>
        </w:tc>
        <w:tc>
          <w:tcPr>
            <w:tcW w:w="1418" w:type="dxa"/>
            <w:tcBorders>
              <w:top w:val="nil"/>
              <w:left w:val="nil"/>
              <w:bottom w:val="single" w:sz="8" w:space="0" w:color="A3A3A3"/>
              <w:right w:val="single" w:sz="8" w:space="0" w:color="A3A3A3"/>
            </w:tcBorders>
            <w:tcMar>
              <w:top w:w="80" w:type="dxa"/>
              <w:left w:w="80" w:type="dxa"/>
              <w:bottom w:w="80" w:type="dxa"/>
              <w:right w:w="80" w:type="dxa"/>
            </w:tcMar>
            <w:hideMark/>
          </w:tcPr>
          <w:p w14:paraId="11606ECB" w14:textId="77777777" w:rsidR="00C1271D" w:rsidRDefault="00C1271D" w:rsidP="00B462E6">
            <w:pPr>
              <w:rPr>
                <w:rFonts w:ascii="Arial" w:hAnsi="Arial" w:cs="Arial"/>
                <w:sz w:val="16"/>
                <w:szCs w:val="16"/>
              </w:rPr>
            </w:pPr>
            <w:r>
              <w:rPr>
                <w:rFonts w:ascii="Arial" w:hAnsi="Arial" w:cs="Arial"/>
                <w:sz w:val="16"/>
                <w:szCs w:val="16"/>
              </w:rPr>
              <w:t xml:space="preserve">Inadequate behaviours. </w:t>
            </w:r>
          </w:p>
        </w:tc>
        <w:tc>
          <w:tcPr>
            <w:tcW w:w="2268" w:type="dxa"/>
            <w:tcBorders>
              <w:top w:val="nil"/>
              <w:left w:val="nil"/>
              <w:bottom w:val="single" w:sz="8" w:space="0" w:color="A3A3A3"/>
              <w:right w:val="single" w:sz="8" w:space="0" w:color="A3A3A3"/>
            </w:tcBorders>
            <w:tcMar>
              <w:top w:w="80" w:type="dxa"/>
              <w:left w:w="80" w:type="dxa"/>
              <w:bottom w:w="80" w:type="dxa"/>
              <w:right w:w="80" w:type="dxa"/>
            </w:tcMar>
            <w:hideMark/>
          </w:tcPr>
          <w:p w14:paraId="3B8723AF" w14:textId="77777777" w:rsidR="00C1271D" w:rsidRDefault="00C1271D" w:rsidP="00B462E6">
            <w:pPr>
              <w:rPr>
                <w:rFonts w:ascii="Arial" w:hAnsi="Arial" w:cs="Arial"/>
                <w:sz w:val="16"/>
                <w:szCs w:val="16"/>
              </w:rPr>
            </w:pPr>
            <w:r>
              <w:rPr>
                <w:rFonts w:ascii="Arial" w:hAnsi="Arial" w:cs="Arial"/>
                <w:sz w:val="16"/>
                <w:szCs w:val="16"/>
              </w:rPr>
              <w:t xml:space="preserve">Poor attendance at early warning meeting. Doesn’t always maintain collaborative environment. </w:t>
            </w:r>
          </w:p>
          <w:p w14:paraId="4A70C46B" w14:textId="77777777" w:rsidR="00C1271D" w:rsidRDefault="00C1271D" w:rsidP="00B462E6">
            <w:pPr>
              <w:rPr>
                <w:rFonts w:ascii="Arial" w:hAnsi="Arial" w:cs="Arial"/>
                <w:sz w:val="16"/>
                <w:szCs w:val="16"/>
              </w:rPr>
            </w:pPr>
            <w:r>
              <w:rPr>
                <w:rFonts w:ascii="Arial" w:hAnsi="Arial" w:cs="Arial"/>
                <w:sz w:val="16"/>
                <w:szCs w:val="16"/>
              </w:rPr>
              <w:t xml:space="preserve">Neither timely, </w:t>
            </w:r>
            <w:proofErr w:type="gramStart"/>
            <w:r>
              <w:rPr>
                <w:rFonts w:ascii="Arial" w:hAnsi="Arial" w:cs="Arial"/>
                <w:sz w:val="16"/>
                <w:szCs w:val="16"/>
              </w:rPr>
              <w:t>or</w:t>
            </w:r>
            <w:proofErr w:type="gramEnd"/>
            <w:r>
              <w:rPr>
                <w:rFonts w:ascii="Arial" w:hAnsi="Arial" w:cs="Arial"/>
                <w:sz w:val="16"/>
                <w:szCs w:val="16"/>
              </w:rPr>
              <w:t xml:space="preserve"> accurate sharing of information provided to facilitate collaboration. Proactively sharing potential options for risk mitigation and opportunities.  Negative behaviours leading to poor project environment.</w:t>
            </w:r>
          </w:p>
        </w:tc>
        <w:tc>
          <w:tcPr>
            <w:tcW w:w="2268" w:type="dxa"/>
            <w:tcBorders>
              <w:top w:val="nil"/>
              <w:left w:val="nil"/>
              <w:bottom w:val="single" w:sz="8" w:space="0" w:color="A3A3A3"/>
              <w:right w:val="single" w:sz="8" w:space="0" w:color="A3A3A3"/>
            </w:tcBorders>
            <w:tcMar>
              <w:top w:w="80" w:type="dxa"/>
              <w:left w:w="80" w:type="dxa"/>
              <w:bottom w:w="80" w:type="dxa"/>
              <w:right w:w="80" w:type="dxa"/>
            </w:tcMar>
            <w:hideMark/>
          </w:tcPr>
          <w:p w14:paraId="632C2086" w14:textId="77777777" w:rsidR="00C1271D" w:rsidRDefault="00C1271D" w:rsidP="00B462E6">
            <w:pPr>
              <w:rPr>
                <w:rFonts w:ascii="Arial" w:hAnsi="Arial" w:cs="Arial"/>
                <w:sz w:val="16"/>
                <w:szCs w:val="16"/>
              </w:rPr>
            </w:pPr>
            <w:r>
              <w:rPr>
                <w:rFonts w:ascii="Arial" w:hAnsi="Arial" w:cs="Arial"/>
                <w:sz w:val="16"/>
                <w:szCs w:val="16"/>
              </w:rPr>
              <w:t xml:space="preserve">Attendance at early warning meetings, but behaviours may be passive. Doesn’t always maintain collaborative environment. </w:t>
            </w:r>
          </w:p>
          <w:p w14:paraId="2EE8A4D9" w14:textId="77777777" w:rsidR="00C1271D" w:rsidRDefault="00C1271D" w:rsidP="00B462E6">
            <w:pPr>
              <w:rPr>
                <w:rFonts w:ascii="Arial" w:hAnsi="Arial" w:cs="Arial"/>
                <w:sz w:val="16"/>
                <w:szCs w:val="16"/>
              </w:rPr>
            </w:pPr>
            <w:r>
              <w:rPr>
                <w:rFonts w:ascii="Arial" w:hAnsi="Arial" w:cs="Arial"/>
                <w:sz w:val="16"/>
                <w:szCs w:val="16"/>
              </w:rPr>
              <w:t xml:space="preserve">Timely sharing of information to facilitate collaboration.  Accuracy of monthly reporting facilitates. Proactively sharing potential options for risk mitigation and opportunities.  Trust and respect in </w:t>
            </w:r>
            <w:proofErr w:type="gramStart"/>
            <w:r>
              <w:rPr>
                <w:rFonts w:ascii="Arial" w:hAnsi="Arial" w:cs="Arial"/>
                <w:sz w:val="16"/>
                <w:szCs w:val="16"/>
              </w:rPr>
              <w:t>dialogue, and</w:t>
            </w:r>
            <w:proofErr w:type="gramEnd"/>
            <w:r>
              <w:rPr>
                <w:rFonts w:ascii="Arial" w:hAnsi="Arial" w:cs="Arial"/>
                <w:sz w:val="16"/>
                <w:szCs w:val="16"/>
              </w:rPr>
              <w:t xml:space="preserve"> contributing to creating a safe environment for challenge. </w:t>
            </w:r>
          </w:p>
          <w:p w14:paraId="2E08EF73" w14:textId="77777777" w:rsidR="00C1271D" w:rsidRDefault="00C1271D" w:rsidP="00B462E6">
            <w:pPr>
              <w:rPr>
                <w:rFonts w:ascii="Arial" w:hAnsi="Arial" w:cs="Arial"/>
                <w:sz w:val="16"/>
                <w:szCs w:val="16"/>
              </w:rPr>
            </w:pPr>
            <w:r>
              <w:rPr>
                <w:rFonts w:ascii="Arial" w:hAnsi="Arial" w:cs="Arial"/>
                <w:sz w:val="16"/>
                <w:szCs w:val="16"/>
              </w:rPr>
              <w:t xml:space="preserve">Vision typically remains on the shared benefits for the project. </w:t>
            </w:r>
          </w:p>
        </w:tc>
        <w:tc>
          <w:tcPr>
            <w:tcW w:w="2409" w:type="dxa"/>
            <w:tcBorders>
              <w:top w:val="nil"/>
              <w:left w:val="nil"/>
              <w:bottom w:val="single" w:sz="8" w:space="0" w:color="A3A3A3"/>
              <w:right w:val="single" w:sz="8" w:space="0" w:color="A3A3A3"/>
            </w:tcBorders>
            <w:tcMar>
              <w:top w:w="80" w:type="dxa"/>
              <w:left w:w="80" w:type="dxa"/>
              <w:bottom w:w="80" w:type="dxa"/>
              <w:right w:w="80" w:type="dxa"/>
            </w:tcMar>
            <w:hideMark/>
          </w:tcPr>
          <w:p w14:paraId="27D6E7B8" w14:textId="77777777" w:rsidR="00C1271D" w:rsidRDefault="00C1271D" w:rsidP="00B462E6">
            <w:pPr>
              <w:rPr>
                <w:rFonts w:ascii="Arial" w:hAnsi="Arial" w:cs="Arial"/>
                <w:sz w:val="16"/>
                <w:szCs w:val="16"/>
              </w:rPr>
            </w:pPr>
            <w:r>
              <w:rPr>
                <w:rFonts w:ascii="Arial" w:hAnsi="Arial" w:cs="Arial"/>
                <w:sz w:val="16"/>
                <w:szCs w:val="16"/>
              </w:rPr>
              <w:t xml:space="preserve">Attendance at early warning meetings, but behaviours may be passive. Doesn’t always maintain collaborative environment. </w:t>
            </w:r>
          </w:p>
          <w:p w14:paraId="7A84489E" w14:textId="77777777" w:rsidR="00C1271D" w:rsidRDefault="00C1271D" w:rsidP="00B462E6">
            <w:pPr>
              <w:rPr>
                <w:rFonts w:ascii="Arial" w:hAnsi="Arial" w:cs="Arial"/>
                <w:sz w:val="16"/>
                <w:szCs w:val="16"/>
              </w:rPr>
            </w:pPr>
            <w:r>
              <w:rPr>
                <w:rFonts w:ascii="Arial" w:hAnsi="Arial" w:cs="Arial"/>
                <w:sz w:val="16"/>
                <w:szCs w:val="16"/>
              </w:rPr>
              <w:t xml:space="preserve">Timely sharing of information to facilitate collaboration.  Accuracy of monthly reporting facilitates. Proactively sharing potential options for risk mitigation and opportunities.  Trust and respect in </w:t>
            </w:r>
            <w:proofErr w:type="gramStart"/>
            <w:r>
              <w:rPr>
                <w:rFonts w:ascii="Arial" w:hAnsi="Arial" w:cs="Arial"/>
                <w:sz w:val="16"/>
                <w:szCs w:val="16"/>
              </w:rPr>
              <w:t>dialogue, and</w:t>
            </w:r>
            <w:proofErr w:type="gramEnd"/>
            <w:r>
              <w:rPr>
                <w:rFonts w:ascii="Arial" w:hAnsi="Arial" w:cs="Arial"/>
                <w:sz w:val="16"/>
                <w:szCs w:val="16"/>
              </w:rPr>
              <w:t xml:space="preserve"> contributing to creating a safe environment for challenge. </w:t>
            </w:r>
          </w:p>
          <w:p w14:paraId="3FE2E03E" w14:textId="77777777" w:rsidR="00C1271D" w:rsidRDefault="00C1271D" w:rsidP="00B462E6">
            <w:pPr>
              <w:rPr>
                <w:rFonts w:ascii="Arial" w:hAnsi="Arial" w:cs="Arial"/>
                <w:sz w:val="16"/>
                <w:szCs w:val="16"/>
              </w:rPr>
            </w:pPr>
            <w:r>
              <w:rPr>
                <w:rFonts w:ascii="Arial" w:hAnsi="Arial" w:cs="Arial"/>
                <w:sz w:val="16"/>
                <w:szCs w:val="16"/>
              </w:rPr>
              <w:t xml:space="preserve">Vision typically remains on the shared benefits for the project. </w:t>
            </w:r>
          </w:p>
        </w:tc>
        <w:tc>
          <w:tcPr>
            <w:tcW w:w="4111" w:type="dxa"/>
            <w:tcBorders>
              <w:top w:val="nil"/>
              <w:left w:val="nil"/>
              <w:bottom w:val="single" w:sz="8" w:space="0" w:color="A3A3A3"/>
              <w:right w:val="single" w:sz="8" w:space="0" w:color="A3A3A3"/>
            </w:tcBorders>
            <w:tcMar>
              <w:top w:w="80" w:type="dxa"/>
              <w:left w:w="80" w:type="dxa"/>
              <w:bottom w:w="80" w:type="dxa"/>
              <w:right w:w="80" w:type="dxa"/>
            </w:tcMar>
            <w:hideMark/>
          </w:tcPr>
          <w:p w14:paraId="7DC17453" w14:textId="77777777" w:rsidR="00C1271D" w:rsidRDefault="00C1271D" w:rsidP="00B462E6">
            <w:pPr>
              <w:rPr>
                <w:rFonts w:ascii="Arial" w:hAnsi="Arial" w:cs="Arial"/>
                <w:sz w:val="16"/>
                <w:szCs w:val="16"/>
              </w:rPr>
            </w:pPr>
            <w:r>
              <w:rPr>
                <w:rFonts w:ascii="Arial" w:hAnsi="Arial" w:cs="Arial"/>
                <w:sz w:val="16"/>
                <w:szCs w:val="16"/>
              </w:rPr>
              <w:t xml:space="preserve">Active participation in Early Warning meetings, with a positive approach. </w:t>
            </w:r>
          </w:p>
          <w:p w14:paraId="01989123" w14:textId="77777777" w:rsidR="00C1271D" w:rsidRDefault="00C1271D" w:rsidP="00B462E6">
            <w:pPr>
              <w:rPr>
                <w:rFonts w:ascii="Arial" w:hAnsi="Arial" w:cs="Arial"/>
                <w:sz w:val="16"/>
                <w:szCs w:val="16"/>
              </w:rPr>
            </w:pPr>
            <w:r>
              <w:rPr>
                <w:rFonts w:ascii="Arial" w:hAnsi="Arial" w:cs="Arial"/>
                <w:sz w:val="16"/>
                <w:szCs w:val="16"/>
              </w:rPr>
              <w:t xml:space="preserve">Contributing to the enjoyable working environment, which fosters collaboration. </w:t>
            </w:r>
          </w:p>
          <w:p w14:paraId="55049E4A" w14:textId="77777777" w:rsidR="00C1271D" w:rsidRDefault="00C1271D" w:rsidP="00B462E6">
            <w:pPr>
              <w:rPr>
                <w:rFonts w:ascii="Arial" w:hAnsi="Arial" w:cs="Arial"/>
                <w:sz w:val="16"/>
                <w:szCs w:val="16"/>
              </w:rPr>
            </w:pPr>
            <w:r>
              <w:rPr>
                <w:rFonts w:ascii="Arial" w:hAnsi="Arial" w:cs="Arial"/>
                <w:sz w:val="16"/>
                <w:szCs w:val="16"/>
              </w:rPr>
              <w:t xml:space="preserve">Timely sharing of information to facilitate collaboration.  Accuracy of monthly reporting facilitates. Proactively sharing potential options for risk mitigation and opportunities.  Trust and respect in </w:t>
            </w:r>
            <w:proofErr w:type="gramStart"/>
            <w:r>
              <w:rPr>
                <w:rFonts w:ascii="Arial" w:hAnsi="Arial" w:cs="Arial"/>
                <w:sz w:val="16"/>
                <w:szCs w:val="16"/>
              </w:rPr>
              <w:t>dialogue, and</w:t>
            </w:r>
            <w:proofErr w:type="gramEnd"/>
            <w:r>
              <w:rPr>
                <w:rFonts w:ascii="Arial" w:hAnsi="Arial" w:cs="Arial"/>
                <w:sz w:val="16"/>
                <w:szCs w:val="16"/>
              </w:rPr>
              <w:t xml:space="preserve"> contributing to creating a safe environment for challenge. </w:t>
            </w:r>
          </w:p>
          <w:p w14:paraId="2D396E07" w14:textId="77777777" w:rsidR="00C1271D" w:rsidRDefault="00C1271D" w:rsidP="00B462E6">
            <w:pPr>
              <w:rPr>
                <w:rFonts w:ascii="Arial" w:hAnsi="Arial" w:cs="Arial"/>
                <w:sz w:val="16"/>
                <w:szCs w:val="16"/>
              </w:rPr>
            </w:pPr>
            <w:r>
              <w:rPr>
                <w:rFonts w:ascii="Arial" w:hAnsi="Arial" w:cs="Arial"/>
                <w:sz w:val="16"/>
                <w:szCs w:val="16"/>
              </w:rPr>
              <w:t xml:space="preserve">Vision remains on the shared benefits for the project. </w:t>
            </w:r>
          </w:p>
        </w:tc>
      </w:tr>
      <w:tr w:rsidR="00C1271D" w14:paraId="63D94400" w14:textId="77777777" w:rsidTr="00B462E6">
        <w:trPr>
          <w:trHeight w:val="657"/>
        </w:trPr>
        <w:tc>
          <w:tcPr>
            <w:tcW w:w="1103"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729A956" w14:textId="77777777" w:rsidR="00C1271D" w:rsidRPr="00C1271D" w:rsidRDefault="00C1271D" w:rsidP="00B462E6">
            <w:pPr>
              <w:rPr>
                <w:rFonts w:ascii="Arial" w:hAnsi="Arial" w:cs="Arial"/>
                <w:b/>
                <w:bCs/>
                <w:sz w:val="16"/>
                <w:szCs w:val="16"/>
              </w:rPr>
            </w:pPr>
            <w:r w:rsidRPr="00C1271D">
              <w:rPr>
                <w:rFonts w:ascii="Arial" w:hAnsi="Arial" w:cs="Arial"/>
                <w:b/>
                <w:bCs/>
                <w:sz w:val="16"/>
                <w:szCs w:val="16"/>
              </w:rPr>
              <w:t>Social values</w:t>
            </w:r>
          </w:p>
        </w:tc>
        <w:tc>
          <w:tcPr>
            <w:tcW w:w="1297" w:type="dxa"/>
            <w:tcBorders>
              <w:top w:val="nil"/>
              <w:left w:val="nil"/>
              <w:bottom w:val="single" w:sz="8" w:space="0" w:color="A3A3A3"/>
              <w:right w:val="single" w:sz="8" w:space="0" w:color="A3A3A3"/>
            </w:tcBorders>
            <w:tcMar>
              <w:top w:w="80" w:type="dxa"/>
              <w:left w:w="80" w:type="dxa"/>
              <w:bottom w:w="80" w:type="dxa"/>
              <w:right w:w="80" w:type="dxa"/>
            </w:tcMar>
            <w:hideMark/>
          </w:tcPr>
          <w:p w14:paraId="14522D8C" w14:textId="77777777" w:rsidR="00C1271D" w:rsidRPr="00C1271D" w:rsidRDefault="00C1271D" w:rsidP="00B462E6">
            <w:pPr>
              <w:rPr>
                <w:rFonts w:ascii="Arial" w:hAnsi="Arial" w:cs="Arial"/>
                <w:b/>
                <w:bCs/>
                <w:sz w:val="16"/>
                <w:szCs w:val="16"/>
              </w:rPr>
            </w:pPr>
            <w:r w:rsidRPr="00C1271D">
              <w:rPr>
                <w:rFonts w:ascii="Arial" w:hAnsi="Arial" w:cs="Arial"/>
                <w:b/>
                <w:bCs/>
                <w:sz w:val="16"/>
                <w:szCs w:val="16"/>
              </w:rPr>
              <w:t>To monitor delivery of social value commitments.</w:t>
            </w:r>
          </w:p>
        </w:tc>
        <w:tc>
          <w:tcPr>
            <w:tcW w:w="1418" w:type="dxa"/>
            <w:tcBorders>
              <w:top w:val="nil"/>
              <w:left w:val="nil"/>
              <w:bottom w:val="single" w:sz="8" w:space="0" w:color="A3A3A3"/>
              <w:right w:val="single" w:sz="8" w:space="0" w:color="A3A3A3"/>
            </w:tcBorders>
            <w:tcMar>
              <w:top w:w="80" w:type="dxa"/>
              <w:left w:w="80" w:type="dxa"/>
              <w:bottom w:w="80" w:type="dxa"/>
              <w:right w:w="80" w:type="dxa"/>
            </w:tcMar>
            <w:hideMark/>
          </w:tcPr>
          <w:p w14:paraId="2FAA1D84" w14:textId="77777777" w:rsidR="00C1271D" w:rsidRDefault="00C1271D" w:rsidP="00B462E6">
            <w:pPr>
              <w:rPr>
                <w:rFonts w:ascii="Arial" w:hAnsi="Arial" w:cs="Arial"/>
                <w:sz w:val="16"/>
                <w:szCs w:val="16"/>
              </w:rPr>
            </w:pPr>
            <w:r>
              <w:rPr>
                <w:rFonts w:ascii="Arial" w:hAnsi="Arial" w:cs="Arial"/>
                <w:sz w:val="16"/>
                <w:szCs w:val="16"/>
              </w:rPr>
              <w:t xml:space="preserve">Social values not delivered. </w:t>
            </w:r>
          </w:p>
        </w:tc>
        <w:tc>
          <w:tcPr>
            <w:tcW w:w="2268" w:type="dxa"/>
            <w:tcBorders>
              <w:top w:val="nil"/>
              <w:left w:val="nil"/>
              <w:bottom w:val="single" w:sz="8" w:space="0" w:color="A3A3A3"/>
              <w:right w:val="single" w:sz="8" w:space="0" w:color="A3A3A3"/>
            </w:tcBorders>
            <w:tcMar>
              <w:top w:w="80" w:type="dxa"/>
              <w:left w:w="80" w:type="dxa"/>
              <w:bottom w:w="80" w:type="dxa"/>
              <w:right w:w="80" w:type="dxa"/>
            </w:tcMar>
            <w:hideMark/>
          </w:tcPr>
          <w:p w14:paraId="2C3B19A3" w14:textId="77777777" w:rsidR="00C1271D" w:rsidRDefault="00C1271D" w:rsidP="00B462E6">
            <w:pPr>
              <w:rPr>
                <w:rFonts w:ascii="Arial" w:hAnsi="Arial" w:cs="Arial"/>
                <w:sz w:val="16"/>
                <w:szCs w:val="16"/>
              </w:rPr>
            </w:pPr>
            <w:r>
              <w:rPr>
                <w:rFonts w:ascii="Arial" w:hAnsi="Arial" w:cs="Arial"/>
                <w:sz w:val="16"/>
                <w:szCs w:val="16"/>
              </w:rPr>
              <w:t>Omits significant elements of the RoR commitments.</w:t>
            </w:r>
          </w:p>
        </w:tc>
        <w:tc>
          <w:tcPr>
            <w:tcW w:w="2268" w:type="dxa"/>
            <w:tcBorders>
              <w:top w:val="nil"/>
              <w:left w:val="nil"/>
              <w:bottom w:val="single" w:sz="8" w:space="0" w:color="A3A3A3"/>
              <w:right w:val="single" w:sz="8" w:space="0" w:color="A3A3A3"/>
            </w:tcBorders>
            <w:tcMar>
              <w:top w:w="80" w:type="dxa"/>
              <w:left w:w="80" w:type="dxa"/>
              <w:bottom w:w="80" w:type="dxa"/>
              <w:right w:w="80" w:type="dxa"/>
            </w:tcMar>
            <w:hideMark/>
          </w:tcPr>
          <w:p w14:paraId="72533D08" w14:textId="77777777" w:rsidR="00C1271D" w:rsidRDefault="00C1271D" w:rsidP="00B462E6">
            <w:pPr>
              <w:rPr>
                <w:rFonts w:ascii="Arial" w:hAnsi="Arial" w:cs="Arial"/>
                <w:sz w:val="16"/>
                <w:szCs w:val="16"/>
              </w:rPr>
            </w:pPr>
            <w:r>
              <w:rPr>
                <w:rFonts w:ascii="Arial" w:hAnsi="Arial" w:cs="Arial"/>
                <w:sz w:val="16"/>
                <w:szCs w:val="16"/>
              </w:rPr>
              <w:t xml:space="preserve">Meets </w:t>
            </w:r>
            <w:proofErr w:type="gramStart"/>
            <w:r>
              <w:rPr>
                <w:rFonts w:ascii="Arial" w:hAnsi="Arial" w:cs="Arial"/>
                <w:sz w:val="16"/>
                <w:szCs w:val="16"/>
              </w:rPr>
              <w:t>the majority of</w:t>
            </w:r>
            <w:proofErr w:type="gramEnd"/>
            <w:r>
              <w:rPr>
                <w:rFonts w:ascii="Arial" w:hAnsi="Arial" w:cs="Arial"/>
                <w:sz w:val="16"/>
                <w:szCs w:val="16"/>
              </w:rPr>
              <w:t xml:space="preserve"> the commitments made at RoR stage.</w:t>
            </w:r>
          </w:p>
        </w:tc>
        <w:tc>
          <w:tcPr>
            <w:tcW w:w="2409" w:type="dxa"/>
            <w:tcBorders>
              <w:top w:val="nil"/>
              <w:left w:val="nil"/>
              <w:bottom w:val="single" w:sz="8" w:space="0" w:color="A3A3A3"/>
              <w:right w:val="single" w:sz="8" w:space="0" w:color="A3A3A3"/>
            </w:tcBorders>
            <w:tcMar>
              <w:top w:w="80" w:type="dxa"/>
              <w:left w:w="80" w:type="dxa"/>
              <w:bottom w:w="80" w:type="dxa"/>
              <w:right w:w="80" w:type="dxa"/>
            </w:tcMar>
            <w:hideMark/>
          </w:tcPr>
          <w:p w14:paraId="7E594C4C" w14:textId="77777777" w:rsidR="00C1271D" w:rsidRDefault="00C1271D" w:rsidP="00B462E6">
            <w:pPr>
              <w:rPr>
                <w:rFonts w:ascii="Arial" w:hAnsi="Arial" w:cs="Arial"/>
                <w:sz w:val="16"/>
                <w:szCs w:val="16"/>
              </w:rPr>
            </w:pPr>
            <w:r>
              <w:rPr>
                <w:rFonts w:ascii="Arial" w:hAnsi="Arial" w:cs="Arial"/>
                <w:sz w:val="16"/>
                <w:szCs w:val="16"/>
              </w:rPr>
              <w:t xml:space="preserve">Meets or exceeds </w:t>
            </w:r>
            <w:proofErr w:type="gramStart"/>
            <w:r>
              <w:rPr>
                <w:rFonts w:ascii="Arial" w:hAnsi="Arial" w:cs="Arial"/>
                <w:sz w:val="16"/>
                <w:szCs w:val="16"/>
              </w:rPr>
              <w:t>all of</w:t>
            </w:r>
            <w:proofErr w:type="gramEnd"/>
            <w:r>
              <w:rPr>
                <w:rFonts w:ascii="Arial" w:hAnsi="Arial" w:cs="Arial"/>
                <w:sz w:val="16"/>
                <w:szCs w:val="16"/>
              </w:rPr>
              <w:t xml:space="preserve"> the commitments made at RoR stage, except for minor areas. </w:t>
            </w:r>
          </w:p>
        </w:tc>
        <w:tc>
          <w:tcPr>
            <w:tcW w:w="4111" w:type="dxa"/>
            <w:tcBorders>
              <w:top w:val="nil"/>
              <w:left w:val="nil"/>
              <w:bottom w:val="single" w:sz="8" w:space="0" w:color="A3A3A3"/>
              <w:right w:val="single" w:sz="8" w:space="0" w:color="A3A3A3"/>
            </w:tcBorders>
            <w:tcMar>
              <w:top w:w="80" w:type="dxa"/>
              <w:left w:w="80" w:type="dxa"/>
              <w:bottom w:w="80" w:type="dxa"/>
              <w:right w:w="80" w:type="dxa"/>
            </w:tcMar>
            <w:hideMark/>
          </w:tcPr>
          <w:p w14:paraId="42D0EB22" w14:textId="77777777" w:rsidR="00C1271D" w:rsidRDefault="00C1271D" w:rsidP="00B462E6">
            <w:pPr>
              <w:rPr>
                <w:rFonts w:ascii="Arial" w:hAnsi="Arial" w:cs="Arial"/>
                <w:sz w:val="16"/>
                <w:szCs w:val="16"/>
              </w:rPr>
            </w:pPr>
            <w:r>
              <w:rPr>
                <w:rFonts w:ascii="Arial" w:hAnsi="Arial" w:cs="Arial"/>
                <w:sz w:val="16"/>
                <w:szCs w:val="16"/>
              </w:rPr>
              <w:t xml:space="preserve">Meets or exceeds </w:t>
            </w:r>
            <w:proofErr w:type="gramStart"/>
            <w:r>
              <w:rPr>
                <w:rFonts w:ascii="Arial" w:hAnsi="Arial" w:cs="Arial"/>
                <w:sz w:val="16"/>
                <w:szCs w:val="16"/>
              </w:rPr>
              <w:t>all of</w:t>
            </w:r>
            <w:proofErr w:type="gramEnd"/>
            <w:r>
              <w:rPr>
                <w:rFonts w:ascii="Arial" w:hAnsi="Arial" w:cs="Arial"/>
                <w:sz w:val="16"/>
                <w:szCs w:val="16"/>
              </w:rPr>
              <w:t xml:space="preserve"> the commitments made at RoR stage. </w:t>
            </w:r>
          </w:p>
        </w:tc>
      </w:tr>
    </w:tbl>
    <w:p w14:paraId="36B2A910" w14:textId="1E17319B" w:rsidR="00C1271D" w:rsidRDefault="00C1271D" w:rsidP="00C1271D"/>
    <w:p w14:paraId="556AAC66" w14:textId="78649FDD" w:rsidR="000A3922" w:rsidRDefault="000A3922" w:rsidP="000A3922">
      <w:pPr>
        <w:jc w:val="center"/>
        <w:rPr>
          <w:rFonts w:ascii="Arial" w:hAnsi="Arial" w:cs="Arial"/>
          <w:color w:val="000000"/>
          <w:sz w:val="20"/>
          <w:szCs w:val="20"/>
        </w:rPr>
      </w:pPr>
      <w:r>
        <w:rPr>
          <w:rFonts w:ascii="Arial" w:hAnsi="Arial" w:cs="Arial"/>
          <w:b/>
          <w:u w:val="single"/>
        </w:rPr>
        <w:lastRenderedPageBreak/>
        <w:t>MONITORING OF CONTRACTOR’S PERFORMANCE</w:t>
      </w:r>
    </w:p>
    <w:p w14:paraId="1B161F34" w14:textId="093BC7BF" w:rsidR="000A3922" w:rsidRPr="00441A3F" w:rsidRDefault="000A3922" w:rsidP="000A3922">
      <w:pPr>
        <w:rPr>
          <w:rFonts w:ascii="Arial" w:hAnsi="Arial" w:cs="Arial"/>
          <w:color w:val="000000"/>
          <w:sz w:val="20"/>
          <w:szCs w:val="20"/>
        </w:rPr>
      </w:pPr>
      <w:r w:rsidRPr="00441A3F">
        <w:rPr>
          <w:rFonts w:ascii="Arial" w:hAnsi="Arial" w:cs="Arial"/>
          <w:color w:val="000000"/>
          <w:sz w:val="20"/>
          <w:szCs w:val="20"/>
        </w:rPr>
        <w:t xml:space="preserve">Flow of activity for KPIs – intended to be carried out on </w:t>
      </w:r>
      <w:r>
        <w:rPr>
          <w:rFonts w:ascii="Arial" w:hAnsi="Arial" w:cs="Arial"/>
          <w:color w:val="000000"/>
          <w:sz w:val="20"/>
          <w:szCs w:val="20"/>
        </w:rPr>
        <w:t>quarterly</w:t>
      </w:r>
      <w:r w:rsidRPr="00441A3F">
        <w:rPr>
          <w:rFonts w:ascii="Arial" w:hAnsi="Arial" w:cs="Arial"/>
          <w:color w:val="000000"/>
          <w:sz w:val="20"/>
          <w:szCs w:val="20"/>
        </w:rPr>
        <w:t xml:space="preserve"> </w:t>
      </w:r>
      <w:proofErr w:type="gramStart"/>
      <w:r w:rsidRPr="00441A3F">
        <w:rPr>
          <w:rFonts w:ascii="Arial" w:hAnsi="Arial" w:cs="Arial"/>
          <w:color w:val="000000"/>
          <w:sz w:val="20"/>
          <w:szCs w:val="20"/>
        </w:rPr>
        <w:t>cycle</w:t>
      </w:r>
      <w:proofErr w:type="gramEnd"/>
    </w:p>
    <w:p w14:paraId="3AB7C4D0" w14:textId="77777777" w:rsidR="000A3922" w:rsidRPr="00441A3F" w:rsidRDefault="000A3922" w:rsidP="000A3922">
      <w:pPr>
        <w:rPr>
          <w:rFonts w:ascii="Arial" w:hAnsi="Arial" w:cs="Arial"/>
          <w:color w:val="000000"/>
          <w:sz w:val="20"/>
          <w:szCs w:val="20"/>
        </w:rPr>
      </w:pPr>
    </w:p>
    <w:p w14:paraId="37063EDF" w14:textId="0077AD08" w:rsidR="000A3922" w:rsidRPr="00441A3F" w:rsidRDefault="000A3922" w:rsidP="000A3922">
      <w:pPr>
        <w:pStyle w:val="ListParagraph"/>
        <w:numPr>
          <w:ilvl w:val="0"/>
          <w:numId w:val="1"/>
        </w:numPr>
        <w:contextualSpacing w:val="0"/>
        <w:rPr>
          <w:rFonts w:ascii="Arial" w:hAnsi="Arial" w:cs="Arial"/>
          <w:color w:val="000000"/>
          <w:sz w:val="20"/>
          <w:szCs w:val="20"/>
        </w:rPr>
      </w:pPr>
      <w:r w:rsidRPr="00441A3F">
        <w:rPr>
          <w:rFonts w:ascii="Arial" w:hAnsi="Arial" w:cs="Arial"/>
          <w:color w:val="000000"/>
          <w:sz w:val="20"/>
          <w:szCs w:val="20"/>
        </w:rPr>
        <w:t xml:space="preserve">Contractor and </w:t>
      </w:r>
      <w:r>
        <w:rPr>
          <w:rFonts w:ascii="Arial" w:hAnsi="Arial" w:cs="Arial"/>
          <w:color w:val="000000"/>
          <w:sz w:val="20"/>
          <w:szCs w:val="20"/>
        </w:rPr>
        <w:t xml:space="preserve">Client </w:t>
      </w:r>
      <w:r w:rsidRPr="00441A3F">
        <w:rPr>
          <w:rFonts w:ascii="Arial" w:hAnsi="Arial" w:cs="Arial"/>
          <w:color w:val="000000"/>
          <w:sz w:val="20"/>
          <w:szCs w:val="20"/>
        </w:rPr>
        <w:t>independently assess the KPI scores – Contractor’s PM, DIO PM (</w:t>
      </w:r>
      <w:r>
        <w:rPr>
          <w:rFonts w:ascii="Arial" w:hAnsi="Arial" w:cs="Arial"/>
          <w:color w:val="000000"/>
          <w:sz w:val="20"/>
          <w:szCs w:val="20"/>
        </w:rPr>
        <w:t>supported by TSP</w:t>
      </w:r>
      <w:r w:rsidRPr="00441A3F">
        <w:rPr>
          <w:rFonts w:ascii="Arial" w:hAnsi="Arial" w:cs="Arial"/>
          <w:color w:val="000000"/>
          <w:sz w:val="20"/>
          <w:szCs w:val="20"/>
        </w:rPr>
        <w:t>)</w:t>
      </w:r>
      <w:r>
        <w:rPr>
          <w:rFonts w:ascii="Arial" w:hAnsi="Arial" w:cs="Arial"/>
          <w:color w:val="000000"/>
          <w:sz w:val="20"/>
          <w:szCs w:val="20"/>
        </w:rPr>
        <w:t xml:space="preserve"> and DIO Commercial</w:t>
      </w:r>
      <w:r w:rsidRPr="00441A3F">
        <w:rPr>
          <w:rFonts w:ascii="Arial" w:hAnsi="Arial" w:cs="Arial"/>
          <w:color w:val="000000"/>
          <w:sz w:val="20"/>
          <w:szCs w:val="20"/>
        </w:rPr>
        <w:t>.  The KPI scores are shared 5 days ahead of the agreed KPI review meeting.</w:t>
      </w:r>
    </w:p>
    <w:p w14:paraId="05A6CCA7" w14:textId="4253551E" w:rsidR="000A3922" w:rsidRPr="00441A3F" w:rsidRDefault="000A3922" w:rsidP="000A3922">
      <w:pPr>
        <w:pStyle w:val="ListParagraph"/>
        <w:numPr>
          <w:ilvl w:val="0"/>
          <w:numId w:val="1"/>
        </w:numPr>
        <w:contextualSpacing w:val="0"/>
        <w:rPr>
          <w:rFonts w:ascii="Arial" w:hAnsi="Arial" w:cs="Arial"/>
          <w:color w:val="000000"/>
          <w:sz w:val="20"/>
          <w:szCs w:val="20"/>
        </w:rPr>
      </w:pPr>
      <w:r w:rsidRPr="00441A3F">
        <w:rPr>
          <w:rFonts w:ascii="Arial" w:hAnsi="Arial" w:cs="Arial"/>
          <w:color w:val="000000"/>
          <w:sz w:val="20"/>
          <w:szCs w:val="20"/>
        </w:rPr>
        <w:t>KPI review meeting to discuss the KPI scores, with particular focus on any discrepancies. This meeting will always be preferable face to face, preferably in Cyprus.</w:t>
      </w:r>
    </w:p>
    <w:p w14:paraId="6B05DBC3" w14:textId="0FB53AD9" w:rsidR="000A3922" w:rsidRPr="00441A3F" w:rsidRDefault="000A3922" w:rsidP="000A3922">
      <w:pPr>
        <w:pStyle w:val="ListParagraph"/>
        <w:numPr>
          <w:ilvl w:val="0"/>
          <w:numId w:val="1"/>
        </w:numPr>
        <w:contextualSpacing w:val="0"/>
        <w:rPr>
          <w:rFonts w:ascii="Arial" w:hAnsi="Arial" w:cs="Arial"/>
          <w:color w:val="000000"/>
          <w:sz w:val="20"/>
          <w:szCs w:val="20"/>
        </w:rPr>
      </w:pPr>
      <w:r w:rsidRPr="00441A3F">
        <w:rPr>
          <w:rFonts w:ascii="Arial" w:hAnsi="Arial" w:cs="Arial"/>
          <w:color w:val="000000"/>
          <w:sz w:val="20"/>
          <w:szCs w:val="20"/>
        </w:rPr>
        <w:t>Following the meeting, the record of the agreed scores will be updated and circulated</w:t>
      </w:r>
      <w:r>
        <w:rPr>
          <w:rFonts w:ascii="Arial" w:hAnsi="Arial" w:cs="Arial"/>
          <w:color w:val="000000"/>
          <w:sz w:val="20"/>
          <w:szCs w:val="20"/>
        </w:rPr>
        <w:t xml:space="preserve"> and reported Client side. </w:t>
      </w:r>
      <w:r w:rsidRPr="00441A3F">
        <w:rPr>
          <w:rFonts w:ascii="Arial" w:hAnsi="Arial" w:cs="Arial"/>
          <w:color w:val="000000"/>
          <w:sz w:val="20"/>
          <w:szCs w:val="20"/>
        </w:rPr>
        <w:t xml:space="preserve"> </w:t>
      </w:r>
    </w:p>
    <w:p w14:paraId="5ACCB16A" w14:textId="77777777" w:rsidR="000A3922" w:rsidRPr="00441A3F" w:rsidRDefault="000A3922" w:rsidP="000A3922">
      <w:pPr>
        <w:rPr>
          <w:rFonts w:ascii="Arial" w:hAnsi="Arial" w:cs="Arial"/>
          <w:color w:val="000000"/>
          <w:sz w:val="20"/>
          <w:szCs w:val="20"/>
        </w:rPr>
      </w:pPr>
    </w:p>
    <w:p w14:paraId="79BF06CC" w14:textId="746ADAA8" w:rsidR="000A3922" w:rsidRPr="00441A3F" w:rsidRDefault="000A3922" w:rsidP="000A3922">
      <w:pPr>
        <w:rPr>
          <w:rFonts w:ascii="Arial" w:hAnsi="Arial" w:cs="Arial"/>
          <w:color w:val="000000"/>
          <w:sz w:val="20"/>
          <w:szCs w:val="20"/>
        </w:rPr>
      </w:pPr>
      <w:r w:rsidRPr="00441A3F">
        <w:rPr>
          <w:rFonts w:ascii="Arial" w:hAnsi="Arial" w:cs="Arial"/>
          <w:color w:val="000000"/>
          <w:sz w:val="20"/>
          <w:szCs w:val="20"/>
        </w:rPr>
        <w:t xml:space="preserve">Should an Improvement plan be required, this will be agreed as an exception, and remedial actions agreed.  The </w:t>
      </w:r>
      <w:r>
        <w:rPr>
          <w:rFonts w:ascii="Arial" w:hAnsi="Arial" w:cs="Arial"/>
          <w:color w:val="000000"/>
          <w:sz w:val="20"/>
          <w:szCs w:val="20"/>
        </w:rPr>
        <w:t xml:space="preserve">Client </w:t>
      </w:r>
      <w:r w:rsidRPr="00441A3F">
        <w:rPr>
          <w:rFonts w:ascii="Arial" w:hAnsi="Arial" w:cs="Arial"/>
          <w:color w:val="000000"/>
          <w:sz w:val="20"/>
          <w:szCs w:val="20"/>
        </w:rPr>
        <w:t xml:space="preserve">reserves the right to enact the termination of services clause in the Contract if it deems it necessary. </w:t>
      </w:r>
    </w:p>
    <w:p w14:paraId="7AD6BCCE" w14:textId="77777777" w:rsidR="000A3922" w:rsidRPr="00C1271D" w:rsidRDefault="000A3922" w:rsidP="00C1271D"/>
    <w:sectPr w:rsidR="000A3922" w:rsidRPr="00C1271D" w:rsidSect="00C127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559C"/>
    <w:multiLevelType w:val="hybridMultilevel"/>
    <w:tmpl w:val="342A97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14984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7D"/>
    <w:rsid w:val="000A3922"/>
    <w:rsid w:val="00725E84"/>
    <w:rsid w:val="00A05B7D"/>
    <w:rsid w:val="00A65A2E"/>
    <w:rsid w:val="00C1271D"/>
    <w:rsid w:val="00CD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7F6"/>
  <w15:chartTrackingRefBased/>
  <w15:docId w15:val="{E33B9C87-1935-42FE-84E6-C946C7655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1271D"/>
  </w:style>
  <w:style w:type="paragraph" w:styleId="ListParagraph">
    <w:name w:val="List Paragraph"/>
    <w:basedOn w:val="Normal"/>
    <w:uiPriority w:val="34"/>
    <w:qFormat/>
    <w:rsid w:val="000A3922"/>
    <w:pPr>
      <w:spacing w:after="0" w:line="240" w:lineRule="auto"/>
      <w:ind w:left="720"/>
      <w:contextualSpacing/>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b1f0dc-c88e-4a47-b4fe-a8d6a964d123">
      <Terms xmlns="http://schemas.microsoft.com/office/infopath/2007/PartnerControls"/>
    </lcf76f155ced4ddcb4097134ff3c332f>
    <TaxCatchAll xmlns="04738c6d-ecc8-46f1-821f-82e308eab3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79CEC97DBF34B9D1724863828B65C" ma:contentTypeVersion="17" ma:contentTypeDescription="Create a new document." ma:contentTypeScope="" ma:versionID="4e0dfc7de49f10c11862224c1aa9a12d">
  <xsd:schema xmlns:xsd="http://www.w3.org/2001/XMLSchema" xmlns:xs="http://www.w3.org/2001/XMLSchema" xmlns:p="http://schemas.microsoft.com/office/2006/metadata/properties" xmlns:ns2="dbb1f0dc-c88e-4a47-b4fe-a8d6a964d123" xmlns:ns3="7fb1f480-0005-4a35-b3d8-544d534b8a87" xmlns:ns4="04738c6d-ecc8-46f1-821f-82e308eab3d9" targetNamespace="http://schemas.microsoft.com/office/2006/metadata/properties" ma:root="true" ma:fieldsID="05643ef8c743c152714ded1f8e506e37" ns2:_="" ns3:_="" ns4:_="">
    <xsd:import namespace="dbb1f0dc-c88e-4a47-b4fe-a8d6a964d123"/>
    <xsd:import namespace="7fb1f480-0005-4a35-b3d8-544d534b8a87"/>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f0dc-c88e-4a47-b4fe-a8d6a964d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1f480-0005-4a35-b3d8-544d534b8a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4dbdf79-3c9c-48cf-824c-a685a904d132}" ma:internalName="TaxCatchAll" ma:showField="CatchAllData" ma:web="7fb1f480-0005-4a35-b3d8-544d534b8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DB36A-C4B4-4E92-AB73-F196ADA82BD7}">
  <ds:schemaRefs>
    <ds:schemaRef ds:uri="http://schemas.microsoft.com/office/2006/documentManagement/types"/>
    <ds:schemaRef ds:uri="04738c6d-ecc8-46f1-821f-82e308eab3d9"/>
    <ds:schemaRef ds:uri="http://purl.org/dc/elements/1.1/"/>
    <ds:schemaRef ds:uri="dbb1f0dc-c88e-4a47-b4fe-a8d6a964d123"/>
    <ds:schemaRef ds:uri="http://schemas.openxmlformats.org/package/2006/metadata/core-properties"/>
    <ds:schemaRef ds:uri="http://www.w3.org/XML/1998/namespace"/>
    <ds:schemaRef ds:uri="http://schemas.microsoft.com/office/infopath/2007/PartnerControls"/>
    <ds:schemaRef ds:uri="http://purl.org/dc/terms/"/>
    <ds:schemaRef ds:uri="7fb1f480-0005-4a35-b3d8-544d534b8a8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16FB7C9-67E4-4BFC-BE9C-3F5C54AE1DB8}">
  <ds:schemaRefs>
    <ds:schemaRef ds:uri="http://schemas.microsoft.com/sharepoint/v3/contenttype/forms"/>
  </ds:schemaRefs>
</ds:datastoreItem>
</file>

<file path=customXml/itemProps3.xml><?xml version="1.0" encoding="utf-8"?>
<ds:datastoreItem xmlns:ds="http://schemas.openxmlformats.org/officeDocument/2006/customXml" ds:itemID="{88A03F2B-8316-4201-BC35-60ED9BCA8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f0dc-c88e-4a47-b4fe-a8d6a964d123"/>
    <ds:schemaRef ds:uri="7fb1f480-0005-4a35-b3d8-544d534b8a87"/>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Carly Miss (DIO Comrcl-O T Perm15)</dc:creator>
  <cp:keywords/>
  <dc:description/>
  <cp:lastModifiedBy>Leatham, Patricia Miss (DIO Comrcl-O T Perm14)</cp:lastModifiedBy>
  <cp:revision>2</cp:revision>
  <dcterms:created xsi:type="dcterms:W3CDTF">2023-12-13T18:38:00Z</dcterms:created>
  <dcterms:modified xsi:type="dcterms:W3CDTF">2023-12-13T18:38:00Z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0x010100C8679CEC97DBF34B9D1724863828B65C</vt:lpwstr>
  </property>
  <property fmtid="{D5CDD505-2E9C-101B-9397-08002B2CF9AE}" pid="3" name="MSIP_Label_d8a60473-494b-4586-a1bb-b0e663054676_Enabled">
    <vt:lpwstr>true</vt:lpwstr>
  </property>
  <property fmtid="{D5CDD505-2E9C-101B-9397-08002B2CF9AE}" pid="4" name="MSIP_Label_d8a60473-494b-4586-a1bb-b0e663054676_SetDate">
    <vt:lpwstr>2023-11-16T09:19:26Z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195d2609-9cb6-45e5-8011-2a2c4237fd9e</vt:lpwstr>
  </property>
  <property fmtid="{D5CDD505-2E9C-101B-9397-08002B2CF9AE}" pid="9" name="MSIP_Label_d8a60473-494b-4586-a1bb-b0e663054676_ContentBits">
    <vt:lpwstr>0</vt:lpwstr>
  </property>
  <property fmtid="{D5CDD505-2E9C-101B-9397-08002B2CF9AE}" pid="10" name="MediaServiceImageTags">
    <vt:lpwstr/>
  </property>
</Properties>
</file>