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8AD05" w14:textId="77777777" w:rsidR="004E05DC" w:rsidRPr="00B91478" w:rsidRDefault="00F770DB">
      <w:pPr>
        <w:pStyle w:val="GPSTITLES"/>
        <w:rPr>
          <w:rFonts w:ascii="Arial" w:hAnsi="Arial"/>
        </w:rPr>
      </w:pPr>
      <w:r w:rsidRPr="00B91478">
        <w:rPr>
          <w:rFonts w:ascii="Arial" w:hAnsi="Arial"/>
          <w:caps w:val="0"/>
        </w:rPr>
        <w:t>Crown Commercial Service</w:t>
      </w:r>
    </w:p>
    <w:p w14:paraId="48026DA3"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2034D15F" w14:textId="7777777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550E41C"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2B4BBB4C" w14:textId="77777777" w:rsidR="004E05DC" w:rsidRPr="00B91478" w:rsidRDefault="004E05DC">
      <w:pPr>
        <w:pStyle w:val="MarginText"/>
        <w:ind w:left="0"/>
        <w:jc w:val="center"/>
        <w:rPr>
          <w:rFonts w:cs="Arial"/>
          <w:b/>
          <w:sz w:val="22"/>
          <w:szCs w:val="22"/>
        </w:rPr>
      </w:pPr>
    </w:p>
    <w:p w14:paraId="135D242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14:paraId="773FF7CD" w14:textId="77777777" w:rsidR="004E05DC" w:rsidRPr="00B91478" w:rsidRDefault="00F770DB">
      <w:pPr>
        <w:pStyle w:val="GPSmacrorestart"/>
        <w:rPr>
          <w:sz w:val="22"/>
          <w:szCs w:val="22"/>
          <w:lang w:eastAsia="en-GB"/>
        </w:rPr>
      </w:pPr>
      <w:r w:rsidRPr="00B91478">
        <w:rPr>
          <w:b/>
          <w:sz w:val="22"/>
          <w:szCs w:val="22"/>
          <w:highlight w:val="cyan"/>
        </w:rPr>
        <w:br w:type="page"/>
      </w:r>
    </w:p>
    <w:p w14:paraId="6C12704D"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1A6B2B7E" w14:textId="7777777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C703B72" w14:textId="77777777" w:rsidR="004E05DC" w:rsidRPr="00B91478" w:rsidRDefault="004E05DC">
      <w:pPr>
        <w:pStyle w:val="MarginText"/>
        <w:rPr>
          <w:rFonts w:cs="Arial"/>
          <w:b/>
          <w:sz w:val="22"/>
          <w:szCs w:val="22"/>
          <w:u w:val="single"/>
        </w:rPr>
      </w:pPr>
    </w:p>
    <w:p w14:paraId="18A54082" w14:textId="77777777"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t>PART 1 – CALL OFF ORDER FORM</w:t>
      </w:r>
    </w:p>
    <w:p w14:paraId="16A888A1" w14:textId="77777777" w:rsidR="004E05DC" w:rsidRPr="00B91478" w:rsidRDefault="004E05DC">
      <w:pPr>
        <w:pStyle w:val="GPSTITLES"/>
        <w:jc w:val="both"/>
        <w:rPr>
          <w:rFonts w:ascii="Arial" w:hAnsi="Arial"/>
          <w:i/>
        </w:rPr>
      </w:pPr>
    </w:p>
    <w:p w14:paraId="5A8E5450" w14:textId="77777777" w:rsidR="004E05DC" w:rsidRPr="00B91478" w:rsidRDefault="00F770DB">
      <w:pPr>
        <w:pStyle w:val="ORDERFORML1SECTIONTITLE"/>
        <w:spacing w:before="0" w:after="0"/>
        <w:rPr>
          <w:rFonts w:cs="Arial"/>
        </w:rPr>
      </w:pPr>
      <w:r w:rsidRPr="00B91478">
        <w:rPr>
          <w:rFonts w:cs="Arial"/>
        </w:rPr>
        <w:t>SECTION A</w:t>
      </w:r>
    </w:p>
    <w:p w14:paraId="21457A60" w14:textId="77777777" w:rsidR="004E05DC" w:rsidRPr="00B91478" w:rsidRDefault="004E05DC">
      <w:pPr>
        <w:pStyle w:val="ORDERFORML1SECTIONTITLE"/>
        <w:spacing w:before="0" w:after="0"/>
        <w:rPr>
          <w:rFonts w:cs="Arial"/>
        </w:rPr>
      </w:pPr>
    </w:p>
    <w:p w14:paraId="01746B47" w14:textId="77777777"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006745EF">
        <w:t>for the provision of Management Consultancy Framework Two RM6008</w:t>
      </w:r>
      <w:r w:rsidR="00B02A10">
        <w:t xml:space="preserve"> </w:t>
      </w:r>
      <w:r w:rsidR="006745EF">
        <w:t xml:space="preserve">Services </w:t>
      </w:r>
      <w:r w:rsidR="00B02A10">
        <w:t xml:space="preserve">dated </w:t>
      </w:r>
      <w:r w:rsidR="00B02A10" w:rsidRPr="00B02A10">
        <w:rPr>
          <w:b/>
          <w:color w:val="000000"/>
        </w:rPr>
        <w:t>04 September 2018</w:t>
      </w:r>
      <w:r w:rsidRPr="00B91478">
        <w:t xml:space="preserve">. </w:t>
      </w:r>
    </w:p>
    <w:p w14:paraId="6A443152" w14:textId="77777777" w:rsidR="004E05DC" w:rsidRPr="00B91478" w:rsidRDefault="004E05DC">
      <w:pPr>
        <w:spacing w:after="0"/>
        <w:ind w:left="0"/>
      </w:pPr>
    </w:p>
    <w:p w14:paraId="55250F46" w14:textId="77777777"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09C7D8BC" w14:textId="77777777" w:rsidR="004E05DC" w:rsidRPr="00B91478" w:rsidRDefault="004E05DC">
      <w:pPr>
        <w:spacing w:after="0"/>
        <w:ind w:left="0"/>
      </w:pPr>
    </w:p>
    <w:p w14:paraId="52D251C7" w14:textId="77777777"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699822F2" w14:textId="77777777" w:rsidR="004E05DC" w:rsidRPr="00B91478" w:rsidRDefault="004E05DC">
      <w:pPr>
        <w:spacing w:after="0"/>
        <w:ind w:left="0"/>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68"/>
        <w:gridCol w:w="4953"/>
      </w:tblGrid>
      <w:tr w:rsidR="00456A47" w:rsidRPr="00B91478" w14:paraId="38DB53D4" w14:textId="77777777" w:rsidTr="00456A47">
        <w:trPr>
          <w:gridAfter w:val="1"/>
          <w:wAfter w:w="4953" w:type="dxa"/>
          <w:trHeight w:val="246"/>
        </w:trPr>
        <w:tc>
          <w:tcPr>
            <w:tcW w:w="2439" w:type="dxa"/>
            <w:shd w:val="clear" w:color="auto" w:fill="auto"/>
          </w:tcPr>
          <w:p w14:paraId="0C818E16" w14:textId="77777777" w:rsidR="00456A47" w:rsidRPr="00B91478" w:rsidRDefault="00456A47">
            <w:pPr>
              <w:spacing w:after="0"/>
              <w:ind w:left="0"/>
              <w:jc w:val="left"/>
            </w:pPr>
            <w:r w:rsidRPr="00B91478">
              <w:t>Order Number</w:t>
            </w:r>
          </w:p>
        </w:tc>
        <w:tc>
          <w:tcPr>
            <w:tcW w:w="2268" w:type="dxa"/>
            <w:shd w:val="clear" w:color="auto" w:fill="auto"/>
          </w:tcPr>
          <w:p w14:paraId="6134923F" w14:textId="77777777" w:rsidR="00456A47" w:rsidRPr="00B91478" w:rsidRDefault="00456A47">
            <w:pPr>
              <w:spacing w:after="0"/>
              <w:ind w:left="0"/>
              <w:jc w:val="left"/>
              <w:rPr>
                <w:b/>
              </w:rPr>
            </w:pPr>
            <w:r>
              <w:rPr>
                <w:b/>
              </w:rPr>
              <w:t>TBC</w:t>
            </w:r>
          </w:p>
        </w:tc>
      </w:tr>
      <w:tr w:rsidR="00456A47" w:rsidRPr="00B91478" w14:paraId="5F31381F" w14:textId="77777777" w:rsidTr="00456A47">
        <w:trPr>
          <w:trHeight w:val="493"/>
        </w:trPr>
        <w:tc>
          <w:tcPr>
            <w:tcW w:w="2439" w:type="dxa"/>
            <w:shd w:val="clear" w:color="auto" w:fill="auto"/>
          </w:tcPr>
          <w:p w14:paraId="512BB6CB" w14:textId="77777777" w:rsidR="00456A47" w:rsidRPr="00B91478" w:rsidRDefault="00456A47">
            <w:pPr>
              <w:spacing w:after="0"/>
              <w:ind w:left="0"/>
              <w:jc w:val="left"/>
            </w:pPr>
            <w:r w:rsidRPr="00B91478">
              <w:t>From</w:t>
            </w:r>
          </w:p>
        </w:tc>
        <w:tc>
          <w:tcPr>
            <w:tcW w:w="7221" w:type="dxa"/>
            <w:gridSpan w:val="2"/>
            <w:shd w:val="clear" w:color="auto" w:fill="auto"/>
          </w:tcPr>
          <w:p w14:paraId="15106E3A" w14:textId="77777777" w:rsidR="00456A47" w:rsidRDefault="00456A47">
            <w:pPr>
              <w:spacing w:after="0"/>
              <w:ind w:left="0"/>
              <w:jc w:val="left"/>
              <w:rPr>
                <w:b/>
                <w:spacing w:val="-3"/>
                <w:lang w:eastAsia="en-GB"/>
              </w:rPr>
            </w:pPr>
            <w:r w:rsidRPr="00490057">
              <w:rPr>
                <w:b/>
                <w:spacing w:val="-3"/>
                <w:lang w:eastAsia="en-GB"/>
              </w:rPr>
              <w:t>HMRC</w:t>
            </w:r>
          </w:p>
          <w:p w14:paraId="326170CD" w14:textId="77777777" w:rsidR="00456A47" w:rsidRPr="00B91478" w:rsidRDefault="00456A47">
            <w:pPr>
              <w:spacing w:after="0"/>
              <w:ind w:left="0"/>
              <w:jc w:val="left"/>
              <w:rPr>
                <w:b/>
              </w:rPr>
            </w:pPr>
            <w:r w:rsidRPr="00B91478">
              <w:rPr>
                <w:b/>
              </w:rPr>
              <w:t xml:space="preserve"> ("CUSTOMER")</w:t>
            </w:r>
          </w:p>
        </w:tc>
      </w:tr>
      <w:tr w:rsidR="00456A47" w:rsidRPr="00B91478" w14:paraId="15CA17B3" w14:textId="77777777" w:rsidTr="00456A47">
        <w:trPr>
          <w:trHeight w:val="493"/>
        </w:trPr>
        <w:tc>
          <w:tcPr>
            <w:tcW w:w="2439" w:type="dxa"/>
            <w:shd w:val="clear" w:color="auto" w:fill="auto"/>
          </w:tcPr>
          <w:p w14:paraId="7E42DA52" w14:textId="77777777" w:rsidR="00456A47" w:rsidRPr="00B91478" w:rsidRDefault="00456A47">
            <w:pPr>
              <w:spacing w:after="0"/>
              <w:ind w:left="0"/>
              <w:jc w:val="left"/>
            </w:pPr>
            <w:r w:rsidRPr="00B91478">
              <w:t>To</w:t>
            </w:r>
          </w:p>
        </w:tc>
        <w:tc>
          <w:tcPr>
            <w:tcW w:w="7221" w:type="dxa"/>
            <w:gridSpan w:val="2"/>
            <w:shd w:val="clear" w:color="auto" w:fill="auto"/>
          </w:tcPr>
          <w:p w14:paraId="65BE6C8E" w14:textId="77777777" w:rsidR="00456A47" w:rsidRDefault="00456A47">
            <w:pPr>
              <w:spacing w:after="0"/>
              <w:ind w:left="0"/>
              <w:jc w:val="left"/>
              <w:rPr>
                <w:b/>
              </w:rPr>
            </w:pPr>
            <w:r>
              <w:rPr>
                <w:b/>
              </w:rPr>
              <w:t>Accenture (UK) Ltd</w:t>
            </w:r>
          </w:p>
          <w:p w14:paraId="55576BA9" w14:textId="77777777" w:rsidR="00456A47" w:rsidRPr="00B91478" w:rsidRDefault="00456A47">
            <w:pPr>
              <w:spacing w:after="0"/>
              <w:ind w:left="0"/>
              <w:jc w:val="left"/>
              <w:rPr>
                <w:b/>
              </w:rPr>
            </w:pPr>
            <w:r w:rsidRPr="00B91478">
              <w:rPr>
                <w:b/>
              </w:rPr>
              <w:t xml:space="preserve"> ("SUPPLIER")</w:t>
            </w:r>
          </w:p>
        </w:tc>
      </w:tr>
      <w:tr w:rsidR="00456A47" w:rsidRPr="00B91478" w14:paraId="70D52723" w14:textId="77777777" w:rsidTr="00456A47">
        <w:trPr>
          <w:trHeight w:val="493"/>
        </w:trPr>
        <w:tc>
          <w:tcPr>
            <w:tcW w:w="2439" w:type="dxa"/>
            <w:shd w:val="clear" w:color="auto" w:fill="auto"/>
          </w:tcPr>
          <w:p w14:paraId="04FBF7B0" w14:textId="77777777" w:rsidR="00456A47" w:rsidRPr="00B91478" w:rsidRDefault="00456A47">
            <w:pPr>
              <w:spacing w:after="0"/>
              <w:ind w:left="0"/>
              <w:jc w:val="left"/>
            </w:pPr>
            <w:r>
              <w:t xml:space="preserve">Date </w:t>
            </w:r>
          </w:p>
        </w:tc>
        <w:tc>
          <w:tcPr>
            <w:tcW w:w="7221" w:type="dxa"/>
            <w:gridSpan w:val="2"/>
            <w:shd w:val="clear" w:color="auto" w:fill="auto"/>
          </w:tcPr>
          <w:p w14:paraId="5159BD41" w14:textId="0F4AC495" w:rsidR="00456A47" w:rsidRPr="00B91478" w:rsidRDefault="00A1712B" w:rsidP="00B02A10">
            <w:pPr>
              <w:spacing w:after="0"/>
              <w:ind w:left="0"/>
              <w:jc w:val="left"/>
              <w:rPr>
                <w:b/>
              </w:rPr>
            </w:pPr>
            <w:r>
              <w:rPr>
                <w:b/>
              </w:rPr>
              <w:t>14</w:t>
            </w:r>
            <w:r w:rsidR="00456A47">
              <w:rPr>
                <w:b/>
              </w:rPr>
              <w:t>/03/2019</w:t>
            </w:r>
          </w:p>
          <w:p w14:paraId="7ABE47CB" w14:textId="77777777" w:rsidR="00456A47" w:rsidRPr="00B91478" w:rsidRDefault="00456A47" w:rsidP="00B02A10">
            <w:pPr>
              <w:spacing w:after="0"/>
              <w:ind w:left="0"/>
              <w:jc w:val="left"/>
              <w:rPr>
                <w:b/>
                <w:highlight w:val="yellow"/>
              </w:rPr>
            </w:pPr>
            <w:r w:rsidRPr="00B91478">
              <w:rPr>
                <w:b/>
              </w:rPr>
              <w:t>("</w:t>
            </w:r>
            <w:r>
              <w:rPr>
                <w:b/>
              </w:rPr>
              <w:t>DATE</w:t>
            </w:r>
            <w:r w:rsidRPr="00B91478">
              <w:rPr>
                <w:b/>
              </w:rPr>
              <w:t>")</w:t>
            </w:r>
          </w:p>
        </w:tc>
      </w:tr>
    </w:tbl>
    <w:p w14:paraId="3C4B553D" w14:textId="77777777" w:rsidR="004E05DC" w:rsidRPr="00B91478" w:rsidRDefault="004E05DC">
      <w:pPr>
        <w:spacing w:after="0"/>
        <w:ind w:left="0"/>
      </w:pPr>
    </w:p>
    <w:p w14:paraId="3111D1D0" w14:textId="77777777" w:rsidR="004E05DC" w:rsidRPr="00B91478" w:rsidRDefault="00F770DB">
      <w:pPr>
        <w:pStyle w:val="ORDERFORML1SECTIONTITLE"/>
        <w:spacing w:before="0" w:after="0"/>
        <w:rPr>
          <w:rFonts w:cs="Arial"/>
        </w:rPr>
      </w:pPr>
      <w:r w:rsidRPr="00B91478">
        <w:rPr>
          <w:rFonts w:cs="Arial"/>
        </w:rPr>
        <w:t xml:space="preserve">SECTION B </w:t>
      </w:r>
    </w:p>
    <w:p w14:paraId="13AAEB70" w14:textId="77777777" w:rsidR="004E05DC" w:rsidRPr="00B91478" w:rsidRDefault="004E05DC">
      <w:pPr>
        <w:pStyle w:val="ORDERFORML1SECTIONTITLE"/>
        <w:spacing w:before="0" w:after="0"/>
        <w:rPr>
          <w:rFonts w:cs="Arial"/>
        </w:rPr>
      </w:pPr>
    </w:p>
    <w:p w14:paraId="1F16D71F"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4A4772EA"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4961"/>
      </w:tblGrid>
      <w:tr w:rsidR="004E05DC" w:rsidRPr="00B91478" w14:paraId="25920702" w14:textId="77777777" w:rsidTr="006745EF">
        <w:tc>
          <w:tcPr>
            <w:tcW w:w="567" w:type="dxa"/>
          </w:tcPr>
          <w:p w14:paraId="32104CC1" w14:textId="77777777" w:rsidR="004E05DC" w:rsidRPr="00B91478" w:rsidRDefault="004E05DC">
            <w:pPr>
              <w:pStyle w:val="ORDERFORML1NONBOLDNONNUMBERTEXT"/>
              <w:numPr>
                <w:ilvl w:val="1"/>
                <w:numId w:val="64"/>
              </w:numPr>
              <w:spacing w:before="0" w:after="0"/>
              <w:rPr>
                <w:rFonts w:cs="Arial"/>
                <w:b/>
              </w:rPr>
            </w:pPr>
          </w:p>
        </w:tc>
        <w:tc>
          <w:tcPr>
            <w:tcW w:w="4140" w:type="dxa"/>
            <w:shd w:val="clear" w:color="auto" w:fill="auto"/>
          </w:tcPr>
          <w:p w14:paraId="365D6879" w14:textId="77777777" w:rsidR="004E05DC" w:rsidRPr="00B91478" w:rsidRDefault="00F770DB">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p>
          <w:p w14:paraId="387DB410" w14:textId="77777777" w:rsidR="004E05DC" w:rsidRPr="00B91478" w:rsidRDefault="004E05DC">
            <w:pPr>
              <w:overflowPunct/>
              <w:autoSpaceDE/>
              <w:autoSpaceDN/>
              <w:adjustRightInd/>
              <w:spacing w:after="0"/>
              <w:ind w:left="0" w:right="936"/>
              <w:jc w:val="left"/>
              <w:textAlignment w:val="auto"/>
              <w:rPr>
                <w:rFonts w:eastAsia="Calibri"/>
                <w:color w:val="C00000"/>
              </w:rPr>
            </w:pPr>
          </w:p>
        </w:tc>
        <w:tc>
          <w:tcPr>
            <w:tcW w:w="4961" w:type="dxa"/>
            <w:shd w:val="clear" w:color="auto" w:fill="auto"/>
          </w:tcPr>
          <w:p w14:paraId="497195F0" w14:textId="511E634A" w:rsidR="004E05DC" w:rsidRPr="006745EF" w:rsidRDefault="001B3B98" w:rsidP="00C17DB9">
            <w:pPr>
              <w:ind w:left="0"/>
              <w:rPr>
                <w:i/>
                <w:shd w:val="clear" w:color="auto" w:fill="D9D9D9"/>
              </w:rPr>
            </w:pPr>
            <w:r w:rsidRPr="006745EF">
              <w:rPr>
                <w:rFonts w:eastAsia="STZhongsong"/>
                <w:lang w:eastAsia="zh-CN"/>
              </w:rPr>
              <w:t>1</w:t>
            </w:r>
            <w:r w:rsidR="004447B3">
              <w:rPr>
                <w:rFonts w:eastAsia="STZhongsong"/>
                <w:lang w:eastAsia="zh-CN"/>
              </w:rPr>
              <w:t>8</w:t>
            </w:r>
            <w:r w:rsidRPr="006745EF">
              <w:rPr>
                <w:rFonts w:eastAsia="STZhongsong"/>
                <w:lang w:eastAsia="zh-CN"/>
              </w:rPr>
              <w:t>/03/2019</w:t>
            </w:r>
          </w:p>
        </w:tc>
      </w:tr>
      <w:tr w:rsidR="004E05DC" w:rsidRPr="00B91478" w14:paraId="27A0ADC7" w14:textId="77777777" w:rsidTr="006745EF">
        <w:tc>
          <w:tcPr>
            <w:tcW w:w="567" w:type="dxa"/>
          </w:tcPr>
          <w:p w14:paraId="6E23A400" w14:textId="77777777" w:rsidR="004E05DC" w:rsidRPr="00B91478" w:rsidRDefault="00F770DB">
            <w:pPr>
              <w:pStyle w:val="11table"/>
              <w:rPr>
                <w:rFonts w:ascii="Arial" w:hAnsi="Arial" w:cs="Arial"/>
              </w:rPr>
            </w:pPr>
            <w:r w:rsidRPr="00B91478">
              <w:rPr>
                <w:rFonts w:ascii="Arial" w:hAnsi="Arial" w:cs="Arial"/>
              </w:rPr>
              <w:t xml:space="preserve"> </w:t>
            </w:r>
          </w:p>
          <w:p w14:paraId="685790C1" w14:textId="77777777" w:rsidR="004E05DC" w:rsidRPr="00B91478" w:rsidRDefault="004E05DC">
            <w:pPr>
              <w:overflowPunct/>
              <w:autoSpaceDE/>
              <w:autoSpaceDN/>
              <w:spacing w:after="0"/>
              <w:ind w:left="360"/>
              <w:jc w:val="left"/>
              <w:textAlignment w:val="auto"/>
              <w:rPr>
                <w:rFonts w:eastAsia="STZhongsong"/>
                <w:b/>
                <w:lang w:eastAsia="zh-CN"/>
              </w:rPr>
            </w:pPr>
          </w:p>
        </w:tc>
        <w:tc>
          <w:tcPr>
            <w:tcW w:w="4140" w:type="dxa"/>
            <w:shd w:val="clear" w:color="auto" w:fill="auto"/>
          </w:tcPr>
          <w:p w14:paraId="02592697" w14:textId="77777777" w:rsidR="004E05DC" w:rsidRPr="00B91478" w:rsidRDefault="00F770D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12A269A" w14:textId="77777777" w:rsidR="004E05DC" w:rsidRPr="00B91478" w:rsidRDefault="004E05DC">
            <w:pPr>
              <w:numPr>
                <w:ilvl w:val="1"/>
                <w:numId w:val="0"/>
              </w:numPr>
              <w:overflowPunct/>
              <w:autoSpaceDE/>
              <w:autoSpaceDN/>
              <w:spacing w:after="0"/>
              <w:jc w:val="left"/>
              <w:textAlignment w:val="auto"/>
              <w:rPr>
                <w:rFonts w:eastAsia="STZhongsong"/>
                <w:lang w:eastAsia="zh-CN"/>
              </w:rPr>
            </w:pPr>
          </w:p>
          <w:p w14:paraId="3917C12F" w14:textId="77777777" w:rsidR="004E05DC" w:rsidRPr="00B91478" w:rsidRDefault="004E05DC" w:rsidP="001B3B98">
            <w:pPr>
              <w:overflowPunct/>
              <w:autoSpaceDE/>
              <w:autoSpaceDN/>
              <w:spacing w:after="0"/>
              <w:ind w:left="0"/>
              <w:textAlignment w:val="auto"/>
              <w:rPr>
                <w:rFonts w:eastAsia="STZhongsong"/>
                <w:lang w:eastAsia="zh-CN"/>
              </w:rPr>
            </w:pPr>
          </w:p>
        </w:tc>
        <w:tc>
          <w:tcPr>
            <w:tcW w:w="4961" w:type="dxa"/>
            <w:shd w:val="clear" w:color="auto" w:fill="auto"/>
          </w:tcPr>
          <w:p w14:paraId="5F5AED62" w14:textId="15D3F8CF" w:rsidR="001B3B98" w:rsidRPr="006745EF" w:rsidRDefault="001B3B98" w:rsidP="001B3B98">
            <w:pPr>
              <w:overflowPunct/>
              <w:autoSpaceDE/>
              <w:autoSpaceDN/>
              <w:spacing w:after="0"/>
              <w:ind w:left="0"/>
              <w:jc w:val="left"/>
              <w:textAlignment w:val="auto"/>
              <w:rPr>
                <w:rFonts w:eastAsia="STZhongsong"/>
                <w:lang w:eastAsia="zh-CN"/>
              </w:rPr>
            </w:pPr>
            <w:r w:rsidRPr="006745EF">
              <w:rPr>
                <w:rFonts w:eastAsia="STZhongsong"/>
                <w:lang w:eastAsia="zh-CN"/>
              </w:rPr>
              <w:t xml:space="preserve">End date of Initial Period: </w:t>
            </w:r>
            <w:r w:rsidR="00830B75">
              <w:rPr>
                <w:rFonts w:eastAsia="STZhongsong"/>
                <w:lang w:eastAsia="zh-CN"/>
              </w:rPr>
              <w:t>07/06/</w:t>
            </w:r>
            <w:r w:rsidRPr="006745EF">
              <w:rPr>
                <w:rFonts w:eastAsia="STZhongsong"/>
                <w:lang w:eastAsia="zh-CN"/>
              </w:rPr>
              <w:t>2019</w:t>
            </w:r>
          </w:p>
          <w:p w14:paraId="3E51A31E" w14:textId="77777777" w:rsidR="001B3B98" w:rsidRPr="006745EF" w:rsidRDefault="001B3B98" w:rsidP="001B3B98">
            <w:pPr>
              <w:overflowPunct/>
              <w:autoSpaceDE/>
              <w:autoSpaceDN/>
              <w:spacing w:after="0"/>
              <w:ind w:left="0"/>
              <w:jc w:val="left"/>
              <w:textAlignment w:val="auto"/>
              <w:rPr>
                <w:rFonts w:eastAsia="STZhongsong"/>
                <w:lang w:eastAsia="zh-CN"/>
              </w:rPr>
            </w:pPr>
          </w:p>
          <w:p w14:paraId="5CEB798F" w14:textId="22066133" w:rsidR="001B3B98" w:rsidRPr="006745EF" w:rsidRDefault="001B3B98" w:rsidP="001B3B98">
            <w:pPr>
              <w:overflowPunct/>
              <w:autoSpaceDE/>
              <w:autoSpaceDN/>
              <w:spacing w:after="0"/>
              <w:ind w:left="0"/>
              <w:textAlignment w:val="auto"/>
              <w:rPr>
                <w:rFonts w:eastAsia="STZhongsong"/>
                <w:lang w:eastAsia="zh-CN"/>
              </w:rPr>
            </w:pPr>
            <w:r w:rsidRPr="006745EF">
              <w:rPr>
                <w:rFonts w:eastAsia="STZhongsong"/>
                <w:lang w:eastAsia="zh-CN"/>
              </w:rPr>
              <w:t xml:space="preserve">End date of Extension Period: </w:t>
            </w:r>
            <w:r w:rsidR="00830B75">
              <w:rPr>
                <w:rFonts w:eastAsia="STZhongsong"/>
                <w:lang w:eastAsia="zh-CN"/>
              </w:rPr>
              <w:t>07</w:t>
            </w:r>
            <w:r w:rsidRPr="006745EF">
              <w:rPr>
                <w:rFonts w:eastAsia="STZhongsong"/>
                <w:lang w:eastAsia="zh-CN"/>
              </w:rPr>
              <w:t>/0</w:t>
            </w:r>
            <w:r w:rsidR="00830B75">
              <w:rPr>
                <w:rFonts w:eastAsia="STZhongsong"/>
                <w:lang w:eastAsia="zh-CN"/>
              </w:rPr>
              <w:t>6</w:t>
            </w:r>
            <w:r w:rsidRPr="006745EF">
              <w:rPr>
                <w:rFonts w:eastAsia="STZhongsong"/>
                <w:lang w:eastAsia="zh-CN"/>
              </w:rPr>
              <w:t>/2020</w:t>
            </w:r>
          </w:p>
          <w:p w14:paraId="50A33D9D" w14:textId="77777777" w:rsidR="001B3B98" w:rsidRPr="006745EF" w:rsidRDefault="001B3B98" w:rsidP="001B3B98">
            <w:pPr>
              <w:overflowPunct/>
              <w:autoSpaceDE/>
              <w:autoSpaceDN/>
              <w:spacing w:after="0"/>
              <w:ind w:left="0"/>
              <w:textAlignment w:val="auto"/>
              <w:rPr>
                <w:rFonts w:eastAsia="STZhongsong"/>
                <w:lang w:eastAsia="zh-CN"/>
              </w:rPr>
            </w:pPr>
          </w:p>
          <w:p w14:paraId="217F81A2" w14:textId="77777777" w:rsidR="001B3B98" w:rsidRPr="006745EF" w:rsidRDefault="001B3B98" w:rsidP="001B3B98">
            <w:pPr>
              <w:overflowPunct/>
              <w:autoSpaceDE/>
              <w:autoSpaceDN/>
              <w:spacing w:after="0"/>
              <w:ind w:left="0"/>
              <w:textAlignment w:val="auto"/>
              <w:rPr>
                <w:rFonts w:eastAsia="STZhongsong"/>
                <w:lang w:eastAsia="zh-CN"/>
              </w:rPr>
            </w:pPr>
            <w:r w:rsidRPr="006745EF">
              <w:rPr>
                <w:rFonts w:eastAsia="STZhongsong"/>
                <w:lang w:eastAsia="zh-CN"/>
              </w:rPr>
              <w:t xml:space="preserve">Minimum written notice to Supplier in respect of extension: </w:t>
            </w:r>
            <w:r w:rsidR="006745EF" w:rsidRPr="006745EF">
              <w:rPr>
                <w:rFonts w:eastAsia="STZhongsong"/>
                <w:lang w:eastAsia="zh-CN"/>
              </w:rPr>
              <w:t>Not Applicable</w:t>
            </w:r>
          </w:p>
          <w:p w14:paraId="339CF646" w14:textId="77777777" w:rsidR="004E05DC" w:rsidRPr="006745EF" w:rsidRDefault="004E05DC" w:rsidP="004944BE">
            <w:pPr>
              <w:ind w:left="0"/>
              <w:rPr>
                <w:i/>
              </w:rPr>
            </w:pPr>
          </w:p>
        </w:tc>
      </w:tr>
    </w:tbl>
    <w:p w14:paraId="5A3776AB" w14:textId="77777777" w:rsidR="004E05DC" w:rsidRDefault="004E05DC">
      <w:pPr>
        <w:pStyle w:val="ORDERFORML1PraraNo"/>
        <w:numPr>
          <w:ilvl w:val="0"/>
          <w:numId w:val="0"/>
        </w:numPr>
        <w:ind w:left="426" w:hanging="426"/>
        <w:rPr>
          <w:rFonts w:ascii="Arial" w:hAnsi="Arial" w:cs="Arial"/>
        </w:rPr>
      </w:pPr>
    </w:p>
    <w:p w14:paraId="1CD073FC" w14:textId="77777777" w:rsidR="006745EF" w:rsidRDefault="006745EF">
      <w:pPr>
        <w:pStyle w:val="ORDERFORML1PraraNo"/>
        <w:numPr>
          <w:ilvl w:val="0"/>
          <w:numId w:val="0"/>
        </w:numPr>
        <w:ind w:left="426" w:hanging="426"/>
        <w:rPr>
          <w:rFonts w:ascii="Arial" w:hAnsi="Arial" w:cs="Arial"/>
        </w:rPr>
      </w:pPr>
    </w:p>
    <w:p w14:paraId="03FE59AD" w14:textId="77777777" w:rsidR="006745EF" w:rsidRDefault="006745EF">
      <w:pPr>
        <w:pStyle w:val="ORDERFORML1PraraNo"/>
        <w:numPr>
          <w:ilvl w:val="0"/>
          <w:numId w:val="0"/>
        </w:numPr>
        <w:ind w:left="426" w:hanging="426"/>
        <w:rPr>
          <w:rFonts w:ascii="Arial" w:hAnsi="Arial" w:cs="Arial"/>
        </w:rPr>
      </w:pPr>
    </w:p>
    <w:p w14:paraId="4FC2EE21" w14:textId="77777777" w:rsidR="006745EF" w:rsidRDefault="006745EF">
      <w:pPr>
        <w:pStyle w:val="ORDERFORML1PraraNo"/>
        <w:numPr>
          <w:ilvl w:val="0"/>
          <w:numId w:val="0"/>
        </w:numPr>
        <w:ind w:left="426" w:hanging="426"/>
        <w:rPr>
          <w:rFonts w:ascii="Arial" w:hAnsi="Arial" w:cs="Arial"/>
        </w:rPr>
      </w:pPr>
    </w:p>
    <w:p w14:paraId="04364F3E" w14:textId="77777777" w:rsidR="006745EF" w:rsidRDefault="006745EF">
      <w:pPr>
        <w:pStyle w:val="ORDERFORML1PraraNo"/>
        <w:numPr>
          <w:ilvl w:val="0"/>
          <w:numId w:val="0"/>
        </w:numPr>
        <w:ind w:left="426" w:hanging="426"/>
        <w:rPr>
          <w:rFonts w:ascii="Arial" w:hAnsi="Arial" w:cs="Arial"/>
        </w:rPr>
      </w:pPr>
    </w:p>
    <w:p w14:paraId="328ABC8A" w14:textId="77777777" w:rsidR="006745EF" w:rsidRDefault="006745EF">
      <w:pPr>
        <w:pStyle w:val="ORDERFORML1PraraNo"/>
        <w:numPr>
          <w:ilvl w:val="0"/>
          <w:numId w:val="0"/>
        </w:numPr>
        <w:ind w:left="426" w:hanging="426"/>
        <w:rPr>
          <w:rFonts w:ascii="Arial" w:hAnsi="Arial" w:cs="Arial"/>
        </w:rPr>
      </w:pPr>
    </w:p>
    <w:p w14:paraId="0F6FCAC2" w14:textId="77777777" w:rsidR="006745EF" w:rsidRDefault="006745EF">
      <w:pPr>
        <w:pStyle w:val="ORDERFORML1PraraNo"/>
        <w:numPr>
          <w:ilvl w:val="0"/>
          <w:numId w:val="0"/>
        </w:numPr>
        <w:ind w:left="426" w:hanging="426"/>
        <w:rPr>
          <w:rFonts w:ascii="Arial" w:hAnsi="Arial" w:cs="Arial"/>
        </w:rPr>
      </w:pPr>
    </w:p>
    <w:p w14:paraId="4EC23909" w14:textId="77777777" w:rsidR="006745EF" w:rsidRDefault="006745EF">
      <w:pPr>
        <w:pStyle w:val="ORDERFORML1PraraNo"/>
        <w:numPr>
          <w:ilvl w:val="0"/>
          <w:numId w:val="0"/>
        </w:numPr>
        <w:ind w:left="426" w:hanging="426"/>
        <w:rPr>
          <w:rFonts w:ascii="Arial" w:hAnsi="Arial" w:cs="Arial"/>
        </w:rPr>
      </w:pPr>
    </w:p>
    <w:p w14:paraId="0C12EFD4" w14:textId="77777777" w:rsidR="006745EF" w:rsidRDefault="006745EF">
      <w:pPr>
        <w:pStyle w:val="ORDERFORML1PraraNo"/>
        <w:numPr>
          <w:ilvl w:val="0"/>
          <w:numId w:val="0"/>
        </w:numPr>
        <w:ind w:left="426" w:hanging="426"/>
        <w:rPr>
          <w:rFonts w:ascii="Arial" w:hAnsi="Arial" w:cs="Arial"/>
        </w:rPr>
      </w:pPr>
    </w:p>
    <w:p w14:paraId="4D875E86" w14:textId="77777777" w:rsidR="006745EF" w:rsidRDefault="006745EF">
      <w:pPr>
        <w:pStyle w:val="ORDERFORML1PraraNo"/>
        <w:numPr>
          <w:ilvl w:val="0"/>
          <w:numId w:val="0"/>
        </w:numPr>
        <w:ind w:left="426" w:hanging="426"/>
        <w:rPr>
          <w:rFonts w:ascii="Arial" w:hAnsi="Arial" w:cs="Arial"/>
        </w:rPr>
      </w:pPr>
    </w:p>
    <w:p w14:paraId="5D421198" w14:textId="77777777" w:rsidR="006745EF" w:rsidRDefault="006745EF">
      <w:pPr>
        <w:pStyle w:val="ORDERFORML1PraraNo"/>
        <w:numPr>
          <w:ilvl w:val="0"/>
          <w:numId w:val="0"/>
        </w:numPr>
        <w:ind w:left="426" w:hanging="426"/>
        <w:rPr>
          <w:rFonts w:ascii="Arial" w:hAnsi="Arial" w:cs="Arial"/>
        </w:rPr>
      </w:pPr>
    </w:p>
    <w:p w14:paraId="4AA9E908" w14:textId="77777777" w:rsidR="006745EF" w:rsidRDefault="006745EF">
      <w:pPr>
        <w:pStyle w:val="ORDERFORML1PraraNo"/>
        <w:numPr>
          <w:ilvl w:val="0"/>
          <w:numId w:val="0"/>
        </w:numPr>
        <w:ind w:left="426" w:hanging="426"/>
        <w:rPr>
          <w:rFonts w:ascii="Arial" w:hAnsi="Arial" w:cs="Arial"/>
        </w:rPr>
      </w:pPr>
    </w:p>
    <w:p w14:paraId="735DB890" w14:textId="77777777" w:rsidR="006745EF" w:rsidRDefault="006745EF">
      <w:pPr>
        <w:pStyle w:val="ORDERFORML1PraraNo"/>
        <w:numPr>
          <w:ilvl w:val="0"/>
          <w:numId w:val="0"/>
        </w:numPr>
        <w:ind w:left="426" w:hanging="426"/>
        <w:rPr>
          <w:rFonts w:ascii="Arial" w:hAnsi="Arial" w:cs="Arial"/>
        </w:rPr>
      </w:pPr>
    </w:p>
    <w:p w14:paraId="6D7E524A" w14:textId="77777777" w:rsidR="006745EF" w:rsidRPr="00B91478" w:rsidRDefault="006745EF">
      <w:pPr>
        <w:pStyle w:val="ORDERFORML1PraraNo"/>
        <w:numPr>
          <w:ilvl w:val="0"/>
          <w:numId w:val="0"/>
        </w:numPr>
        <w:ind w:left="426" w:hanging="426"/>
        <w:rPr>
          <w:rFonts w:ascii="Arial" w:hAnsi="Arial" w:cs="Arial"/>
        </w:rPr>
      </w:pPr>
    </w:p>
    <w:p w14:paraId="2227C2F7" w14:textId="77777777" w:rsidR="004E05DC" w:rsidRPr="00B91478" w:rsidRDefault="00F770DB">
      <w:pPr>
        <w:pStyle w:val="ORDERFORML1PraraNo"/>
        <w:rPr>
          <w:rFonts w:ascii="Arial" w:hAnsi="Arial" w:cs="Arial"/>
        </w:rPr>
      </w:pPr>
      <w:r w:rsidRPr="00B91478">
        <w:rPr>
          <w:rFonts w:ascii="Arial" w:hAnsi="Arial" w:cs="Arial"/>
        </w:rPr>
        <w:t>Services</w:t>
      </w:r>
    </w:p>
    <w:p w14:paraId="6A6F4EBA"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848"/>
      </w:tblGrid>
      <w:tr w:rsidR="004E05DC" w:rsidRPr="00B91478" w14:paraId="759C454D" w14:textId="77777777" w:rsidTr="006745EF">
        <w:trPr>
          <w:trHeight w:val="2684"/>
        </w:trPr>
        <w:tc>
          <w:tcPr>
            <w:tcW w:w="553" w:type="dxa"/>
          </w:tcPr>
          <w:p w14:paraId="4B2C1CF9" w14:textId="77777777" w:rsidR="004E05DC" w:rsidRPr="00B91478" w:rsidRDefault="00F770DB">
            <w:pPr>
              <w:pStyle w:val="11table"/>
              <w:numPr>
                <w:ilvl w:val="0"/>
                <w:numId w:val="0"/>
              </w:numPr>
              <w:ind w:left="360" w:hanging="360"/>
              <w:rPr>
                <w:rFonts w:ascii="Arial" w:hAnsi="Arial" w:cs="Arial"/>
              </w:rPr>
            </w:pPr>
            <w:r w:rsidRPr="00B91478">
              <w:rPr>
                <w:rFonts w:ascii="Arial" w:hAnsi="Arial" w:cs="Arial"/>
              </w:rPr>
              <w:t xml:space="preserve">2.1.  </w:t>
            </w:r>
          </w:p>
        </w:tc>
        <w:tc>
          <w:tcPr>
            <w:tcW w:w="4233" w:type="dxa"/>
            <w:shd w:val="clear" w:color="auto" w:fill="auto"/>
          </w:tcPr>
          <w:p w14:paraId="76604968" w14:textId="77777777" w:rsidR="004E05DC" w:rsidRPr="00B91478" w:rsidRDefault="00F770D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66ED0986" w14:textId="77777777" w:rsidR="004E05DC" w:rsidRPr="00B91478" w:rsidRDefault="004E05DC">
            <w:pPr>
              <w:numPr>
                <w:ilvl w:val="1"/>
                <w:numId w:val="0"/>
              </w:numPr>
              <w:overflowPunct/>
              <w:autoSpaceDE/>
              <w:autoSpaceDN/>
              <w:spacing w:after="0"/>
              <w:jc w:val="left"/>
              <w:textAlignment w:val="auto"/>
              <w:rPr>
                <w:rFonts w:eastAsia="STZhongsong"/>
                <w:lang w:eastAsia="zh-CN"/>
              </w:rPr>
            </w:pPr>
          </w:p>
          <w:p w14:paraId="2E934581" w14:textId="77777777" w:rsidR="004E05DC" w:rsidRDefault="00F770DB">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14:paraId="62DE27F3" w14:textId="77777777" w:rsidR="00482DA3" w:rsidRDefault="00482DA3">
            <w:pPr>
              <w:numPr>
                <w:ilvl w:val="1"/>
                <w:numId w:val="0"/>
              </w:numPr>
              <w:overflowPunct/>
              <w:autoSpaceDE/>
              <w:autoSpaceDN/>
              <w:spacing w:after="0"/>
              <w:jc w:val="left"/>
              <w:textAlignment w:val="auto"/>
              <w:rPr>
                <w:rFonts w:eastAsia="STZhongsong"/>
                <w:lang w:eastAsia="zh-CN"/>
              </w:rPr>
            </w:pPr>
          </w:p>
          <w:p w14:paraId="7FAF770E" w14:textId="77777777" w:rsidR="00482DA3" w:rsidRPr="00B91478" w:rsidRDefault="00482DA3">
            <w:pPr>
              <w:numPr>
                <w:ilvl w:val="1"/>
                <w:numId w:val="0"/>
              </w:numPr>
              <w:overflowPunct/>
              <w:autoSpaceDE/>
              <w:autoSpaceDN/>
              <w:spacing w:after="0"/>
              <w:jc w:val="left"/>
              <w:textAlignment w:val="auto"/>
              <w:rPr>
                <w:rFonts w:eastAsia="STZhongsong"/>
                <w:b/>
                <w:lang w:eastAsia="zh-CN"/>
              </w:rPr>
            </w:pPr>
          </w:p>
        </w:tc>
        <w:tc>
          <w:tcPr>
            <w:tcW w:w="4848" w:type="dxa"/>
            <w:shd w:val="clear" w:color="auto" w:fill="auto"/>
          </w:tcPr>
          <w:p w14:paraId="097755DE" w14:textId="4EE87193" w:rsidR="004E05DC" w:rsidRDefault="00482DA3" w:rsidP="00482DA3">
            <w:pPr>
              <w:tabs>
                <w:tab w:val="left" w:pos="577"/>
              </w:tabs>
              <w:overflowPunct/>
              <w:autoSpaceDE/>
              <w:autoSpaceDN/>
              <w:spacing w:after="0"/>
              <w:ind w:left="0"/>
              <w:textAlignment w:val="auto"/>
              <w:rPr>
                <w:rFonts w:eastAsia="STZhongsong"/>
                <w:lang w:eastAsia="zh-CN"/>
              </w:rPr>
            </w:pPr>
            <w:r>
              <w:rPr>
                <w:rFonts w:eastAsia="STZhongsong"/>
                <w:lang w:eastAsia="zh-CN"/>
              </w:rPr>
              <w:t>The services required are to complete a strategic review of HMRC’s customer contact services as detailed in the RFP document provided.</w:t>
            </w:r>
          </w:p>
          <w:p w14:paraId="4225C9D7" w14:textId="77777777" w:rsidR="006745EF" w:rsidRDefault="006745EF" w:rsidP="00482DA3">
            <w:pPr>
              <w:tabs>
                <w:tab w:val="left" w:pos="577"/>
              </w:tabs>
              <w:overflowPunct/>
              <w:autoSpaceDE/>
              <w:autoSpaceDN/>
              <w:spacing w:after="0"/>
              <w:ind w:left="0"/>
              <w:textAlignment w:val="auto"/>
              <w:rPr>
                <w:rFonts w:eastAsia="STZhongsong"/>
                <w:lang w:eastAsia="zh-CN"/>
              </w:rPr>
            </w:pPr>
          </w:p>
          <w:bookmarkStart w:id="0" w:name="_MON_1613459995"/>
          <w:bookmarkEnd w:id="0"/>
          <w:p w14:paraId="31695C64" w14:textId="77777777" w:rsidR="006745EF" w:rsidRDefault="006745EF" w:rsidP="00482DA3">
            <w:pPr>
              <w:tabs>
                <w:tab w:val="left" w:pos="577"/>
              </w:tabs>
              <w:overflowPunct/>
              <w:autoSpaceDE/>
              <w:autoSpaceDN/>
              <w:spacing w:after="0"/>
              <w:ind w:left="0"/>
              <w:textAlignment w:val="auto"/>
              <w:rPr>
                <w:rFonts w:eastAsia="STZhongsong"/>
                <w:lang w:eastAsia="zh-CN"/>
              </w:rPr>
            </w:pPr>
            <w:r>
              <w:rPr>
                <w:rFonts w:eastAsia="STZhongsong"/>
                <w:lang w:eastAsia="zh-CN"/>
              </w:rPr>
              <w:object w:dxaOrig="1534" w:dyaOrig="994" w14:anchorId="58520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8" o:title=""/>
                </v:shape>
                <o:OLEObject Type="Embed" ProgID="Word.Document.12" ShapeID="_x0000_i1025" DrawAspect="Icon" ObjectID="_1614499767" r:id="rId9">
                  <o:FieldCodes>\s</o:FieldCodes>
                </o:OLEObject>
              </w:object>
            </w:r>
          </w:p>
          <w:p w14:paraId="3EBD0CAE" w14:textId="71ED231F" w:rsidR="00E3601A" w:rsidRPr="00AF59D4" w:rsidRDefault="00E3601A" w:rsidP="00482DA3">
            <w:pPr>
              <w:tabs>
                <w:tab w:val="left" w:pos="577"/>
              </w:tabs>
              <w:overflowPunct/>
              <w:autoSpaceDE/>
              <w:autoSpaceDN/>
              <w:spacing w:after="0"/>
              <w:ind w:left="0"/>
              <w:textAlignment w:val="auto"/>
              <w:rPr>
                <w:rFonts w:eastAsia="STZhongsong"/>
                <w:lang w:eastAsia="zh-CN"/>
              </w:rPr>
            </w:pPr>
          </w:p>
        </w:tc>
      </w:tr>
    </w:tbl>
    <w:p w14:paraId="071B8FDD" w14:textId="77777777" w:rsidR="004E05DC" w:rsidRDefault="004E05DC">
      <w:pPr>
        <w:spacing w:after="0"/>
        <w:ind w:left="0"/>
      </w:pPr>
    </w:p>
    <w:p w14:paraId="476AD28C" w14:textId="77777777" w:rsidR="006745EF" w:rsidRDefault="006745EF">
      <w:pPr>
        <w:spacing w:after="0"/>
        <w:ind w:left="0"/>
      </w:pPr>
    </w:p>
    <w:p w14:paraId="681C26B7" w14:textId="77777777" w:rsidR="006745EF" w:rsidRPr="00B91478" w:rsidRDefault="006745EF">
      <w:pPr>
        <w:spacing w:after="0"/>
        <w:ind w:left="0"/>
      </w:pPr>
    </w:p>
    <w:p w14:paraId="1B061CDD" w14:textId="77777777" w:rsidR="004E05DC" w:rsidRPr="00B91478" w:rsidRDefault="00F770DB">
      <w:pPr>
        <w:pStyle w:val="ORDERFORML1PraraNo"/>
        <w:rPr>
          <w:rFonts w:ascii="Arial" w:hAnsi="Arial" w:cs="Arial"/>
        </w:rPr>
      </w:pPr>
      <w:r w:rsidRPr="00B91478">
        <w:rPr>
          <w:rFonts w:ascii="Arial" w:hAnsi="Arial" w:cs="Arial"/>
        </w:rPr>
        <w:t>PROJECT Plan</w:t>
      </w:r>
    </w:p>
    <w:p w14:paraId="548E10B8"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006"/>
        <w:gridCol w:w="4889"/>
      </w:tblGrid>
      <w:tr w:rsidR="004E05DC" w:rsidRPr="00B91478" w14:paraId="29B0275E" w14:textId="77777777" w:rsidTr="00456A47">
        <w:tc>
          <w:tcPr>
            <w:tcW w:w="843" w:type="dxa"/>
          </w:tcPr>
          <w:p w14:paraId="692432CA" w14:textId="77777777" w:rsidR="004E05DC" w:rsidRPr="00B91478" w:rsidRDefault="00F770DB">
            <w:pPr>
              <w:ind w:left="0"/>
              <w:rPr>
                <w:b/>
              </w:rPr>
            </w:pPr>
            <w:r w:rsidRPr="00B91478">
              <w:rPr>
                <w:b/>
              </w:rPr>
              <w:t xml:space="preserve">3.1. </w:t>
            </w:r>
          </w:p>
        </w:tc>
        <w:tc>
          <w:tcPr>
            <w:tcW w:w="4006" w:type="dxa"/>
            <w:shd w:val="clear" w:color="auto" w:fill="auto"/>
          </w:tcPr>
          <w:p w14:paraId="2CBD6852" w14:textId="77777777" w:rsidR="004E05DC" w:rsidRPr="00B91478" w:rsidRDefault="00F770DB">
            <w:pPr>
              <w:ind w:left="0"/>
            </w:pPr>
            <w:r w:rsidRPr="00B91478">
              <w:rPr>
                <w:b/>
              </w:rPr>
              <w:t>Project Plan</w:t>
            </w:r>
            <w:r w:rsidRPr="00B91478">
              <w:t xml:space="preserve">: </w:t>
            </w:r>
          </w:p>
          <w:p w14:paraId="7957CBB5" w14:textId="77777777" w:rsidR="004E05DC" w:rsidRPr="00BB4A0B" w:rsidRDefault="004E05DC">
            <w:pPr>
              <w:ind w:left="0"/>
            </w:pPr>
          </w:p>
        </w:tc>
        <w:tc>
          <w:tcPr>
            <w:tcW w:w="4889" w:type="dxa"/>
            <w:shd w:val="clear" w:color="auto" w:fill="auto"/>
          </w:tcPr>
          <w:p w14:paraId="382EC841" w14:textId="5E71F511" w:rsidR="008931FF" w:rsidRDefault="00456A47" w:rsidP="00443594">
            <w:pPr>
              <w:pStyle w:val="GPSL2Guidance"/>
              <w:ind w:left="0"/>
              <w:rPr>
                <w:rFonts w:ascii="Arial" w:hAnsi="Arial"/>
                <w:b w:val="0"/>
                <w:i w:val="0"/>
              </w:rPr>
            </w:pPr>
            <w:r w:rsidRPr="00456A47">
              <w:rPr>
                <w:rFonts w:ascii="Arial" w:hAnsi="Arial"/>
                <w:b w:val="0"/>
                <w:i w:val="0"/>
              </w:rPr>
              <w:t xml:space="preserve">The </w:t>
            </w:r>
            <w:r w:rsidR="009F3B0B" w:rsidRPr="00456A47">
              <w:rPr>
                <w:rFonts w:ascii="Arial" w:hAnsi="Arial"/>
                <w:b w:val="0"/>
                <w:i w:val="0"/>
              </w:rPr>
              <w:t xml:space="preserve">Project plan </w:t>
            </w:r>
            <w:r w:rsidRPr="00456A47">
              <w:rPr>
                <w:rFonts w:ascii="Arial" w:hAnsi="Arial"/>
                <w:b w:val="0"/>
                <w:i w:val="0"/>
              </w:rPr>
              <w:t xml:space="preserve">is detailed on </w:t>
            </w:r>
            <w:r w:rsidR="009F3B0B" w:rsidRPr="00456A47">
              <w:rPr>
                <w:rFonts w:ascii="Arial" w:hAnsi="Arial"/>
                <w:b w:val="0"/>
                <w:i w:val="0"/>
              </w:rPr>
              <w:t xml:space="preserve">page 7 of </w:t>
            </w:r>
            <w:r>
              <w:rPr>
                <w:rFonts w:ascii="Arial" w:hAnsi="Arial"/>
                <w:b w:val="0"/>
                <w:i w:val="0"/>
              </w:rPr>
              <w:t xml:space="preserve">Accenture’s </w:t>
            </w:r>
            <w:r w:rsidRPr="00456A47">
              <w:rPr>
                <w:rFonts w:ascii="Arial" w:hAnsi="Arial"/>
                <w:b w:val="0"/>
                <w:i w:val="0"/>
              </w:rPr>
              <w:t>bid response provided.</w:t>
            </w:r>
            <w:r w:rsidR="008931FF" w:rsidRPr="00456A47">
              <w:rPr>
                <w:rFonts w:ascii="Arial" w:hAnsi="Arial"/>
                <w:b w:val="0"/>
                <w:i w:val="0"/>
              </w:rPr>
              <w:t xml:space="preserve"> </w:t>
            </w:r>
          </w:p>
          <w:p w14:paraId="4C5A5728" w14:textId="54E8B6E6" w:rsidR="007B3B87" w:rsidRDefault="007B3B87" w:rsidP="00A142BA">
            <w:pPr>
              <w:pStyle w:val="GPSL2Guidance"/>
              <w:ind w:left="0"/>
              <w:rPr>
                <w:i w:val="0"/>
              </w:rPr>
            </w:pPr>
          </w:p>
          <w:p w14:paraId="75C535DC" w14:textId="3ED6CB52" w:rsidR="00E3601A" w:rsidRPr="00456A47" w:rsidRDefault="002A5D4E" w:rsidP="00A142BA">
            <w:pPr>
              <w:pStyle w:val="GPSL2Guidance"/>
              <w:ind w:left="0"/>
              <w:rPr>
                <w:i w:val="0"/>
              </w:rPr>
            </w:pPr>
            <w:r>
              <w:rPr>
                <w:rFonts w:ascii="Arial" w:hAnsi="Arial"/>
                <w:b w:val="0"/>
                <w:i w:val="0"/>
              </w:rPr>
              <w:t>As part of the implementation plan t</w:t>
            </w:r>
            <w:r w:rsidRPr="002A5D4E">
              <w:rPr>
                <w:rFonts w:ascii="Arial" w:hAnsi="Arial"/>
                <w:b w:val="0"/>
                <w:i w:val="0"/>
              </w:rPr>
              <w:t>he parties will develop mutually agreeable acceptance criteria and procedures that will apply to the Deliverables developed by Supplier pursuant to this Call off Order Form.  The only basis for acceptance of Deliverables will be substantial conformance to such acceptance criteria, in accordance with the acceptance procedures.  The only basis for rejection of Deliverables will be the failure of the Deliverables substantially to conform to the acceptance criteria, in accordance with the acceptance procedures. All Deliverables will be deemed accepted if Customer does not reject the Services and Deliverables by providing written notice within ten working (10) days after delivery specifically identifying the manner in which the Services or Deliverables fail to substantially comply with their applicable specifications or if Customer puts the Deliverables to us</w:t>
            </w:r>
            <w:r>
              <w:rPr>
                <w:rFonts w:ascii="Arial" w:hAnsi="Arial"/>
                <w:b w:val="0"/>
                <w:i w:val="0"/>
              </w:rPr>
              <w:t xml:space="preserve">e. The Supplier and the Customer will also agree mutually acceptable Customer dependencies within the implementation plan. </w:t>
            </w:r>
            <w:r w:rsidR="00E3601A" w:rsidRPr="000650C6">
              <w:rPr>
                <w:rFonts w:ascii="Arial" w:hAnsi="Arial"/>
                <w:b w:val="0"/>
                <w:i w:val="0"/>
              </w:rPr>
              <w:t>The Supplier and the Customer will agree an implementation plan that will include any Customer/Supplier obligations and dependencies and an acceptance criteria for the milestones.</w:t>
            </w:r>
          </w:p>
        </w:tc>
      </w:tr>
    </w:tbl>
    <w:p w14:paraId="65E31118" w14:textId="77777777" w:rsidR="004E05DC" w:rsidRDefault="004E05DC">
      <w:pPr>
        <w:pStyle w:val="ORDERFORML1PraraNo"/>
        <w:numPr>
          <w:ilvl w:val="0"/>
          <w:numId w:val="0"/>
        </w:numPr>
        <w:ind w:left="426"/>
        <w:rPr>
          <w:rFonts w:ascii="Arial" w:hAnsi="Arial" w:cs="Arial"/>
        </w:rPr>
      </w:pPr>
    </w:p>
    <w:p w14:paraId="5313BEA7" w14:textId="77777777" w:rsidR="006745EF" w:rsidRDefault="006745EF" w:rsidP="006745EF">
      <w:pPr>
        <w:pStyle w:val="ORDERFORML1PraraNo"/>
        <w:numPr>
          <w:ilvl w:val="0"/>
          <w:numId w:val="0"/>
        </w:numPr>
        <w:rPr>
          <w:rFonts w:ascii="Arial" w:hAnsi="Arial" w:cs="Arial"/>
        </w:rPr>
      </w:pPr>
    </w:p>
    <w:p w14:paraId="3785ECF4" w14:textId="77777777" w:rsidR="006745EF" w:rsidRDefault="006745EF" w:rsidP="006745EF">
      <w:pPr>
        <w:pStyle w:val="ORDERFORML1PraraNo"/>
        <w:numPr>
          <w:ilvl w:val="0"/>
          <w:numId w:val="0"/>
        </w:numPr>
        <w:rPr>
          <w:rFonts w:ascii="Arial" w:hAnsi="Arial" w:cs="Arial"/>
        </w:rPr>
      </w:pPr>
    </w:p>
    <w:p w14:paraId="27E00FC7" w14:textId="77777777" w:rsidR="006745EF" w:rsidRDefault="006745EF" w:rsidP="006745EF">
      <w:pPr>
        <w:pStyle w:val="ORDERFORML1PraraNo"/>
        <w:numPr>
          <w:ilvl w:val="0"/>
          <w:numId w:val="0"/>
        </w:numPr>
        <w:rPr>
          <w:rFonts w:ascii="Arial" w:hAnsi="Arial" w:cs="Arial"/>
        </w:rPr>
      </w:pPr>
    </w:p>
    <w:p w14:paraId="59CA158A" w14:textId="77777777" w:rsidR="006745EF" w:rsidRDefault="006745EF" w:rsidP="006745EF">
      <w:pPr>
        <w:pStyle w:val="ORDERFORML1PraraNo"/>
        <w:numPr>
          <w:ilvl w:val="0"/>
          <w:numId w:val="0"/>
        </w:numPr>
        <w:rPr>
          <w:rFonts w:ascii="Arial" w:hAnsi="Arial" w:cs="Arial"/>
        </w:rPr>
      </w:pPr>
    </w:p>
    <w:p w14:paraId="38A93D94" w14:textId="77777777" w:rsidR="006745EF" w:rsidRDefault="006745EF" w:rsidP="006745EF">
      <w:pPr>
        <w:pStyle w:val="ORDERFORML1PraraNo"/>
        <w:numPr>
          <w:ilvl w:val="0"/>
          <w:numId w:val="0"/>
        </w:numPr>
        <w:rPr>
          <w:rFonts w:ascii="Arial" w:hAnsi="Arial" w:cs="Arial"/>
        </w:rPr>
      </w:pPr>
    </w:p>
    <w:p w14:paraId="4FAC2690" w14:textId="77777777" w:rsidR="006745EF" w:rsidRDefault="006745EF" w:rsidP="006745EF">
      <w:pPr>
        <w:pStyle w:val="ORDERFORML1PraraNo"/>
        <w:numPr>
          <w:ilvl w:val="0"/>
          <w:numId w:val="0"/>
        </w:numPr>
        <w:rPr>
          <w:rFonts w:ascii="Arial" w:hAnsi="Arial" w:cs="Arial"/>
        </w:rPr>
      </w:pPr>
    </w:p>
    <w:p w14:paraId="1A504D50" w14:textId="77777777" w:rsidR="006745EF" w:rsidRDefault="006745EF" w:rsidP="006745EF">
      <w:pPr>
        <w:pStyle w:val="ORDERFORML1PraraNo"/>
        <w:numPr>
          <w:ilvl w:val="0"/>
          <w:numId w:val="0"/>
        </w:numPr>
        <w:rPr>
          <w:rFonts w:ascii="Arial" w:hAnsi="Arial" w:cs="Arial"/>
        </w:rPr>
      </w:pPr>
    </w:p>
    <w:p w14:paraId="15B2B83A" w14:textId="77777777" w:rsidR="006745EF" w:rsidRDefault="006745EF" w:rsidP="006745EF">
      <w:pPr>
        <w:pStyle w:val="ORDERFORML1PraraNo"/>
        <w:numPr>
          <w:ilvl w:val="0"/>
          <w:numId w:val="0"/>
        </w:numPr>
        <w:rPr>
          <w:rFonts w:ascii="Arial" w:hAnsi="Arial" w:cs="Arial"/>
        </w:rPr>
      </w:pPr>
    </w:p>
    <w:p w14:paraId="04524B76" w14:textId="77777777" w:rsidR="006745EF" w:rsidRDefault="006745EF" w:rsidP="006745EF">
      <w:pPr>
        <w:pStyle w:val="ORDERFORML1PraraNo"/>
        <w:numPr>
          <w:ilvl w:val="0"/>
          <w:numId w:val="0"/>
        </w:numPr>
        <w:rPr>
          <w:rFonts w:ascii="Arial" w:hAnsi="Arial" w:cs="Arial"/>
        </w:rPr>
      </w:pPr>
    </w:p>
    <w:p w14:paraId="64259ECB" w14:textId="77777777" w:rsidR="004E05DC" w:rsidRPr="00B91478" w:rsidRDefault="00F770DB">
      <w:pPr>
        <w:pStyle w:val="ORDERFORML1PraraNo"/>
        <w:rPr>
          <w:rFonts w:ascii="Arial" w:hAnsi="Arial" w:cs="Arial"/>
        </w:rPr>
      </w:pPr>
      <w:r w:rsidRPr="00B91478">
        <w:rPr>
          <w:rFonts w:ascii="Arial" w:hAnsi="Arial" w:cs="Arial"/>
        </w:rPr>
        <w:t>contract performance</w:t>
      </w:r>
    </w:p>
    <w:p w14:paraId="1249C30A"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272"/>
        <w:gridCol w:w="4812"/>
      </w:tblGrid>
      <w:tr w:rsidR="004E05DC" w:rsidRPr="00B91478" w14:paraId="208DC497" w14:textId="77777777" w:rsidTr="00456A47">
        <w:tc>
          <w:tcPr>
            <w:tcW w:w="584" w:type="dxa"/>
          </w:tcPr>
          <w:p w14:paraId="32CC22B0"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4272" w:type="dxa"/>
            <w:shd w:val="clear" w:color="auto" w:fill="auto"/>
          </w:tcPr>
          <w:p w14:paraId="5C5B7B6C"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3C9AD4FF" w14:textId="77777777" w:rsidR="004E05DC" w:rsidRPr="00B91478" w:rsidRDefault="004E05DC">
            <w:pPr>
              <w:numPr>
                <w:ilvl w:val="1"/>
                <w:numId w:val="0"/>
              </w:numPr>
              <w:overflowPunct/>
              <w:autoSpaceDE/>
              <w:autoSpaceDN/>
              <w:spacing w:after="120"/>
              <w:jc w:val="left"/>
              <w:textAlignment w:val="auto"/>
              <w:rPr>
                <w:rFonts w:eastAsia="STZhongsong"/>
                <w:lang w:eastAsia="zh-CN"/>
              </w:rPr>
            </w:pPr>
          </w:p>
        </w:tc>
        <w:tc>
          <w:tcPr>
            <w:tcW w:w="4812" w:type="dxa"/>
            <w:shd w:val="clear" w:color="auto" w:fill="auto"/>
          </w:tcPr>
          <w:p w14:paraId="1AEA10A8" w14:textId="77777777" w:rsidR="004E05DC" w:rsidRPr="00456A47" w:rsidRDefault="00456A47" w:rsidP="00D53DEB">
            <w:pPr>
              <w:numPr>
                <w:ilvl w:val="1"/>
                <w:numId w:val="0"/>
              </w:numPr>
              <w:overflowPunct/>
              <w:autoSpaceDE/>
              <w:autoSpaceDN/>
              <w:spacing w:after="120"/>
              <w:textAlignment w:val="auto"/>
            </w:pPr>
            <w:r w:rsidRPr="00456A47">
              <w:t xml:space="preserve">Applicable standards for this contract are per Section 11, Standards and Quality, detailed in the </w:t>
            </w:r>
            <w:hyperlink r:id="rId10" w:history="1">
              <w:r w:rsidRPr="00AC5834">
                <w:rPr>
                  <w:rStyle w:val="Hyperlink"/>
                </w:rPr>
                <w:t>Call Off terms</w:t>
              </w:r>
            </w:hyperlink>
            <w:r w:rsidR="00474567">
              <w:rPr>
                <w:rStyle w:val="Hyperlink"/>
              </w:rPr>
              <w:t xml:space="preserve">. </w:t>
            </w:r>
            <w:r w:rsidR="001C36F7">
              <w:t xml:space="preserve"> for RM6008 which can be accessed via the CCS website.</w:t>
            </w:r>
          </w:p>
        </w:tc>
      </w:tr>
      <w:tr w:rsidR="00BB4A0B" w:rsidRPr="00B91478" w14:paraId="41D84A2C" w14:textId="77777777" w:rsidTr="00B02A10">
        <w:tc>
          <w:tcPr>
            <w:tcW w:w="584" w:type="dxa"/>
          </w:tcPr>
          <w:p w14:paraId="79BB9A3C"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4272" w:type="dxa"/>
            <w:shd w:val="clear" w:color="auto" w:fill="auto"/>
          </w:tcPr>
          <w:p w14:paraId="2D18F7A5"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31E1348F" w14:textId="77777777" w:rsidR="00BB4A0B" w:rsidRPr="00B91478" w:rsidRDefault="00BB4A0B" w:rsidP="00BB4A0B">
            <w:pPr>
              <w:numPr>
                <w:ilvl w:val="1"/>
                <w:numId w:val="0"/>
              </w:numPr>
              <w:overflowPunct/>
              <w:autoSpaceDE/>
              <w:autoSpaceDN/>
              <w:spacing w:after="120"/>
              <w:jc w:val="left"/>
              <w:textAlignment w:val="auto"/>
            </w:pPr>
          </w:p>
        </w:tc>
        <w:tc>
          <w:tcPr>
            <w:tcW w:w="4812" w:type="dxa"/>
            <w:shd w:val="clear" w:color="auto" w:fill="auto"/>
          </w:tcPr>
          <w:p w14:paraId="27AA0D98" w14:textId="77777777" w:rsidR="00BB4A0B" w:rsidRPr="00AC5834" w:rsidRDefault="00BB4A0B" w:rsidP="00BB4A0B">
            <w:pPr>
              <w:overflowPunct/>
              <w:autoSpaceDE/>
              <w:autoSpaceDN/>
              <w:spacing w:after="120"/>
              <w:ind w:left="0"/>
              <w:jc w:val="left"/>
              <w:textAlignment w:val="auto"/>
            </w:pPr>
            <w:r w:rsidRPr="00AC5834">
              <w:t>Not applicable.</w:t>
            </w:r>
          </w:p>
        </w:tc>
      </w:tr>
      <w:tr w:rsidR="00BB4A0B" w:rsidRPr="00B91478" w14:paraId="454CF0BA" w14:textId="77777777" w:rsidTr="00B02A10">
        <w:tc>
          <w:tcPr>
            <w:tcW w:w="584" w:type="dxa"/>
          </w:tcPr>
          <w:p w14:paraId="21A25E8A"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4272" w:type="dxa"/>
            <w:shd w:val="clear" w:color="auto" w:fill="auto"/>
          </w:tcPr>
          <w:p w14:paraId="6D11A4D4"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8ED4AE8" w14:textId="77777777" w:rsidR="00BB4A0B" w:rsidRPr="00B91478" w:rsidRDefault="00BB4A0B" w:rsidP="00B02A10">
            <w:pPr>
              <w:ind w:left="0"/>
              <w:rPr>
                <w:rFonts w:eastAsia="STZhongsong"/>
                <w:lang w:eastAsia="zh-CN"/>
              </w:rPr>
            </w:pPr>
          </w:p>
        </w:tc>
        <w:tc>
          <w:tcPr>
            <w:tcW w:w="4812" w:type="dxa"/>
            <w:shd w:val="clear" w:color="auto" w:fill="auto"/>
          </w:tcPr>
          <w:p w14:paraId="225F83B8" w14:textId="77777777" w:rsidR="00BB4A0B" w:rsidRPr="00AC5834" w:rsidRDefault="00BB4A0B" w:rsidP="00BB4A0B">
            <w:pPr>
              <w:numPr>
                <w:ilvl w:val="1"/>
                <w:numId w:val="0"/>
              </w:numPr>
              <w:overflowPunct/>
              <w:autoSpaceDE/>
              <w:autoSpaceDN/>
              <w:spacing w:after="120"/>
              <w:jc w:val="left"/>
              <w:textAlignment w:val="auto"/>
            </w:pPr>
            <w:r w:rsidRPr="00AC5834">
              <w:t>Not applicable.</w:t>
            </w:r>
          </w:p>
        </w:tc>
      </w:tr>
      <w:tr w:rsidR="004E05DC" w:rsidRPr="00B91478" w14:paraId="773EC2AF" w14:textId="77777777" w:rsidTr="00B02A10">
        <w:tc>
          <w:tcPr>
            <w:tcW w:w="584" w:type="dxa"/>
          </w:tcPr>
          <w:p w14:paraId="33BBE2F7"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4272" w:type="dxa"/>
            <w:shd w:val="clear" w:color="auto" w:fill="auto"/>
          </w:tcPr>
          <w:p w14:paraId="49FEFDF0"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5660C2B8" w14:textId="77777777"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812" w:type="dxa"/>
            <w:shd w:val="clear" w:color="auto" w:fill="auto"/>
          </w:tcPr>
          <w:p w14:paraId="591AE136" w14:textId="77777777" w:rsidR="004E05DC" w:rsidRPr="00AC5834" w:rsidRDefault="00F770DB" w:rsidP="00BB4A0B">
            <w:pPr>
              <w:numPr>
                <w:ilvl w:val="1"/>
                <w:numId w:val="0"/>
              </w:numPr>
              <w:overflowPunct/>
              <w:autoSpaceDE/>
              <w:autoSpaceDN/>
              <w:spacing w:after="120"/>
              <w:jc w:val="left"/>
              <w:textAlignment w:val="auto"/>
            </w:pPr>
            <w:r w:rsidRPr="00AC5834">
              <w:t>Not applicable.</w:t>
            </w:r>
          </w:p>
        </w:tc>
      </w:tr>
      <w:tr w:rsidR="004E05DC" w:rsidRPr="00B91478" w14:paraId="6EE7B3CD" w14:textId="77777777" w:rsidTr="002E7786">
        <w:tc>
          <w:tcPr>
            <w:tcW w:w="584" w:type="dxa"/>
          </w:tcPr>
          <w:p w14:paraId="3DBFAD42"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4272" w:type="dxa"/>
            <w:shd w:val="clear" w:color="auto" w:fill="auto"/>
          </w:tcPr>
          <w:p w14:paraId="7D669636" w14:textId="77777777" w:rsidR="004E05DC" w:rsidRPr="00B91478" w:rsidRDefault="00F770D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639DA2A1" w14:textId="77777777" w:rsidR="004E05DC" w:rsidRPr="00B91478" w:rsidRDefault="00F770DB" w:rsidP="002047E1">
            <w:pPr>
              <w:numPr>
                <w:ilvl w:val="1"/>
                <w:numId w:val="0"/>
              </w:numPr>
              <w:overflowPunct/>
              <w:autoSpaceDE/>
              <w:autoSpaceDN/>
              <w:spacing w:after="120"/>
              <w:textAlignment w:val="auto"/>
              <w:rPr>
                <w:rFonts w:eastAsia="STZhongsong"/>
                <w:b/>
                <w:lang w:eastAsia="zh-CN"/>
              </w:rPr>
            </w:pPr>
            <w:r w:rsidRPr="00B91478">
              <w:t xml:space="preserve"> </w:t>
            </w:r>
          </w:p>
        </w:tc>
        <w:tc>
          <w:tcPr>
            <w:tcW w:w="4812" w:type="dxa"/>
            <w:shd w:val="clear" w:color="auto" w:fill="auto"/>
          </w:tcPr>
          <w:p w14:paraId="3174F4FF" w14:textId="40153E47" w:rsidR="004E05DC" w:rsidRPr="002E7786" w:rsidRDefault="002E7786" w:rsidP="002047E1">
            <w:pPr>
              <w:numPr>
                <w:ilvl w:val="1"/>
                <w:numId w:val="0"/>
              </w:numPr>
              <w:overflowPunct/>
              <w:autoSpaceDE/>
              <w:autoSpaceDN/>
              <w:spacing w:after="120"/>
              <w:textAlignment w:val="auto"/>
            </w:pPr>
            <w:r w:rsidRPr="002E7786">
              <w:t xml:space="preserve">Applicable period for providing Rectification Plan can be be viewed in 39.2.1(a) of the </w:t>
            </w:r>
            <w:hyperlink r:id="rId11" w:history="1">
              <w:r w:rsidR="001C36F7" w:rsidRPr="00A142BA">
                <w:rPr>
                  <w:rStyle w:val="Hyperlink"/>
                </w:rPr>
                <w:t>Call Off terms</w:t>
              </w:r>
            </w:hyperlink>
            <w:r w:rsidR="00474567">
              <w:t xml:space="preserve">. </w:t>
            </w:r>
            <w:r w:rsidR="001C36F7">
              <w:t xml:space="preserve"> for RM6008 which can be accessed via the CCS website.</w:t>
            </w:r>
          </w:p>
        </w:tc>
      </w:tr>
    </w:tbl>
    <w:p w14:paraId="49E99F28" w14:textId="77777777" w:rsidR="004E05DC" w:rsidRDefault="004E05DC">
      <w:pPr>
        <w:spacing w:after="0"/>
        <w:ind w:left="0"/>
      </w:pPr>
    </w:p>
    <w:p w14:paraId="228B99B9" w14:textId="77777777" w:rsidR="006745EF" w:rsidRPr="00B91478" w:rsidRDefault="006745EF">
      <w:pPr>
        <w:spacing w:after="0"/>
        <w:ind w:left="0"/>
      </w:pPr>
    </w:p>
    <w:p w14:paraId="60952007" w14:textId="77777777" w:rsidR="004E05DC" w:rsidRPr="00B91478" w:rsidRDefault="00F770DB">
      <w:pPr>
        <w:pStyle w:val="ORDERFORML1PraraNo"/>
        <w:rPr>
          <w:rFonts w:ascii="Arial" w:hAnsi="Arial" w:cs="Arial"/>
        </w:rPr>
      </w:pPr>
      <w:r w:rsidRPr="00B91478">
        <w:rPr>
          <w:rFonts w:ascii="Arial" w:hAnsi="Arial" w:cs="Arial"/>
        </w:rPr>
        <w:t>personnel</w:t>
      </w:r>
    </w:p>
    <w:p w14:paraId="53FA93DE"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8"/>
        <w:gridCol w:w="4824"/>
      </w:tblGrid>
      <w:tr w:rsidR="004E05DC" w:rsidRPr="00B91478" w14:paraId="575F8BAA" w14:textId="77777777" w:rsidTr="002E7786">
        <w:tc>
          <w:tcPr>
            <w:tcW w:w="566" w:type="dxa"/>
          </w:tcPr>
          <w:p w14:paraId="4F0797FF"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4278" w:type="dxa"/>
            <w:shd w:val="clear" w:color="auto" w:fill="auto"/>
          </w:tcPr>
          <w:p w14:paraId="715EDE23"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F7CD003" w14:textId="77777777"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824" w:type="dxa"/>
            <w:shd w:val="clear" w:color="auto" w:fill="auto"/>
          </w:tcPr>
          <w:p w14:paraId="5244E120" w14:textId="6A2DB2CA" w:rsidR="001C36F7" w:rsidRDefault="001C36F7" w:rsidP="002047E1">
            <w:pPr>
              <w:numPr>
                <w:ilvl w:val="1"/>
                <w:numId w:val="0"/>
              </w:numPr>
              <w:overflowPunct/>
              <w:autoSpaceDE/>
              <w:autoSpaceDN/>
              <w:spacing w:after="120"/>
              <w:textAlignment w:val="auto"/>
            </w:pPr>
            <w:r>
              <w:t>As detailed in the Accenture tender response titled ‘OFFICIAL ACCENTURE RESPONSE HMRC V01.A 15FEB2019’. As per page 13, the following key personnel will be assigned to this project:</w:t>
            </w:r>
          </w:p>
          <w:p w14:paraId="36FB079B" w14:textId="1AE7E9F4" w:rsidR="001C36F7" w:rsidRPr="001C36F7" w:rsidRDefault="000B6E21" w:rsidP="002047E1">
            <w:pPr>
              <w:numPr>
                <w:ilvl w:val="1"/>
                <w:numId w:val="0"/>
              </w:numPr>
              <w:overflowPunct/>
              <w:autoSpaceDE/>
              <w:autoSpaceDN/>
              <w:spacing w:after="120"/>
              <w:textAlignment w:val="auto"/>
            </w:pPr>
            <w:r>
              <w:t>REDACTED</w:t>
            </w:r>
          </w:p>
        </w:tc>
      </w:tr>
      <w:tr w:rsidR="004E05DC" w:rsidRPr="00B91478" w14:paraId="43BA3F83" w14:textId="77777777" w:rsidTr="002E7786">
        <w:tc>
          <w:tcPr>
            <w:tcW w:w="566" w:type="dxa"/>
            <w:tcBorders>
              <w:top w:val="single" w:sz="4" w:space="0" w:color="auto"/>
              <w:left w:val="single" w:sz="4" w:space="0" w:color="auto"/>
              <w:bottom w:val="single" w:sz="4" w:space="0" w:color="auto"/>
              <w:right w:val="single" w:sz="4" w:space="0" w:color="auto"/>
            </w:tcBorders>
          </w:tcPr>
          <w:p w14:paraId="077DE81B"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4278" w:type="dxa"/>
            <w:tcBorders>
              <w:top w:val="single" w:sz="4" w:space="0" w:color="auto"/>
              <w:left w:val="single" w:sz="4" w:space="0" w:color="auto"/>
              <w:bottom w:val="single" w:sz="4" w:space="0" w:color="auto"/>
              <w:right w:val="single" w:sz="4" w:space="0" w:color="auto"/>
            </w:tcBorders>
            <w:shd w:val="clear" w:color="auto" w:fill="auto"/>
          </w:tcPr>
          <w:p w14:paraId="043E0424"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sidR="002047E1">
              <w:rPr>
                <w:rFonts w:eastAsia="STZhongsong"/>
                <w:lang w:eastAsia="zh-CN"/>
              </w:rPr>
              <w:t xml:space="preserve"> 28.2</w:t>
            </w:r>
            <w:r w:rsidRPr="00B91478">
              <w:rPr>
                <w:rFonts w:eastAsia="STZhongsong"/>
                <w:lang w:eastAsia="zh-CN"/>
              </w:rPr>
              <w:t xml:space="preserve"> of the Call Off Terms):</w:t>
            </w:r>
          </w:p>
          <w:p w14:paraId="5A31929F" w14:textId="77777777" w:rsidR="004E05DC" w:rsidRPr="00B91478" w:rsidRDefault="004E05DC">
            <w:pPr>
              <w:numPr>
                <w:ilvl w:val="1"/>
                <w:numId w:val="0"/>
              </w:numPr>
              <w:overflowPunct/>
              <w:autoSpaceDE/>
              <w:autoSpaceDN/>
              <w:spacing w:after="120"/>
              <w:jc w:val="left"/>
              <w:textAlignment w:val="auto"/>
              <w:rPr>
                <w:rFonts w:eastAsia="STZhongsong"/>
                <w:lang w:eastAsia="zh-CN"/>
              </w:rPr>
            </w:pPr>
          </w:p>
        </w:tc>
        <w:tc>
          <w:tcPr>
            <w:tcW w:w="4824" w:type="dxa"/>
            <w:tcBorders>
              <w:top w:val="single" w:sz="4" w:space="0" w:color="auto"/>
              <w:left w:val="single" w:sz="4" w:space="0" w:color="auto"/>
              <w:bottom w:val="single" w:sz="4" w:space="0" w:color="auto"/>
              <w:right w:val="single" w:sz="4" w:space="0" w:color="auto"/>
            </w:tcBorders>
            <w:shd w:val="clear" w:color="auto" w:fill="auto"/>
          </w:tcPr>
          <w:p w14:paraId="3AD2CAC8" w14:textId="2EB250F9" w:rsidR="004E05DC" w:rsidRPr="002E7786" w:rsidRDefault="002E7786" w:rsidP="002047E1">
            <w:pPr>
              <w:numPr>
                <w:ilvl w:val="1"/>
                <w:numId w:val="0"/>
              </w:numPr>
              <w:overflowPunct/>
              <w:autoSpaceDE/>
              <w:autoSpaceDN/>
              <w:spacing w:after="120"/>
              <w:textAlignment w:val="auto"/>
            </w:pPr>
            <w:r w:rsidRPr="002E7786">
              <w:t>Refer to Cl</w:t>
            </w:r>
            <w:r w:rsidR="001C36F7">
              <w:t xml:space="preserve">ause 28.2 of the </w:t>
            </w:r>
            <w:hyperlink r:id="rId12" w:history="1">
              <w:r w:rsidR="001C36F7" w:rsidRPr="001C36F7">
                <w:rPr>
                  <w:rStyle w:val="Hyperlink"/>
                </w:rPr>
                <w:t>Call Off terms</w:t>
              </w:r>
            </w:hyperlink>
            <w:r w:rsidR="001C36F7">
              <w:t xml:space="preserve"> for RM6008 which can be accessed via the CCS website.</w:t>
            </w:r>
          </w:p>
        </w:tc>
      </w:tr>
    </w:tbl>
    <w:p w14:paraId="5B234ACC" w14:textId="77777777" w:rsidR="004E05DC" w:rsidRPr="00B91478" w:rsidRDefault="004E05DC">
      <w:pPr>
        <w:pStyle w:val="ORDERFORML1PraraNo"/>
        <w:numPr>
          <w:ilvl w:val="0"/>
          <w:numId w:val="0"/>
        </w:numPr>
        <w:rPr>
          <w:rFonts w:ascii="Arial" w:hAnsi="Arial" w:cs="Arial"/>
        </w:rPr>
      </w:pPr>
    </w:p>
    <w:p w14:paraId="73F95583" w14:textId="77777777" w:rsidR="004E05DC" w:rsidRPr="00B91478" w:rsidRDefault="00F770DB">
      <w:pPr>
        <w:pStyle w:val="ORDERFORML1PraraNo"/>
        <w:rPr>
          <w:rFonts w:ascii="Arial" w:hAnsi="Arial" w:cs="Arial"/>
        </w:rPr>
      </w:pPr>
      <w:r w:rsidRPr="00B91478">
        <w:rPr>
          <w:rFonts w:ascii="Arial" w:hAnsi="Arial" w:cs="Arial"/>
        </w:rPr>
        <w:t>PAYMENT</w:t>
      </w:r>
    </w:p>
    <w:p w14:paraId="3F5287E3"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9"/>
        <w:gridCol w:w="4825"/>
      </w:tblGrid>
      <w:tr w:rsidR="004E05DC" w:rsidRPr="00B91478" w14:paraId="55D03BFC" w14:textId="77777777" w:rsidTr="002E7786">
        <w:tc>
          <w:tcPr>
            <w:tcW w:w="564" w:type="dxa"/>
          </w:tcPr>
          <w:p w14:paraId="5C33EEB3"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4279" w:type="dxa"/>
            <w:shd w:val="clear" w:color="auto" w:fill="auto"/>
          </w:tcPr>
          <w:p w14:paraId="4F591DB2"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28D5193F"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c>
          <w:tcPr>
            <w:tcW w:w="4825" w:type="dxa"/>
            <w:shd w:val="clear" w:color="auto" w:fill="auto"/>
          </w:tcPr>
          <w:p w14:paraId="123648BA" w14:textId="7630CFF6" w:rsidR="004E05DC" w:rsidRDefault="002E7786" w:rsidP="00A11DDF">
            <w:pPr>
              <w:numPr>
                <w:ilvl w:val="1"/>
                <w:numId w:val="0"/>
              </w:numPr>
              <w:overflowPunct/>
              <w:autoSpaceDE/>
              <w:autoSpaceDN/>
              <w:spacing w:after="120"/>
              <w:textAlignment w:val="auto"/>
            </w:pPr>
            <w:r w:rsidRPr="002E7786">
              <w:t>Call Off Contract Charges can be found in</w:t>
            </w:r>
            <w:r w:rsidR="00A11DDF">
              <w:t xml:space="preserve"> the charging model provided, titled </w:t>
            </w:r>
            <w:r w:rsidR="00A11DDF" w:rsidRPr="001B3B98">
              <w:t>‘</w:t>
            </w:r>
            <w:r w:rsidR="006844A2">
              <w:t>190307 Call Off Order Form v2</w:t>
            </w:r>
            <w:r w:rsidR="00A11DDF" w:rsidRPr="001B3B98">
              <w:t>.</w:t>
            </w:r>
          </w:p>
          <w:p w14:paraId="4790BBF2" w14:textId="7EBD8784" w:rsidR="001C36F7" w:rsidRDefault="001C36F7" w:rsidP="00A11DDF">
            <w:pPr>
              <w:numPr>
                <w:ilvl w:val="1"/>
                <w:numId w:val="0"/>
              </w:numPr>
              <w:overflowPunct/>
              <w:autoSpaceDE/>
              <w:autoSpaceDN/>
              <w:spacing w:after="120"/>
              <w:textAlignment w:val="auto"/>
            </w:pPr>
          </w:p>
          <w:p w14:paraId="16006C96" w14:textId="77777777" w:rsidR="00CA4772" w:rsidRDefault="00CA4772" w:rsidP="00A11DDF">
            <w:pPr>
              <w:numPr>
                <w:ilvl w:val="1"/>
                <w:numId w:val="0"/>
              </w:numPr>
              <w:overflowPunct/>
              <w:autoSpaceDE/>
              <w:autoSpaceDN/>
              <w:spacing w:after="120"/>
              <w:textAlignment w:val="auto"/>
            </w:pPr>
          </w:p>
          <w:p w14:paraId="1A8DF8E6" w14:textId="5392602D" w:rsidR="00F614E0" w:rsidRPr="002436AD" w:rsidRDefault="00A11DDF" w:rsidP="00F614E0">
            <w:pPr>
              <w:keepNext/>
              <w:keepLines/>
              <w:overflowPunct/>
              <w:autoSpaceDE/>
              <w:autoSpaceDN/>
              <w:spacing w:after="0"/>
              <w:ind w:left="0"/>
              <w:textAlignment w:val="auto"/>
            </w:pPr>
            <w:r>
              <w:t xml:space="preserve">The </w:t>
            </w:r>
            <w:r w:rsidR="001C36F7">
              <w:t>fixed contract value</w:t>
            </w:r>
            <w:r>
              <w:t xml:space="preserve"> is £462,670.</w:t>
            </w:r>
            <w:r w:rsidR="00F614E0">
              <w:t xml:space="preserve"> (exclusive of VAT which will be charged at the then prevailing rate).</w:t>
            </w:r>
          </w:p>
          <w:p w14:paraId="16870B7B" w14:textId="77777777" w:rsidR="00A11DDF" w:rsidRPr="002E7786" w:rsidRDefault="00A11DDF" w:rsidP="001C36F7">
            <w:pPr>
              <w:numPr>
                <w:ilvl w:val="1"/>
                <w:numId w:val="0"/>
              </w:numPr>
              <w:overflowPunct/>
              <w:autoSpaceDE/>
              <w:autoSpaceDN/>
              <w:spacing w:after="120"/>
              <w:textAlignment w:val="auto"/>
            </w:pPr>
          </w:p>
        </w:tc>
      </w:tr>
      <w:tr w:rsidR="004E05DC" w:rsidRPr="00B91478" w14:paraId="2D6C2C6B" w14:textId="77777777" w:rsidTr="00A11DDF">
        <w:tc>
          <w:tcPr>
            <w:tcW w:w="564" w:type="dxa"/>
          </w:tcPr>
          <w:p w14:paraId="309A0545"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4279" w:type="dxa"/>
            <w:shd w:val="clear" w:color="auto" w:fill="auto"/>
          </w:tcPr>
          <w:p w14:paraId="1FC8EFED"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7AA911FD" w14:textId="77777777" w:rsidR="004E05DC" w:rsidRPr="00B91478" w:rsidRDefault="00F770DB"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c>
          <w:tcPr>
            <w:tcW w:w="4825" w:type="dxa"/>
            <w:shd w:val="clear" w:color="auto" w:fill="auto"/>
          </w:tcPr>
          <w:p w14:paraId="43240E45" w14:textId="774EE48C" w:rsidR="004E05DC" w:rsidRPr="00A11DDF" w:rsidRDefault="002E7786" w:rsidP="00BB4A0B">
            <w:pPr>
              <w:numPr>
                <w:ilvl w:val="1"/>
                <w:numId w:val="0"/>
              </w:numPr>
              <w:overflowPunct/>
              <w:autoSpaceDE/>
              <w:autoSpaceDN/>
              <w:spacing w:after="120"/>
              <w:textAlignment w:val="auto"/>
            </w:pPr>
            <w:r w:rsidRPr="00A11DDF">
              <w:t xml:space="preserve">Payment terms are by BACS transfer in accordance with the </w:t>
            </w:r>
            <w:r w:rsidR="005D1555">
              <w:t>Milestone Charging Table tab</w:t>
            </w:r>
            <w:r w:rsidR="00A11DDF" w:rsidRPr="00A11DDF">
              <w:t xml:space="preserve"> in the file titled </w:t>
            </w:r>
            <w:r w:rsidR="00A11DDF">
              <w:t>‘</w:t>
            </w:r>
            <w:r w:rsidR="006844A2" w:rsidRPr="006844A2">
              <w:t>190307 Call Off Order Form v2</w:t>
            </w:r>
            <w:r w:rsidR="00A11DDF">
              <w:t>.</w:t>
            </w:r>
          </w:p>
          <w:p w14:paraId="5944548B" w14:textId="4804DDB8" w:rsidR="004E05DC" w:rsidRPr="00B91478" w:rsidRDefault="00A11DDF" w:rsidP="00A11DDF">
            <w:pPr>
              <w:numPr>
                <w:ilvl w:val="1"/>
                <w:numId w:val="0"/>
              </w:numPr>
              <w:tabs>
                <w:tab w:val="left" w:pos="1388"/>
              </w:tabs>
              <w:overflowPunct/>
              <w:autoSpaceDE/>
              <w:autoSpaceDN/>
              <w:spacing w:after="120"/>
              <w:textAlignment w:val="auto"/>
              <w:rPr>
                <w:i/>
              </w:rPr>
            </w:pPr>
            <w:r w:rsidRPr="00A11DDF">
              <w:tab/>
            </w:r>
          </w:p>
        </w:tc>
      </w:tr>
      <w:tr w:rsidR="004E05DC" w:rsidRPr="00B91478" w14:paraId="14631104" w14:textId="77777777" w:rsidTr="00A11DDF">
        <w:tc>
          <w:tcPr>
            <w:tcW w:w="564" w:type="dxa"/>
          </w:tcPr>
          <w:p w14:paraId="29F0C922"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4279" w:type="dxa"/>
            <w:shd w:val="clear" w:color="auto" w:fill="auto"/>
          </w:tcPr>
          <w:p w14:paraId="1560E30A"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40F2A743" w14:textId="77777777" w:rsidR="004E05DC" w:rsidRPr="00B91478" w:rsidRDefault="004E05DC" w:rsidP="00A11DDF">
            <w:pPr>
              <w:numPr>
                <w:ilvl w:val="1"/>
                <w:numId w:val="0"/>
              </w:numPr>
              <w:overflowPunct/>
              <w:autoSpaceDE/>
              <w:autoSpaceDN/>
              <w:spacing w:after="120"/>
              <w:jc w:val="left"/>
              <w:textAlignment w:val="auto"/>
              <w:rPr>
                <w:rFonts w:eastAsia="STZhongsong"/>
                <w:lang w:eastAsia="zh-CN"/>
              </w:rPr>
            </w:pPr>
          </w:p>
        </w:tc>
        <w:tc>
          <w:tcPr>
            <w:tcW w:w="4825" w:type="dxa"/>
            <w:shd w:val="clear" w:color="auto" w:fill="auto"/>
          </w:tcPr>
          <w:p w14:paraId="38078AC2" w14:textId="77777777" w:rsidR="004E05DC" w:rsidRPr="00A11DDF" w:rsidRDefault="00A11DDF" w:rsidP="004944BE">
            <w:pPr>
              <w:numPr>
                <w:ilvl w:val="1"/>
                <w:numId w:val="0"/>
              </w:numPr>
              <w:overflowPunct/>
              <w:autoSpaceDE/>
              <w:autoSpaceDN/>
              <w:spacing w:after="120"/>
              <w:textAlignment w:val="auto"/>
            </w:pPr>
            <w:r w:rsidRPr="00A11DDF">
              <w:t>Reimbursable Expenses are not permitted unless expressly permitted by the HMRC Work Manager.</w:t>
            </w:r>
            <w:r w:rsidR="00F770DB" w:rsidRPr="00A11DDF">
              <w:rPr>
                <w:rFonts w:eastAsia="STZhongsong"/>
                <w:lang w:eastAsia="zh-CN"/>
              </w:rPr>
              <w:t xml:space="preserve"> </w:t>
            </w:r>
          </w:p>
        </w:tc>
      </w:tr>
      <w:tr w:rsidR="004E05DC" w:rsidRPr="00B91478" w14:paraId="76031A9F" w14:textId="77777777" w:rsidTr="00A11DDF">
        <w:tc>
          <w:tcPr>
            <w:tcW w:w="564" w:type="dxa"/>
          </w:tcPr>
          <w:p w14:paraId="37908671"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4279" w:type="dxa"/>
            <w:shd w:val="clear" w:color="auto" w:fill="auto"/>
          </w:tcPr>
          <w:p w14:paraId="3E827B89"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2ECA127C" w14:textId="77777777" w:rsidR="004E05DC" w:rsidRPr="00B91478" w:rsidRDefault="004E05DC" w:rsidP="00BB4A0B">
            <w:pPr>
              <w:numPr>
                <w:ilvl w:val="1"/>
                <w:numId w:val="0"/>
              </w:numPr>
              <w:overflowPunct/>
              <w:autoSpaceDE/>
              <w:autoSpaceDN/>
              <w:spacing w:after="120"/>
              <w:textAlignment w:val="auto"/>
              <w:rPr>
                <w:rFonts w:eastAsia="STZhongsong"/>
                <w:lang w:eastAsia="zh-CN"/>
              </w:rPr>
            </w:pPr>
          </w:p>
        </w:tc>
        <w:tc>
          <w:tcPr>
            <w:tcW w:w="4825" w:type="dxa"/>
            <w:shd w:val="clear" w:color="auto" w:fill="auto"/>
          </w:tcPr>
          <w:p w14:paraId="1933DF1D" w14:textId="77777777" w:rsidR="00A11DDF" w:rsidRPr="00A11DDF" w:rsidRDefault="00A11DDF" w:rsidP="00BB4A0B">
            <w:pPr>
              <w:numPr>
                <w:ilvl w:val="1"/>
                <w:numId w:val="0"/>
              </w:numPr>
              <w:overflowPunct/>
              <w:autoSpaceDE/>
              <w:autoSpaceDN/>
              <w:spacing w:after="120"/>
              <w:textAlignment w:val="auto"/>
            </w:pPr>
            <w:r w:rsidRPr="00A11DDF">
              <w:t>Benton Park View, Benton Park, Newcastle upon Tyne, NE98 1ZZ</w:t>
            </w:r>
          </w:p>
        </w:tc>
      </w:tr>
      <w:tr w:rsidR="004E05DC" w:rsidRPr="00B91478" w14:paraId="4F69751A" w14:textId="77777777" w:rsidTr="001B3B98">
        <w:tc>
          <w:tcPr>
            <w:tcW w:w="564" w:type="dxa"/>
          </w:tcPr>
          <w:p w14:paraId="702143B7"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4279" w:type="dxa"/>
            <w:shd w:val="clear" w:color="auto" w:fill="auto"/>
          </w:tcPr>
          <w:p w14:paraId="472FAA5B" w14:textId="77777777" w:rsidR="004E05DC" w:rsidRPr="001B3B9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rsidR="00861833">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tc>
        <w:tc>
          <w:tcPr>
            <w:tcW w:w="4825" w:type="dxa"/>
            <w:shd w:val="clear" w:color="auto" w:fill="auto"/>
          </w:tcPr>
          <w:p w14:paraId="0AA74E09" w14:textId="77777777" w:rsidR="002436AD" w:rsidRPr="001B3B98" w:rsidRDefault="002A4FA4" w:rsidP="002436AD">
            <w:pPr>
              <w:numPr>
                <w:ilvl w:val="1"/>
                <w:numId w:val="0"/>
              </w:numPr>
              <w:overflowPunct/>
              <w:autoSpaceDE/>
              <w:autoSpaceDN/>
              <w:spacing w:after="120"/>
              <w:textAlignment w:val="auto"/>
            </w:pPr>
            <w:r w:rsidRPr="001B3B98">
              <w:t>Call Off Contract Charges are fixed for the duration of the contract.</w:t>
            </w:r>
          </w:p>
        </w:tc>
      </w:tr>
      <w:tr w:rsidR="004E05DC" w:rsidRPr="00B91478" w14:paraId="5366E31C" w14:textId="77777777" w:rsidTr="001B3B98">
        <w:tc>
          <w:tcPr>
            <w:tcW w:w="564" w:type="dxa"/>
          </w:tcPr>
          <w:p w14:paraId="1BBE4B60"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4279" w:type="dxa"/>
            <w:shd w:val="clear" w:color="auto" w:fill="auto"/>
          </w:tcPr>
          <w:p w14:paraId="6E5E6F0C" w14:textId="77777777" w:rsidR="004E05DC" w:rsidRPr="00B91478" w:rsidRDefault="00F770DB" w:rsidP="002A4FA4">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rsidR="00861833">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tc>
        <w:tc>
          <w:tcPr>
            <w:tcW w:w="4825" w:type="dxa"/>
            <w:shd w:val="clear" w:color="auto" w:fill="auto"/>
          </w:tcPr>
          <w:p w14:paraId="37D72302" w14:textId="77777777" w:rsidR="004E05DC" w:rsidRPr="001B3B98" w:rsidRDefault="002A4FA4" w:rsidP="00861833">
            <w:pPr>
              <w:numPr>
                <w:ilvl w:val="1"/>
                <w:numId w:val="0"/>
              </w:numPr>
              <w:tabs>
                <w:tab w:val="left" w:pos="1161"/>
              </w:tabs>
              <w:overflowPunct/>
              <w:autoSpaceDE/>
              <w:autoSpaceDN/>
              <w:spacing w:after="120"/>
              <w:textAlignment w:val="auto"/>
            </w:pPr>
            <w:r w:rsidRPr="001B3B98">
              <w:t>Not applicable.</w:t>
            </w:r>
          </w:p>
        </w:tc>
      </w:tr>
      <w:tr w:rsidR="004E05DC" w:rsidRPr="00B91478" w14:paraId="1792CA63" w14:textId="77777777" w:rsidTr="001B3B98">
        <w:tc>
          <w:tcPr>
            <w:tcW w:w="564" w:type="dxa"/>
          </w:tcPr>
          <w:p w14:paraId="2D238BC7"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4279" w:type="dxa"/>
            <w:shd w:val="clear" w:color="auto" w:fill="auto"/>
          </w:tcPr>
          <w:p w14:paraId="47B62CA1" w14:textId="77777777" w:rsidR="004E05DC" w:rsidRPr="00B91478" w:rsidRDefault="00F770DB" w:rsidP="002A4FA4">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rsidR="004944BE">
              <w:t xml:space="preserve"> 10</w:t>
            </w:r>
            <w:r w:rsidRPr="00B91478">
              <w:t xml:space="preserve"> of Call Off Schedule 3 (Call Off Contract Charges, Payment and Invoicing))</w:t>
            </w:r>
            <w:r w:rsidRPr="00B91478">
              <w:rPr>
                <w:rFonts w:eastAsia="STZhongsong"/>
                <w:lang w:eastAsia="zh-CN"/>
              </w:rPr>
              <w:t>:</w:t>
            </w:r>
          </w:p>
        </w:tc>
        <w:tc>
          <w:tcPr>
            <w:tcW w:w="4825" w:type="dxa"/>
            <w:shd w:val="clear" w:color="auto" w:fill="auto"/>
          </w:tcPr>
          <w:p w14:paraId="32DB0670" w14:textId="77777777" w:rsidR="004E05DC" w:rsidRPr="001B3B98" w:rsidRDefault="001B3B98" w:rsidP="00861833">
            <w:pPr>
              <w:numPr>
                <w:ilvl w:val="1"/>
                <w:numId w:val="0"/>
              </w:numPr>
              <w:tabs>
                <w:tab w:val="left" w:pos="1161"/>
              </w:tabs>
              <w:overflowPunct/>
              <w:autoSpaceDE/>
              <w:autoSpaceDN/>
              <w:spacing w:after="120"/>
              <w:textAlignment w:val="auto"/>
            </w:pPr>
            <w:r>
              <w:rPr>
                <w:rFonts w:eastAsia="STZhongsong"/>
                <w:lang w:eastAsia="zh-CN"/>
              </w:rPr>
              <w:t>Not p</w:t>
            </w:r>
            <w:r w:rsidR="002A4FA4" w:rsidRPr="001B3B98">
              <w:rPr>
                <w:rFonts w:eastAsia="STZhongsong"/>
                <w:lang w:eastAsia="zh-CN"/>
              </w:rPr>
              <w:t>ermitted</w:t>
            </w:r>
            <w:r>
              <w:rPr>
                <w:rFonts w:eastAsia="STZhongsong"/>
                <w:lang w:eastAsia="zh-CN"/>
              </w:rPr>
              <w:t>.</w:t>
            </w:r>
          </w:p>
        </w:tc>
      </w:tr>
    </w:tbl>
    <w:p w14:paraId="756AE751" w14:textId="77777777" w:rsidR="004E05DC" w:rsidRDefault="004E05DC">
      <w:pPr>
        <w:pStyle w:val="ORDERFORML1PraraNo"/>
        <w:numPr>
          <w:ilvl w:val="0"/>
          <w:numId w:val="0"/>
        </w:numPr>
        <w:ind w:left="426"/>
        <w:rPr>
          <w:rFonts w:ascii="Arial" w:hAnsi="Arial" w:cs="Arial"/>
        </w:rPr>
      </w:pPr>
    </w:p>
    <w:p w14:paraId="213906D6" w14:textId="77777777" w:rsidR="00E93D4C" w:rsidRDefault="00E93D4C">
      <w:pPr>
        <w:pStyle w:val="ORDERFORML1PraraNo"/>
        <w:numPr>
          <w:ilvl w:val="0"/>
          <w:numId w:val="0"/>
        </w:numPr>
        <w:ind w:left="426"/>
        <w:rPr>
          <w:rFonts w:ascii="Arial" w:hAnsi="Arial" w:cs="Arial"/>
        </w:rPr>
      </w:pPr>
    </w:p>
    <w:p w14:paraId="23C815B0" w14:textId="77777777" w:rsidR="00E93D4C" w:rsidRPr="00B91478" w:rsidRDefault="00E93D4C">
      <w:pPr>
        <w:pStyle w:val="ORDERFORML1PraraNo"/>
        <w:numPr>
          <w:ilvl w:val="0"/>
          <w:numId w:val="0"/>
        </w:numPr>
        <w:ind w:left="426"/>
        <w:rPr>
          <w:rFonts w:ascii="Arial" w:hAnsi="Arial" w:cs="Arial"/>
        </w:rPr>
      </w:pPr>
    </w:p>
    <w:p w14:paraId="4DF4C186"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41B1218C"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2"/>
        <w:gridCol w:w="4831"/>
      </w:tblGrid>
      <w:tr w:rsidR="004E05DC" w:rsidRPr="00B91478" w14:paraId="1DF6994C" w14:textId="77777777" w:rsidTr="002436AD">
        <w:tc>
          <w:tcPr>
            <w:tcW w:w="565" w:type="dxa"/>
          </w:tcPr>
          <w:p w14:paraId="4360D8F7" w14:textId="77777777" w:rsidR="004E05DC" w:rsidRPr="00B91478" w:rsidRDefault="00F770DB">
            <w:pPr>
              <w:numPr>
                <w:ilvl w:val="1"/>
                <w:numId w:val="0"/>
              </w:numPr>
              <w:overflowPunct/>
              <w:autoSpaceDE/>
              <w:autoSpaceDN/>
              <w:spacing w:after="120"/>
              <w:textAlignment w:val="auto"/>
              <w:rPr>
                <w:b/>
              </w:rPr>
            </w:pPr>
            <w:r w:rsidRPr="00B91478">
              <w:rPr>
                <w:b/>
              </w:rPr>
              <w:t>7.1</w:t>
            </w:r>
          </w:p>
        </w:tc>
        <w:tc>
          <w:tcPr>
            <w:tcW w:w="4272" w:type="dxa"/>
            <w:shd w:val="clear" w:color="auto" w:fill="auto"/>
          </w:tcPr>
          <w:p w14:paraId="75706527" w14:textId="77777777" w:rsidR="004E05DC" w:rsidRPr="00B91478" w:rsidRDefault="00F770DB">
            <w:pPr>
              <w:numPr>
                <w:ilvl w:val="1"/>
                <w:numId w:val="0"/>
              </w:numPr>
              <w:overflowPunct/>
              <w:autoSpaceDE/>
              <w:autoSpaceDN/>
              <w:spacing w:after="120"/>
              <w:textAlignment w:val="auto"/>
            </w:pPr>
            <w:r w:rsidRPr="00B91478">
              <w:rPr>
                <w:b/>
              </w:rPr>
              <w:t>Estimated Year 1 Call Off Contract Charges</w:t>
            </w:r>
            <w:r w:rsidRPr="00B91478">
              <w:t>:</w:t>
            </w:r>
          </w:p>
          <w:p w14:paraId="73E578CF" w14:textId="77777777" w:rsidR="004E05DC" w:rsidRPr="00B91478" w:rsidRDefault="004E05DC">
            <w:pPr>
              <w:keepNext/>
              <w:keepLines/>
              <w:overflowPunct/>
              <w:autoSpaceDE/>
              <w:autoSpaceDN/>
              <w:spacing w:before="240"/>
              <w:ind w:left="0"/>
              <w:textAlignment w:val="auto"/>
              <w:rPr>
                <w:rFonts w:eastAsia="STZhongsong"/>
                <w:b/>
                <w:caps/>
                <w:lang w:eastAsia="zh-CN"/>
              </w:rPr>
            </w:pPr>
          </w:p>
        </w:tc>
        <w:tc>
          <w:tcPr>
            <w:tcW w:w="4831" w:type="dxa"/>
            <w:shd w:val="clear" w:color="auto" w:fill="auto"/>
          </w:tcPr>
          <w:p w14:paraId="45588FEA" w14:textId="2B37AA5F" w:rsidR="004E05DC" w:rsidRPr="002436AD" w:rsidRDefault="002436AD">
            <w:pPr>
              <w:keepNext/>
              <w:keepLines/>
              <w:overflowPunct/>
              <w:autoSpaceDE/>
              <w:autoSpaceDN/>
              <w:spacing w:after="0"/>
              <w:ind w:left="0"/>
              <w:textAlignment w:val="auto"/>
            </w:pPr>
            <w:r w:rsidRPr="002436AD">
              <w:t>The</w:t>
            </w:r>
            <w:r w:rsidR="002A4FA4">
              <w:t xml:space="preserve"> fixed</w:t>
            </w:r>
            <w:r w:rsidRPr="002436AD">
              <w:t xml:space="preserve"> sum of £462,670</w:t>
            </w:r>
            <w:r w:rsidR="00FA42BE">
              <w:t xml:space="preserve"> (exclusive of VAT which will be charged at the then prevailing rate).</w:t>
            </w:r>
          </w:p>
          <w:p w14:paraId="7195E171" w14:textId="77777777" w:rsidR="004E05DC" w:rsidRPr="00B91478" w:rsidRDefault="004E05DC">
            <w:pPr>
              <w:keepNext/>
              <w:keepLines/>
              <w:overflowPunct/>
              <w:autoSpaceDE/>
              <w:autoSpaceDN/>
              <w:spacing w:after="0"/>
              <w:ind w:left="0"/>
              <w:textAlignment w:val="auto"/>
              <w:rPr>
                <w:rFonts w:eastAsia="STZhongsong"/>
                <w:b/>
                <w:caps/>
                <w:lang w:eastAsia="zh-CN"/>
              </w:rPr>
            </w:pPr>
          </w:p>
        </w:tc>
      </w:tr>
      <w:tr w:rsidR="004E05DC" w:rsidRPr="00B91478" w14:paraId="16E2BFBC" w14:textId="77777777" w:rsidTr="00572ACE">
        <w:tc>
          <w:tcPr>
            <w:tcW w:w="565" w:type="dxa"/>
          </w:tcPr>
          <w:p w14:paraId="1863CC28"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4272" w:type="dxa"/>
            <w:shd w:val="clear" w:color="auto" w:fill="auto"/>
          </w:tcPr>
          <w:p w14:paraId="479BE250"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sidR="00861833">
              <w:rPr>
                <w:rFonts w:eastAsia="STZhongsong"/>
                <w:lang w:eastAsia="zh-CN"/>
              </w:rPr>
              <w:t xml:space="preserve"> 37.2.1</w:t>
            </w:r>
            <w:r w:rsidRPr="00B91478">
              <w:rPr>
                <w:rFonts w:eastAsia="STZhongsong"/>
                <w:lang w:eastAsia="zh-CN"/>
              </w:rPr>
              <w:t xml:space="preserve"> of the Call Off Terms);</w:t>
            </w:r>
          </w:p>
          <w:p w14:paraId="4245F15A" w14:textId="77777777" w:rsidR="004E05DC" w:rsidRPr="00B91478" w:rsidRDefault="004E05DC">
            <w:pPr>
              <w:numPr>
                <w:ilvl w:val="1"/>
                <w:numId w:val="0"/>
              </w:numPr>
              <w:overflowPunct/>
              <w:autoSpaceDE/>
              <w:autoSpaceDN/>
              <w:spacing w:after="120"/>
              <w:textAlignment w:val="auto"/>
              <w:rPr>
                <w:rFonts w:eastAsia="STZhongsong"/>
                <w:lang w:eastAsia="zh-CN"/>
              </w:rPr>
            </w:pPr>
          </w:p>
        </w:tc>
        <w:tc>
          <w:tcPr>
            <w:tcW w:w="4831" w:type="dxa"/>
            <w:shd w:val="clear" w:color="auto" w:fill="auto"/>
          </w:tcPr>
          <w:p w14:paraId="1048DED1" w14:textId="28A2D31C" w:rsidR="00A97960" w:rsidRDefault="006E1E5E" w:rsidP="00A97960">
            <w:pPr>
              <w:keepNext/>
              <w:keepLines/>
              <w:overflowPunct/>
              <w:autoSpaceDE/>
              <w:autoSpaceDN/>
              <w:spacing w:after="0"/>
              <w:ind w:left="0"/>
              <w:textAlignment w:val="auto"/>
            </w:pPr>
            <w:r>
              <w:t>Subject to Clause 37.</w:t>
            </w:r>
            <w:r w:rsidR="009310C1">
              <w:t>1 and 37.3</w:t>
            </w:r>
            <w:r>
              <w:t xml:space="preserve">, </w:t>
            </w:r>
            <w:r w:rsidR="009310C1">
              <w:t>Supplier’s total aggregrate liability</w:t>
            </w:r>
            <w:r w:rsidR="00A97960" w:rsidRPr="00A97960">
              <w:t>(whether expressed as an indemnity or otherwise)</w:t>
            </w:r>
            <w:r w:rsidR="00A97960">
              <w:t xml:space="preserve"> in respect of all the Lossess incurred by the Customer under or in connection with this Call Off Contract </w:t>
            </w:r>
            <w:r w:rsidR="00A97960" w:rsidRPr="00A97960">
              <w:t xml:space="preserve">(whether under common law or statute, tort (including negligence), breach of statutory duty or otherwise) </w:t>
            </w:r>
            <w:r w:rsidR="00A97960">
              <w:t xml:space="preserve">shall in no event exceed </w:t>
            </w:r>
            <w:r w:rsidR="00A97960" w:rsidRPr="00A97960">
              <w:t xml:space="preserve">one hundred and twenty five percent (125%) of the  Charges paid nor payable </w:t>
            </w:r>
            <w:r w:rsidR="00E91C29">
              <w:t>to</w:t>
            </w:r>
            <w:r w:rsidR="00A97960" w:rsidRPr="00A97960">
              <w:t xml:space="preserve"> the Customer during the Call-Off contract Period.</w:t>
            </w:r>
          </w:p>
          <w:p w14:paraId="5698B896" w14:textId="5143BB60" w:rsidR="00A97960" w:rsidRDefault="00A97960" w:rsidP="00A97960">
            <w:pPr>
              <w:keepNext/>
              <w:keepLines/>
              <w:overflowPunct/>
              <w:autoSpaceDE/>
              <w:autoSpaceDN/>
              <w:spacing w:after="0"/>
              <w:ind w:left="0"/>
              <w:textAlignment w:val="auto"/>
            </w:pPr>
          </w:p>
          <w:p w14:paraId="3BEE4954" w14:textId="77777777" w:rsidR="00492820" w:rsidRDefault="00492820" w:rsidP="00572ACE">
            <w:pPr>
              <w:keepNext/>
              <w:keepLines/>
              <w:overflowPunct/>
              <w:autoSpaceDE/>
              <w:autoSpaceDN/>
              <w:spacing w:after="0"/>
              <w:ind w:left="0"/>
              <w:textAlignment w:val="auto"/>
            </w:pPr>
          </w:p>
          <w:p w14:paraId="3F7FF881" w14:textId="30A04AC5" w:rsidR="00E91C29" w:rsidRDefault="00E91C29" w:rsidP="00E91C29">
            <w:pPr>
              <w:keepNext/>
              <w:keepLines/>
              <w:overflowPunct/>
              <w:autoSpaceDE/>
              <w:autoSpaceDN/>
              <w:spacing w:after="0"/>
              <w:ind w:left="0"/>
              <w:textAlignment w:val="auto"/>
            </w:pPr>
            <w:r>
              <w:t>Notwithstanding anything to the contrary set forth in the Call Off Contract, the Parties agree and acknowledge that, the Supplier’s maximum aggregate liability to the Customer (including for any liability for acts or omissions of its Supplier Personnel) under or in relation to the Call Off Contract (whether in contract, tort, negligence, indemnity, strict liability in tort, by statute or otherwise) for any and all claims, to the extent caused by the Supplier, arising in respect of: a) any breach of the terms of Clause 35.5 (Protection of Personal Data), b) Personal Data  c) any fines and/or penalties  imposed pursuant to Data Protection Legislation shall be capped in (aggregate) at 1</w:t>
            </w:r>
            <w:r w:rsidR="006547A0">
              <w:t>25</w:t>
            </w:r>
            <w:r>
              <w:t>% of the total Charges paid or payable to</w:t>
            </w:r>
            <w:r w:rsidRPr="00A97960">
              <w:t xml:space="preserve"> the Customer during the Call-Off contract Period.</w:t>
            </w:r>
          </w:p>
          <w:p w14:paraId="2B6D304D" w14:textId="77777777" w:rsidR="00492820" w:rsidRPr="00572ACE" w:rsidRDefault="00492820" w:rsidP="00572ACE">
            <w:pPr>
              <w:keepNext/>
              <w:keepLines/>
              <w:overflowPunct/>
              <w:autoSpaceDE/>
              <w:autoSpaceDN/>
              <w:spacing w:after="0"/>
              <w:ind w:left="0"/>
              <w:textAlignment w:val="auto"/>
            </w:pPr>
          </w:p>
        </w:tc>
      </w:tr>
      <w:tr w:rsidR="004E05DC" w:rsidRPr="00B91478" w14:paraId="1D38C1A5" w14:textId="77777777" w:rsidTr="00572ACE">
        <w:tc>
          <w:tcPr>
            <w:tcW w:w="565" w:type="dxa"/>
          </w:tcPr>
          <w:p w14:paraId="13E246E6"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4272" w:type="dxa"/>
            <w:shd w:val="clear" w:color="auto" w:fill="auto"/>
          </w:tcPr>
          <w:p w14:paraId="6AC6907C" w14:textId="77777777" w:rsidR="004E05DC" w:rsidRPr="00572ACE" w:rsidRDefault="00F770DB">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sidR="00861833">
              <w:rPr>
                <w:rFonts w:eastAsia="STZhongsong"/>
                <w:lang w:eastAsia="zh-CN"/>
              </w:rPr>
              <w:t xml:space="preserve"> 38.3</w:t>
            </w:r>
            <w:r w:rsidRPr="00B91478">
              <w:t xml:space="preserve"> of the Call Off Terms):</w:t>
            </w:r>
          </w:p>
        </w:tc>
        <w:tc>
          <w:tcPr>
            <w:tcW w:w="4831" w:type="dxa"/>
            <w:shd w:val="clear" w:color="auto" w:fill="auto"/>
          </w:tcPr>
          <w:p w14:paraId="5EA1E852" w14:textId="118FBC2E" w:rsidR="004E05DC" w:rsidRPr="00572ACE" w:rsidRDefault="00572ACE">
            <w:pPr>
              <w:keepNext/>
              <w:keepLines/>
              <w:overflowPunct/>
              <w:autoSpaceDE/>
              <w:autoSpaceDN/>
              <w:spacing w:after="0"/>
              <w:ind w:left="0"/>
              <w:textAlignment w:val="auto"/>
            </w:pPr>
            <w:r w:rsidRPr="00572ACE">
              <w:t xml:space="preserve">Applicable insurance terms are available in Clause 38.3 of the </w:t>
            </w:r>
            <w:hyperlink r:id="rId13" w:history="1">
              <w:r w:rsidRPr="00A142BA">
                <w:rPr>
                  <w:rStyle w:val="Hyperlink"/>
                </w:rPr>
                <w:t>Call Off terms</w:t>
              </w:r>
            </w:hyperlink>
            <w:r w:rsidR="00CA4772">
              <w:t xml:space="preserve"> for RM6008 which can be accessed via the CCS website.</w:t>
            </w:r>
          </w:p>
          <w:p w14:paraId="045A74A0" w14:textId="77777777" w:rsidR="004E05DC" w:rsidRPr="00B91478" w:rsidRDefault="004E05DC">
            <w:pPr>
              <w:keepNext/>
              <w:keepLines/>
              <w:overflowPunct/>
              <w:autoSpaceDE/>
              <w:autoSpaceDN/>
              <w:spacing w:after="0"/>
              <w:ind w:left="0"/>
              <w:textAlignment w:val="auto"/>
              <w:rPr>
                <w:i/>
              </w:rPr>
            </w:pPr>
          </w:p>
        </w:tc>
      </w:tr>
    </w:tbl>
    <w:p w14:paraId="25698E2A" w14:textId="77777777" w:rsidR="004E05DC" w:rsidRDefault="004E05DC">
      <w:pPr>
        <w:spacing w:after="0"/>
        <w:ind w:left="0"/>
        <w:rPr>
          <w:i/>
        </w:rPr>
      </w:pPr>
    </w:p>
    <w:p w14:paraId="4AF6D95C" w14:textId="77777777" w:rsidR="00CF728B" w:rsidRDefault="00CF728B">
      <w:pPr>
        <w:spacing w:after="0"/>
        <w:ind w:left="0"/>
        <w:rPr>
          <w:i/>
        </w:rPr>
      </w:pPr>
    </w:p>
    <w:p w14:paraId="7AFD86B8" w14:textId="77777777" w:rsidR="00CF728B" w:rsidRDefault="00CF728B">
      <w:pPr>
        <w:spacing w:after="0"/>
        <w:ind w:left="0"/>
        <w:rPr>
          <w:i/>
        </w:rPr>
      </w:pPr>
    </w:p>
    <w:p w14:paraId="6B263B0D" w14:textId="77777777" w:rsidR="00CF728B" w:rsidRDefault="00CF728B">
      <w:pPr>
        <w:spacing w:after="0"/>
        <w:ind w:left="0"/>
        <w:rPr>
          <w:i/>
        </w:rPr>
      </w:pPr>
    </w:p>
    <w:p w14:paraId="34B44574" w14:textId="77777777" w:rsidR="00CF728B" w:rsidRPr="00B91478" w:rsidRDefault="00CF728B">
      <w:pPr>
        <w:spacing w:after="0"/>
        <w:ind w:left="0"/>
        <w:rPr>
          <w:i/>
        </w:rPr>
      </w:pPr>
    </w:p>
    <w:p w14:paraId="5D7FB613" w14:textId="77777777" w:rsidR="004E05DC" w:rsidRPr="00B91478" w:rsidRDefault="00F770DB">
      <w:pPr>
        <w:pStyle w:val="ORDERFORML1PraraNo"/>
        <w:rPr>
          <w:rFonts w:ascii="Arial" w:hAnsi="Arial" w:cs="Arial"/>
        </w:rPr>
      </w:pPr>
      <w:r w:rsidRPr="00B91478">
        <w:rPr>
          <w:rFonts w:ascii="Arial" w:hAnsi="Arial" w:cs="Arial"/>
        </w:rPr>
        <w:t>TERMINATION and exit</w:t>
      </w:r>
    </w:p>
    <w:p w14:paraId="0778E86C"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824"/>
      </w:tblGrid>
      <w:tr w:rsidR="004E05DC" w:rsidRPr="00B91478" w14:paraId="7EDF5356" w14:textId="77777777" w:rsidTr="001B3B98">
        <w:tc>
          <w:tcPr>
            <w:tcW w:w="565" w:type="dxa"/>
          </w:tcPr>
          <w:p w14:paraId="447931D4"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4279" w:type="dxa"/>
            <w:shd w:val="clear" w:color="auto" w:fill="auto"/>
          </w:tcPr>
          <w:p w14:paraId="78796D80"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sidR="00861833">
              <w:rPr>
                <w:rFonts w:eastAsia="STZhongsong"/>
                <w:lang w:eastAsia="zh-CN"/>
              </w:rPr>
              <w:t>42.2</w:t>
            </w:r>
            <w:r w:rsidRPr="00B91478">
              <w:rPr>
                <w:rFonts w:eastAsia="STZhongsong"/>
                <w:lang w:eastAsia="zh-CN"/>
              </w:rPr>
              <w:t xml:space="preserve"> of the Call Off Terms)):</w:t>
            </w:r>
          </w:p>
          <w:p w14:paraId="656ABF62" w14:textId="77777777" w:rsidR="004E05DC" w:rsidRPr="00B91478" w:rsidRDefault="004E05DC" w:rsidP="00397FC8">
            <w:pPr>
              <w:keepNext/>
              <w:keepLines/>
              <w:overflowPunct/>
              <w:autoSpaceDE/>
              <w:autoSpaceDN/>
              <w:spacing w:before="240"/>
              <w:ind w:left="0"/>
              <w:textAlignment w:val="auto"/>
              <w:rPr>
                <w:b/>
                <w:highlight w:val="yellow"/>
              </w:rPr>
            </w:pPr>
          </w:p>
        </w:tc>
        <w:tc>
          <w:tcPr>
            <w:tcW w:w="4824" w:type="dxa"/>
            <w:shd w:val="clear" w:color="auto" w:fill="auto"/>
          </w:tcPr>
          <w:p w14:paraId="4B3D046B" w14:textId="5232F6FE" w:rsidR="004E05DC" w:rsidRPr="001B3B98" w:rsidRDefault="00725CCA" w:rsidP="00725CCA">
            <w:pPr>
              <w:keepNext/>
              <w:keepLines/>
              <w:overflowPunct/>
              <w:autoSpaceDE/>
              <w:autoSpaceDN/>
              <w:spacing w:after="0"/>
              <w:ind w:left="0"/>
              <w:textAlignment w:val="auto"/>
              <w:rPr>
                <w:rFonts w:eastAsia="STZhongsong"/>
                <w:caps/>
                <w:lang w:eastAsia="zh-CN"/>
              </w:rPr>
            </w:pPr>
            <w:r>
              <w:rPr>
                <w:rFonts w:eastAsia="Calibri"/>
                <w:lang w:val="en-US" w:eastAsia="en-GB"/>
              </w:rPr>
              <w:t xml:space="preserve">The Customer may terminate this Call Off Order Form </w:t>
            </w:r>
            <w:r>
              <w:rPr>
                <w:rFonts w:eastAsia="STZhongsong"/>
                <w:lang w:eastAsia="zh-CN"/>
              </w:rPr>
              <w:t>i</w:t>
            </w:r>
            <w:r w:rsidR="00C1754D" w:rsidRPr="001B3B98">
              <w:rPr>
                <w:rFonts w:eastAsia="STZhongsong"/>
                <w:lang w:eastAsia="zh-CN"/>
              </w:rPr>
              <w:t xml:space="preserve">n </w:t>
            </w:r>
            <w:r>
              <w:rPr>
                <w:rFonts w:eastAsia="STZhongsong"/>
                <w:lang w:eastAsia="zh-CN"/>
              </w:rPr>
              <w:t xml:space="preserve">accordance with </w:t>
            </w:r>
            <w:r w:rsidR="00C1754D" w:rsidRPr="001B3B98">
              <w:rPr>
                <w:rFonts w:eastAsia="STZhongsong"/>
                <w:lang w:eastAsia="zh-CN"/>
              </w:rPr>
              <w:t xml:space="preserve">clause 42.2.1(c) of the </w:t>
            </w:r>
            <w:hyperlink r:id="rId14" w:history="1">
              <w:r w:rsidR="00A142BA" w:rsidRPr="00A142BA">
                <w:rPr>
                  <w:rStyle w:val="Hyperlink"/>
                  <w:rFonts w:eastAsia="STZhongsong"/>
                  <w:lang w:eastAsia="zh-CN"/>
                </w:rPr>
                <w:t>C</w:t>
              </w:r>
              <w:r w:rsidR="00C1754D" w:rsidRPr="00A142BA">
                <w:rPr>
                  <w:rStyle w:val="Hyperlink"/>
                  <w:rFonts w:eastAsia="STZhongsong"/>
                  <w:lang w:eastAsia="zh-CN"/>
                </w:rPr>
                <w:t xml:space="preserve">all </w:t>
              </w:r>
              <w:r w:rsidR="00A142BA" w:rsidRPr="00A142BA">
                <w:rPr>
                  <w:rStyle w:val="Hyperlink"/>
                  <w:rFonts w:eastAsia="STZhongsong"/>
                  <w:lang w:eastAsia="zh-CN"/>
                </w:rPr>
                <w:t>O</w:t>
              </w:r>
              <w:r w:rsidR="00C1754D" w:rsidRPr="00A142BA">
                <w:rPr>
                  <w:rStyle w:val="Hyperlink"/>
                  <w:rFonts w:eastAsia="STZhongsong"/>
                  <w:lang w:eastAsia="zh-CN"/>
                </w:rPr>
                <w:t>ff terms</w:t>
              </w:r>
            </w:hyperlink>
            <w:r>
              <w:rPr>
                <w:rFonts w:eastAsia="STZhongsong"/>
                <w:caps/>
                <w:lang w:eastAsia="zh-CN"/>
              </w:rPr>
              <w:t xml:space="preserve"> </w:t>
            </w:r>
            <w:r w:rsidR="00CA4772">
              <w:t xml:space="preserve">for RM6008 which can be accessed via the CCS website, </w:t>
            </w:r>
            <w:r>
              <w:rPr>
                <w:rFonts w:eastAsia="STZhongsong"/>
                <w:lang w:eastAsia="zh-CN"/>
              </w:rPr>
              <w:t xml:space="preserve">by </w:t>
            </w:r>
            <w:r w:rsidRPr="00725CCA">
              <w:rPr>
                <w:rFonts w:eastAsia="STZhongsong"/>
                <w:lang w:eastAsia="zh-CN"/>
              </w:rPr>
              <w:t>issuing a</w:t>
            </w:r>
            <w:r>
              <w:rPr>
                <w:rFonts w:eastAsia="STZhongsong"/>
                <w:lang w:eastAsia="zh-CN"/>
              </w:rPr>
              <w:t xml:space="preserve"> </w:t>
            </w:r>
            <w:r w:rsidRPr="00725CCA">
              <w:rPr>
                <w:rFonts w:eastAsia="STZhongsong"/>
                <w:lang w:eastAsia="zh-CN"/>
              </w:rPr>
              <w:t xml:space="preserve">termination notice of </w:t>
            </w:r>
            <w:r w:rsidR="00EF66E5">
              <w:rPr>
                <w:rFonts w:eastAsia="STZhongsong"/>
                <w:lang w:eastAsia="zh-CN"/>
              </w:rPr>
              <w:t>10 Working</w:t>
            </w:r>
            <w:r w:rsidRPr="00725CCA">
              <w:rPr>
                <w:rFonts w:eastAsia="STZhongsong"/>
                <w:lang w:eastAsia="zh-CN"/>
              </w:rPr>
              <w:t xml:space="preserve"> </w:t>
            </w:r>
            <w:r w:rsidR="006547A0" w:rsidRPr="00725CCA">
              <w:rPr>
                <w:rFonts w:eastAsia="STZhongsong"/>
                <w:lang w:eastAsia="zh-CN"/>
              </w:rPr>
              <w:t>D</w:t>
            </w:r>
            <w:r w:rsidRPr="00725CCA">
              <w:rPr>
                <w:rFonts w:eastAsia="STZhongsong"/>
                <w:lang w:eastAsia="zh-CN"/>
              </w:rPr>
              <w:t>ays</w:t>
            </w:r>
            <w:r w:rsidR="006547A0">
              <w:rPr>
                <w:rFonts w:eastAsia="STZhongsong"/>
                <w:lang w:eastAsia="zh-CN"/>
              </w:rPr>
              <w:t>.</w:t>
            </w:r>
            <w:r w:rsidRPr="00725CCA">
              <w:rPr>
                <w:rFonts w:eastAsia="STZhongsong"/>
                <w:lang w:eastAsia="zh-CN"/>
              </w:rPr>
              <w:t xml:space="preserve"> </w:t>
            </w:r>
          </w:p>
        </w:tc>
      </w:tr>
      <w:tr w:rsidR="004E05DC" w:rsidRPr="00B91478" w14:paraId="44D370E9" w14:textId="77777777" w:rsidTr="001B3B98">
        <w:tc>
          <w:tcPr>
            <w:tcW w:w="565" w:type="dxa"/>
          </w:tcPr>
          <w:p w14:paraId="588CFB9C"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4279" w:type="dxa"/>
            <w:shd w:val="clear" w:color="auto" w:fill="auto"/>
          </w:tcPr>
          <w:p w14:paraId="339D62C5"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sidR="004944BE">
              <w:rPr>
                <w:rFonts w:eastAsia="STZhongsong"/>
                <w:lang w:eastAsia="zh-CN"/>
              </w:rPr>
              <w:t xml:space="preserve"> 42.7 </w:t>
            </w:r>
            <w:r w:rsidRPr="00B91478">
              <w:rPr>
                <w:rFonts w:eastAsia="STZhongsong"/>
                <w:lang w:eastAsia="zh-CN"/>
              </w:rPr>
              <w:t>of the Call Off Terms):</w:t>
            </w:r>
          </w:p>
          <w:p w14:paraId="37E2E3E7" w14:textId="77777777" w:rsidR="004E05DC" w:rsidRPr="00B91478" w:rsidRDefault="004E05DC" w:rsidP="004944BE">
            <w:pPr>
              <w:numPr>
                <w:ilvl w:val="1"/>
                <w:numId w:val="0"/>
              </w:numPr>
              <w:overflowPunct/>
              <w:autoSpaceDE/>
              <w:autoSpaceDN/>
              <w:spacing w:after="120"/>
              <w:textAlignment w:val="auto"/>
              <w:rPr>
                <w:rFonts w:eastAsia="STZhongsong"/>
                <w:lang w:eastAsia="zh-CN"/>
              </w:rPr>
            </w:pPr>
          </w:p>
        </w:tc>
        <w:tc>
          <w:tcPr>
            <w:tcW w:w="4824" w:type="dxa"/>
            <w:shd w:val="clear" w:color="auto" w:fill="auto"/>
          </w:tcPr>
          <w:p w14:paraId="164DE193" w14:textId="6EA5DB9F" w:rsidR="004E05DC" w:rsidRPr="001B3B98" w:rsidRDefault="00CA4772" w:rsidP="00572ACE">
            <w:pPr>
              <w:keepNext/>
              <w:keepLines/>
              <w:overflowPunct/>
              <w:autoSpaceDE/>
              <w:autoSpaceDN/>
              <w:spacing w:after="0"/>
              <w:ind w:left="0"/>
              <w:textAlignment w:val="auto"/>
              <w:rPr>
                <w:rFonts w:eastAsia="STZhongsong"/>
                <w:caps/>
                <w:lang w:eastAsia="zh-CN"/>
              </w:rPr>
            </w:pPr>
            <w:r>
              <w:rPr>
                <w:rFonts w:eastAsia="STZhongsong"/>
                <w:lang w:eastAsia="zh-CN"/>
              </w:rPr>
              <w:t>I</w:t>
            </w:r>
            <w:r w:rsidR="00C1754D" w:rsidRPr="001B3B98">
              <w:rPr>
                <w:rFonts w:eastAsia="STZhongsong"/>
                <w:lang w:eastAsia="zh-CN"/>
              </w:rPr>
              <w:t xml:space="preserve">n </w:t>
            </w:r>
            <w:r w:rsidR="006547A0">
              <w:rPr>
                <w:rFonts w:eastAsia="STZhongsong"/>
                <w:lang w:eastAsia="zh-CN"/>
              </w:rPr>
              <w:t xml:space="preserve">accordance with </w:t>
            </w:r>
            <w:r w:rsidR="00C1754D" w:rsidRPr="001B3B98">
              <w:rPr>
                <w:rFonts w:eastAsia="STZhongsong"/>
                <w:lang w:eastAsia="zh-CN"/>
              </w:rPr>
              <w:t xml:space="preserve">clause 42.7 of the </w:t>
            </w:r>
            <w:r w:rsidR="006547A0">
              <w:rPr>
                <w:rFonts w:eastAsia="STZhongsong"/>
                <w:lang w:eastAsia="zh-CN"/>
              </w:rPr>
              <w:t>Call off Terms</w:t>
            </w:r>
            <w:r>
              <w:rPr>
                <w:rFonts w:eastAsia="STZhongsong"/>
                <w:caps/>
                <w:lang w:eastAsia="zh-CN"/>
              </w:rPr>
              <w:t xml:space="preserve"> </w:t>
            </w:r>
            <w:r>
              <w:t>for RM6008 which can be accessed via the CCS website.</w:t>
            </w:r>
          </w:p>
        </w:tc>
      </w:tr>
      <w:tr w:rsidR="004E05DC" w:rsidRPr="00B91478" w14:paraId="2FF2DE02" w14:textId="77777777" w:rsidTr="001B3B98">
        <w:tc>
          <w:tcPr>
            <w:tcW w:w="565" w:type="dxa"/>
          </w:tcPr>
          <w:p w14:paraId="7E9F706F"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4279" w:type="dxa"/>
            <w:shd w:val="clear" w:color="auto" w:fill="auto"/>
          </w:tcPr>
          <w:p w14:paraId="45A951B4" w14:textId="77777777" w:rsidR="004E05DC" w:rsidRDefault="00F770DB" w:rsidP="001B3B98">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0BB03824" w14:textId="77777777" w:rsidR="001B3B98" w:rsidRPr="001B3B98" w:rsidRDefault="001B3B98" w:rsidP="001B3B98">
            <w:pPr>
              <w:numPr>
                <w:ilvl w:val="1"/>
                <w:numId w:val="0"/>
              </w:numPr>
              <w:overflowPunct/>
              <w:autoSpaceDE/>
              <w:autoSpaceDN/>
              <w:spacing w:after="120"/>
              <w:textAlignment w:val="auto"/>
              <w:rPr>
                <w:rFonts w:eastAsia="STZhongsong"/>
                <w:lang w:eastAsia="zh-CN"/>
              </w:rPr>
            </w:pPr>
          </w:p>
        </w:tc>
        <w:tc>
          <w:tcPr>
            <w:tcW w:w="4824" w:type="dxa"/>
            <w:shd w:val="clear" w:color="auto" w:fill="auto"/>
          </w:tcPr>
          <w:p w14:paraId="02667714" w14:textId="2DE63856" w:rsidR="004E05DC" w:rsidRPr="001B3B98" w:rsidRDefault="001B3B98" w:rsidP="001B3B98">
            <w:pPr>
              <w:keepNext/>
              <w:keepLines/>
              <w:overflowPunct/>
              <w:autoSpaceDE/>
              <w:autoSpaceDN/>
              <w:spacing w:after="0"/>
              <w:ind w:left="0"/>
              <w:textAlignment w:val="auto"/>
              <w:rPr>
                <w:rFonts w:eastAsia="STZhongsong"/>
                <w:caps/>
                <w:lang w:eastAsia="zh-CN"/>
              </w:rPr>
            </w:pPr>
            <w:r>
              <w:rPr>
                <w:rFonts w:eastAsia="STZhongsong"/>
                <w:lang w:eastAsia="zh-CN"/>
              </w:rPr>
              <w:t xml:space="preserve">In Clause 43.1.1 of the </w:t>
            </w:r>
            <w:hyperlink r:id="rId15" w:history="1">
              <w:r w:rsidRPr="00A142BA">
                <w:rPr>
                  <w:rStyle w:val="Hyperlink"/>
                  <w:rFonts w:eastAsia="STZhongsong"/>
                  <w:lang w:eastAsia="zh-CN"/>
                </w:rPr>
                <w:t>Call Off Terms</w:t>
              </w:r>
            </w:hyperlink>
            <w:r w:rsidR="00CA4772">
              <w:rPr>
                <w:rFonts w:eastAsia="STZhongsong"/>
                <w:lang w:eastAsia="zh-CN"/>
              </w:rPr>
              <w:t xml:space="preserve"> </w:t>
            </w:r>
            <w:r w:rsidR="00CA4772">
              <w:t>for RM6008 which can be accessed via the CCS website.</w:t>
            </w:r>
          </w:p>
        </w:tc>
      </w:tr>
      <w:tr w:rsidR="004E05DC" w:rsidRPr="00B91478" w14:paraId="0DA1C1AD" w14:textId="77777777" w:rsidTr="001B3B98">
        <w:tc>
          <w:tcPr>
            <w:tcW w:w="565" w:type="dxa"/>
            <w:tcBorders>
              <w:top w:val="single" w:sz="4" w:space="0" w:color="auto"/>
              <w:left w:val="single" w:sz="4" w:space="0" w:color="auto"/>
              <w:bottom w:val="single" w:sz="4" w:space="0" w:color="auto"/>
              <w:right w:val="single" w:sz="4" w:space="0" w:color="auto"/>
            </w:tcBorders>
          </w:tcPr>
          <w:p w14:paraId="133BBEDC"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4279" w:type="dxa"/>
            <w:tcBorders>
              <w:top w:val="single" w:sz="4" w:space="0" w:color="auto"/>
              <w:left w:val="single" w:sz="4" w:space="0" w:color="auto"/>
              <w:bottom w:val="single" w:sz="4" w:space="0" w:color="auto"/>
              <w:right w:val="single" w:sz="4" w:space="0" w:color="auto"/>
            </w:tcBorders>
            <w:shd w:val="clear" w:color="auto" w:fill="auto"/>
          </w:tcPr>
          <w:p w14:paraId="7615B704"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A1AFE07"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t xml:space="preserve"> </w:t>
            </w:r>
          </w:p>
        </w:tc>
        <w:tc>
          <w:tcPr>
            <w:tcW w:w="4824" w:type="dxa"/>
            <w:tcBorders>
              <w:top w:val="single" w:sz="4" w:space="0" w:color="auto"/>
              <w:left w:val="single" w:sz="4" w:space="0" w:color="auto"/>
              <w:bottom w:val="single" w:sz="4" w:space="0" w:color="auto"/>
              <w:right w:val="single" w:sz="4" w:space="0" w:color="auto"/>
            </w:tcBorders>
            <w:shd w:val="clear" w:color="auto" w:fill="auto"/>
          </w:tcPr>
          <w:p w14:paraId="389029D6" w14:textId="77777777" w:rsidR="004E05DC" w:rsidRPr="001B3B98" w:rsidRDefault="00572ACE" w:rsidP="00DE1860">
            <w:pPr>
              <w:numPr>
                <w:ilvl w:val="1"/>
                <w:numId w:val="0"/>
              </w:numPr>
              <w:overflowPunct/>
              <w:autoSpaceDE/>
              <w:autoSpaceDN/>
              <w:spacing w:after="120"/>
              <w:textAlignment w:val="auto"/>
              <w:rPr>
                <w:i/>
              </w:rPr>
            </w:pPr>
            <w:r w:rsidRPr="001B3B98">
              <w:rPr>
                <w:rFonts w:eastAsia="STZhongsong"/>
                <w:lang w:eastAsia="zh-CN"/>
              </w:rPr>
              <w:t>Not applied</w:t>
            </w:r>
          </w:p>
        </w:tc>
      </w:tr>
    </w:tbl>
    <w:p w14:paraId="118FAF8A" w14:textId="77777777" w:rsidR="004E05DC" w:rsidRPr="00B91478" w:rsidRDefault="004E05DC">
      <w:pPr>
        <w:pStyle w:val="ORDERFORML1PraraNo"/>
        <w:numPr>
          <w:ilvl w:val="0"/>
          <w:numId w:val="0"/>
        </w:numPr>
        <w:ind w:left="426"/>
        <w:rPr>
          <w:rFonts w:ascii="Arial" w:hAnsi="Arial" w:cs="Arial"/>
        </w:rPr>
      </w:pPr>
    </w:p>
    <w:p w14:paraId="504E029F" w14:textId="77777777" w:rsidR="004E05DC" w:rsidRPr="00B91478" w:rsidRDefault="00F770DB">
      <w:pPr>
        <w:pStyle w:val="ORDERFORML1PraraNo"/>
        <w:rPr>
          <w:rFonts w:ascii="Arial" w:hAnsi="Arial" w:cs="Arial"/>
        </w:rPr>
      </w:pPr>
      <w:r w:rsidRPr="00B91478">
        <w:rPr>
          <w:rFonts w:ascii="Arial" w:hAnsi="Arial" w:cs="Arial"/>
        </w:rPr>
        <w:t>supplier information</w:t>
      </w:r>
    </w:p>
    <w:p w14:paraId="5BC75E29"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80"/>
        <w:gridCol w:w="4823"/>
      </w:tblGrid>
      <w:tr w:rsidR="004E05DC" w:rsidRPr="00B91478" w14:paraId="2763085E" w14:textId="77777777" w:rsidTr="002A044A">
        <w:tc>
          <w:tcPr>
            <w:tcW w:w="565" w:type="dxa"/>
            <w:tcBorders>
              <w:top w:val="single" w:sz="4" w:space="0" w:color="auto"/>
              <w:left w:val="single" w:sz="4" w:space="0" w:color="auto"/>
              <w:bottom w:val="single" w:sz="4" w:space="0" w:color="auto"/>
              <w:right w:val="single" w:sz="4" w:space="0" w:color="auto"/>
            </w:tcBorders>
          </w:tcPr>
          <w:p w14:paraId="0A7420EA" w14:textId="77777777" w:rsidR="004E05DC" w:rsidRPr="00B91478" w:rsidRDefault="00F770DB">
            <w:pPr>
              <w:numPr>
                <w:ilvl w:val="1"/>
                <w:numId w:val="0"/>
              </w:numPr>
              <w:overflowPunct/>
              <w:autoSpaceDE/>
              <w:autoSpaceDN/>
              <w:spacing w:after="120"/>
              <w:jc w:val="left"/>
              <w:textAlignment w:val="auto"/>
              <w:rPr>
                <w:b/>
              </w:rPr>
            </w:pPr>
            <w:r w:rsidRPr="00B91478">
              <w:rPr>
                <w:b/>
              </w:rPr>
              <w:t>9.1</w:t>
            </w:r>
          </w:p>
        </w:tc>
        <w:tc>
          <w:tcPr>
            <w:tcW w:w="4280" w:type="dxa"/>
            <w:tcBorders>
              <w:top w:val="single" w:sz="4" w:space="0" w:color="auto"/>
              <w:left w:val="single" w:sz="4" w:space="0" w:color="auto"/>
              <w:bottom w:val="single" w:sz="4" w:space="0" w:color="auto"/>
              <w:right w:val="single" w:sz="4" w:space="0" w:color="auto"/>
            </w:tcBorders>
            <w:shd w:val="clear" w:color="auto" w:fill="auto"/>
          </w:tcPr>
          <w:p w14:paraId="241F7891" w14:textId="77777777" w:rsidR="004E05DC" w:rsidRPr="00B91478" w:rsidRDefault="00F770DB"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6661180F" w14:textId="77777777"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823" w:type="dxa"/>
            <w:tcBorders>
              <w:top w:val="single" w:sz="4" w:space="0" w:color="auto"/>
              <w:left w:val="single" w:sz="4" w:space="0" w:color="auto"/>
              <w:bottom w:val="single" w:sz="4" w:space="0" w:color="auto"/>
              <w:right w:val="single" w:sz="4" w:space="0" w:color="auto"/>
            </w:tcBorders>
            <w:shd w:val="clear" w:color="auto" w:fill="auto"/>
          </w:tcPr>
          <w:p w14:paraId="35E4D8EF" w14:textId="77777777" w:rsidR="00DE592A" w:rsidRPr="00C1754D" w:rsidRDefault="00F770DB" w:rsidP="00DE592A">
            <w:pPr>
              <w:numPr>
                <w:ilvl w:val="1"/>
                <w:numId w:val="0"/>
              </w:numPr>
              <w:overflowPunct/>
              <w:autoSpaceDE/>
              <w:autoSpaceDN/>
              <w:spacing w:after="120"/>
              <w:textAlignment w:val="auto"/>
            </w:pPr>
            <w:r w:rsidRPr="00C1754D">
              <w:t>Clauses</w:t>
            </w:r>
            <w:r w:rsidR="00017475" w:rsidRPr="00C1754D">
              <w:t xml:space="preserve"> 2</w:t>
            </w:r>
            <w:r w:rsidRPr="00C1754D">
              <w:t xml:space="preserve"> (Due Diligence),</w:t>
            </w:r>
            <w:r w:rsidR="00017475" w:rsidRPr="00C1754D">
              <w:t xml:space="preserve"> 31</w:t>
            </w:r>
            <w:r w:rsidRPr="00C1754D">
              <w:t xml:space="preserve"> (Customer Premises) and </w:t>
            </w:r>
            <w:r w:rsidR="00017475" w:rsidRPr="00C1754D">
              <w:t>32</w:t>
            </w:r>
            <w:r w:rsidR="00DE592A" w:rsidRPr="00C1754D">
              <w:t xml:space="preserve"> (Customer Property) may apply to this contract.</w:t>
            </w:r>
            <w:r w:rsidRPr="00C1754D">
              <w:t xml:space="preserve"> </w:t>
            </w:r>
            <w:r w:rsidR="00DE592A" w:rsidRPr="00C1754D">
              <w:t xml:space="preserve">The supplier will be given site access upon request for inspection purposes. </w:t>
            </w:r>
          </w:p>
        </w:tc>
      </w:tr>
      <w:tr w:rsidR="004E05DC" w:rsidRPr="00B91478" w14:paraId="1AFEC5AC" w14:textId="77777777" w:rsidTr="002A044A">
        <w:tc>
          <w:tcPr>
            <w:tcW w:w="565" w:type="dxa"/>
            <w:tcBorders>
              <w:top w:val="single" w:sz="4" w:space="0" w:color="auto"/>
              <w:left w:val="single" w:sz="4" w:space="0" w:color="auto"/>
              <w:bottom w:val="single" w:sz="4" w:space="0" w:color="auto"/>
              <w:right w:val="single" w:sz="4" w:space="0" w:color="auto"/>
            </w:tcBorders>
          </w:tcPr>
          <w:p w14:paraId="1D44B2D3"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4280" w:type="dxa"/>
            <w:tcBorders>
              <w:top w:val="single" w:sz="4" w:space="0" w:color="auto"/>
              <w:left w:val="single" w:sz="4" w:space="0" w:color="auto"/>
              <w:bottom w:val="single" w:sz="4" w:space="0" w:color="auto"/>
              <w:right w:val="single" w:sz="4" w:space="0" w:color="auto"/>
            </w:tcBorders>
            <w:shd w:val="clear" w:color="auto" w:fill="auto"/>
          </w:tcPr>
          <w:p w14:paraId="6F8D16BA"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12ADC1C1" w14:textId="77777777" w:rsidR="004E05DC" w:rsidRPr="00B91478" w:rsidRDefault="004E05DC" w:rsidP="00C1754D">
            <w:pPr>
              <w:numPr>
                <w:ilvl w:val="1"/>
                <w:numId w:val="0"/>
              </w:numPr>
              <w:overflowPunct/>
              <w:autoSpaceDE/>
              <w:autoSpaceDN/>
              <w:spacing w:after="120"/>
              <w:jc w:val="left"/>
              <w:textAlignment w:val="auto"/>
              <w:rPr>
                <w:rFonts w:eastAsia="STZhongsong"/>
                <w:b/>
                <w:lang w:eastAsia="zh-CN"/>
              </w:rPr>
            </w:pPr>
          </w:p>
        </w:tc>
        <w:tc>
          <w:tcPr>
            <w:tcW w:w="4823" w:type="dxa"/>
            <w:tcBorders>
              <w:top w:val="single" w:sz="4" w:space="0" w:color="auto"/>
              <w:left w:val="single" w:sz="4" w:space="0" w:color="auto"/>
              <w:bottom w:val="single" w:sz="4" w:space="0" w:color="auto"/>
              <w:right w:val="single" w:sz="4" w:space="0" w:color="auto"/>
            </w:tcBorders>
            <w:shd w:val="clear" w:color="auto" w:fill="auto"/>
          </w:tcPr>
          <w:p w14:paraId="2EEEB70C" w14:textId="77777777" w:rsidR="004E05DC" w:rsidRPr="0095523D" w:rsidRDefault="0095523D" w:rsidP="004944BE">
            <w:pPr>
              <w:numPr>
                <w:ilvl w:val="1"/>
                <w:numId w:val="0"/>
              </w:numPr>
              <w:overflowPunct/>
              <w:autoSpaceDE/>
              <w:autoSpaceDN/>
              <w:spacing w:after="120"/>
              <w:textAlignment w:val="auto"/>
            </w:pPr>
            <w:r w:rsidRPr="0095523D">
              <w:t>The Accenture proposal document presented to ‘HM Revenue &amp; Customs’ and titled ‘</w:t>
            </w:r>
            <w:r w:rsidR="00C1754D">
              <w:t>OFFICIAL ACCENTURE RESPONSE HMRC V01.A 15FEB2019’</w:t>
            </w:r>
            <w:r w:rsidR="00DE592A">
              <w:t xml:space="preserve"> </w:t>
            </w:r>
            <w:r w:rsidRPr="0095523D">
              <w:t>and all of its content is considered to be Commercially Sensitive Information.</w:t>
            </w:r>
          </w:p>
          <w:p w14:paraId="16F1081A" w14:textId="0DC5817C" w:rsidR="0095523D" w:rsidRDefault="0095523D" w:rsidP="004944BE">
            <w:pPr>
              <w:numPr>
                <w:ilvl w:val="1"/>
                <w:numId w:val="0"/>
              </w:numPr>
              <w:overflowPunct/>
              <w:autoSpaceDE/>
              <w:autoSpaceDN/>
              <w:spacing w:after="120"/>
              <w:textAlignment w:val="auto"/>
            </w:pPr>
            <w:r w:rsidRPr="0095523D">
              <w:t>The Accenture charging model document presented to ‘HM Revenue &amp; Customs’ and titled ‘</w:t>
            </w:r>
            <w:r w:rsidR="00BB1618" w:rsidRPr="00BB1618">
              <w:t>190307 Call Off Order Form v2</w:t>
            </w:r>
            <w:r w:rsidR="00BB1618">
              <w:t xml:space="preserve">’ </w:t>
            </w:r>
            <w:r w:rsidRPr="0095523D">
              <w:t>and all of its content is considered to be Commercially Sensitive Information.</w:t>
            </w:r>
          </w:p>
          <w:p w14:paraId="37D07E86" w14:textId="77777777" w:rsidR="0095523D" w:rsidRDefault="0095523D" w:rsidP="004944BE">
            <w:pPr>
              <w:numPr>
                <w:ilvl w:val="1"/>
                <w:numId w:val="0"/>
              </w:numPr>
              <w:overflowPunct/>
              <w:autoSpaceDE/>
              <w:autoSpaceDN/>
              <w:spacing w:after="120"/>
              <w:textAlignment w:val="auto"/>
            </w:pPr>
          </w:p>
          <w:p w14:paraId="5492B38B" w14:textId="77777777" w:rsidR="0095523D" w:rsidRPr="00B91478" w:rsidRDefault="0095523D" w:rsidP="004944BE">
            <w:pPr>
              <w:numPr>
                <w:ilvl w:val="1"/>
                <w:numId w:val="0"/>
              </w:numPr>
              <w:overflowPunct/>
              <w:autoSpaceDE/>
              <w:autoSpaceDN/>
              <w:spacing w:after="120"/>
              <w:textAlignment w:val="auto"/>
              <w:rPr>
                <w:i/>
              </w:rPr>
            </w:pPr>
          </w:p>
        </w:tc>
      </w:tr>
    </w:tbl>
    <w:p w14:paraId="3AF219B9" w14:textId="77777777" w:rsidR="004E05DC" w:rsidRDefault="004E05DC">
      <w:pPr>
        <w:pStyle w:val="ORDERFORML1PraraNo"/>
        <w:numPr>
          <w:ilvl w:val="0"/>
          <w:numId w:val="0"/>
        </w:numPr>
        <w:ind w:left="426"/>
        <w:rPr>
          <w:rFonts w:ascii="Arial" w:hAnsi="Arial" w:cs="Arial"/>
        </w:rPr>
      </w:pPr>
    </w:p>
    <w:p w14:paraId="74D1978F" w14:textId="77777777" w:rsidR="00540976" w:rsidRDefault="00540976">
      <w:pPr>
        <w:pStyle w:val="ORDERFORML1PraraNo"/>
        <w:numPr>
          <w:ilvl w:val="0"/>
          <w:numId w:val="0"/>
        </w:numPr>
        <w:ind w:left="426"/>
        <w:rPr>
          <w:rFonts w:ascii="Arial" w:hAnsi="Arial" w:cs="Arial"/>
        </w:rPr>
      </w:pPr>
    </w:p>
    <w:p w14:paraId="27B0427C" w14:textId="77777777" w:rsidR="00540976" w:rsidRDefault="00540976">
      <w:pPr>
        <w:pStyle w:val="ORDERFORML1PraraNo"/>
        <w:numPr>
          <w:ilvl w:val="0"/>
          <w:numId w:val="0"/>
        </w:numPr>
        <w:ind w:left="426"/>
        <w:rPr>
          <w:rFonts w:ascii="Arial" w:hAnsi="Arial" w:cs="Arial"/>
        </w:rPr>
      </w:pPr>
    </w:p>
    <w:p w14:paraId="62AB3035" w14:textId="77777777" w:rsidR="002A044A" w:rsidRDefault="002A044A">
      <w:pPr>
        <w:pStyle w:val="ORDERFORML1PraraNo"/>
        <w:numPr>
          <w:ilvl w:val="0"/>
          <w:numId w:val="0"/>
        </w:numPr>
        <w:ind w:left="426"/>
        <w:rPr>
          <w:rFonts w:ascii="Arial" w:hAnsi="Arial" w:cs="Arial"/>
        </w:rPr>
      </w:pPr>
    </w:p>
    <w:p w14:paraId="5C6554CB" w14:textId="77777777" w:rsidR="002A044A" w:rsidRDefault="002A044A">
      <w:pPr>
        <w:pStyle w:val="ORDERFORML1PraraNo"/>
        <w:numPr>
          <w:ilvl w:val="0"/>
          <w:numId w:val="0"/>
        </w:numPr>
        <w:ind w:left="426"/>
        <w:rPr>
          <w:rFonts w:ascii="Arial" w:hAnsi="Arial" w:cs="Arial"/>
        </w:rPr>
      </w:pPr>
    </w:p>
    <w:p w14:paraId="3672CD08" w14:textId="77777777" w:rsidR="002A044A" w:rsidRDefault="002A044A">
      <w:pPr>
        <w:pStyle w:val="ORDERFORML1PraraNo"/>
        <w:numPr>
          <w:ilvl w:val="0"/>
          <w:numId w:val="0"/>
        </w:numPr>
        <w:ind w:left="426"/>
        <w:rPr>
          <w:rFonts w:ascii="Arial" w:hAnsi="Arial" w:cs="Arial"/>
        </w:rPr>
      </w:pPr>
    </w:p>
    <w:p w14:paraId="6D308B36" w14:textId="77777777" w:rsidR="002A044A" w:rsidRDefault="002A044A">
      <w:pPr>
        <w:pStyle w:val="ORDERFORML1PraraNo"/>
        <w:numPr>
          <w:ilvl w:val="0"/>
          <w:numId w:val="0"/>
        </w:numPr>
        <w:ind w:left="426"/>
        <w:rPr>
          <w:rFonts w:ascii="Arial" w:hAnsi="Arial" w:cs="Arial"/>
        </w:rPr>
      </w:pPr>
    </w:p>
    <w:p w14:paraId="7A59989D" w14:textId="77777777" w:rsidR="002A044A" w:rsidRDefault="002A044A">
      <w:pPr>
        <w:pStyle w:val="ORDERFORML1PraraNo"/>
        <w:numPr>
          <w:ilvl w:val="0"/>
          <w:numId w:val="0"/>
        </w:numPr>
        <w:ind w:left="426"/>
        <w:rPr>
          <w:rFonts w:ascii="Arial" w:hAnsi="Arial" w:cs="Arial"/>
        </w:rPr>
      </w:pPr>
    </w:p>
    <w:p w14:paraId="5A40C4EE" w14:textId="77777777" w:rsidR="002A044A" w:rsidRDefault="002A044A">
      <w:pPr>
        <w:pStyle w:val="ORDERFORML1PraraNo"/>
        <w:numPr>
          <w:ilvl w:val="0"/>
          <w:numId w:val="0"/>
        </w:numPr>
        <w:ind w:left="426"/>
        <w:rPr>
          <w:rFonts w:ascii="Arial" w:hAnsi="Arial" w:cs="Arial"/>
        </w:rPr>
      </w:pPr>
    </w:p>
    <w:p w14:paraId="01CFCF15" w14:textId="77777777" w:rsidR="002A044A" w:rsidRDefault="002A044A">
      <w:pPr>
        <w:pStyle w:val="ORDERFORML1PraraNo"/>
        <w:numPr>
          <w:ilvl w:val="0"/>
          <w:numId w:val="0"/>
        </w:numPr>
        <w:ind w:left="426"/>
        <w:rPr>
          <w:rFonts w:ascii="Arial" w:hAnsi="Arial" w:cs="Arial"/>
        </w:rPr>
      </w:pPr>
    </w:p>
    <w:p w14:paraId="1C480C55" w14:textId="77777777" w:rsidR="002A044A" w:rsidRDefault="002A044A">
      <w:pPr>
        <w:pStyle w:val="ORDERFORML1PraraNo"/>
        <w:numPr>
          <w:ilvl w:val="0"/>
          <w:numId w:val="0"/>
        </w:numPr>
        <w:ind w:left="426"/>
        <w:rPr>
          <w:rFonts w:ascii="Arial" w:hAnsi="Arial" w:cs="Arial"/>
        </w:rPr>
      </w:pPr>
    </w:p>
    <w:p w14:paraId="130DD919" w14:textId="77777777" w:rsidR="002A044A" w:rsidRDefault="002A044A">
      <w:pPr>
        <w:pStyle w:val="ORDERFORML1PraraNo"/>
        <w:numPr>
          <w:ilvl w:val="0"/>
          <w:numId w:val="0"/>
        </w:numPr>
        <w:ind w:left="426"/>
        <w:rPr>
          <w:rFonts w:ascii="Arial" w:hAnsi="Arial" w:cs="Arial"/>
        </w:rPr>
      </w:pPr>
    </w:p>
    <w:p w14:paraId="2FF35A80" w14:textId="77777777" w:rsidR="00540976" w:rsidRDefault="00540976">
      <w:pPr>
        <w:pStyle w:val="ORDERFORML1PraraNo"/>
        <w:numPr>
          <w:ilvl w:val="0"/>
          <w:numId w:val="0"/>
        </w:numPr>
        <w:ind w:left="426"/>
        <w:rPr>
          <w:rFonts w:ascii="Arial" w:hAnsi="Arial" w:cs="Arial"/>
        </w:rPr>
      </w:pPr>
    </w:p>
    <w:p w14:paraId="25E3B6F8" w14:textId="77777777" w:rsidR="00540976" w:rsidRPr="00B91478" w:rsidRDefault="00540976">
      <w:pPr>
        <w:pStyle w:val="ORDERFORML1PraraNo"/>
        <w:numPr>
          <w:ilvl w:val="0"/>
          <w:numId w:val="0"/>
        </w:numPr>
        <w:ind w:left="426"/>
        <w:rPr>
          <w:rFonts w:ascii="Arial" w:hAnsi="Arial" w:cs="Arial"/>
        </w:rPr>
      </w:pPr>
    </w:p>
    <w:p w14:paraId="2BEF1319"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0DBC791B"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3481"/>
        <w:gridCol w:w="5528"/>
      </w:tblGrid>
      <w:tr w:rsidR="004E05DC" w:rsidRPr="00B91478" w14:paraId="018CA853" w14:textId="77777777" w:rsidTr="002A044A">
        <w:tc>
          <w:tcPr>
            <w:tcW w:w="767" w:type="dxa"/>
          </w:tcPr>
          <w:p w14:paraId="127EBE2E"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3481" w:type="dxa"/>
            <w:shd w:val="clear" w:color="auto" w:fill="auto"/>
          </w:tcPr>
          <w:p w14:paraId="2352951F"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005D1555">
              <w:rPr>
                <w:rFonts w:eastAsia="STZhongsong"/>
                <w:lang w:eastAsia="zh-CN"/>
              </w:rPr>
              <w:t>:</w:t>
            </w:r>
          </w:p>
          <w:p w14:paraId="322F98C2" w14:textId="77777777"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5528" w:type="dxa"/>
            <w:shd w:val="clear" w:color="auto" w:fill="auto"/>
          </w:tcPr>
          <w:p w14:paraId="670423CA" w14:textId="77777777" w:rsidR="005D1555" w:rsidRDefault="005D1555" w:rsidP="0095523D">
            <w:pPr>
              <w:numPr>
                <w:ilvl w:val="1"/>
                <w:numId w:val="0"/>
              </w:numPr>
              <w:overflowPunct/>
              <w:autoSpaceDE/>
              <w:autoSpaceDN/>
              <w:spacing w:after="120"/>
              <w:textAlignment w:val="auto"/>
            </w:pPr>
            <w:r w:rsidRPr="002E7786">
              <w:t xml:space="preserve">Refer to </w:t>
            </w:r>
            <w:r>
              <w:rPr>
                <w:rFonts w:eastAsia="STZhongsong"/>
                <w:lang w:eastAsia="zh-CN"/>
              </w:rPr>
              <w:t>the</w:t>
            </w:r>
            <w:r w:rsidRPr="00B91478">
              <w:rPr>
                <w:rFonts w:eastAsia="STZhongsong"/>
                <w:lang w:eastAsia="zh-CN"/>
              </w:rPr>
              <w:t xml:space="preserve"> preamble </w:t>
            </w:r>
            <w:r>
              <w:t xml:space="preserve">of the </w:t>
            </w:r>
            <w:hyperlink r:id="rId16" w:history="1">
              <w:r w:rsidRPr="001C36F7">
                <w:rPr>
                  <w:rStyle w:val="Hyperlink"/>
                </w:rPr>
                <w:t>Call Off terms</w:t>
              </w:r>
            </w:hyperlink>
            <w:r>
              <w:t xml:space="preserve"> for RM6008 which can be accessed via the CCS website.</w:t>
            </w:r>
          </w:p>
          <w:p w14:paraId="24DDEA01" w14:textId="77777777" w:rsidR="0095523D" w:rsidRPr="00C1754D" w:rsidRDefault="0095523D" w:rsidP="0095523D">
            <w:pPr>
              <w:numPr>
                <w:ilvl w:val="1"/>
                <w:numId w:val="0"/>
              </w:numPr>
              <w:overflowPunct/>
              <w:autoSpaceDE/>
              <w:autoSpaceDN/>
              <w:spacing w:after="120"/>
              <w:textAlignment w:val="auto"/>
            </w:pPr>
            <w:r w:rsidRPr="00C1754D">
              <w:t>Recitals B to E</w:t>
            </w:r>
          </w:p>
          <w:p w14:paraId="7066F83C" w14:textId="77777777" w:rsidR="0095523D" w:rsidRPr="00C1754D" w:rsidRDefault="0095523D" w:rsidP="0095523D">
            <w:pPr>
              <w:numPr>
                <w:ilvl w:val="1"/>
                <w:numId w:val="0"/>
              </w:numPr>
              <w:overflowPunct/>
              <w:autoSpaceDE/>
              <w:autoSpaceDN/>
              <w:spacing w:after="120"/>
              <w:textAlignment w:val="auto"/>
            </w:pPr>
            <w:r w:rsidRPr="00C1754D">
              <w:t xml:space="preserve">Recital C - date of issue of the </w:t>
            </w:r>
            <w:r w:rsidR="00DE592A" w:rsidRPr="00C1754D">
              <w:t>Request for Proposal document</w:t>
            </w:r>
            <w:r w:rsidRPr="00C1754D">
              <w:t>:  05/02/2019</w:t>
            </w:r>
          </w:p>
          <w:p w14:paraId="394E07C3" w14:textId="77777777" w:rsidR="004E05DC" w:rsidRPr="00B91478" w:rsidRDefault="0095523D" w:rsidP="00C1754D">
            <w:pPr>
              <w:numPr>
                <w:ilvl w:val="1"/>
                <w:numId w:val="0"/>
              </w:numPr>
              <w:overflowPunct/>
              <w:autoSpaceDE/>
              <w:autoSpaceDN/>
              <w:spacing w:after="120"/>
              <w:textAlignment w:val="auto"/>
              <w:rPr>
                <w:i/>
              </w:rPr>
            </w:pPr>
            <w:r w:rsidRPr="00C1754D">
              <w:t xml:space="preserve">Recital D - date of receipt of Call Off Tender:  </w:t>
            </w:r>
            <w:r w:rsidR="00C1754D" w:rsidRPr="00C1754D">
              <w:t>15/02/2019</w:t>
            </w:r>
          </w:p>
        </w:tc>
      </w:tr>
      <w:tr w:rsidR="004E05DC" w:rsidRPr="00B91478" w14:paraId="328B5206" w14:textId="77777777" w:rsidTr="002A044A">
        <w:tc>
          <w:tcPr>
            <w:tcW w:w="767" w:type="dxa"/>
          </w:tcPr>
          <w:p w14:paraId="0C221B86" w14:textId="77777777" w:rsidR="004E05DC" w:rsidRPr="00B91478" w:rsidRDefault="00F770DB">
            <w:pPr>
              <w:numPr>
                <w:ilvl w:val="1"/>
                <w:numId w:val="0"/>
              </w:numPr>
              <w:overflowPunct/>
              <w:autoSpaceDE/>
              <w:autoSpaceDN/>
              <w:spacing w:after="120"/>
              <w:textAlignment w:val="auto"/>
              <w:rPr>
                <w:b/>
              </w:rPr>
            </w:pPr>
            <w:r w:rsidRPr="00B91478">
              <w:rPr>
                <w:b/>
              </w:rPr>
              <w:t>10.2</w:t>
            </w:r>
          </w:p>
        </w:tc>
        <w:tc>
          <w:tcPr>
            <w:tcW w:w="3481" w:type="dxa"/>
            <w:shd w:val="clear" w:color="auto" w:fill="auto"/>
          </w:tcPr>
          <w:p w14:paraId="13868CF8" w14:textId="77777777" w:rsidR="004E05DC" w:rsidRPr="00B91478" w:rsidRDefault="00F770DB">
            <w:pPr>
              <w:numPr>
                <w:ilvl w:val="1"/>
                <w:numId w:val="0"/>
              </w:numPr>
              <w:overflowPunct/>
              <w:autoSpaceDE/>
              <w:autoSpaceDN/>
              <w:spacing w:after="120"/>
              <w:textAlignment w:val="auto"/>
              <w:rPr>
                <w:b/>
              </w:rPr>
            </w:pPr>
            <w:r w:rsidRPr="00B91478">
              <w:rPr>
                <w:b/>
              </w:rPr>
              <w:t xml:space="preserve">Call Off Guarantee (Clause </w:t>
            </w:r>
            <w:r w:rsidR="003125B9">
              <w:rPr>
                <w:b/>
              </w:rPr>
              <w:t>4</w:t>
            </w:r>
            <w:r w:rsidRPr="00B91478">
              <w:rPr>
                <w:b/>
              </w:rPr>
              <w:t xml:space="preserve"> of the Call Off Terms):</w:t>
            </w:r>
          </w:p>
          <w:p w14:paraId="2BDAC84B" w14:textId="77777777" w:rsidR="004E05DC" w:rsidRPr="00B91478" w:rsidRDefault="004E05DC">
            <w:pPr>
              <w:numPr>
                <w:ilvl w:val="1"/>
                <w:numId w:val="0"/>
              </w:numPr>
              <w:overflowPunct/>
              <w:autoSpaceDE/>
              <w:autoSpaceDN/>
              <w:spacing w:after="120"/>
              <w:textAlignment w:val="auto"/>
            </w:pPr>
          </w:p>
        </w:tc>
        <w:tc>
          <w:tcPr>
            <w:tcW w:w="5528" w:type="dxa"/>
            <w:shd w:val="clear" w:color="auto" w:fill="auto"/>
          </w:tcPr>
          <w:p w14:paraId="0342BE4D" w14:textId="77777777" w:rsidR="004E05DC" w:rsidRPr="00C1754D" w:rsidRDefault="000B61C2" w:rsidP="003125B9">
            <w:pPr>
              <w:numPr>
                <w:ilvl w:val="1"/>
                <w:numId w:val="0"/>
              </w:numPr>
              <w:overflowPunct/>
              <w:autoSpaceDE/>
              <w:autoSpaceDN/>
              <w:spacing w:after="120"/>
              <w:textAlignment w:val="auto"/>
            </w:pPr>
            <w:r w:rsidRPr="00C1754D">
              <w:t>Not required.</w:t>
            </w:r>
          </w:p>
        </w:tc>
      </w:tr>
      <w:tr w:rsidR="004E05DC" w:rsidRPr="00B91478" w14:paraId="6720C2BC" w14:textId="77777777" w:rsidTr="002A044A">
        <w:tc>
          <w:tcPr>
            <w:tcW w:w="767" w:type="dxa"/>
          </w:tcPr>
          <w:p w14:paraId="25D67B4D"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3481" w:type="dxa"/>
            <w:shd w:val="clear" w:color="auto" w:fill="auto"/>
          </w:tcPr>
          <w:p w14:paraId="3044F3E8" w14:textId="77777777" w:rsidR="004E05DC" w:rsidRPr="00B91478" w:rsidRDefault="00F770DB" w:rsidP="00C1754D">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04DCC94" w14:textId="77777777" w:rsidR="004E05DC" w:rsidRPr="00B91478" w:rsidRDefault="004E05DC">
            <w:pPr>
              <w:numPr>
                <w:ilvl w:val="1"/>
                <w:numId w:val="0"/>
              </w:numPr>
              <w:overflowPunct/>
              <w:autoSpaceDE/>
              <w:autoSpaceDN/>
              <w:spacing w:after="120"/>
              <w:jc w:val="left"/>
              <w:textAlignment w:val="auto"/>
              <w:rPr>
                <w:rFonts w:eastAsia="STZhongsong"/>
                <w:b/>
                <w:highlight w:val="yellow"/>
                <w:lang w:eastAsia="zh-CN"/>
              </w:rPr>
            </w:pPr>
          </w:p>
          <w:p w14:paraId="23AE424A"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c>
          <w:tcPr>
            <w:tcW w:w="5528" w:type="dxa"/>
            <w:shd w:val="clear" w:color="auto" w:fill="auto"/>
          </w:tcPr>
          <w:p w14:paraId="6F31DE0E" w14:textId="77777777" w:rsidR="004E05DC" w:rsidRPr="00C1754D" w:rsidRDefault="000B61C2" w:rsidP="005D1555">
            <w:pPr>
              <w:numPr>
                <w:ilvl w:val="1"/>
                <w:numId w:val="0"/>
              </w:numPr>
              <w:overflowPunct/>
              <w:autoSpaceDE/>
              <w:autoSpaceDN/>
              <w:spacing w:after="0"/>
              <w:jc w:val="left"/>
              <w:textAlignment w:val="auto"/>
            </w:pPr>
            <w:r w:rsidRPr="00C1754D">
              <w:rPr>
                <w:rFonts w:eastAsia="STZhongsong"/>
                <w:lang w:eastAsia="zh-CN"/>
              </w:rPr>
              <w:t xml:space="preserve">The ‘Short Form - Paragraphs 1-5’ Call Off  Schedule 7: Security contained in the </w:t>
            </w:r>
            <w:hyperlink r:id="rId17" w:history="1">
              <w:r w:rsidRPr="00AC5834">
                <w:rPr>
                  <w:rStyle w:val="Hyperlink"/>
                  <w:rFonts w:eastAsia="STZhongsong"/>
                  <w:lang w:eastAsia="zh-CN"/>
                </w:rPr>
                <w:t>Call Off terms</w:t>
              </w:r>
            </w:hyperlink>
            <w:r w:rsidRPr="00C1754D">
              <w:rPr>
                <w:rFonts w:eastAsia="STZhongsong"/>
                <w:lang w:eastAsia="zh-CN"/>
              </w:rPr>
              <w:t xml:space="preserve"> </w:t>
            </w:r>
            <w:r w:rsidR="005D1555">
              <w:t xml:space="preserve">for RM6008 which can be accessed via the CCS website </w:t>
            </w:r>
            <w:r w:rsidRPr="00C1754D">
              <w:rPr>
                <w:rFonts w:eastAsia="STZhongsong"/>
                <w:lang w:eastAsia="zh-CN"/>
              </w:rPr>
              <w:t>will apply.</w:t>
            </w:r>
          </w:p>
        </w:tc>
      </w:tr>
      <w:tr w:rsidR="004E05DC" w:rsidRPr="00B91478" w14:paraId="317A435D" w14:textId="77777777" w:rsidTr="002A044A">
        <w:tc>
          <w:tcPr>
            <w:tcW w:w="767" w:type="dxa"/>
          </w:tcPr>
          <w:p w14:paraId="6EDB85AE"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3481" w:type="dxa"/>
            <w:shd w:val="clear" w:color="auto" w:fill="auto"/>
          </w:tcPr>
          <w:p w14:paraId="76A446D0" w14:textId="77777777" w:rsidR="004E05DC" w:rsidRPr="00B91478" w:rsidRDefault="00F770DB" w:rsidP="00C175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tc>
        <w:tc>
          <w:tcPr>
            <w:tcW w:w="5528" w:type="dxa"/>
            <w:shd w:val="clear" w:color="auto" w:fill="auto"/>
          </w:tcPr>
          <w:p w14:paraId="173D9B44" w14:textId="77777777" w:rsidR="004E05DC" w:rsidRPr="00C1754D" w:rsidRDefault="000B61C2">
            <w:pPr>
              <w:keepNext/>
              <w:keepLines/>
              <w:overflowPunct/>
              <w:autoSpaceDE/>
              <w:autoSpaceDN/>
              <w:spacing w:after="0"/>
              <w:ind w:left="0"/>
              <w:textAlignment w:val="auto"/>
            </w:pPr>
            <w:r w:rsidRPr="00C1754D">
              <w:t>Not applied</w:t>
            </w:r>
          </w:p>
        </w:tc>
      </w:tr>
      <w:tr w:rsidR="004E05DC" w:rsidRPr="00B91478" w14:paraId="68FB79A4" w14:textId="77777777" w:rsidTr="002A044A">
        <w:tc>
          <w:tcPr>
            <w:tcW w:w="767" w:type="dxa"/>
          </w:tcPr>
          <w:p w14:paraId="3A772173"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3481" w:type="dxa"/>
            <w:shd w:val="clear" w:color="auto" w:fill="auto"/>
          </w:tcPr>
          <w:p w14:paraId="074B0A61"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4D9D74B" w14:textId="77777777" w:rsidR="004E05DC" w:rsidRPr="00B91478" w:rsidRDefault="004E05DC" w:rsidP="00BB4A0B">
            <w:pPr>
              <w:numPr>
                <w:ilvl w:val="1"/>
                <w:numId w:val="0"/>
              </w:numPr>
              <w:overflowPunct/>
              <w:autoSpaceDE/>
              <w:autoSpaceDN/>
              <w:spacing w:after="0"/>
              <w:textAlignment w:val="auto"/>
              <w:rPr>
                <w:b/>
              </w:rPr>
            </w:pPr>
          </w:p>
          <w:p w14:paraId="142550F5" w14:textId="77777777" w:rsidR="004E05DC" w:rsidRPr="00B91478" w:rsidRDefault="00F770DB" w:rsidP="00BB4A0B">
            <w:pPr>
              <w:numPr>
                <w:ilvl w:val="1"/>
                <w:numId w:val="0"/>
              </w:numPr>
              <w:overflowPunct/>
              <w:autoSpaceDE/>
              <w:autoSpaceDN/>
              <w:spacing w:after="0"/>
              <w:textAlignment w:val="auto"/>
            </w:pPr>
            <w:r w:rsidRPr="00B91478">
              <w:rPr>
                <w:b/>
              </w:rPr>
              <w:t>Disaster Period</w:t>
            </w:r>
            <w:r w:rsidRPr="00B91478">
              <w:t>:</w:t>
            </w:r>
          </w:p>
          <w:p w14:paraId="769F9261" w14:textId="77777777" w:rsidR="004E05DC" w:rsidRPr="00B91478" w:rsidRDefault="004E05DC" w:rsidP="00BB4A0B">
            <w:pPr>
              <w:numPr>
                <w:ilvl w:val="1"/>
                <w:numId w:val="0"/>
              </w:numPr>
              <w:overflowPunct/>
              <w:autoSpaceDE/>
              <w:autoSpaceDN/>
              <w:spacing w:after="120"/>
              <w:textAlignment w:val="auto"/>
              <w:rPr>
                <w:rFonts w:eastAsia="STZhongsong"/>
                <w:lang w:eastAsia="zh-CN"/>
              </w:rPr>
            </w:pPr>
          </w:p>
        </w:tc>
        <w:tc>
          <w:tcPr>
            <w:tcW w:w="5528" w:type="dxa"/>
            <w:shd w:val="clear" w:color="auto" w:fill="auto"/>
          </w:tcPr>
          <w:p w14:paraId="62BF8919" w14:textId="77777777" w:rsidR="004E05DC" w:rsidRPr="00C1754D" w:rsidRDefault="000B61C2" w:rsidP="00BB4A0B">
            <w:pPr>
              <w:numPr>
                <w:ilvl w:val="1"/>
                <w:numId w:val="0"/>
              </w:numPr>
              <w:overflowPunct/>
              <w:autoSpaceDE/>
              <w:autoSpaceDN/>
              <w:spacing w:after="0"/>
              <w:textAlignment w:val="auto"/>
              <w:rPr>
                <w:i/>
              </w:rPr>
            </w:pPr>
            <w:r w:rsidRPr="00C1754D">
              <w:t>Not applied.</w:t>
            </w:r>
          </w:p>
        </w:tc>
      </w:tr>
      <w:tr w:rsidR="00FB2B54" w:rsidRPr="00B91478" w14:paraId="604D36E5" w14:textId="77777777" w:rsidTr="002A044A">
        <w:tc>
          <w:tcPr>
            <w:tcW w:w="767" w:type="dxa"/>
            <w:tcBorders>
              <w:top w:val="single" w:sz="4" w:space="0" w:color="auto"/>
              <w:left w:val="single" w:sz="4" w:space="0" w:color="auto"/>
              <w:bottom w:val="single" w:sz="4" w:space="0" w:color="auto"/>
              <w:right w:val="single" w:sz="4" w:space="0" w:color="auto"/>
            </w:tcBorders>
          </w:tcPr>
          <w:p w14:paraId="1276888F" w14:textId="77777777"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686192B7" w14:textId="77777777"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465C3D" w14:textId="77777777" w:rsidR="00FB2B54" w:rsidRPr="00C1754D" w:rsidRDefault="00FB2B54" w:rsidP="00BB4A0B">
            <w:pPr>
              <w:numPr>
                <w:ilvl w:val="1"/>
                <w:numId w:val="0"/>
              </w:numPr>
              <w:overflowPunct/>
              <w:autoSpaceDE/>
              <w:autoSpaceDN/>
              <w:spacing w:after="120"/>
              <w:textAlignment w:val="auto"/>
              <w:rPr>
                <w:i/>
              </w:rPr>
            </w:pPr>
          </w:p>
        </w:tc>
      </w:tr>
      <w:tr w:rsidR="004E05DC" w:rsidRPr="00B91478" w14:paraId="7EF5070F" w14:textId="77777777" w:rsidTr="002A044A">
        <w:tc>
          <w:tcPr>
            <w:tcW w:w="767" w:type="dxa"/>
            <w:tcBorders>
              <w:top w:val="single" w:sz="4" w:space="0" w:color="auto"/>
              <w:left w:val="single" w:sz="4" w:space="0" w:color="auto"/>
              <w:bottom w:val="single" w:sz="4" w:space="0" w:color="auto"/>
              <w:right w:val="single" w:sz="4" w:space="0" w:color="auto"/>
            </w:tcBorders>
          </w:tcPr>
          <w:p w14:paraId="0D3FEBE1"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6848C471"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sidR="00FB2B54">
              <w:rPr>
                <w:rFonts w:eastAsia="STZhongsong"/>
                <w:lang w:eastAsia="zh-CN"/>
              </w:rPr>
              <w:t xml:space="preserve"> 35.2.3</w:t>
            </w:r>
            <w:r w:rsidRPr="00B91478">
              <w:rPr>
                <w:rFonts w:eastAsia="STZhongsong"/>
                <w:lang w:eastAsia="zh-CN"/>
              </w:rPr>
              <w:t xml:space="preserve"> of the Call Off Terms):</w:t>
            </w:r>
          </w:p>
          <w:p w14:paraId="4AA51B9C" w14:textId="77777777" w:rsidR="004E05DC" w:rsidRPr="00B91478" w:rsidRDefault="004E05DC">
            <w:pPr>
              <w:numPr>
                <w:ilvl w:val="1"/>
                <w:numId w:val="0"/>
              </w:numPr>
              <w:overflowPunct/>
              <w:autoSpaceDE/>
              <w:autoSpaceDN/>
              <w:spacing w:after="120"/>
              <w:textAlignment w:val="auto"/>
              <w:rPr>
                <w:rFonts w:eastAsia="STZhongsong"/>
                <w:lang w:eastAsia="zh-CN"/>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21137A" w14:textId="77777777" w:rsidR="004E05DC" w:rsidRPr="00C1754D" w:rsidRDefault="000B61C2" w:rsidP="005D1555">
            <w:pPr>
              <w:numPr>
                <w:ilvl w:val="1"/>
                <w:numId w:val="0"/>
              </w:numPr>
              <w:overflowPunct/>
              <w:autoSpaceDE/>
              <w:autoSpaceDN/>
              <w:spacing w:after="120"/>
              <w:textAlignment w:val="auto"/>
              <w:rPr>
                <w:i/>
              </w:rPr>
            </w:pPr>
            <w:r w:rsidRPr="00C1754D">
              <w:rPr>
                <w:rFonts w:eastAsia="STZhongsong"/>
                <w:lang w:eastAsia="zh-CN"/>
              </w:rPr>
              <w:t xml:space="preserve">It is not envisaged that this contract will involve the processing of Customer Data but should this arise then Clause 35.2.3 of the </w:t>
            </w:r>
            <w:hyperlink r:id="rId18" w:history="1">
              <w:r w:rsidRPr="00C1754D">
                <w:rPr>
                  <w:rStyle w:val="Hyperlink"/>
                  <w:rFonts w:eastAsia="STZhongsong"/>
                  <w:lang w:eastAsia="zh-CN"/>
                </w:rPr>
                <w:t>Call Off terms</w:t>
              </w:r>
            </w:hyperlink>
            <w:r w:rsidRPr="00C1754D">
              <w:rPr>
                <w:rFonts w:eastAsia="STZhongsong"/>
                <w:lang w:eastAsia="zh-CN"/>
              </w:rPr>
              <w:t xml:space="preserve"> </w:t>
            </w:r>
            <w:r w:rsidR="005D1555">
              <w:t xml:space="preserve">for RM6008 which can be accessed via the CCS website </w:t>
            </w:r>
            <w:r w:rsidRPr="00C1754D">
              <w:rPr>
                <w:rFonts w:eastAsia="STZhongsong"/>
                <w:lang w:eastAsia="zh-CN"/>
              </w:rPr>
              <w:t>will apply</w:t>
            </w:r>
            <w:r w:rsidR="005D1555">
              <w:rPr>
                <w:rFonts w:eastAsia="STZhongsong"/>
                <w:lang w:eastAsia="zh-CN"/>
              </w:rPr>
              <w:t>.</w:t>
            </w:r>
          </w:p>
        </w:tc>
      </w:tr>
      <w:tr w:rsidR="004E05DC" w:rsidRPr="00B91478" w14:paraId="0A005736" w14:textId="77777777" w:rsidTr="002A044A">
        <w:tc>
          <w:tcPr>
            <w:tcW w:w="767" w:type="dxa"/>
            <w:tcBorders>
              <w:top w:val="single" w:sz="4" w:space="0" w:color="auto"/>
              <w:left w:val="single" w:sz="4" w:space="0" w:color="auto"/>
              <w:bottom w:val="single" w:sz="4" w:space="0" w:color="auto"/>
              <w:right w:val="single" w:sz="4" w:space="0" w:color="auto"/>
            </w:tcBorders>
          </w:tcPr>
          <w:p w14:paraId="191CBF31"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7EDF6E46"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sidR="00FB2B54">
              <w:rPr>
                <w:rFonts w:eastAsia="STZhongsong"/>
                <w:lang w:eastAsia="zh-CN"/>
              </w:rPr>
              <w:t xml:space="preserve"> 56.6</w:t>
            </w:r>
            <w:r w:rsidRPr="00B91478">
              <w:rPr>
                <w:rFonts w:eastAsia="STZhongsong"/>
                <w:lang w:eastAsia="zh-CN"/>
              </w:rPr>
              <w:t xml:space="preserve"> of the Call Off Terms):</w:t>
            </w:r>
          </w:p>
          <w:p w14:paraId="5C966B77" w14:textId="77777777" w:rsidR="004E05DC" w:rsidRPr="00B91478" w:rsidRDefault="004E05DC" w:rsidP="00B02A10">
            <w:pPr>
              <w:numPr>
                <w:ilvl w:val="1"/>
                <w:numId w:val="0"/>
              </w:numPr>
              <w:overflowPunct/>
              <w:autoSpaceDE/>
              <w:autoSpaceDN/>
              <w:spacing w:after="120"/>
              <w:textAlignment w:val="auto"/>
              <w:rPr>
                <w:rFonts w:eastAsia="STZhongsong"/>
                <w:b/>
                <w:lang w:eastAsia="zh-CN"/>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1A58DC6" w14:textId="77777777" w:rsidR="00AC5834" w:rsidRDefault="00AC5834" w:rsidP="000B61C2">
            <w:pPr>
              <w:numPr>
                <w:ilvl w:val="1"/>
                <w:numId w:val="0"/>
              </w:numPr>
              <w:overflowPunct/>
              <w:autoSpaceDE/>
              <w:autoSpaceDN/>
              <w:spacing w:after="0"/>
              <w:textAlignment w:val="auto"/>
              <w:rPr>
                <w:rFonts w:eastAsia="STZhongsong"/>
                <w:lang w:eastAsia="zh-CN"/>
              </w:rPr>
            </w:pPr>
            <w:r w:rsidRPr="00B91478">
              <w:rPr>
                <w:rFonts w:eastAsia="STZhongsong"/>
                <w:lang w:eastAsia="zh-CN"/>
              </w:rPr>
              <w:t>Customer’s postal address and email address</w:t>
            </w:r>
            <w:r>
              <w:rPr>
                <w:rFonts w:eastAsia="STZhongsong"/>
                <w:lang w:eastAsia="zh-CN"/>
              </w:rPr>
              <w:t>:</w:t>
            </w:r>
          </w:p>
          <w:p w14:paraId="173C9ABB" w14:textId="77777777" w:rsidR="000B61C2" w:rsidRPr="00C1754D" w:rsidRDefault="000B61C2" w:rsidP="000B61C2">
            <w:pPr>
              <w:numPr>
                <w:ilvl w:val="1"/>
                <w:numId w:val="0"/>
              </w:numPr>
              <w:overflowPunct/>
              <w:autoSpaceDE/>
              <w:autoSpaceDN/>
              <w:spacing w:after="0"/>
              <w:textAlignment w:val="auto"/>
              <w:rPr>
                <w:rFonts w:eastAsia="STZhongsong"/>
                <w:lang w:eastAsia="zh-CN"/>
              </w:rPr>
            </w:pPr>
            <w:r w:rsidRPr="00C1754D">
              <w:rPr>
                <w:rFonts w:eastAsia="STZhongsong"/>
                <w:lang w:eastAsia="zh-CN"/>
              </w:rPr>
              <w:t>HMRC Commercial Directorate</w:t>
            </w:r>
          </w:p>
          <w:p w14:paraId="0B08BB73" w14:textId="77777777" w:rsidR="000B61C2" w:rsidRPr="00C1754D" w:rsidRDefault="000B61C2" w:rsidP="000B61C2">
            <w:pPr>
              <w:numPr>
                <w:ilvl w:val="1"/>
                <w:numId w:val="0"/>
              </w:numPr>
              <w:overflowPunct/>
              <w:autoSpaceDE/>
              <w:autoSpaceDN/>
              <w:spacing w:after="0"/>
              <w:textAlignment w:val="auto"/>
              <w:rPr>
                <w:rFonts w:eastAsia="STZhongsong"/>
                <w:lang w:eastAsia="zh-CN"/>
              </w:rPr>
            </w:pPr>
            <w:r w:rsidRPr="00C1754D">
              <w:rPr>
                <w:rFonts w:eastAsia="STZhongsong"/>
                <w:lang w:eastAsia="zh-CN"/>
              </w:rPr>
              <w:t>5W Ralli Quays</w:t>
            </w:r>
          </w:p>
          <w:p w14:paraId="690BD123" w14:textId="77777777" w:rsidR="000B61C2" w:rsidRPr="00C1754D" w:rsidRDefault="000B61C2" w:rsidP="000B61C2">
            <w:pPr>
              <w:numPr>
                <w:ilvl w:val="1"/>
                <w:numId w:val="0"/>
              </w:numPr>
              <w:overflowPunct/>
              <w:autoSpaceDE/>
              <w:autoSpaceDN/>
              <w:spacing w:after="0"/>
              <w:textAlignment w:val="auto"/>
              <w:rPr>
                <w:rFonts w:eastAsia="STZhongsong"/>
                <w:lang w:eastAsia="zh-CN"/>
              </w:rPr>
            </w:pPr>
            <w:r w:rsidRPr="00C1754D">
              <w:rPr>
                <w:rFonts w:eastAsia="STZhongsong"/>
                <w:lang w:eastAsia="zh-CN"/>
              </w:rPr>
              <w:t>3 Stanley Street</w:t>
            </w:r>
          </w:p>
          <w:p w14:paraId="05632BEC" w14:textId="77777777" w:rsidR="00C1754D" w:rsidRPr="00C1754D" w:rsidRDefault="000B61C2" w:rsidP="00C1754D">
            <w:pPr>
              <w:numPr>
                <w:ilvl w:val="1"/>
                <w:numId w:val="0"/>
              </w:numPr>
              <w:overflowPunct/>
              <w:autoSpaceDE/>
              <w:autoSpaceDN/>
              <w:spacing w:after="0"/>
              <w:textAlignment w:val="auto"/>
              <w:rPr>
                <w:rFonts w:eastAsia="STZhongsong"/>
                <w:lang w:eastAsia="zh-CN"/>
              </w:rPr>
            </w:pPr>
            <w:r w:rsidRPr="00C1754D">
              <w:rPr>
                <w:rFonts w:eastAsia="STZhongsong"/>
                <w:lang w:eastAsia="zh-CN"/>
              </w:rPr>
              <w:t xml:space="preserve">Salford </w:t>
            </w:r>
          </w:p>
          <w:p w14:paraId="4898A80B" w14:textId="77777777" w:rsidR="000B61C2" w:rsidRPr="00C1754D" w:rsidRDefault="000B61C2" w:rsidP="00C1754D">
            <w:pPr>
              <w:numPr>
                <w:ilvl w:val="1"/>
                <w:numId w:val="0"/>
              </w:numPr>
              <w:overflowPunct/>
              <w:autoSpaceDE/>
              <w:autoSpaceDN/>
              <w:spacing w:after="0"/>
              <w:textAlignment w:val="auto"/>
              <w:rPr>
                <w:rFonts w:eastAsia="STZhongsong"/>
                <w:lang w:eastAsia="zh-CN"/>
              </w:rPr>
            </w:pPr>
            <w:r w:rsidRPr="00C1754D">
              <w:rPr>
                <w:rFonts w:eastAsia="STZhongsong"/>
                <w:lang w:eastAsia="zh-CN"/>
              </w:rPr>
              <w:t>M60 9LA</w:t>
            </w:r>
          </w:p>
          <w:p w14:paraId="23738763" w14:textId="3CA19FD8" w:rsidR="000B61C2" w:rsidRDefault="000B6E21" w:rsidP="000B61C2">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221DAF31" w14:textId="77777777" w:rsidR="00AC5834" w:rsidRPr="00AC5834" w:rsidRDefault="00AC5834" w:rsidP="00AC5834">
            <w:pPr>
              <w:numPr>
                <w:ilvl w:val="1"/>
                <w:numId w:val="0"/>
              </w:numPr>
              <w:overflowPunct/>
              <w:autoSpaceDE/>
              <w:autoSpaceDN/>
              <w:spacing w:after="0"/>
              <w:textAlignment w:val="auto"/>
              <w:rPr>
                <w:rFonts w:eastAsia="STZhongsong"/>
                <w:lang w:eastAsia="zh-CN"/>
              </w:rPr>
            </w:pPr>
          </w:p>
          <w:p w14:paraId="67D6B68D" w14:textId="77777777" w:rsidR="000B61C2" w:rsidRPr="00AC5834" w:rsidRDefault="00AC5834" w:rsidP="00AC5834">
            <w:pPr>
              <w:numPr>
                <w:ilvl w:val="1"/>
                <w:numId w:val="0"/>
              </w:numPr>
              <w:overflowPunct/>
              <w:autoSpaceDE/>
              <w:autoSpaceDN/>
              <w:spacing w:after="0"/>
              <w:textAlignment w:val="auto"/>
              <w:rPr>
                <w:rFonts w:eastAsia="STZhongsong"/>
                <w:lang w:eastAsia="zh-CN"/>
              </w:rPr>
            </w:pPr>
            <w:r w:rsidRPr="00B91478">
              <w:rPr>
                <w:rFonts w:eastAsia="STZhongsong"/>
                <w:lang w:eastAsia="zh-CN"/>
              </w:rPr>
              <w:t>Supplier’s postal address and email address:</w:t>
            </w:r>
          </w:p>
          <w:p w14:paraId="382AAB38" w14:textId="6D053D33" w:rsidR="00C1754D" w:rsidRDefault="00994057" w:rsidP="00CA4772">
            <w:pPr>
              <w:numPr>
                <w:ilvl w:val="1"/>
                <w:numId w:val="0"/>
              </w:numPr>
              <w:overflowPunct/>
              <w:autoSpaceDE/>
              <w:autoSpaceDN/>
              <w:spacing w:after="0"/>
              <w:jc w:val="left"/>
              <w:textAlignment w:val="auto"/>
              <w:rPr>
                <w:rFonts w:eastAsia="STZhongsong"/>
                <w:lang w:eastAsia="zh-CN"/>
              </w:rPr>
            </w:pPr>
            <w:r>
              <w:rPr>
                <w:rFonts w:eastAsia="STZhongsong"/>
                <w:lang w:eastAsia="zh-CN"/>
              </w:rPr>
              <w:t>5 Quicksilver Way</w:t>
            </w:r>
            <w:r>
              <w:rPr>
                <w:rFonts w:eastAsia="STZhongsong"/>
                <w:lang w:eastAsia="zh-CN"/>
              </w:rPr>
              <w:br/>
              <w:t>Accenture</w:t>
            </w:r>
            <w:r>
              <w:rPr>
                <w:rFonts w:eastAsia="STZhongsong"/>
                <w:lang w:eastAsia="zh-CN"/>
              </w:rPr>
              <w:br/>
              <w:t>Cobalt Business Park</w:t>
            </w:r>
            <w:r>
              <w:rPr>
                <w:rFonts w:eastAsia="STZhongsong"/>
                <w:lang w:eastAsia="zh-CN"/>
              </w:rPr>
              <w:br/>
              <w:t>North Shields</w:t>
            </w:r>
          </w:p>
          <w:p w14:paraId="57F74E7F" w14:textId="77777777" w:rsidR="00994057" w:rsidRPr="00C1754D" w:rsidRDefault="00994057" w:rsidP="00CA4772">
            <w:pPr>
              <w:numPr>
                <w:ilvl w:val="1"/>
                <w:numId w:val="0"/>
              </w:numPr>
              <w:overflowPunct/>
              <w:autoSpaceDE/>
              <w:autoSpaceDN/>
              <w:spacing w:after="0"/>
              <w:jc w:val="left"/>
              <w:textAlignment w:val="auto"/>
              <w:rPr>
                <w:rFonts w:eastAsia="STZhongsong"/>
                <w:lang w:eastAsia="zh-CN"/>
              </w:rPr>
            </w:pPr>
            <w:r>
              <w:rPr>
                <w:rFonts w:eastAsia="STZhongsong"/>
                <w:lang w:eastAsia="zh-CN"/>
              </w:rPr>
              <w:t>NE270QQ</w:t>
            </w:r>
          </w:p>
          <w:p w14:paraId="458B3F18" w14:textId="40C5645C" w:rsidR="004E05DC" w:rsidRPr="00C1754D" w:rsidRDefault="000B6E21" w:rsidP="00C1754D">
            <w:pPr>
              <w:numPr>
                <w:ilvl w:val="1"/>
                <w:numId w:val="0"/>
              </w:numPr>
              <w:overflowPunct/>
              <w:autoSpaceDE/>
              <w:autoSpaceDN/>
              <w:spacing w:after="120"/>
              <w:textAlignment w:val="auto"/>
              <w:rPr>
                <w:i/>
              </w:rPr>
            </w:pPr>
            <w:r>
              <w:rPr>
                <w:rFonts w:eastAsia="STZhongsong"/>
                <w:lang w:eastAsia="zh-CN"/>
              </w:rPr>
              <w:t>REDACTED</w:t>
            </w:r>
          </w:p>
        </w:tc>
      </w:tr>
      <w:tr w:rsidR="004E05DC" w:rsidRPr="00B91478" w14:paraId="0D7BEE56" w14:textId="77777777" w:rsidTr="002A044A">
        <w:tc>
          <w:tcPr>
            <w:tcW w:w="767" w:type="dxa"/>
            <w:tcBorders>
              <w:top w:val="single" w:sz="4" w:space="0" w:color="auto"/>
              <w:left w:val="single" w:sz="4" w:space="0" w:color="auto"/>
              <w:bottom w:val="single" w:sz="4" w:space="0" w:color="auto"/>
              <w:right w:val="single" w:sz="4" w:space="0" w:color="auto"/>
            </w:tcBorders>
          </w:tcPr>
          <w:p w14:paraId="4A1E5DC7"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0A0066C0"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4C7283DB" w14:textId="77777777" w:rsidR="004E05DC" w:rsidRPr="00B91478" w:rsidRDefault="00F770DB"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sidR="00FB2B54">
              <w:rPr>
                <w:rFonts w:eastAsia="STZhongsong"/>
                <w:lang w:eastAsia="zh-CN"/>
              </w:rPr>
              <w:t>13</w:t>
            </w:r>
            <w:r w:rsidRPr="00B91478">
              <w:rPr>
                <w:rFonts w:eastAsia="STZhongsong"/>
                <w:lang w:eastAsia="zh-CN"/>
              </w:rPr>
              <w:t xml:space="preserve"> (Transparency Reports)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39338F" w14:textId="77777777" w:rsidR="009244B7" w:rsidRPr="00AC5834" w:rsidRDefault="000B61C2" w:rsidP="00FB2B54">
            <w:pPr>
              <w:numPr>
                <w:ilvl w:val="1"/>
                <w:numId w:val="0"/>
              </w:numPr>
              <w:overflowPunct/>
              <w:autoSpaceDE/>
              <w:autoSpaceDN/>
              <w:spacing w:after="120"/>
              <w:textAlignment w:val="auto"/>
            </w:pPr>
            <w:r w:rsidRPr="00AC5834">
              <w:t>Not applied.</w:t>
            </w:r>
          </w:p>
        </w:tc>
      </w:tr>
      <w:tr w:rsidR="004E05DC" w:rsidRPr="00B91478" w14:paraId="65005AFF" w14:textId="77777777" w:rsidTr="002A044A">
        <w:tc>
          <w:tcPr>
            <w:tcW w:w="767" w:type="dxa"/>
            <w:tcBorders>
              <w:top w:val="single" w:sz="4" w:space="0" w:color="auto"/>
              <w:left w:val="single" w:sz="4" w:space="0" w:color="auto"/>
              <w:bottom w:val="single" w:sz="4" w:space="0" w:color="auto"/>
              <w:right w:val="single" w:sz="4" w:space="0" w:color="auto"/>
            </w:tcBorders>
          </w:tcPr>
          <w:p w14:paraId="6673169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68372F71" w14:textId="77777777" w:rsidR="004E05DC" w:rsidRPr="00B91478" w:rsidRDefault="0061699B" w:rsidP="00BB4A0B">
            <w:pPr>
              <w:numPr>
                <w:ilvl w:val="1"/>
                <w:numId w:val="0"/>
              </w:numPr>
              <w:overflowPunct/>
              <w:autoSpaceDE/>
              <w:autoSpaceDN/>
              <w:spacing w:after="120"/>
              <w:textAlignment w:val="auto"/>
              <w:rPr>
                <w:rFonts w:eastAsia="STZhongsong"/>
                <w:b/>
                <w:lang w:eastAsia="zh-CN"/>
              </w:rPr>
            </w:pPr>
            <w:r>
              <w:rPr>
                <w:rFonts w:eastAsia="STZhongsong"/>
                <w:b/>
                <w:lang w:eastAsia="zh-CN"/>
              </w:rPr>
              <w:t>Alternative and/</w:t>
            </w:r>
            <w:r w:rsidR="003F3581">
              <w:rPr>
                <w:rFonts w:eastAsia="STZhongsong"/>
                <w:b/>
                <w:lang w:eastAsia="zh-CN"/>
              </w:rPr>
              <w:t xml:space="preserve">or </w:t>
            </w:r>
            <w:r w:rsidR="00F770DB" w:rsidRPr="00B91478">
              <w:rPr>
                <w:rFonts w:eastAsia="STZhongsong"/>
                <w:b/>
                <w:lang w:eastAsia="zh-CN"/>
              </w:rPr>
              <w:t xml:space="preserve">Additional Clauses </w:t>
            </w:r>
            <w:r w:rsidR="003F3581">
              <w:rPr>
                <w:rFonts w:eastAsia="STZhongsong"/>
                <w:b/>
                <w:lang w:eastAsia="zh-CN"/>
              </w:rPr>
              <w:t xml:space="preserve">from </w:t>
            </w:r>
            <w:r w:rsidR="00F770DB" w:rsidRPr="00B91478">
              <w:rPr>
                <w:rFonts w:eastAsia="STZhongsong"/>
                <w:b/>
                <w:lang w:eastAsia="zh-CN"/>
              </w:rPr>
              <w:t>Call Off Schedule</w:t>
            </w:r>
            <w:r w:rsidR="003228BA">
              <w:rPr>
                <w:rFonts w:eastAsia="STZhongsong"/>
                <w:b/>
                <w:lang w:eastAsia="zh-CN"/>
              </w:rPr>
              <w:t xml:space="preserve"> 14</w:t>
            </w:r>
            <w:r w:rsidR="00F770DB" w:rsidRPr="00B91478">
              <w:rPr>
                <w:rFonts w:eastAsia="STZhongsong"/>
                <w:b/>
                <w:lang w:eastAsia="zh-CN"/>
              </w:rPr>
              <w:t xml:space="preserve"> and if required, any Custome</w:t>
            </w:r>
            <w:r w:rsidR="003F3581">
              <w:rPr>
                <w:rFonts w:eastAsia="STZhongsong"/>
                <w:b/>
                <w:lang w:eastAsia="zh-CN"/>
              </w:rPr>
              <w:t>r alternative pricing mechanism</w:t>
            </w:r>
            <w:r w:rsidR="00F770DB" w:rsidRPr="00B91478">
              <w:rPr>
                <w:rFonts w:eastAsia="STZhongsong"/>
                <w:b/>
                <w:lang w:eastAsia="zh-CN"/>
              </w:rPr>
              <w:t>:</w:t>
            </w:r>
          </w:p>
          <w:p w14:paraId="2823FAE9" w14:textId="77777777"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75D95F6" w14:textId="77777777" w:rsidR="00AF66E0" w:rsidRPr="009E459A" w:rsidRDefault="00AF66E0" w:rsidP="00AF66E0">
            <w:pPr>
              <w:overflowPunct/>
              <w:autoSpaceDE/>
              <w:autoSpaceDN/>
              <w:spacing w:after="120"/>
              <w:ind w:left="0"/>
              <w:jc w:val="left"/>
              <w:textAlignment w:val="auto"/>
            </w:pPr>
            <w:r w:rsidRPr="009E459A">
              <w:rPr>
                <w:rFonts w:eastAsia="STZhongsong"/>
                <w:lang w:eastAsia="zh-CN"/>
              </w:rPr>
              <w:t xml:space="preserve">Clauses 34.1.4 and 34.10 will only apply to Project Specific IPR Items which have been specifically commissioned by the Customer to be characterised as Open Source and which the Supplier and the Customer have both agreed to in writing. </w:t>
            </w:r>
            <w:r w:rsidRPr="009E459A">
              <w:t xml:space="preserve"> </w:t>
            </w:r>
          </w:p>
          <w:p w14:paraId="2C4EC5A0" w14:textId="559E2FE5" w:rsidR="004E05DC" w:rsidRPr="003F3581" w:rsidRDefault="004E05DC" w:rsidP="00AF66E0">
            <w:pPr>
              <w:numPr>
                <w:ilvl w:val="1"/>
                <w:numId w:val="0"/>
              </w:numPr>
              <w:overflowPunct/>
              <w:autoSpaceDE/>
              <w:autoSpaceDN/>
              <w:spacing w:after="120"/>
              <w:textAlignment w:val="auto"/>
              <w:rPr>
                <w:i/>
                <w:highlight w:val="yellow"/>
              </w:rPr>
            </w:pPr>
          </w:p>
        </w:tc>
      </w:tr>
      <w:tr w:rsidR="004E05DC" w:rsidRPr="00B91478" w14:paraId="7859D0DA" w14:textId="77777777" w:rsidTr="002A044A">
        <w:trPr>
          <w:trHeight w:val="4505"/>
        </w:trPr>
        <w:tc>
          <w:tcPr>
            <w:tcW w:w="767" w:type="dxa"/>
            <w:tcBorders>
              <w:top w:val="single" w:sz="4" w:space="0" w:color="auto"/>
              <w:left w:val="single" w:sz="4" w:space="0" w:color="auto"/>
              <w:bottom w:val="single" w:sz="4" w:space="0" w:color="auto"/>
              <w:right w:val="single" w:sz="4" w:space="0" w:color="auto"/>
            </w:tcBorders>
          </w:tcPr>
          <w:p w14:paraId="59AFDA9A"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4A622A59"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32FF8175" w14:textId="77777777" w:rsidR="004E05DC" w:rsidRDefault="004E05DC" w:rsidP="00B15888">
            <w:pPr>
              <w:numPr>
                <w:ilvl w:val="1"/>
                <w:numId w:val="0"/>
              </w:numPr>
              <w:overflowPunct/>
              <w:autoSpaceDE/>
              <w:autoSpaceDN/>
              <w:spacing w:after="120"/>
              <w:jc w:val="left"/>
              <w:textAlignment w:val="auto"/>
              <w:rPr>
                <w:rFonts w:eastAsia="STZhongsong"/>
                <w:lang w:eastAsia="zh-CN"/>
              </w:rPr>
            </w:pPr>
          </w:p>
          <w:p w14:paraId="0F163947" w14:textId="77777777" w:rsidR="00B15888" w:rsidRPr="00B91478" w:rsidRDefault="00B15888" w:rsidP="00B15888">
            <w:pPr>
              <w:numPr>
                <w:ilvl w:val="1"/>
                <w:numId w:val="0"/>
              </w:numPr>
              <w:overflowPunct/>
              <w:autoSpaceDE/>
              <w:autoSpaceDN/>
              <w:spacing w:after="120"/>
              <w:jc w:val="left"/>
              <w:textAlignment w:val="auto"/>
              <w:rPr>
                <w:rFonts w:eastAsia="STZhongsong"/>
                <w:b/>
                <w:lang w:eastAsia="zh-CN"/>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2A00F1D" w14:textId="77777777" w:rsidR="0061742E" w:rsidRPr="0061742E" w:rsidRDefault="0061742E" w:rsidP="00BB4A0B">
            <w:pPr>
              <w:numPr>
                <w:ilvl w:val="1"/>
                <w:numId w:val="0"/>
              </w:numPr>
              <w:overflowPunct/>
              <w:autoSpaceDE/>
              <w:autoSpaceDN/>
              <w:spacing w:after="120"/>
              <w:textAlignment w:val="auto"/>
            </w:pPr>
            <w:r>
              <w:t xml:space="preserve">Call Off Tender response consists of: </w:t>
            </w:r>
          </w:p>
          <w:p w14:paraId="3170BFD3" w14:textId="77777777" w:rsidR="0061742E" w:rsidRDefault="0061742E" w:rsidP="00BB4A0B">
            <w:pPr>
              <w:numPr>
                <w:ilvl w:val="1"/>
                <w:numId w:val="0"/>
              </w:numPr>
              <w:overflowPunct/>
              <w:autoSpaceDE/>
              <w:autoSpaceDN/>
              <w:spacing w:after="120"/>
              <w:textAlignment w:val="auto"/>
            </w:pPr>
            <w:r>
              <w:t>‘OFFICIAL ACCENTURE RESPONSE HMRC V01.A 15FEB2019’</w:t>
            </w:r>
          </w:p>
          <w:p w14:paraId="4D7BD7E5" w14:textId="12F08321" w:rsidR="0061742E" w:rsidRDefault="0061742E" w:rsidP="00BB4A0B">
            <w:pPr>
              <w:numPr>
                <w:ilvl w:val="1"/>
                <w:numId w:val="0"/>
              </w:numPr>
              <w:overflowPunct/>
              <w:autoSpaceDE/>
              <w:autoSpaceDN/>
              <w:spacing w:after="120"/>
              <w:textAlignment w:val="auto"/>
            </w:pPr>
            <w:r w:rsidRPr="0061742E">
              <w:t>‘</w:t>
            </w:r>
            <w:r>
              <w:t>OFFICIAL Accenture Customer Contact Centre Charges V1’</w:t>
            </w:r>
            <w:r w:rsidR="00646D5B">
              <w:t xml:space="preserve"> (During the contract finalisation process, this document has been superceded by v2 as referred to in 6.</w:t>
            </w:r>
            <w:bookmarkStart w:id="1" w:name="_GoBack"/>
            <w:bookmarkEnd w:id="1"/>
            <w:r w:rsidR="00646D5B">
              <w:t>1)</w:t>
            </w:r>
          </w:p>
          <w:p w14:paraId="4F9DEB54" w14:textId="3E3CC81F" w:rsidR="0061742E" w:rsidRPr="0061742E" w:rsidRDefault="0061742E" w:rsidP="0061742E">
            <w:pPr>
              <w:ind w:left="0"/>
              <w:rPr>
                <w:highlight w:val="yellow"/>
              </w:rPr>
            </w:pPr>
            <w:r w:rsidRPr="0061742E">
              <w:t>‘Accenture Ariba Extract’</w:t>
            </w:r>
            <w:r>
              <w:t xml:space="preserve"> (as extracted from HMRC e-sourcing portal)</w:t>
            </w:r>
          </w:p>
        </w:tc>
      </w:tr>
      <w:tr w:rsidR="004E05DC" w:rsidRPr="00B91478" w14:paraId="76379AC8" w14:textId="77777777" w:rsidTr="002A044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AE2525"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3D049" w14:textId="77777777" w:rsidR="004E05DC" w:rsidRPr="00B91478" w:rsidRDefault="00F770D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47EA642D" w14:textId="77777777"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611DC28" w14:textId="0DBBF4E3" w:rsidR="004E05DC" w:rsidRPr="00B91478" w:rsidRDefault="00AF66E0" w:rsidP="00BB4A0B">
            <w:pPr>
              <w:numPr>
                <w:ilvl w:val="1"/>
                <w:numId w:val="0"/>
              </w:numPr>
              <w:overflowPunct/>
              <w:autoSpaceDE/>
              <w:autoSpaceDN/>
              <w:spacing w:after="120"/>
              <w:ind w:left="317" w:hanging="284"/>
              <w:textAlignment w:val="auto"/>
              <w:rPr>
                <w:i/>
                <w:highlight w:val="yellow"/>
              </w:rPr>
            </w:pPr>
            <w:r w:rsidRPr="00412937">
              <w:rPr>
                <w:rFonts w:eastAsia="STZhongsong"/>
                <w:lang w:eastAsia="zh-CN"/>
              </w:rPr>
              <w:t xml:space="preserve">As per Clause 36.3.2 of the </w:t>
            </w:r>
            <w:hyperlink r:id="rId19" w:history="1">
              <w:r w:rsidRPr="00AC5834">
                <w:rPr>
                  <w:rStyle w:val="Hyperlink"/>
                  <w:rFonts w:eastAsia="STZhongsong"/>
                  <w:lang w:eastAsia="zh-CN"/>
                </w:rPr>
                <w:t>Call Off terms</w:t>
              </w:r>
            </w:hyperlink>
            <w:r w:rsidR="00646D5B">
              <w:rPr>
                <w:rStyle w:val="Hyperlink"/>
                <w:rFonts w:eastAsia="STZhongsong"/>
                <w:lang w:eastAsia="zh-CN"/>
              </w:rPr>
              <w:t xml:space="preserve"> </w:t>
            </w:r>
            <w:r w:rsidR="00646D5B">
              <w:t>for RM6008 which can be accessed via the CCS website.</w:t>
            </w:r>
          </w:p>
        </w:tc>
      </w:tr>
      <w:tr w:rsidR="003E3877" w:rsidRPr="00B91478" w14:paraId="685DC814" w14:textId="77777777" w:rsidTr="002A044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E9F5" w14:textId="77777777" w:rsidR="003E3877" w:rsidRPr="00B91478" w:rsidRDefault="003E387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1ED14D39" w14:textId="77777777" w:rsidR="003E3877" w:rsidRPr="00B91478" w:rsidRDefault="00345F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5E8C48CA" w14:textId="77777777" w:rsidR="00345F2B" w:rsidRPr="00B91478" w:rsidRDefault="00345F2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D1595B" w14:textId="3C077156" w:rsidR="003E3877" w:rsidRPr="00B91478" w:rsidRDefault="00790539">
            <w:pPr>
              <w:numPr>
                <w:ilvl w:val="1"/>
                <w:numId w:val="0"/>
              </w:numPr>
              <w:overflowPunct/>
              <w:autoSpaceDE/>
              <w:autoSpaceDN/>
              <w:spacing w:after="120"/>
              <w:jc w:val="left"/>
              <w:textAlignment w:val="auto"/>
              <w:rPr>
                <w:i/>
                <w:highlight w:val="yellow"/>
              </w:rPr>
            </w:pPr>
            <w:hyperlink r:id="rId20" w:history="1">
              <w:r w:rsidR="00AF66E0" w:rsidRPr="00AC5834">
                <w:rPr>
                  <w:rStyle w:val="Hyperlink"/>
                  <w:rFonts w:eastAsia="STZhongsong"/>
                  <w:lang w:eastAsia="zh-CN"/>
                </w:rPr>
                <w:t>Call Off terms</w:t>
              </w:r>
            </w:hyperlink>
            <w:r w:rsidR="00AF66E0">
              <w:rPr>
                <w:rFonts w:eastAsia="STZhongsong"/>
                <w:lang w:eastAsia="zh-CN"/>
              </w:rPr>
              <w:t xml:space="preserve"> </w:t>
            </w:r>
            <w:r w:rsidR="00646D5B">
              <w:t xml:space="preserve">for RM6008 which can be accessed via the CCS website, </w:t>
            </w:r>
            <w:r w:rsidR="00AF66E0">
              <w:rPr>
                <w:rFonts w:eastAsia="STZhongsong"/>
                <w:lang w:eastAsia="zh-CN"/>
              </w:rPr>
              <w:t>Schedule 10, Staff Transfer Parts A and B Not Applied</w:t>
            </w:r>
          </w:p>
        </w:tc>
      </w:tr>
      <w:tr w:rsidR="002440C8" w:rsidRPr="00B91478" w14:paraId="76FFB3F3" w14:textId="77777777" w:rsidTr="002A044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1A72A" w14:textId="77777777" w:rsidR="002440C8" w:rsidRPr="00B9147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3606F8C9" w14:textId="77777777" w:rsidR="002440C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4482FAAE" w14:textId="77777777" w:rsidR="002440C8" w:rsidRPr="002440C8" w:rsidRDefault="002440C8">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FD7BFDF" w14:textId="77777777" w:rsidR="002440C8" w:rsidRPr="00C1754D" w:rsidRDefault="00AF66E0" w:rsidP="00AF66E0">
            <w:pPr>
              <w:overflowPunct/>
              <w:autoSpaceDE/>
              <w:autoSpaceDN/>
              <w:spacing w:after="120"/>
              <w:ind w:left="0"/>
              <w:jc w:val="left"/>
              <w:textAlignment w:val="auto"/>
              <w:rPr>
                <w:rFonts w:eastAsia="Calibri"/>
                <w:lang w:val="en-US"/>
              </w:rPr>
            </w:pPr>
            <w:r w:rsidRPr="00C1754D">
              <w:rPr>
                <w:rFonts w:eastAsia="Calibri"/>
                <w:lang w:val="en-US"/>
              </w:rPr>
              <w:t>Not Applicable.</w:t>
            </w:r>
          </w:p>
          <w:p w14:paraId="42E8C5F9"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4AA770F4" w14:textId="77777777" w:rsidR="0061276A" w:rsidRDefault="0061276A">
      <w:pPr>
        <w:ind w:left="0"/>
      </w:pPr>
    </w:p>
    <w:p w14:paraId="14A52E44" w14:textId="77777777" w:rsidR="004D4A61" w:rsidRDefault="004D4A61">
      <w:pPr>
        <w:overflowPunct/>
        <w:autoSpaceDE/>
        <w:autoSpaceDN/>
        <w:adjustRightInd/>
        <w:spacing w:after="0"/>
        <w:ind w:left="0"/>
        <w:jc w:val="left"/>
        <w:textAlignment w:val="auto"/>
        <w:rPr>
          <w:b/>
        </w:rPr>
      </w:pPr>
      <w:r>
        <w:rPr>
          <w:b/>
        </w:rPr>
        <w:br w:type="page"/>
      </w:r>
    </w:p>
    <w:p w14:paraId="1FEC9037" w14:textId="77777777" w:rsidR="004E05DC" w:rsidRPr="00B91478" w:rsidRDefault="00F770DB">
      <w:pPr>
        <w:ind w:left="0"/>
        <w:rPr>
          <w:b/>
        </w:rPr>
      </w:pPr>
      <w:r w:rsidRPr="00B91478">
        <w:rPr>
          <w:b/>
        </w:rPr>
        <w:t>FORMATION OF CALL OFF CONTRACT</w:t>
      </w:r>
    </w:p>
    <w:p w14:paraId="51655995"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82A8D8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53848388"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08C3B70A" w14:textId="77777777">
        <w:tc>
          <w:tcPr>
            <w:tcW w:w="9198" w:type="dxa"/>
            <w:gridSpan w:val="2"/>
            <w:tcBorders>
              <w:top w:val="nil"/>
              <w:left w:val="nil"/>
              <w:bottom w:val="single" w:sz="4" w:space="0" w:color="auto"/>
              <w:right w:val="nil"/>
            </w:tcBorders>
          </w:tcPr>
          <w:p w14:paraId="1DB6CC2E"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7A9283F" w14:textId="77777777">
        <w:tc>
          <w:tcPr>
            <w:tcW w:w="2655" w:type="dxa"/>
            <w:tcBorders>
              <w:top w:val="single" w:sz="4" w:space="0" w:color="auto"/>
              <w:left w:val="single" w:sz="4" w:space="0" w:color="auto"/>
              <w:bottom w:val="single" w:sz="4" w:space="0" w:color="auto"/>
              <w:right w:val="single" w:sz="4" w:space="0" w:color="auto"/>
            </w:tcBorders>
          </w:tcPr>
          <w:p w14:paraId="5751A232"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1C82E67" w14:textId="32A242D8" w:rsidR="004E05DC" w:rsidRPr="00B91478" w:rsidRDefault="000B6E21">
            <w:pPr>
              <w:pStyle w:val="MarginText"/>
              <w:rPr>
                <w:rFonts w:cs="Arial"/>
                <w:sz w:val="22"/>
                <w:szCs w:val="22"/>
              </w:rPr>
            </w:pPr>
            <w:r>
              <w:rPr>
                <w:rFonts w:cs="Arial"/>
                <w:sz w:val="22"/>
                <w:szCs w:val="22"/>
              </w:rPr>
              <w:t>REDACTED</w:t>
            </w:r>
          </w:p>
        </w:tc>
      </w:tr>
      <w:tr w:rsidR="004E05DC" w:rsidRPr="00B91478" w14:paraId="07E7FA96" w14:textId="77777777">
        <w:tc>
          <w:tcPr>
            <w:tcW w:w="2655" w:type="dxa"/>
            <w:tcBorders>
              <w:top w:val="single" w:sz="4" w:space="0" w:color="auto"/>
              <w:left w:val="single" w:sz="4" w:space="0" w:color="auto"/>
              <w:bottom w:val="single" w:sz="4" w:space="0" w:color="auto"/>
              <w:right w:val="single" w:sz="4" w:space="0" w:color="auto"/>
            </w:tcBorders>
          </w:tcPr>
          <w:p w14:paraId="1F79B20F"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B0B3A1" w14:textId="77777777" w:rsidR="004E05DC" w:rsidRPr="00B91478" w:rsidRDefault="004E05DC">
            <w:pPr>
              <w:pStyle w:val="MarginText"/>
              <w:rPr>
                <w:rFonts w:cs="Arial"/>
                <w:sz w:val="22"/>
                <w:szCs w:val="22"/>
              </w:rPr>
            </w:pPr>
          </w:p>
        </w:tc>
      </w:tr>
      <w:tr w:rsidR="004E05DC" w:rsidRPr="00B91478" w14:paraId="1E26AFFF" w14:textId="77777777">
        <w:tc>
          <w:tcPr>
            <w:tcW w:w="2655" w:type="dxa"/>
            <w:tcBorders>
              <w:top w:val="single" w:sz="4" w:space="0" w:color="auto"/>
              <w:left w:val="single" w:sz="4" w:space="0" w:color="auto"/>
              <w:bottom w:val="single" w:sz="4" w:space="0" w:color="auto"/>
              <w:right w:val="single" w:sz="4" w:space="0" w:color="auto"/>
            </w:tcBorders>
          </w:tcPr>
          <w:p w14:paraId="698510D3"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0E361AB" w14:textId="77777777" w:rsidR="004E05DC" w:rsidRPr="00B91478" w:rsidRDefault="004E05DC">
            <w:pPr>
              <w:pStyle w:val="MarginText"/>
              <w:rPr>
                <w:rFonts w:cs="Arial"/>
                <w:sz w:val="22"/>
                <w:szCs w:val="22"/>
              </w:rPr>
            </w:pPr>
          </w:p>
        </w:tc>
      </w:tr>
      <w:tr w:rsidR="004E05DC" w:rsidRPr="00B91478" w14:paraId="4DE7DB8C" w14:textId="77777777">
        <w:tc>
          <w:tcPr>
            <w:tcW w:w="9198" w:type="dxa"/>
            <w:gridSpan w:val="2"/>
            <w:tcBorders>
              <w:top w:val="nil"/>
              <w:left w:val="nil"/>
              <w:bottom w:val="single" w:sz="4" w:space="0" w:color="auto"/>
              <w:right w:val="nil"/>
            </w:tcBorders>
          </w:tcPr>
          <w:p w14:paraId="4D3A7911" w14:textId="77777777" w:rsidR="00E93D4C" w:rsidRDefault="00E93D4C">
            <w:pPr>
              <w:pStyle w:val="MarginText"/>
              <w:rPr>
                <w:rFonts w:cs="Arial"/>
                <w:b/>
                <w:sz w:val="22"/>
                <w:szCs w:val="22"/>
              </w:rPr>
            </w:pPr>
          </w:p>
          <w:p w14:paraId="57435A3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7186F7E7" w14:textId="77777777">
        <w:tc>
          <w:tcPr>
            <w:tcW w:w="2655" w:type="dxa"/>
            <w:tcBorders>
              <w:top w:val="single" w:sz="4" w:space="0" w:color="auto"/>
              <w:left w:val="single" w:sz="4" w:space="0" w:color="auto"/>
              <w:bottom w:val="single" w:sz="4" w:space="0" w:color="auto"/>
              <w:right w:val="single" w:sz="4" w:space="0" w:color="auto"/>
            </w:tcBorders>
          </w:tcPr>
          <w:p w14:paraId="52DE6A37"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99DB073" w14:textId="7BE187C3" w:rsidR="004E05DC" w:rsidRPr="00B91478" w:rsidRDefault="000B6E21">
            <w:pPr>
              <w:pStyle w:val="MarginText"/>
              <w:rPr>
                <w:rFonts w:cs="Arial"/>
                <w:sz w:val="22"/>
                <w:szCs w:val="22"/>
              </w:rPr>
            </w:pPr>
            <w:r>
              <w:rPr>
                <w:rFonts w:cs="Arial"/>
                <w:sz w:val="22"/>
                <w:szCs w:val="22"/>
              </w:rPr>
              <w:t>REDACTED</w:t>
            </w:r>
          </w:p>
        </w:tc>
      </w:tr>
      <w:tr w:rsidR="004E05DC" w:rsidRPr="00B91478" w14:paraId="37E35274" w14:textId="77777777">
        <w:tc>
          <w:tcPr>
            <w:tcW w:w="2655" w:type="dxa"/>
            <w:tcBorders>
              <w:top w:val="single" w:sz="4" w:space="0" w:color="auto"/>
              <w:left w:val="single" w:sz="4" w:space="0" w:color="auto"/>
              <w:bottom w:val="single" w:sz="4" w:space="0" w:color="auto"/>
              <w:right w:val="single" w:sz="4" w:space="0" w:color="auto"/>
            </w:tcBorders>
          </w:tcPr>
          <w:p w14:paraId="61E147BC"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89EA04" w14:textId="77777777" w:rsidR="004E05DC" w:rsidRPr="00B91478" w:rsidRDefault="004E05DC">
            <w:pPr>
              <w:pStyle w:val="MarginText"/>
              <w:rPr>
                <w:rFonts w:cs="Arial"/>
                <w:sz w:val="22"/>
                <w:szCs w:val="22"/>
              </w:rPr>
            </w:pPr>
          </w:p>
        </w:tc>
      </w:tr>
      <w:tr w:rsidR="004E05DC" w:rsidRPr="00B91478" w14:paraId="54746FC7" w14:textId="77777777">
        <w:tc>
          <w:tcPr>
            <w:tcW w:w="2655" w:type="dxa"/>
            <w:tcBorders>
              <w:top w:val="single" w:sz="4" w:space="0" w:color="auto"/>
              <w:left w:val="single" w:sz="4" w:space="0" w:color="auto"/>
              <w:bottom w:val="single" w:sz="4" w:space="0" w:color="auto"/>
              <w:right w:val="single" w:sz="4" w:space="0" w:color="auto"/>
            </w:tcBorders>
          </w:tcPr>
          <w:p w14:paraId="26DEEC0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112AC9A" w14:textId="77777777" w:rsidR="004E05DC" w:rsidRPr="00B91478" w:rsidRDefault="004E05DC">
            <w:pPr>
              <w:pStyle w:val="MarginText"/>
              <w:rPr>
                <w:rFonts w:cs="Arial"/>
                <w:sz w:val="22"/>
                <w:szCs w:val="22"/>
              </w:rPr>
            </w:pPr>
          </w:p>
        </w:tc>
      </w:tr>
    </w:tbl>
    <w:p w14:paraId="11F10B59" w14:textId="77777777" w:rsidR="00A20944" w:rsidRDefault="00A20944" w:rsidP="00A142BA">
      <w:pPr>
        <w:rPr>
          <w:lang w:eastAsia="en-GB"/>
        </w:rPr>
      </w:pPr>
    </w:p>
    <w:p w14:paraId="3C63B636" w14:textId="64121A5F" w:rsidR="00A20944" w:rsidRPr="00474567" w:rsidRDefault="00A20944" w:rsidP="00CF728B">
      <w:pPr>
        <w:overflowPunct/>
        <w:autoSpaceDE/>
        <w:autoSpaceDN/>
        <w:adjustRightInd/>
        <w:spacing w:after="0"/>
        <w:ind w:left="0"/>
        <w:jc w:val="left"/>
        <w:textAlignment w:val="auto"/>
        <w:rPr>
          <w:lang w:eastAsia="en-GB"/>
        </w:rPr>
      </w:pPr>
    </w:p>
    <w:sectPr w:rsidR="00A20944" w:rsidRPr="00474567">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A7C79" w14:textId="77777777" w:rsidR="001D507C" w:rsidRDefault="001D507C">
      <w:r>
        <w:separator/>
      </w:r>
    </w:p>
    <w:p w14:paraId="6E061595" w14:textId="77777777" w:rsidR="001D507C" w:rsidRDefault="001D507C"/>
    <w:p w14:paraId="7A76D6FB" w14:textId="77777777" w:rsidR="001D507C" w:rsidRDefault="001D507C"/>
    <w:p w14:paraId="3C226414" w14:textId="77777777" w:rsidR="001D507C" w:rsidRDefault="001D507C"/>
    <w:p w14:paraId="0E6627B7" w14:textId="77777777" w:rsidR="001D507C" w:rsidRDefault="001D507C"/>
  </w:endnote>
  <w:endnote w:type="continuationSeparator" w:id="0">
    <w:p w14:paraId="3DB21DF2" w14:textId="77777777" w:rsidR="001D507C" w:rsidRDefault="001D507C">
      <w:r>
        <w:continuationSeparator/>
      </w:r>
    </w:p>
    <w:p w14:paraId="7533A687" w14:textId="77777777" w:rsidR="001D507C" w:rsidRDefault="001D507C"/>
    <w:p w14:paraId="598879CF" w14:textId="77777777" w:rsidR="001D507C" w:rsidRDefault="001D507C"/>
    <w:p w14:paraId="63B5E246" w14:textId="77777777" w:rsidR="001D507C" w:rsidRDefault="001D507C"/>
    <w:p w14:paraId="53B67CBB" w14:textId="77777777" w:rsidR="001D507C" w:rsidRDefault="001D507C"/>
  </w:endnote>
  <w:endnote w:type="continuationNotice" w:id="1">
    <w:p w14:paraId="0543B653" w14:textId="77777777" w:rsidR="001D507C" w:rsidRDefault="001D50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B195" w14:textId="77777777" w:rsidR="002A044A" w:rsidRDefault="002A04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E59A2" w14:textId="77777777" w:rsidR="001D507C" w:rsidRPr="00D53DEB" w:rsidRDefault="001D507C"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2A5194CA" w14:textId="77777777" w:rsidR="001D507C" w:rsidRPr="00D53DEB" w:rsidRDefault="001D507C"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16C5C375" w14:textId="77777777" w:rsidR="001D507C" w:rsidRDefault="001D507C" w:rsidP="00054E54">
    <w:pPr>
      <w:pStyle w:val="Footer"/>
      <w:pBdr>
        <w:top w:val="single" w:sz="6" w:space="1" w:color="auto"/>
      </w:pBdr>
      <w:tabs>
        <w:tab w:val="right" w:pos="8647"/>
      </w:tabs>
      <w:ind w:left="0"/>
      <w:rPr>
        <w:sz w:val="16"/>
        <w:szCs w:val="16"/>
      </w:rPr>
    </w:pPr>
    <w:r w:rsidRPr="00D53DEB">
      <w:rPr>
        <w:sz w:val="16"/>
        <w:szCs w:val="16"/>
      </w:rPr>
      <w:t>Attachment 5a</w:t>
    </w:r>
  </w:p>
  <w:p w14:paraId="3BE80A37" w14:textId="77777777" w:rsidR="001D507C" w:rsidRDefault="001D507C" w:rsidP="00054E54">
    <w:pPr>
      <w:pStyle w:val="Footer"/>
      <w:pBdr>
        <w:top w:val="single" w:sz="6" w:space="1" w:color="auto"/>
      </w:pBdr>
      <w:tabs>
        <w:tab w:val="right" w:pos="8647"/>
      </w:tabs>
      <w:ind w:left="0"/>
      <w:rPr>
        <w:sz w:val="16"/>
        <w:szCs w:val="16"/>
      </w:rPr>
    </w:pPr>
    <w:r>
      <w:rPr>
        <w:sz w:val="16"/>
        <w:szCs w:val="16"/>
      </w:rPr>
      <w:t>© Crown copyright 2018</w:t>
    </w:r>
  </w:p>
  <w:p w14:paraId="4FDCA7FC" w14:textId="77777777" w:rsidR="001D507C" w:rsidRPr="00054E54" w:rsidRDefault="001D507C">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90539">
      <w:rPr>
        <w:noProof/>
        <w:sz w:val="16"/>
        <w:szCs w:val="16"/>
      </w:rPr>
      <w:t>11</w:t>
    </w:r>
    <w:r w:rsidRPr="00054E54">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A0AC8" w14:textId="77777777" w:rsidR="001D507C" w:rsidRDefault="001D507C"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45CC5C71" w14:textId="77777777" w:rsidR="001D507C" w:rsidRPr="004319D6" w:rsidRDefault="001D507C"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4C034752" w14:textId="77777777" w:rsidR="001D507C" w:rsidRDefault="001D507C" w:rsidP="009968DA">
    <w:pPr>
      <w:pStyle w:val="Footer"/>
      <w:pBdr>
        <w:top w:val="single" w:sz="6" w:space="1" w:color="auto"/>
      </w:pBdr>
      <w:tabs>
        <w:tab w:val="right" w:pos="8647"/>
      </w:tabs>
      <w:ind w:left="0"/>
      <w:rPr>
        <w:sz w:val="16"/>
        <w:szCs w:val="16"/>
      </w:rPr>
    </w:pPr>
    <w:r>
      <w:rPr>
        <w:sz w:val="16"/>
        <w:szCs w:val="16"/>
      </w:rPr>
      <w:t>Attachment 5a</w:t>
    </w:r>
  </w:p>
  <w:p w14:paraId="34D400B0" w14:textId="77777777" w:rsidR="001D507C" w:rsidRPr="009968DA" w:rsidRDefault="001D507C"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442B28FE" w14:textId="77777777" w:rsidR="001D507C" w:rsidRDefault="001D507C" w:rsidP="00054E54">
    <w:pPr>
      <w:pStyle w:val="Footer"/>
      <w:pBdr>
        <w:top w:val="single" w:sz="6" w:space="1" w:color="auto"/>
      </w:pBdr>
      <w:tabs>
        <w:tab w:val="right" w:pos="8647"/>
      </w:tabs>
      <w:ind w:left="0"/>
      <w:rPr>
        <w:sz w:val="16"/>
        <w:szCs w:val="16"/>
      </w:rPr>
    </w:pPr>
  </w:p>
  <w:p w14:paraId="46D075EF" w14:textId="77777777" w:rsidR="001D507C" w:rsidRPr="00054E54" w:rsidRDefault="001D507C"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90539">
      <w:rPr>
        <w:noProof/>
        <w:sz w:val="16"/>
        <w:szCs w:val="16"/>
      </w:rPr>
      <w:t>1</w:t>
    </w:r>
    <w:r w:rsidRPr="00054E54">
      <w:rPr>
        <w:noProof/>
        <w:sz w:val="16"/>
        <w:szCs w:val="16"/>
      </w:rPr>
      <w:fldChar w:fldCharType="end"/>
    </w:r>
  </w:p>
  <w:p w14:paraId="46492D9C" w14:textId="77777777" w:rsidR="001D507C" w:rsidRDefault="001D5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85BA1" w14:textId="77777777" w:rsidR="001D507C" w:rsidRDefault="001D507C">
      <w:r>
        <w:separator/>
      </w:r>
    </w:p>
  </w:footnote>
  <w:footnote w:type="continuationSeparator" w:id="0">
    <w:p w14:paraId="08574CEB" w14:textId="77777777" w:rsidR="001D507C" w:rsidRDefault="001D507C">
      <w:r>
        <w:continuationSeparator/>
      </w:r>
    </w:p>
  </w:footnote>
  <w:footnote w:type="continuationNotice" w:id="1">
    <w:p w14:paraId="49AD9EE3" w14:textId="77777777" w:rsidR="001D507C" w:rsidRDefault="001D50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9DE5" w14:textId="2E36937A" w:rsidR="001D507C" w:rsidRDefault="001D507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3084F15" w14:textId="77777777" w:rsidR="001D507C" w:rsidRDefault="001D507C"/>
  <w:p w14:paraId="40CE99E4" w14:textId="77777777" w:rsidR="001D507C" w:rsidRDefault="001D50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198F5" w14:textId="7EC481E3" w:rsidR="001D507C" w:rsidRDefault="001D507C">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23BA7" w14:textId="036AAB34" w:rsidR="001D507C" w:rsidRDefault="001D5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B2228B"/>
    <w:multiLevelType w:val="hybridMultilevel"/>
    <w:tmpl w:val="E884BD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6C122E"/>
    <w:multiLevelType w:val="hybridMultilevel"/>
    <w:tmpl w:val="69BA67A2"/>
    <w:lvl w:ilvl="0" w:tplc="65FCF3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1" w15:restartNumberingAfterBreak="0">
    <w:nsid w:val="0BB25D53"/>
    <w:multiLevelType w:val="hybridMultilevel"/>
    <w:tmpl w:val="9FC85DC4"/>
    <w:lvl w:ilvl="0" w:tplc="F7E8265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0" w15:restartNumberingAfterBreak="0">
    <w:nsid w:val="17A84F9A"/>
    <w:multiLevelType w:val="multilevel"/>
    <w:tmpl w:val="226864D0"/>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lowerLetter"/>
      <w:lvlText w:val="(%4)"/>
      <w:lvlJc w:val="left"/>
      <w:pPr>
        <w:ind w:left="720" w:firstLine="360"/>
      </w:pPr>
      <w:rPr>
        <w:rFonts w:ascii="Arial" w:eastAsia="Arial" w:hAnsi="Arial" w:cs="Arial"/>
        <w:b w:val="0"/>
        <w:i w:val="0"/>
        <w:smallCaps w:val="0"/>
        <w:strike w:val="0"/>
        <w:u w:val="none"/>
        <w:vertAlign w:val="baseline"/>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C42404F"/>
    <w:multiLevelType w:val="hybridMultilevel"/>
    <w:tmpl w:val="B364A078"/>
    <w:lvl w:ilvl="0" w:tplc="65FCF33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4" w15:restartNumberingAfterBreak="0">
    <w:nsid w:val="1F3564C6"/>
    <w:multiLevelType w:val="hybridMultilevel"/>
    <w:tmpl w:val="FB348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2"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2B09321A"/>
    <w:multiLevelType w:val="hybridMultilevel"/>
    <w:tmpl w:val="B0F885F2"/>
    <w:lvl w:ilvl="0" w:tplc="65FCF334">
      <w:start w:val="1"/>
      <w:numFmt w:val="lowerLetter"/>
      <w:lvlText w:val="%1)"/>
      <w:lvlJc w:val="left"/>
      <w:pPr>
        <w:ind w:left="2102" w:hanging="360"/>
      </w:pPr>
      <w:rPr>
        <w:rFonts w:hint="default"/>
      </w:rPr>
    </w:lvl>
    <w:lvl w:ilvl="1" w:tplc="08090019" w:tentative="1">
      <w:start w:val="1"/>
      <w:numFmt w:val="lowerLetter"/>
      <w:lvlText w:val="%2."/>
      <w:lvlJc w:val="left"/>
      <w:pPr>
        <w:ind w:left="2822" w:hanging="360"/>
      </w:pPr>
    </w:lvl>
    <w:lvl w:ilvl="2" w:tplc="0809001B" w:tentative="1">
      <w:start w:val="1"/>
      <w:numFmt w:val="lowerRoman"/>
      <w:lvlText w:val="%3."/>
      <w:lvlJc w:val="right"/>
      <w:pPr>
        <w:ind w:left="3542" w:hanging="180"/>
      </w:pPr>
    </w:lvl>
    <w:lvl w:ilvl="3" w:tplc="0809000F" w:tentative="1">
      <w:start w:val="1"/>
      <w:numFmt w:val="decimal"/>
      <w:lvlText w:val="%4."/>
      <w:lvlJc w:val="left"/>
      <w:pPr>
        <w:ind w:left="4262" w:hanging="360"/>
      </w:pPr>
    </w:lvl>
    <w:lvl w:ilvl="4" w:tplc="08090019" w:tentative="1">
      <w:start w:val="1"/>
      <w:numFmt w:val="lowerLetter"/>
      <w:lvlText w:val="%5."/>
      <w:lvlJc w:val="left"/>
      <w:pPr>
        <w:ind w:left="4982" w:hanging="360"/>
      </w:pPr>
    </w:lvl>
    <w:lvl w:ilvl="5" w:tplc="0809001B" w:tentative="1">
      <w:start w:val="1"/>
      <w:numFmt w:val="lowerRoman"/>
      <w:lvlText w:val="%6."/>
      <w:lvlJc w:val="right"/>
      <w:pPr>
        <w:ind w:left="5702" w:hanging="180"/>
      </w:pPr>
    </w:lvl>
    <w:lvl w:ilvl="6" w:tplc="0809000F" w:tentative="1">
      <w:start w:val="1"/>
      <w:numFmt w:val="decimal"/>
      <w:lvlText w:val="%7."/>
      <w:lvlJc w:val="left"/>
      <w:pPr>
        <w:ind w:left="6422" w:hanging="360"/>
      </w:pPr>
    </w:lvl>
    <w:lvl w:ilvl="7" w:tplc="08090019" w:tentative="1">
      <w:start w:val="1"/>
      <w:numFmt w:val="lowerLetter"/>
      <w:lvlText w:val="%8."/>
      <w:lvlJc w:val="left"/>
      <w:pPr>
        <w:ind w:left="7142" w:hanging="360"/>
      </w:pPr>
    </w:lvl>
    <w:lvl w:ilvl="8" w:tplc="0809001B" w:tentative="1">
      <w:start w:val="1"/>
      <w:numFmt w:val="lowerRoman"/>
      <w:lvlText w:val="%9."/>
      <w:lvlJc w:val="right"/>
      <w:pPr>
        <w:ind w:left="7862" w:hanging="180"/>
      </w:pPr>
    </w:lvl>
  </w:abstractNum>
  <w:abstractNum w:abstractNumId="3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5" w15:restartNumberingAfterBreak="0">
    <w:nsid w:val="34C2474D"/>
    <w:multiLevelType w:val="hybridMultilevel"/>
    <w:tmpl w:val="46709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8"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4B56556C"/>
    <w:multiLevelType w:val="hybridMultilevel"/>
    <w:tmpl w:val="AF8AF4EA"/>
    <w:lvl w:ilvl="0" w:tplc="65FCF334">
      <w:start w:val="1"/>
      <w:numFmt w:val="lowerLetter"/>
      <w:lvlText w:val="%1)"/>
      <w:lvlJc w:val="left"/>
      <w:pPr>
        <w:ind w:left="2677" w:hanging="360"/>
      </w:pPr>
      <w:rPr>
        <w:rFonts w:hint="default"/>
      </w:rPr>
    </w:lvl>
    <w:lvl w:ilvl="1" w:tplc="08090019" w:tentative="1">
      <w:start w:val="1"/>
      <w:numFmt w:val="lowerLetter"/>
      <w:lvlText w:val="%2."/>
      <w:lvlJc w:val="left"/>
      <w:pPr>
        <w:ind w:left="2622" w:hanging="360"/>
      </w:pPr>
    </w:lvl>
    <w:lvl w:ilvl="2" w:tplc="0809001B" w:tentative="1">
      <w:start w:val="1"/>
      <w:numFmt w:val="lowerRoman"/>
      <w:lvlText w:val="%3."/>
      <w:lvlJc w:val="right"/>
      <w:pPr>
        <w:ind w:left="3342" w:hanging="180"/>
      </w:pPr>
    </w:lvl>
    <w:lvl w:ilvl="3" w:tplc="0809000F" w:tentative="1">
      <w:start w:val="1"/>
      <w:numFmt w:val="decimal"/>
      <w:lvlText w:val="%4."/>
      <w:lvlJc w:val="left"/>
      <w:pPr>
        <w:ind w:left="4062" w:hanging="360"/>
      </w:pPr>
    </w:lvl>
    <w:lvl w:ilvl="4" w:tplc="08090019" w:tentative="1">
      <w:start w:val="1"/>
      <w:numFmt w:val="lowerLetter"/>
      <w:lvlText w:val="%5."/>
      <w:lvlJc w:val="left"/>
      <w:pPr>
        <w:ind w:left="4782" w:hanging="360"/>
      </w:pPr>
    </w:lvl>
    <w:lvl w:ilvl="5" w:tplc="0809001B" w:tentative="1">
      <w:start w:val="1"/>
      <w:numFmt w:val="lowerRoman"/>
      <w:lvlText w:val="%6."/>
      <w:lvlJc w:val="right"/>
      <w:pPr>
        <w:ind w:left="5502" w:hanging="180"/>
      </w:pPr>
    </w:lvl>
    <w:lvl w:ilvl="6" w:tplc="0809000F" w:tentative="1">
      <w:start w:val="1"/>
      <w:numFmt w:val="decimal"/>
      <w:lvlText w:val="%7."/>
      <w:lvlJc w:val="left"/>
      <w:pPr>
        <w:ind w:left="6222" w:hanging="360"/>
      </w:pPr>
    </w:lvl>
    <w:lvl w:ilvl="7" w:tplc="08090019" w:tentative="1">
      <w:start w:val="1"/>
      <w:numFmt w:val="lowerLetter"/>
      <w:lvlText w:val="%8."/>
      <w:lvlJc w:val="left"/>
      <w:pPr>
        <w:ind w:left="6942" w:hanging="360"/>
      </w:pPr>
    </w:lvl>
    <w:lvl w:ilvl="8" w:tplc="0809001B" w:tentative="1">
      <w:start w:val="1"/>
      <w:numFmt w:val="lowerRoman"/>
      <w:lvlText w:val="%9."/>
      <w:lvlJc w:val="right"/>
      <w:pPr>
        <w:ind w:left="7662" w:hanging="180"/>
      </w:pPr>
    </w:lvl>
  </w:abstractNum>
  <w:abstractNum w:abstractNumId="48"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4C6516D5"/>
    <w:multiLevelType w:val="hybridMultilevel"/>
    <w:tmpl w:val="394A3F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4EDE4E01"/>
    <w:multiLevelType w:val="hybridMultilevel"/>
    <w:tmpl w:val="93245F42"/>
    <w:lvl w:ilvl="0" w:tplc="65FCF33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6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2"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3" w15:restartNumberingAfterBreak="0">
    <w:nsid w:val="70437961"/>
    <w:multiLevelType w:val="hybridMultilevel"/>
    <w:tmpl w:val="C7ACC742"/>
    <w:lvl w:ilvl="0" w:tplc="65FCF33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5"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8"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2"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3" w15:restartNumberingAfterBreak="0">
    <w:nsid w:val="7FCC0E8B"/>
    <w:multiLevelType w:val="hybridMultilevel"/>
    <w:tmpl w:val="480E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1"/>
  </w:num>
  <w:num w:numId="3">
    <w:abstractNumId w:val="40"/>
  </w:num>
  <w:num w:numId="4">
    <w:abstractNumId w:val="28"/>
  </w:num>
  <w:num w:numId="5">
    <w:abstractNumId w:val="76"/>
  </w:num>
  <w:num w:numId="6">
    <w:abstractNumId w:val="60"/>
  </w:num>
  <w:num w:numId="7">
    <w:abstractNumId w:val="37"/>
  </w:num>
  <w:num w:numId="8">
    <w:abstractNumId w:val="66"/>
  </w:num>
  <w:num w:numId="9">
    <w:abstractNumId w:val="67"/>
  </w:num>
  <w:num w:numId="10">
    <w:abstractNumId w:val="63"/>
  </w:num>
  <w:num w:numId="11">
    <w:abstractNumId w:val="43"/>
  </w:num>
  <w:num w:numId="12">
    <w:abstractNumId w:val="76"/>
  </w:num>
  <w:num w:numId="13">
    <w:abstractNumId w:val="42"/>
  </w:num>
  <w:num w:numId="14">
    <w:abstractNumId w:val="18"/>
  </w:num>
  <w:num w:numId="15">
    <w:abstractNumId w:val="21"/>
  </w:num>
  <w:num w:numId="16">
    <w:abstractNumId w:val="16"/>
  </w:num>
  <w:num w:numId="17">
    <w:abstractNumId w:val="8"/>
  </w:num>
  <w:num w:numId="18">
    <w:abstractNumId w:val="65"/>
  </w:num>
  <w:num w:numId="19">
    <w:abstractNumId w:val="72"/>
  </w:num>
  <w:num w:numId="20">
    <w:abstractNumId w:val="10"/>
  </w:num>
  <w:num w:numId="21">
    <w:abstractNumId w:val="2"/>
  </w:num>
  <w:num w:numId="22">
    <w:abstractNumId w:val="36"/>
  </w:num>
  <w:num w:numId="23">
    <w:abstractNumId w:val="15"/>
  </w:num>
  <w:num w:numId="24">
    <w:abstractNumId w:val="82"/>
  </w:num>
  <w:num w:numId="25">
    <w:abstractNumId w:val="1"/>
  </w:num>
  <w:num w:numId="26">
    <w:abstractNumId w:val="45"/>
  </w:num>
  <w:num w:numId="27">
    <w:abstractNumId w:val="44"/>
  </w:num>
  <w:num w:numId="28">
    <w:abstractNumId w:val="6"/>
  </w:num>
  <w:num w:numId="29">
    <w:abstractNumId w:val="52"/>
  </w:num>
  <w:num w:numId="30">
    <w:abstractNumId w:val="39"/>
  </w:num>
  <w:num w:numId="31">
    <w:abstractNumId w:val="69"/>
  </w:num>
  <w:num w:numId="32">
    <w:abstractNumId w:val="32"/>
  </w:num>
  <w:num w:numId="33">
    <w:abstractNumId w:val="59"/>
  </w:num>
  <w:num w:numId="34">
    <w:abstractNumId w:val="38"/>
  </w:num>
  <w:num w:numId="35">
    <w:abstractNumId w:val="3"/>
  </w:num>
  <w:num w:numId="36">
    <w:abstractNumId w:val="48"/>
  </w:num>
  <w:num w:numId="37">
    <w:abstractNumId w:val="30"/>
  </w:num>
  <w:num w:numId="38">
    <w:abstractNumId w:val="53"/>
  </w:num>
  <w:num w:numId="39">
    <w:abstractNumId w:val="70"/>
  </w:num>
  <w:num w:numId="40">
    <w:abstractNumId w:val="31"/>
  </w:num>
  <w:num w:numId="41">
    <w:abstractNumId w:val="4"/>
  </w:num>
  <w:num w:numId="42">
    <w:abstractNumId w:val="46"/>
  </w:num>
  <w:num w:numId="43">
    <w:abstractNumId w:val="68"/>
  </w:num>
  <w:num w:numId="44">
    <w:abstractNumId w:val="13"/>
  </w:num>
  <w:num w:numId="45">
    <w:abstractNumId w:val="75"/>
  </w:num>
  <w:num w:numId="46">
    <w:abstractNumId w:val="41"/>
  </w:num>
  <w:num w:numId="47">
    <w:abstractNumId w:val="56"/>
  </w:num>
  <w:num w:numId="48">
    <w:abstractNumId w:val="19"/>
  </w:num>
  <w:num w:numId="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num>
  <w:num w:numId="51">
    <w:abstractNumId w:val="54"/>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79"/>
  </w:num>
  <w:num w:numId="56">
    <w:abstractNumId w:val="28"/>
  </w:num>
  <w:num w:numId="57">
    <w:abstractNumId w:val="57"/>
  </w:num>
  <w:num w:numId="58">
    <w:abstractNumId w:val="76"/>
  </w:num>
  <w:num w:numId="59">
    <w:abstractNumId w:val="77"/>
  </w:num>
  <w:num w:numId="60">
    <w:abstractNumId w:val="27"/>
  </w:num>
  <w:num w:numId="61">
    <w:abstractNumId w:val="0"/>
  </w:num>
  <w:num w:numId="62">
    <w:abstractNumId w:val="26"/>
  </w:num>
  <w:num w:numId="63">
    <w:abstractNumId w:val="64"/>
  </w:num>
  <w:num w:numId="64">
    <w:abstractNumId w:val="80"/>
  </w:num>
  <w:num w:numId="65">
    <w:abstractNumId w:val="80"/>
  </w:num>
  <w:num w:numId="66">
    <w:abstractNumId w:val="78"/>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6"/>
  </w:num>
  <w:num w:numId="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num>
  <w:num w:numId="72">
    <w:abstractNumId w:val="76"/>
  </w:num>
  <w:num w:numId="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6"/>
  </w:num>
  <w:num w:numId="75">
    <w:abstractNumId w:val="16"/>
  </w:num>
  <w:num w:numId="76">
    <w:abstractNumId w:val="16"/>
  </w:num>
  <w:num w:numId="77">
    <w:abstractNumId w:val="16"/>
  </w:num>
  <w:num w:numId="78">
    <w:abstractNumId w:val="16"/>
  </w:num>
  <w:num w:numId="79">
    <w:abstractNumId w:val="16"/>
  </w:num>
  <w:num w:numId="80">
    <w:abstractNumId w:val="16"/>
  </w:num>
  <w:num w:numId="81">
    <w:abstractNumId w:val="16"/>
  </w:num>
  <w:num w:numId="82">
    <w:abstractNumId w:val="16"/>
  </w:num>
  <w:num w:numId="83">
    <w:abstractNumId w:val="16"/>
  </w:num>
  <w:num w:numId="84">
    <w:abstractNumId w:val="16"/>
  </w:num>
  <w:num w:numId="85">
    <w:abstractNumId w:val="16"/>
  </w:num>
  <w:num w:numId="86">
    <w:abstractNumId w:val="12"/>
  </w:num>
  <w:num w:numId="87">
    <w:abstractNumId w:val="61"/>
  </w:num>
  <w:num w:numId="88">
    <w:abstractNumId w:val="17"/>
  </w:num>
  <w:num w:numId="89">
    <w:abstractNumId w:val="76"/>
  </w:num>
  <w:num w:numId="90">
    <w:abstractNumId w:val="14"/>
  </w:num>
  <w:num w:numId="91">
    <w:abstractNumId w:val="7"/>
  </w:num>
  <w:num w:numId="92">
    <w:abstractNumId w:val="76"/>
  </w:num>
  <w:num w:numId="93">
    <w:abstractNumId w:val="23"/>
  </w:num>
  <w:num w:numId="94">
    <w:abstractNumId w:val="51"/>
  </w:num>
  <w:num w:numId="95">
    <w:abstractNumId w:val="55"/>
  </w:num>
  <w:num w:numId="96">
    <w:abstractNumId w:val="33"/>
  </w:num>
  <w:num w:numId="97">
    <w:abstractNumId w:val="49"/>
  </w:num>
  <w:num w:numId="98">
    <w:abstractNumId w:val="47"/>
  </w:num>
  <w:num w:numId="99">
    <w:abstractNumId w:val="5"/>
  </w:num>
  <w:num w:numId="100">
    <w:abstractNumId w:val="35"/>
  </w:num>
  <w:num w:numId="101">
    <w:abstractNumId w:val="22"/>
  </w:num>
  <w:num w:numId="102">
    <w:abstractNumId w:val="73"/>
  </w:num>
  <w:num w:numId="103">
    <w:abstractNumId w:val="50"/>
  </w:num>
  <w:num w:numId="104">
    <w:abstractNumId w:val="9"/>
  </w:num>
  <w:num w:numId="105">
    <w:abstractNumId w:val="24"/>
  </w:num>
  <w:num w:numId="106">
    <w:abstractNumId w:val="20"/>
  </w:num>
  <w:num w:numId="107">
    <w:abstractNumId w:val="83"/>
  </w:num>
  <w:num w:numId="108">
    <w:abstractNumId w:val="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3366"/>
    <w:rsid w:val="000053CF"/>
    <w:rsid w:val="00017475"/>
    <w:rsid w:val="00054E54"/>
    <w:rsid w:val="000638D8"/>
    <w:rsid w:val="000650C6"/>
    <w:rsid w:val="000B61C2"/>
    <w:rsid w:val="000B6E21"/>
    <w:rsid w:val="000C02CC"/>
    <w:rsid w:val="000D0701"/>
    <w:rsid w:val="00100C58"/>
    <w:rsid w:val="00111007"/>
    <w:rsid w:val="001228C7"/>
    <w:rsid w:val="00155AD3"/>
    <w:rsid w:val="0018542B"/>
    <w:rsid w:val="001A497E"/>
    <w:rsid w:val="001B3B98"/>
    <w:rsid w:val="001C36F7"/>
    <w:rsid w:val="001D507C"/>
    <w:rsid w:val="001D5E87"/>
    <w:rsid w:val="001F77E0"/>
    <w:rsid w:val="002047E1"/>
    <w:rsid w:val="00204C47"/>
    <w:rsid w:val="00224F1D"/>
    <w:rsid w:val="0023206B"/>
    <w:rsid w:val="002436AD"/>
    <w:rsid w:val="002440C8"/>
    <w:rsid w:val="00272E8F"/>
    <w:rsid w:val="002A044A"/>
    <w:rsid w:val="002A360F"/>
    <w:rsid w:val="002A4FA4"/>
    <w:rsid w:val="002A5D4E"/>
    <w:rsid w:val="002B00EA"/>
    <w:rsid w:val="002B5854"/>
    <w:rsid w:val="002C177B"/>
    <w:rsid w:val="002E7786"/>
    <w:rsid w:val="002F748B"/>
    <w:rsid w:val="00306EA9"/>
    <w:rsid w:val="003125B9"/>
    <w:rsid w:val="003228BA"/>
    <w:rsid w:val="00327EA5"/>
    <w:rsid w:val="00332F84"/>
    <w:rsid w:val="00336F62"/>
    <w:rsid w:val="00340AAB"/>
    <w:rsid w:val="00345F2B"/>
    <w:rsid w:val="00370C21"/>
    <w:rsid w:val="0039331C"/>
    <w:rsid w:val="00397FC8"/>
    <w:rsid w:val="003A2249"/>
    <w:rsid w:val="003A4D83"/>
    <w:rsid w:val="003B1496"/>
    <w:rsid w:val="003E3877"/>
    <w:rsid w:val="003F3581"/>
    <w:rsid w:val="00405425"/>
    <w:rsid w:val="00406DBC"/>
    <w:rsid w:val="00443594"/>
    <w:rsid w:val="004447B3"/>
    <w:rsid w:val="00456A47"/>
    <w:rsid w:val="00457085"/>
    <w:rsid w:val="0046104D"/>
    <w:rsid w:val="00471F7C"/>
    <w:rsid w:val="00474567"/>
    <w:rsid w:val="00482DA3"/>
    <w:rsid w:val="00490057"/>
    <w:rsid w:val="00492820"/>
    <w:rsid w:val="00492B7E"/>
    <w:rsid w:val="00493D96"/>
    <w:rsid w:val="004944BE"/>
    <w:rsid w:val="004D4A61"/>
    <w:rsid w:val="004E05DC"/>
    <w:rsid w:val="00501C41"/>
    <w:rsid w:val="00510AEF"/>
    <w:rsid w:val="00537215"/>
    <w:rsid w:val="00540976"/>
    <w:rsid w:val="00562569"/>
    <w:rsid w:val="00572ACE"/>
    <w:rsid w:val="005D1555"/>
    <w:rsid w:val="0061276A"/>
    <w:rsid w:val="0061699B"/>
    <w:rsid w:val="0061742E"/>
    <w:rsid w:val="006311F8"/>
    <w:rsid w:val="00646D5B"/>
    <w:rsid w:val="006547A0"/>
    <w:rsid w:val="0065497E"/>
    <w:rsid w:val="006745EF"/>
    <w:rsid w:val="006844A2"/>
    <w:rsid w:val="00691ABF"/>
    <w:rsid w:val="006A0AF3"/>
    <w:rsid w:val="006B185E"/>
    <w:rsid w:val="006E1E5E"/>
    <w:rsid w:val="006E225B"/>
    <w:rsid w:val="006F3D4A"/>
    <w:rsid w:val="00700725"/>
    <w:rsid w:val="00712F64"/>
    <w:rsid w:val="00725CCA"/>
    <w:rsid w:val="007408A4"/>
    <w:rsid w:val="00753E53"/>
    <w:rsid w:val="00755201"/>
    <w:rsid w:val="00771E0B"/>
    <w:rsid w:val="00786287"/>
    <w:rsid w:val="00790539"/>
    <w:rsid w:val="00793FC2"/>
    <w:rsid w:val="00794C4D"/>
    <w:rsid w:val="007A091B"/>
    <w:rsid w:val="007A44A1"/>
    <w:rsid w:val="007B1D78"/>
    <w:rsid w:val="007B3B87"/>
    <w:rsid w:val="007D26F7"/>
    <w:rsid w:val="007E1DDC"/>
    <w:rsid w:val="00810BB6"/>
    <w:rsid w:val="008153FF"/>
    <w:rsid w:val="00830B75"/>
    <w:rsid w:val="00830B9C"/>
    <w:rsid w:val="00850E5C"/>
    <w:rsid w:val="00861833"/>
    <w:rsid w:val="008727D1"/>
    <w:rsid w:val="00875EE8"/>
    <w:rsid w:val="00887A8F"/>
    <w:rsid w:val="008931FF"/>
    <w:rsid w:val="008D659A"/>
    <w:rsid w:val="008E5834"/>
    <w:rsid w:val="008F51D8"/>
    <w:rsid w:val="009036BF"/>
    <w:rsid w:val="009244B7"/>
    <w:rsid w:val="00926543"/>
    <w:rsid w:val="009310C1"/>
    <w:rsid w:val="00936980"/>
    <w:rsid w:val="00945189"/>
    <w:rsid w:val="0095202B"/>
    <w:rsid w:val="0095523D"/>
    <w:rsid w:val="009637ED"/>
    <w:rsid w:val="00963FFF"/>
    <w:rsid w:val="00987FE4"/>
    <w:rsid w:val="00994057"/>
    <w:rsid w:val="009968DA"/>
    <w:rsid w:val="00997414"/>
    <w:rsid w:val="009C2970"/>
    <w:rsid w:val="009F2E61"/>
    <w:rsid w:val="009F3B0B"/>
    <w:rsid w:val="00A00950"/>
    <w:rsid w:val="00A0744F"/>
    <w:rsid w:val="00A11DDF"/>
    <w:rsid w:val="00A142BA"/>
    <w:rsid w:val="00A1712B"/>
    <w:rsid w:val="00A1763C"/>
    <w:rsid w:val="00A17789"/>
    <w:rsid w:val="00A20944"/>
    <w:rsid w:val="00A569E3"/>
    <w:rsid w:val="00A56A27"/>
    <w:rsid w:val="00A64B35"/>
    <w:rsid w:val="00A6683D"/>
    <w:rsid w:val="00A955D8"/>
    <w:rsid w:val="00A97960"/>
    <w:rsid w:val="00AA7DB0"/>
    <w:rsid w:val="00AB78C1"/>
    <w:rsid w:val="00AC5834"/>
    <w:rsid w:val="00AD3DC0"/>
    <w:rsid w:val="00AD5365"/>
    <w:rsid w:val="00AF59D4"/>
    <w:rsid w:val="00AF66E0"/>
    <w:rsid w:val="00B02A10"/>
    <w:rsid w:val="00B15888"/>
    <w:rsid w:val="00B24FC4"/>
    <w:rsid w:val="00B34C44"/>
    <w:rsid w:val="00B432A7"/>
    <w:rsid w:val="00B52A7C"/>
    <w:rsid w:val="00B64CAD"/>
    <w:rsid w:val="00B8458E"/>
    <w:rsid w:val="00B91478"/>
    <w:rsid w:val="00B929E3"/>
    <w:rsid w:val="00BB1618"/>
    <w:rsid w:val="00BB4A0B"/>
    <w:rsid w:val="00BC35AA"/>
    <w:rsid w:val="00BD46AD"/>
    <w:rsid w:val="00C1754D"/>
    <w:rsid w:val="00C17DB9"/>
    <w:rsid w:val="00C21EEF"/>
    <w:rsid w:val="00C70ADA"/>
    <w:rsid w:val="00C82EEF"/>
    <w:rsid w:val="00C979DC"/>
    <w:rsid w:val="00CA4772"/>
    <w:rsid w:val="00CA491C"/>
    <w:rsid w:val="00CC4750"/>
    <w:rsid w:val="00CF4F29"/>
    <w:rsid w:val="00CF677F"/>
    <w:rsid w:val="00CF728B"/>
    <w:rsid w:val="00D2378A"/>
    <w:rsid w:val="00D326AD"/>
    <w:rsid w:val="00D53DEB"/>
    <w:rsid w:val="00D6017B"/>
    <w:rsid w:val="00D61A90"/>
    <w:rsid w:val="00D66440"/>
    <w:rsid w:val="00D73774"/>
    <w:rsid w:val="00DC0E64"/>
    <w:rsid w:val="00DE1860"/>
    <w:rsid w:val="00DE592A"/>
    <w:rsid w:val="00DF08E5"/>
    <w:rsid w:val="00DF37A9"/>
    <w:rsid w:val="00DF43BE"/>
    <w:rsid w:val="00E0593B"/>
    <w:rsid w:val="00E32B8F"/>
    <w:rsid w:val="00E331E4"/>
    <w:rsid w:val="00E3601A"/>
    <w:rsid w:val="00E45F29"/>
    <w:rsid w:val="00E54047"/>
    <w:rsid w:val="00E91C29"/>
    <w:rsid w:val="00E93D4C"/>
    <w:rsid w:val="00EA30EB"/>
    <w:rsid w:val="00EE18C1"/>
    <w:rsid w:val="00EF0F6B"/>
    <w:rsid w:val="00EF289B"/>
    <w:rsid w:val="00EF66E5"/>
    <w:rsid w:val="00F1780F"/>
    <w:rsid w:val="00F614E0"/>
    <w:rsid w:val="00F70CCD"/>
    <w:rsid w:val="00F763AE"/>
    <w:rsid w:val="00F770DB"/>
    <w:rsid w:val="00FA42BE"/>
    <w:rsid w:val="00FB2B54"/>
    <w:rsid w:val="00FB38C7"/>
    <w:rsid w:val="00FE167C"/>
    <w:rsid w:val="00FF1A94"/>
    <w:rsid w:val="00FF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E9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A14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132699">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cs-agreements.cabinetoffice.gov.uk/sites/default/files/contracts/RM6008%20MCF2%20Call%20off%20terms%20v2.pdf" TargetMode="External"/><Relationship Id="rId18" Type="http://schemas.openxmlformats.org/officeDocument/2006/relationships/hyperlink" Target="https://ccs-agreements.cabinetoffice.gov.uk/sites/default/files/contracts/RM6008%20MCF2%20Call%20off%20terms%20v2.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cs-agreements.cabinetoffice.gov.uk/sites/default/files/contracts/RM6008%20MCF2%20Call%20off%20terms%20v2.pdf" TargetMode="External"/><Relationship Id="rId17" Type="http://schemas.openxmlformats.org/officeDocument/2006/relationships/hyperlink" Target="https://ccs-agreements.cabinetoffice.gov.uk/sites/default/files/contracts/RM6008%20MCF2%20Call%20off%20terms%20v2.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cs-agreements.cabinetoffice.gov.uk/sites/default/files/contracts/RM6008%20MCF2%20Call%20off%20terms%20v2.pdf" TargetMode="External"/><Relationship Id="rId20" Type="http://schemas.openxmlformats.org/officeDocument/2006/relationships/hyperlink" Target="https://ccs-agreements.cabinetoffice.gov.uk/sites/default/files/contracts/RM6008%20MCF2%20Call%20off%20terms%20v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agreements.cabinetoffice.gov.uk/sites/default/files/contracts/RM6008%20MCF2%20Call%20off%20terms%20v2.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cs-agreements.cabinetoffice.gov.uk/sites/default/files/contracts/RM6008%20MCF2%20Call%20off%20terms%20v2.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cs-agreements.cabinetoffice.gov.uk/sites/default/files/contracts/RM6008%20MCF2%20Call%20off%20terms%20v2.pdf" TargetMode="External"/><Relationship Id="rId19" Type="http://schemas.openxmlformats.org/officeDocument/2006/relationships/hyperlink" Target="https://ccs-agreements.cabinetoffice.gov.uk/sites/default/files/contracts/RM6008%20MCF2%20Call%20off%20terms%20v2.pdf" TargetMode="Externa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https://ccs-agreements.cabinetoffice.gov.uk/sites/default/files/contracts/RM6008%20MCF2%20Call%20off%20terms%20v2.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A466C-03D2-476B-9C8A-7DB93C1A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1849</Words>
  <Characters>11576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13399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2019-03-19T10:23:00Z</dcterms:created>
  <dcterms:modified xsi:type="dcterms:W3CDTF">2019-03-19T11:23:00Z</dcterms:modified>
</cp:coreProperties>
</file>