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DD7AB4">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52990BDA" w:rsidR="004F4FBD" w:rsidRPr="003562C1" w:rsidRDefault="004F4FBD" w:rsidP="00B25E03">
            <w:pPr>
              <w:rPr>
                <w:rFonts w:ascii="Arial" w:hAnsi="Arial" w:cs="Arial"/>
                <w:color w:val="000000"/>
                <w:sz w:val="24"/>
                <w:szCs w:val="24"/>
              </w:rPr>
            </w:pPr>
            <w:r w:rsidRPr="003562C1">
              <w:rPr>
                <w:rFonts w:ascii="Arial" w:hAnsi="Arial" w:cs="Arial"/>
                <w:color w:val="000000"/>
                <w:sz w:val="24"/>
                <w:szCs w:val="24"/>
              </w:rPr>
              <w:t>STA</w:t>
            </w:r>
            <w:r w:rsidR="00DD7AB4">
              <w:rPr>
                <w:rFonts w:ascii="Arial" w:hAnsi="Arial" w:cs="Arial"/>
                <w:color w:val="000000"/>
                <w:sz w:val="24"/>
                <w:szCs w:val="24"/>
              </w:rPr>
              <w:t xml:space="preserve"> </w:t>
            </w:r>
            <w:r w:rsidRPr="003562C1">
              <w:rPr>
                <w:rFonts w:ascii="Arial" w:hAnsi="Arial" w:cs="Arial"/>
                <w:color w:val="000000"/>
                <w:sz w:val="24"/>
                <w:szCs w:val="24"/>
              </w:rPr>
              <w:t>0</w:t>
            </w:r>
            <w:r w:rsidR="0041397B">
              <w:rPr>
                <w:rFonts w:ascii="Arial" w:hAnsi="Arial" w:cs="Arial"/>
                <w:color w:val="000000"/>
                <w:sz w:val="24"/>
                <w:szCs w:val="24"/>
              </w:rPr>
              <w:t>165</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5370F6C" w14:textId="1B970ACE" w:rsidR="004F4FBD" w:rsidRPr="003562C1" w:rsidRDefault="00B25E03" w:rsidP="0041397B">
            <w:pPr>
              <w:rPr>
                <w:rFonts w:ascii="Arial" w:hAnsi="Arial" w:cs="Arial"/>
                <w:sz w:val="24"/>
                <w:szCs w:val="24"/>
              </w:rPr>
            </w:pPr>
            <w:r w:rsidRPr="00B25E03">
              <w:rPr>
                <w:rFonts w:ascii="Arial" w:hAnsi="Arial" w:cs="Arial"/>
                <w:sz w:val="24"/>
                <w:szCs w:val="24"/>
              </w:rPr>
              <w:t xml:space="preserve">Provision of </w:t>
            </w:r>
            <w:r w:rsidR="0041397B">
              <w:rPr>
                <w:rFonts w:ascii="Arial" w:hAnsi="Arial" w:cs="Arial"/>
                <w:sz w:val="24"/>
                <w:szCs w:val="24"/>
              </w:rPr>
              <w:t>Inclusion Expert</w:t>
            </w:r>
            <w:r w:rsidRPr="00B25E03">
              <w:rPr>
                <w:rFonts w:ascii="Arial" w:hAnsi="Arial" w:cs="Arial"/>
                <w:sz w:val="24"/>
                <w:szCs w:val="24"/>
              </w:rPr>
              <w:t xml:space="preserve"> Services for the Standards and Testing Agency</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6FF028A6"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w:t>
      </w:r>
      <w:r w:rsidR="00DD7AB4">
        <w:rPr>
          <w:rFonts w:ascii="Arial" w:hAnsi="Arial" w:cs="Arial"/>
          <w:b/>
          <w:sz w:val="24"/>
          <w:szCs w:val="24"/>
          <w:u w:val="single"/>
        </w:rPr>
        <w:t>T</w:t>
      </w:r>
      <w:r w:rsidRPr="003562C1">
        <w:rPr>
          <w:rFonts w:ascii="Arial" w:hAnsi="Arial" w:cs="Arial"/>
          <w:b/>
          <w:sz w:val="24"/>
          <w:szCs w:val="24"/>
          <w:u w:val="single"/>
        </w:rPr>
        <w:t xml:space="preserve">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C066B5" w:rsidRPr="00C066B5" w14:paraId="287293B6" w14:textId="77777777" w:rsidTr="00531C0D">
        <w:trPr>
          <w:trHeight w:val="351"/>
        </w:trPr>
        <w:tc>
          <w:tcPr>
            <w:tcW w:w="1548" w:type="dxa"/>
            <w:shd w:val="clear" w:color="auto" w:fill="auto"/>
            <w:vAlign w:val="center"/>
          </w:tcPr>
          <w:p w14:paraId="21B95C7E" w14:textId="5DC7D73B" w:rsidR="00C066B5" w:rsidRPr="00C066B5" w:rsidRDefault="00C066B5" w:rsidP="00C066B5">
            <w:pPr>
              <w:jc w:val="both"/>
              <w:rPr>
                <w:rFonts w:ascii="Arial" w:hAnsi="Arial" w:cs="Arial"/>
                <w:sz w:val="24"/>
                <w:szCs w:val="24"/>
              </w:rPr>
            </w:pPr>
            <w:r w:rsidRPr="00C066B5">
              <w:rPr>
                <w:rFonts w:ascii="Arial" w:hAnsi="Arial" w:cs="Arial"/>
              </w:rPr>
              <w:t>1</w:t>
            </w:r>
          </w:p>
        </w:tc>
        <w:tc>
          <w:tcPr>
            <w:tcW w:w="1620" w:type="dxa"/>
            <w:shd w:val="clear" w:color="auto" w:fill="auto"/>
            <w:vAlign w:val="center"/>
          </w:tcPr>
          <w:p w14:paraId="5F1E109C" w14:textId="7C718B4B" w:rsidR="00C066B5" w:rsidRPr="00C066B5" w:rsidRDefault="0041397B" w:rsidP="00C066B5">
            <w:pPr>
              <w:rPr>
                <w:rFonts w:ascii="Arial" w:hAnsi="Arial" w:cs="Arial"/>
                <w:sz w:val="24"/>
                <w:szCs w:val="24"/>
              </w:rPr>
            </w:pPr>
            <w:r>
              <w:rPr>
                <w:rFonts w:ascii="Arial" w:hAnsi="Arial" w:cs="Arial"/>
              </w:rPr>
              <w:t>03/08</w:t>
            </w:r>
            <w:r w:rsidR="00C066B5" w:rsidRPr="00C066B5">
              <w:rPr>
                <w:rFonts w:ascii="Arial" w:hAnsi="Arial" w:cs="Arial"/>
              </w:rPr>
              <w:t>/2018</w:t>
            </w:r>
          </w:p>
        </w:tc>
        <w:tc>
          <w:tcPr>
            <w:tcW w:w="8280" w:type="dxa"/>
            <w:shd w:val="clear" w:color="auto" w:fill="auto"/>
            <w:vAlign w:val="center"/>
          </w:tcPr>
          <w:p w14:paraId="1F700B6A" w14:textId="6EA68E6E" w:rsidR="00C066B5" w:rsidRPr="00C066B5" w:rsidRDefault="00077287" w:rsidP="00C066B5">
            <w:pPr>
              <w:jc w:val="center"/>
              <w:rPr>
                <w:rFonts w:ascii="Arial" w:hAnsi="Arial" w:cs="Arial"/>
                <w:sz w:val="24"/>
                <w:szCs w:val="24"/>
              </w:rPr>
            </w:pPr>
            <w:r>
              <w:rPr>
                <w:rFonts w:ascii="Arial" w:hAnsi="Arial" w:cs="Arial"/>
                <w:sz w:val="24"/>
                <w:szCs w:val="24"/>
              </w:rPr>
              <w:t>Enquiries 1 to 4</w:t>
            </w:r>
          </w:p>
        </w:tc>
      </w:tr>
      <w:tr w:rsidR="00C066B5" w:rsidRPr="00C066B5" w14:paraId="3F823CDD" w14:textId="77777777" w:rsidTr="00531C0D">
        <w:trPr>
          <w:trHeight w:val="351"/>
        </w:trPr>
        <w:tc>
          <w:tcPr>
            <w:tcW w:w="1548" w:type="dxa"/>
            <w:shd w:val="clear" w:color="auto" w:fill="auto"/>
            <w:vAlign w:val="center"/>
          </w:tcPr>
          <w:p w14:paraId="6D565557" w14:textId="4278C156" w:rsidR="00C066B5" w:rsidRPr="00C066B5" w:rsidRDefault="00AA62D4" w:rsidP="00C066B5">
            <w:pPr>
              <w:jc w:val="both"/>
              <w:rPr>
                <w:rFonts w:ascii="Arial" w:hAnsi="Arial" w:cs="Arial"/>
              </w:rPr>
            </w:pPr>
            <w:r>
              <w:rPr>
                <w:rFonts w:ascii="Arial" w:hAnsi="Arial" w:cs="Arial"/>
              </w:rPr>
              <w:t>2</w:t>
            </w:r>
          </w:p>
        </w:tc>
        <w:tc>
          <w:tcPr>
            <w:tcW w:w="1620" w:type="dxa"/>
            <w:shd w:val="clear" w:color="auto" w:fill="auto"/>
            <w:vAlign w:val="center"/>
          </w:tcPr>
          <w:p w14:paraId="2414E7AA" w14:textId="797BAFDE" w:rsidR="00C066B5" w:rsidRPr="00C066B5" w:rsidRDefault="0001342D" w:rsidP="005A188B">
            <w:pPr>
              <w:rPr>
                <w:rFonts w:ascii="Arial" w:hAnsi="Arial" w:cs="Arial"/>
              </w:rPr>
            </w:pPr>
            <w:r>
              <w:rPr>
                <w:rFonts w:ascii="Arial" w:hAnsi="Arial" w:cs="Arial"/>
              </w:rPr>
              <w:t>04</w:t>
            </w:r>
            <w:r w:rsidR="00AA62D4">
              <w:rPr>
                <w:rFonts w:ascii="Arial" w:hAnsi="Arial" w:cs="Arial"/>
              </w:rPr>
              <w:t>/09/2018</w:t>
            </w:r>
          </w:p>
        </w:tc>
        <w:tc>
          <w:tcPr>
            <w:tcW w:w="8280" w:type="dxa"/>
            <w:shd w:val="clear" w:color="auto" w:fill="auto"/>
            <w:vAlign w:val="center"/>
          </w:tcPr>
          <w:p w14:paraId="51081E61" w14:textId="616AA402" w:rsidR="00C066B5" w:rsidRPr="00C066B5" w:rsidRDefault="00AA62D4" w:rsidP="00C066B5">
            <w:pPr>
              <w:jc w:val="center"/>
              <w:rPr>
                <w:rFonts w:ascii="Arial" w:hAnsi="Arial" w:cs="Arial"/>
              </w:rPr>
            </w:pPr>
            <w:r>
              <w:rPr>
                <w:rFonts w:ascii="Arial" w:hAnsi="Arial" w:cs="Arial"/>
              </w:rPr>
              <w:t>Enquiries 5 to 10</w:t>
            </w:r>
          </w:p>
        </w:tc>
      </w:tr>
      <w:tr w:rsidR="00E517A1" w:rsidRPr="00C066B5" w14:paraId="15C5A9CC" w14:textId="77777777" w:rsidTr="00531C0D">
        <w:trPr>
          <w:trHeight w:val="351"/>
        </w:trPr>
        <w:tc>
          <w:tcPr>
            <w:tcW w:w="1548" w:type="dxa"/>
            <w:shd w:val="clear" w:color="auto" w:fill="auto"/>
            <w:vAlign w:val="center"/>
          </w:tcPr>
          <w:p w14:paraId="34EA6EB8" w14:textId="7BC14630" w:rsidR="00E517A1" w:rsidRDefault="00E517A1" w:rsidP="00C066B5">
            <w:pPr>
              <w:jc w:val="both"/>
              <w:rPr>
                <w:rFonts w:ascii="Arial" w:hAnsi="Arial" w:cs="Arial"/>
              </w:rPr>
            </w:pPr>
            <w:r>
              <w:rPr>
                <w:rFonts w:ascii="Arial" w:hAnsi="Arial" w:cs="Arial"/>
              </w:rPr>
              <w:t>3</w:t>
            </w:r>
          </w:p>
        </w:tc>
        <w:tc>
          <w:tcPr>
            <w:tcW w:w="1620" w:type="dxa"/>
            <w:shd w:val="clear" w:color="auto" w:fill="auto"/>
            <w:vAlign w:val="center"/>
          </w:tcPr>
          <w:p w14:paraId="20A66A8D" w14:textId="397725DF" w:rsidR="00E517A1" w:rsidRDefault="00E517A1" w:rsidP="005A188B">
            <w:pPr>
              <w:rPr>
                <w:rFonts w:ascii="Arial" w:hAnsi="Arial" w:cs="Arial"/>
              </w:rPr>
            </w:pPr>
            <w:r>
              <w:rPr>
                <w:rFonts w:ascii="Arial" w:hAnsi="Arial" w:cs="Arial"/>
              </w:rPr>
              <w:t>11/09/2018</w:t>
            </w:r>
          </w:p>
        </w:tc>
        <w:tc>
          <w:tcPr>
            <w:tcW w:w="8280" w:type="dxa"/>
            <w:shd w:val="clear" w:color="auto" w:fill="auto"/>
            <w:vAlign w:val="center"/>
          </w:tcPr>
          <w:p w14:paraId="2B5277AB" w14:textId="13181645" w:rsidR="00E517A1" w:rsidRDefault="00E517A1" w:rsidP="00C066B5">
            <w:pPr>
              <w:jc w:val="center"/>
              <w:rPr>
                <w:rFonts w:ascii="Arial" w:hAnsi="Arial" w:cs="Arial"/>
              </w:rPr>
            </w:pPr>
            <w:r>
              <w:rPr>
                <w:rFonts w:ascii="Arial" w:hAnsi="Arial" w:cs="Arial"/>
              </w:rPr>
              <w:t>Enquiries 11 to 14</w:t>
            </w: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31"/>
        <w:gridCol w:w="6704"/>
        <w:gridCol w:w="5487"/>
      </w:tblGrid>
      <w:tr w:rsidR="004F4FBD" w:rsidRPr="00AF0F5A" w14:paraId="43E0ABB7" w14:textId="77777777" w:rsidTr="00DD7AB4">
        <w:trPr>
          <w:trHeight w:val="722"/>
          <w:tblHeader/>
        </w:trPr>
        <w:tc>
          <w:tcPr>
            <w:tcW w:w="127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t>Enquiry ID</w:t>
            </w:r>
          </w:p>
        </w:tc>
        <w:tc>
          <w:tcPr>
            <w:tcW w:w="263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C066B5" w:rsidRPr="00C066B5" w14:paraId="35A47696" w14:textId="77777777" w:rsidTr="00DD7AB4">
        <w:trPr>
          <w:trHeight w:val="391"/>
        </w:trPr>
        <w:tc>
          <w:tcPr>
            <w:tcW w:w="1271" w:type="dxa"/>
          </w:tcPr>
          <w:p w14:paraId="55049D8B" w14:textId="2CCBE067" w:rsidR="00C066B5" w:rsidRPr="00C066B5" w:rsidRDefault="00C066B5" w:rsidP="00C066B5">
            <w:pPr>
              <w:jc w:val="center"/>
              <w:rPr>
                <w:rFonts w:ascii="Arial" w:hAnsi="Arial" w:cs="Arial"/>
                <w:sz w:val="24"/>
                <w:szCs w:val="24"/>
              </w:rPr>
            </w:pPr>
            <w:r w:rsidRPr="00C066B5">
              <w:rPr>
                <w:rFonts w:ascii="Arial" w:hAnsi="Arial" w:cs="Arial"/>
                <w:sz w:val="24"/>
                <w:szCs w:val="24"/>
              </w:rPr>
              <w:t>1</w:t>
            </w:r>
          </w:p>
        </w:tc>
        <w:tc>
          <w:tcPr>
            <w:tcW w:w="2631" w:type="dxa"/>
            <w:shd w:val="clear" w:color="auto" w:fill="auto"/>
          </w:tcPr>
          <w:p w14:paraId="2D1CBF94" w14:textId="09922A93" w:rsidR="00C066B5" w:rsidRPr="00C066B5" w:rsidRDefault="00C108B5" w:rsidP="00C066B5">
            <w:pPr>
              <w:spacing w:before="120" w:after="120" w:line="280" w:lineRule="atLeast"/>
              <w:rPr>
                <w:rFonts w:ascii="Arial" w:hAnsi="Arial" w:cs="Arial"/>
                <w:iCs/>
                <w:sz w:val="24"/>
                <w:szCs w:val="24"/>
              </w:rPr>
            </w:pPr>
            <w:r>
              <w:rPr>
                <w:rFonts w:ascii="Arial" w:hAnsi="Arial" w:cs="Arial"/>
                <w:iCs/>
                <w:sz w:val="24"/>
                <w:szCs w:val="24"/>
              </w:rPr>
              <w:t>N/A</w:t>
            </w:r>
          </w:p>
        </w:tc>
        <w:tc>
          <w:tcPr>
            <w:tcW w:w="6704" w:type="dxa"/>
            <w:shd w:val="clear" w:color="auto" w:fill="auto"/>
          </w:tcPr>
          <w:p w14:paraId="280AA380" w14:textId="77777777" w:rsidR="00C066B5" w:rsidRDefault="0041397B" w:rsidP="00C066B5">
            <w:pPr>
              <w:spacing w:before="120" w:after="120" w:line="280" w:lineRule="atLeast"/>
              <w:rPr>
                <w:rFonts w:ascii="Arial" w:hAnsi="Arial" w:cs="Arial"/>
                <w:bCs/>
                <w:sz w:val="24"/>
                <w:szCs w:val="24"/>
              </w:rPr>
            </w:pPr>
            <w:r w:rsidRPr="0041397B">
              <w:rPr>
                <w:rFonts w:ascii="Arial" w:hAnsi="Arial" w:cs="Arial"/>
                <w:bCs/>
                <w:sz w:val="24"/>
                <w:szCs w:val="24"/>
              </w:rPr>
              <w:t>I was one of the inclusion experts on the 2017-2018 Inclusion Experts Framework.  Do I need to reapply to be considered for the new framework?</w:t>
            </w:r>
          </w:p>
          <w:p w14:paraId="42EE61B0" w14:textId="521FC663" w:rsidR="00C108B5" w:rsidRPr="0041397B" w:rsidRDefault="00C108B5" w:rsidP="00C066B5">
            <w:pPr>
              <w:spacing w:before="120" w:after="120" w:line="280" w:lineRule="atLeast"/>
              <w:rPr>
                <w:rFonts w:ascii="Arial" w:hAnsi="Arial" w:cs="Arial"/>
                <w:bCs/>
                <w:sz w:val="24"/>
                <w:szCs w:val="24"/>
              </w:rPr>
            </w:pPr>
          </w:p>
        </w:tc>
        <w:tc>
          <w:tcPr>
            <w:tcW w:w="5487" w:type="dxa"/>
            <w:shd w:val="clear" w:color="auto" w:fill="auto"/>
          </w:tcPr>
          <w:p w14:paraId="3FAC5AAF" w14:textId="77777777" w:rsidR="00C066B5" w:rsidRDefault="00C108B5" w:rsidP="00C066B5">
            <w:pPr>
              <w:rPr>
                <w:rFonts w:ascii="Arial" w:hAnsi="Arial" w:cs="Arial"/>
                <w:color w:val="1F497D"/>
                <w:sz w:val="24"/>
                <w:szCs w:val="24"/>
              </w:rPr>
            </w:pPr>
            <w:r>
              <w:rPr>
                <w:rFonts w:ascii="Arial" w:hAnsi="Arial" w:cs="Arial"/>
                <w:color w:val="1F497D"/>
                <w:sz w:val="24"/>
                <w:szCs w:val="24"/>
              </w:rPr>
              <w:t xml:space="preserve">Yes.  </w:t>
            </w:r>
            <w:r w:rsidR="0041397B">
              <w:rPr>
                <w:rFonts w:ascii="Arial" w:hAnsi="Arial" w:cs="Arial"/>
                <w:color w:val="1F497D"/>
                <w:sz w:val="24"/>
                <w:szCs w:val="24"/>
              </w:rPr>
              <w:t>The 2017-2018 Inclusion Experts  Framework expired on 30 June 2018.  All those wishing to be considered for the 2018-2020 Inclusion Experts Framework are required to complete and submit their applications by midday on 21 September.</w:t>
            </w:r>
          </w:p>
          <w:p w14:paraId="4E267D5F" w14:textId="46B5989B" w:rsidR="00C108B5" w:rsidRPr="00C066B5" w:rsidRDefault="00C108B5" w:rsidP="00C066B5">
            <w:pPr>
              <w:rPr>
                <w:rFonts w:ascii="Arial" w:hAnsi="Arial" w:cs="Arial"/>
                <w:color w:val="1F497D"/>
                <w:sz w:val="24"/>
                <w:szCs w:val="24"/>
              </w:rPr>
            </w:pPr>
          </w:p>
        </w:tc>
      </w:tr>
      <w:tr w:rsidR="004F4FBD" w:rsidRPr="00AF0F5A" w14:paraId="2740CCFB" w14:textId="77777777" w:rsidTr="00DD7AB4">
        <w:trPr>
          <w:trHeight w:val="391"/>
        </w:trPr>
        <w:tc>
          <w:tcPr>
            <w:tcW w:w="1271" w:type="dxa"/>
          </w:tcPr>
          <w:p w14:paraId="1D28628D" w14:textId="77777777" w:rsidR="004F4FBD" w:rsidRPr="003562C1" w:rsidRDefault="004F4FBD" w:rsidP="004F4FBD">
            <w:pPr>
              <w:jc w:val="center"/>
              <w:rPr>
                <w:rFonts w:ascii="Arial" w:hAnsi="Arial" w:cs="Arial"/>
                <w:sz w:val="24"/>
                <w:szCs w:val="24"/>
              </w:rPr>
            </w:pPr>
          </w:p>
          <w:p w14:paraId="4F5A564D" w14:textId="6BCD2050" w:rsidR="004F4FBD" w:rsidRPr="003562C1" w:rsidRDefault="00C066B5" w:rsidP="0041397B">
            <w:pPr>
              <w:jc w:val="center"/>
              <w:rPr>
                <w:rFonts w:ascii="Arial" w:hAnsi="Arial" w:cs="Arial"/>
                <w:sz w:val="24"/>
                <w:szCs w:val="24"/>
              </w:rPr>
            </w:pPr>
            <w:r>
              <w:rPr>
                <w:rFonts w:ascii="Arial" w:hAnsi="Arial" w:cs="Arial"/>
                <w:sz w:val="24"/>
                <w:szCs w:val="24"/>
              </w:rPr>
              <w:t>2</w:t>
            </w:r>
          </w:p>
        </w:tc>
        <w:tc>
          <w:tcPr>
            <w:tcW w:w="2631" w:type="dxa"/>
            <w:shd w:val="clear" w:color="auto" w:fill="auto"/>
          </w:tcPr>
          <w:p w14:paraId="3D13E3FE" w14:textId="4C458343" w:rsidR="004F4FBD" w:rsidRPr="00C108B5" w:rsidRDefault="00C108B5" w:rsidP="0041397B">
            <w:pPr>
              <w:spacing w:before="120" w:after="120" w:line="280" w:lineRule="atLeast"/>
              <w:rPr>
                <w:rFonts w:ascii="Arial" w:hAnsi="Arial" w:cs="Arial"/>
                <w:szCs w:val="24"/>
              </w:rPr>
            </w:pPr>
            <w:r>
              <w:rPr>
                <w:rFonts w:ascii="Arial" w:hAnsi="Arial" w:cs="Arial"/>
                <w:szCs w:val="24"/>
              </w:rPr>
              <w:t>N/A</w:t>
            </w:r>
          </w:p>
        </w:tc>
        <w:tc>
          <w:tcPr>
            <w:tcW w:w="6704" w:type="dxa"/>
            <w:shd w:val="clear" w:color="auto" w:fill="auto"/>
          </w:tcPr>
          <w:p w14:paraId="4A15F06E" w14:textId="77777777" w:rsidR="004F4FBD" w:rsidRDefault="00C108B5" w:rsidP="0041397B">
            <w:pPr>
              <w:rPr>
                <w:rFonts w:ascii="Arial" w:hAnsi="Arial" w:cs="Arial"/>
                <w:szCs w:val="24"/>
              </w:rPr>
            </w:pPr>
            <w:r w:rsidRPr="00C108B5">
              <w:rPr>
                <w:rFonts w:ascii="Arial" w:hAnsi="Arial" w:cs="Arial"/>
                <w:szCs w:val="24"/>
              </w:rPr>
              <w:t xml:space="preserve">We are an organisation with a number of individuals who are experienced in the specialisms listed. </w:t>
            </w:r>
            <w:r>
              <w:rPr>
                <w:szCs w:val="24"/>
              </w:rPr>
              <w:t xml:space="preserve"> </w:t>
            </w:r>
            <w:r w:rsidRPr="00C108B5">
              <w:rPr>
                <w:rFonts w:ascii="Arial" w:hAnsi="Arial" w:cs="Arial"/>
                <w:szCs w:val="24"/>
              </w:rPr>
              <w:t>For our answers, would you like the response to be based on a specific individual or could the response reflect the skills and experience of a team who would be drawn upon as needed to do the work?</w:t>
            </w:r>
          </w:p>
          <w:p w14:paraId="3F1E4E61" w14:textId="1EE4C994" w:rsidR="00C108B5" w:rsidRPr="00B25E03" w:rsidRDefault="00C108B5" w:rsidP="0041397B">
            <w:pPr>
              <w:rPr>
                <w:rFonts w:ascii="Arial" w:hAnsi="Arial" w:cs="Arial"/>
                <w:sz w:val="24"/>
                <w:szCs w:val="24"/>
              </w:rPr>
            </w:pPr>
          </w:p>
        </w:tc>
        <w:tc>
          <w:tcPr>
            <w:tcW w:w="5487" w:type="dxa"/>
            <w:shd w:val="clear" w:color="auto" w:fill="auto"/>
          </w:tcPr>
          <w:p w14:paraId="66FD4FA1" w14:textId="77777777" w:rsidR="004F4FBD" w:rsidRDefault="00C108B5" w:rsidP="00C108B5">
            <w:pPr>
              <w:rPr>
                <w:rFonts w:ascii="Arial" w:hAnsi="Arial" w:cs="Arial"/>
                <w:sz w:val="24"/>
                <w:szCs w:val="24"/>
              </w:rPr>
            </w:pPr>
            <w:r>
              <w:rPr>
                <w:rFonts w:ascii="Arial" w:hAnsi="Arial" w:cs="Arial"/>
                <w:sz w:val="24"/>
                <w:szCs w:val="24"/>
              </w:rPr>
              <w:t>Although organisations can apply to be on the Inclusion Experts Framework, organisations must ensure that they submit separate applications for each of the named individuals who they are putting forward for any of the inclusion expert specialisms.</w:t>
            </w:r>
          </w:p>
          <w:p w14:paraId="08B1C78B" w14:textId="08F98203" w:rsidR="00C108B5" w:rsidRPr="00810554" w:rsidRDefault="00C108B5" w:rsidP="00C108B5">
            <w:pPr>
              <w:rPr>
                <w:rFonts w:ascii="Arial" w:hAnsi="Arial" w:cs="Arial"/>
                <w:sz w:val="24"/>
                <w:szCs w:val="24"/>
              </w:rPr>
            </w:pPr>
          </w:p>
        </w:tc>
      </w:tr>
      <w:tr w:rsidR="00ED178B" w:rsidRPr="00AF0F5A" w14:paraId="40BF3669" w14:textId="77777777" w:rsidTr="00DD7AB4">
        <w:trPr>
          <w:trHeight w:val="391"/>
        </w:trPr>
        <w:tc>
          <w:tcPr>
            <w:tcW w:w="1271" w:type="dxa"/>
          </w:tcPr>
          <w:p w14:paraId="7C047679" w14:textId="6024DCFE" w:rsidR="00ED178B" w:rsidRPr="003562C1" w:rsidRDefault="00C066B5" w:rsidP="00ED178B">
            <w:pPr>
              <w:jc w:val="center"/>
              <w:rPr>
                <w:rFonts w:ascii="Arial" w:hAnsi="Arial" w:cs="Arial"/>
                <w:sz w:val="24"/>
                <w:szCs w:val="24"/>
              </w:rPr>
            </w:pPr>
            <w:r>
              <w:rPr>
                <w:rFonts w:ascii="Arial" w:hAnsi="Arial" w:cs="Arial"/>
                <w:sz w:val="24"/>
                <w:szCs w:val="24"/>
              </w:rPr>
              <w:t>3</w:t>
            </w:r>
          </w:p>
        </w:tc>
        <w:tc>
          <w:tcPr>
            <w:tcW w:w="2631" w:type="dxa"/>
            <w:shd w:val="clear" w:color="auto" w:fill="auto"/>
          </w:tcPr>
          <w:p w14:paraId="46A5D251" w14:textId="68E661B3" w:rsidR="00ED178B" w:rsidRPr="00B25E03" w:rsidRDefault="00C108B5" w:rsidP="0041397B">
            <w:pPr>
              <w:pStyle w:val="AObody"/>
              <w:numPr>
                <w:ilvl w:val="0"/>
                <w:numId w:val="0"/>
              </w:numPr>
              <w:tabs>
                <w:tab w:val="left" w:pos="720"/>
              </w:tabs>
              <w:rPr>
                <w:sz w:val="24"/>
                <w:szCs w:val="24"/>
              </w:rPr>
            </w:pPr>
            <w:r>
              <w:rPr>
                <w:sz w:val="24"/>
                <w:szCs w:val="24"/>
              </w:rPr>
              <w:t>N/A</w:t>
            </w:r>
          </w:p>
        </w:tc>
        <w:tc>
          <w:tcPr>
            <w:tcW w:w="6704" w:type="dxa"/>
            <w:shd w:val="clear" w:color="auto" w:fill="auto"/>
          </w:tcPr>
          <w:p w14:paraId="57FFD7E3" w14:textId="77777777" w:rsidR="00ED178B" w:rsidRDefault="00C108B5" w:rsidP="0041397B">
            <w:pPr>
              <w:pStyle w:val="AObody"/>
              <w:numPr>
                <w:ilvl w:val="0"/>
                <w:numId w:val="0"/>
              </w:numPr>
              <w:tabs>
                <w:tab w:val="left" w:pos="720"/>
              </w:tabs>
              <w:rPr>
                <w:sz w:val="24"/>
                <w:szCs w:val="24"/>
              </w:rPr>
            </w:pPr>
            <w:r w:rsidRPr="00C108B5">
              <w:rPr>
                <w:sz w:val="24"/>
                <w:szCs w:val="24"/>
              </w:rPr>
              <w:t>There are three sections for specialisms in the tender form. We are able to provide experts in six out of the 8 specialisms. Is the number of responses per organisation limited to three specialisms, or could we copy and paste the questions in Part B to answer for six specialisms?</w:t>
            </w:r>
          </w:p>
          <w:p w14:paraId="62824D55" w14:textId="1D8D7CF7" w:rsidR="00217A08" w:rsidRPr="00B25E03" w:rsidRDefault="00217A08" w:rsidP="0041397B">
            <w:pPr>
              <w:pStyle w:val="AObody"/>
              <w:numPr>
                <w:ilvl w:val="0"/>
                <w:numId w:val="0"/>
              </w:numPr>
              <w:tabs>
                <w:tab w:val="left" w:pos="720"/>
              </w:tabs>
              <w:rPr>
                <w:sz w:val="24"/>
                <w:szCs w:val="24"/>
              </w:rPr>
            </w:pPr>
          </w:p>
        </w:tc>
        <w:tc>
          <w:tcPr>
            <w:tcW w:w="5487" w:type="dxa"/>
            <w:shd w:val="clear" w:color="auto" w:fill="auto"/>
          </w:tcPr>
          <w:p w14:paraId="3F403712" w14:textId="12AA64B6" w:rsidR="00ED178B" w:rsidRDefault="00C108B5" w:rsidP="000F097A">
            <w:pPr>
              <w:rPr>
                <w:rFonts w:ascii="Arial" w:hAnsi="Arial" w:cs="Arial"/>
                <w:sz w:val="24"/>
                <w:szCs w:val="24"/>
              </w:rPr>
            </w:pPr>
            <w:r>
              <w:rPr>
                <w:rFonts w:ascii="Arial" w:hAnsi="Arial" w:cs="Arial"/>
                <w:sz w:val="24"/>
                <w:szCs w:val="24"/>
              </w:rPr>
              <w:t>Each individual can apply for a maximum of 3 specialisms only.</w:t>
            </w:r>
            <w:r w:rsidR="00217A08">
              <w:rPr>
                <w:rFonts w:ascii="Arial" w:hAnsi="Arial" w:cs="Arial"/>
                <w:sz w:val="24"/>
                <w:szCs w:val="24"/>
              </w:rPr>
              <w:t xml:space="preserve">  Therefore, organisations must ensure that they complete and submit separate applications for each of the individuals they are putting forward and that they do not exceed three specialisms for any individual.</w:t>
            </w:r>
          </w:p>
          <w:p w14:paraId="3BDDA2E6" w14:textId="4448FDDF" w:rsidR="00217A08" w:rsidRPr="00182D60" w:rsidRDefault="00217A08" w:rsidP="000F097A">
            <w:pPr>
              <w:rPr>
                <w:rFonts w:ascii="Arial" w:hAnsi="Arial" w:cs="Arial"/>
                <w:sz w:val="24"/>
                <w:szCs w:val="24"/>
              </w:rPr>
            </w:pPr>
          </w:p>
        </w:tc>
      </w:tr>
      <w:tr w:rsidR="00ED178B" w:rsidRPr="00AF0F5A" w14:paraId="6C06310D" w14:textId="77777777" w:rsidTr="00DD7AB4">
        <w:trPr>
          <w:trHeight w:val="391"/>
        </w:trPr>
        <w:tc>
          <w:tcPr>
            <w:tcW w:w="1271" w:type="dxa"/>
          </w:tcPr>
          <w:p w14:paraId="0297205B" w14:textId="44B1EC49" w:rsidR="00ED178B" w:rsidRPr="003562C1" w:rsidRDefault="00C066B5" w:rsidP="00ED178B">
            <w:pPr>
              <w:jc w:val="center"/>
              <w:rPr>
                <w:rFonts w:ascii="Arial" w:hAnsi="Arial" w:cs="Arial"/>
                <w:sz w:val="24"/>
                <w:szCs w:val="24"/>
              </w:rPr>
            </w:pPr>
            <w:r>
              <w:rPr>
                <w:rFonts w:ascii="Arial" w:hAnsi="Arial" w:cs="Arial"/>
                <w:sz w:val="24"/>
                <w:szCs w:val="24"/>
              </w:rPr>
              <w:lastRenderedPageBreak/>
              <w:t>4</w:t>
            </w:r>
          </w:p>
        </w:tc>
        <w:tc>
          <w:tcPr>
            <w:tcW w:w="2631" w:type="dxa"/>
            <w:shd w:val="clear" w:color="auto" w:fill="auto"/>
          </w:tcPr>
          <w:p w14:paraId="7AC0FE19" w14:textId="02BDBB43" w:rsidR="00ED178B" w:rsidRPr="003562C1" w:rsidRDefault="00217A08" w:rsidP="00ED178B">
            <w:pPr>
              <w:rPr>
                <w:rFonts w:ascii="Arial" w:hAnsi="Arial" w:cs="Arial"/>
                <w:sz w:val="24"/>
                <w:szCs w:val="24"/>
              </w:rPr>
            </w:pPr>
            <w:r>
              <w:rPr>
                <w:rFonts w:ascii="Arial" w:hAnsi="Arial" w:cs="Arial"/>
                <w:sz w:val="24"/>
                <w:szCs w:val="24"/>
              </w:rPr>
              <w:t>3.7 Conflict of Interest</w:t>
            </w:r>
          </w:p>
        </w:tc>
        <w:tc>
          <w:tcPr>
            <w:tcW w:w="6704" w:type="dxa"/>
            <w:shd w:val="clear" w:color="auto" w:fill="auto"/>
          </w:tcPr>
          <w:p w14:paraId="6398E6D2" w14:textId="3E88A41A" w:rsidR="00ED178B" w:rsidRDefault="00217A08" w:rsidP="00ED178B">
            <w:pPr>
              <w:rPr>
                <w:rFonts w:ascii="Arial" w:hAnsi="Arial" w:cs="Arial"/>
              </w:rPr>
            </w:pPr>
            <w:r>
              <w:rPr>
                <w:rFonts w:ascii="Arial" w:hAnsi="Arial" w:cs="Arial"/>
              </w:rPr>
              <w:t>S</w:t>
            </w:r>
            <w:r w:rsidR="003C149A">
              <w:rPr>
                <w:rFonts w:ascii="Arial" w:hAnsi="Arial" w:cs="Arial"/>
              </w:rPr>
              <w:t>e</w:t>
            </w:r>
            <w:r>
              <w:rPr>
                <w:rFonts w:ascii="Arial" w:hAnsi="Arial" w:cs="Arial"/>
              </w:rPr>
              <w:t xml:space="preserve">ction 3.7 </w:t>
            </w:r>
            <w:r w:rsidR="003C149A">
              <w:rPr>
                <w:rFonts w:ascii="Arial" w:hAnsi="Arial" w:cs="Arial"/>
              </w:rPr>
              <w:t>of the ITT (</w:t>
            </w:r>
            <w:r>
              <w:rPr>
                <w:rFonts w:ascii="Arial" w:hAnsi="Arial" w:cs="Arial"/>
              </w:rPr>
              <w:t>Conflict of Interest</w:t>
            </w:r>
            <w:r w:rsidR="003C149A">
              <w:rPr>
                <w:rFonts w:ascii="Arial" w:hAnsi="Arial" w:cs="Arial"/>
              </w:rPr>
              <w:t>)</w:t>
            </w:r>
            <w:r>
              <w:rPr>
                <w:rFonts w:ascii="Arial" w:hAnsi="Arial" w:cs="Arial"/>
              </w:rPr>
              <w:t xml:space="preserve"> states:</w:t>
            </w:r>
          </w:p>
          <w:p w14:paraId="3E06DA17" w14:textId="77777777" w:rsidR="00217A08" w:rsidRDefault="00217A08" w:rsidP="00ED178B">
            <w:pPr>
              <w:rPr>
                <w:rFonts w:ascii="Arial" w:hAnsi="Arial" w:cs="Arial"/>
              </w:rPr>
            </w:pPr>
          </w:p>
          <w:p w14:paraId="22A403F1" w14:textId="601CD915" w:rsidR="003C149A" w:rsidRPr="003C149A" w:rsidRDefault="003C149A" w:rsidP="003C149A">
            <w:pPr>
              <w:rPr>
                <w:rFonts w:ascii="Arial" w:hAnsi="Arial" w:cs="Arial"/>
              </w:rPr>
            </w:pPr>
            <w:r>
              <w:rPr>
                <w:rFonts w:ascii="Arial" w:hAnsi="Arial" w:cs="Arial"/>
              </w:rPr>
              <w:t>“</w:t>
            </w:r>
            <w:r w:rsidRPr="003C149A">
              <w:rPr>
                <w:rFonts w:ascii="Arial" w:hAnsi="Arial" w:cs="Arial"/>
              </w:rPr>
              <w:t>Any conflicts of interest should be declared in the bidder’s application including other work for STA that could conflict with the objective and successful discharge of these services. For example, bidders should not be employed by the modified test agency that is contracted by STA to modify the test materi</w:t>
            </w:r>
            <w:r>
              <w:rPr>
                <w:rFonts w:ascii="Arial" w:hAnsi="Arial" w:cs="Arial"/>
              </w:rPr>
              <w:t>als for pupils with VI and HI.“</w:t>
            </w:r>
          </w:p>
          <w:p w14:paraId="0937F7D7" w14:textId="77777777" w:rsidR="003C149A" w:rsidRPr="003C149A" w:rsidRDefault="003C149A" w:rsidP="003C149A">
            <w:pPr>
              <w:rPr>
                <w:rFonts w:ascii="Arial" w:hAnsi="Arial" w:cs="Arial"/>
              </w:rPr>
            </w:pPr>
          </w:p>
          <w:p w14:paraId="432BAAED" w14:textId="1B1F96E9" w:rsidR="003C149A" w:rsidRPr="003C149A" w:rsidRDefault="003C149A" w:rsidP="003C149A">
            <w:pPr>
              <w:rPr>
                <w:rFonts w:ascii="Arial" w:hAnsi="Arial" w:cs="Arial"/>
              </w:rPr>
            </w:pPr>
            <w:r w:rsidRPr="003C149A">
              <w:rPr>
                <w:rFonts w:ascii="Arial" w:hAnsi="Arial" w:cs="Arial"/>
              </w:rPr>
              <w:t>Th</w:t>
            </w:r>
            <w:r>
              <w:rPr>
                <w:rFonts w:ascii="Arial" w:hAnsi="Arial" w:cs="Arial"/>
              </w:rPr>
              <w:t>e Modified Tests</w:t>
            </w:r>
            <w:r w:rsidRPr="003C149A">
              <w:rPr>
                <w:rFonts w:ascii="Arial" w:hAnsi="Arial" w:cs="Arial"/>
              </w:rPr>
              <w:t xml:space="preserve"> </w:t>
            </w:r>
            <w:r>
              <w:rPr>
                <w:rFonts w:ascii="Arial" w:hAnsi="Arial" w:cs="Arial"/>
              </w:rPr>
              <w:t xml:space="preserve">Framework </w:t>
            </w:r>
            <w:r w:rsidRPr="003C149A">
              <w:rPr>
                <w:rFonts w:ascii="Arial" w:hAnsi="Arial" w:cs="Arial"/>
              </w:rPr>
              <w:t xml:space="preserve">ITT </w:t>
            </w:r>
            <w:r>
              <w:rPr>
                <w:rFonts w:ascii="Arial" w:hAnsi="Arial" w:cs="Arial"/>
              </w:rPr>
              <w:t xml:space="preserve">(a separate procurement to this one) </w:t>
            </w:r>
            <w:r w:rsidRPr="003C149A">
              <w:rPr>
                <w:rFonts w:ascii="Arial" w:hAnsi="Arial" w:cs="Arial"/>
              </w:rPr>
              <w:t xml:space="preserve">is for a framework arrangement for the national curriculum modified tests and this is intended to be the case for the new period beginning in January 2019. This could result in separate teams of specialist teachers being engaged as modifiers by different agencies but not simultaneously working on the live tests each year. Under clause 3.7, none of these specialists would be eligible for consideration for inclusion panel work. </w:t>
            </w:r>
          </w:p>
          <w:p w14:paraId="16E365D7" w14:textId="77777777" w:rsidR="003C149A" w:rsidRDefault="003C149A" w:rsidP="003C149A">
            <w:pPr>
              <w:rPr>
                <w:rFonts w:ascii="Arial" w:hAnsi="Arial" w:cs="Arial"/>
              </w:rPr>
            </w:pPr>
          </w:p>
          <w:p w14:paraId="7D492C4C" w14:textId="25ED2CFB" w:rsidR="003C149A" w:rsidRPr="003C149A" w:rsidRDefault="003C149A" w:rsidP="003C149A">
            <w:pPr>
              <w:rPr>
                <w:rFonts w:ascii="Arial" w:hAnsi="Arial" w:cs="Arial"/>
              </w:rPr>
            </w:pPr>
            <w:r w:rsidRPr="003C149A">
              <w:rPr>
                <w:rFonts w:ascii="Arial" w:hAnsi="Arial" w:cs="Arial"/>
              </w:rPr>
              <w:t xml:space="preserve">Clause 3.7 also precludes specialists working on one facet of the national curriculum tests from being able to offer expertise on another facet of the assessments covered in this notice. </w:t>
            </w:r>
          </w:p>
          <w:p w14:paraId="59667DD4" w14:textId="77777777" w:rsidR="003C149A" w:rsidRDefault="003C149A" w:rsidP="003C149A">
            <w:pPr>
              <w:rPr>
                <w:rFonts w:ascii="Arial" w:hAnsi="Arial" w:cs="Arial"/>
              </w:rPr>
            </w:pPr>
          </w:p>
          <w:p w14:paraId="7B355684" w14:textId="2CC6959D" w:rsidR="003C149A" w:rsidRPr="003C149A" w:rsidRDefault="003C149A" w:rsidP="003C149A">
            <w:pPr>
              <w:rPr>
                <w:rFonts w:ascii="Arial" w:hAnsi="Arial" w:cs="Arial"/>
              </w:rPr>
            </w:pPr>
            <w:r w:rsidRPr="003C149A">
              <w:rPr>
                <w:rFonts w:ascii="Arial" w:hAnsi="Arial" w:cs="Arial"/>
              </w:rPr>
              <w:t xml:space="preserve">It is widely recognised, as a matter of concern, that the pool of specialist teachers is very small. </w:t>
            </w:r>
          </w:p>
          <w:p w14:paraId="38788FA7" w14:textId="77777777" w:rsidR="003C149A" w:rsidRDefault="003C149A" w:rsidP="003C149A">
            <w:pPr>
              <w:rPr>
                <w:rFonts w:ascii="Arial" w:hAnsi="Arial" w:cs="Arial"/>
              </w:rPr>
            </w:pPr>
          </w:p>
          <w:p w14:paraId="215808A6" w14:textId="77777777" w:rsidR="00217A08" w:rsidRDefault="003C149A" w:rsidP="003C149A">
            <w:pPr>
              <w:rPr>
                <w:rFonts w:ascii="Arial" w:hAnsi="Arial" w:cs="Arial"/>
              </w:rPr>
            </w:pPr>
            <w:r w:rsidRPr="003C149A">
              <w:rPr>
                <w:rFonts w:ascii="Arial" w:hAnsi="Arial" w:cs="Arial"/>
              </w:rPr>
              <w:t xml:space="preserve">Would it therefore be acceptable for these specialist teachers to apply for this work, declaring any contracted  work which may </w:t>
            </w:r>
            <w:r w:rsidRPr="003C149A">
              <w:rPr>
                <w:rFonts w:ascii="Arial" w:hAnsi="Arial" w:cs="Arial"/>
              </w:rPr>
              <w:lastRenderedPageBreak/>
              <w:t>preclude them from being considered for a given subject / key stage in a given year?</w:t>
            </w:r>
          </w:p>
          <w:p w14:paraId="58E10A61" w14:textId="042BDA08" w:rsidR="003C149A" w:rsidRPr="00BE5664" w:rsidRDefault="003C149A" w:rsidP="003C149A">
            <w:pPr>
              <w:rPr>
                <w:rFonts w:ascii="Arial" w:hAnsi="Arial" w:cs="Arial"/>
              </w:rPr>
            </w:pPr>
          </w:p>
        </w:tc>
        <w:tc>
          <w:tcPr>
            <w:tcW w:w="5487" w:type="dxa"/>
            <w:shd w:val="clear" w:color="auto" w:fill="auto"/>
          </w:tcPr>
          <w:p w14:paraId="149E93EB" w14:textId="73BE1B12" w:rsidR="00ED178B" w:rsidRDefault="00077287" w:rsidP="00ED178B">
            <w:pPr>
              <w:rPr>
                <w:rFonts w:ascii="Arial" w:hAnsi="Arial" w:cs="Arial"/>
              </w:rPr>
            </w:pPr>
            <w:r>
              <w:rPr>
                <w:rFonts w:ascii="Arial" w:hAnsi="Arial" w:cs="Arial"/>
              </w:rPr>
              <w:lastRenderedPageBreak/>
              <w:t>Because Inclusion Experts</w:t>
            </w:r>
            <w:r w:rsidR="00A542C6">
              <w:rPr>
                <w:rFonts w:ascii="Arial" w:hAnsi="Arial" w:cs="Arial"/>
              </w:rPr>
              <w:t xml:space="preserve"> are going into a pool that would be available to draw on by any key stage or subject, and because they input into other areas of the national curriculum tests development process, they could not be included in the inclusion reviewer’s pool. </w:t>
            </w:r>
          </w:p>
          <w:p w14:paraId="4C582166" w14:textId="1EDAC64F" w:rsidR="00A542C6" w:rsidRPr="00BE5664" w:rsidRDefault="00A542C6" w:rsidP="00ED178B">
            <w:pPr>
              <w:rPr>
                <w:rFonts w:ascii="Arial" w:hAnsi="Arial" w:cs="Arial"/>
              </w:rPr>
            </w:pPr>
          </w:p>
        </w:tc>
      </w:tr>
      <w:tr w:rsidR="00785D57" w:rsidRPr="00AF0F5A" w14:paraId="4CD6D47F" w14:textId="77777777" w:rsidTr="00DD7AB4">
        <w:trPr>
          <w:trHeight w:val="391"/>
        </w:trPr>
        <w:tc>
          <w:tcPr>
            <w:tcW w:w="1271" w:type="dxa"/>
          </w:tcPr>
          <w:p w14:paraId="3984AC71" w14:textId="4C299E3D" w:rsidR="00785D57" w:rsidRDefault="00785D57" w:rsidP="00ED178B">
            <w:pPr>
              <w:jc w:val="center"/>
              <w:rPr>
                <w:rFonts w:ascii="Arial" w:hAnsi="Arial" w:cs="Arial"/>
                <w:sz w:val="24"/>
                <w:szCs w:val="24"/>
              </w:rPr>
            </w:pPr>
            <w:r>
              <w:rPr>
                <w:rFonts w:ascii="Arial" w:hAnsi="Arial" w:cs="Arial"/>
                <w:sz w:val="24"/>
                <w:szCs w:val="24"/>
              </w:rPr>
              <w:t>5</w:t>
            </w:r>
          </w:p>
        </w:tc>
        <w:tc>
          <w:tcPr>
            <w:tcW w:w="2631" w:type="dxa"/>
            <w:shd w:val="clear" w:color="auto" w:fill="auto"/>
          </w:tcPr>
          <w:p w14:paraId="31D850E1" w14:textId="7785396B" w:rsidR="00785D57" w:rsidRDefault="00785D57" w:rsidP="00785D57">
            <w:pPr>
              <w:rPr>
                <w:rFonts w:ascii="Arial" w:hAnsi="Arial" w:cs="Arial"/>
                <w:sz w:val="24"/>
                <w:szCs w:val="24"/>
              </w:rPr>
            </w:pPr>
            <w:r>
              <w:rPr>
                <w:rFonts w:ascii="Arial" w:hAnsi="Arial" w:cs="Arial"/>
                <w:sz w:val="24"/>
                <w:szCs w:val="24"/>
              </w:rPr>
              <w:t>N/A</w:t>
            </w:r>
          </w:p>
        </w:tc>
        <w:tc>
          <w:tcPr>
            <w:tcW w:w="6704" w:type="dxa"/>
            <w:shd w:val="clear" w:color="auto" w:fill="auto"/>
          </w:tcPr>
          <w:p w14:paraId="3A8937CD" w14:textId="120670C7" w:rsidR="00785D57" w:rsidRDefault="00785D57" w:rsidP="00785D57">
            <w:pPr>
              <w:rPr>
                <w:rFonts w:ascii="Arial" w:hAnsi="Arial" w:cs="Arial"/>
                <w:sz w:val="24"/>
                <w:szCs w:val="24"/>
              </w:rPr>
            </w:pPr>
            <w:r>
              <w:rPr>
                <w:rFonts w:ascii="Arial" w:hAnsi="Arial" w:cs="Arial"/>
                <w:sz w:val="24"/>
                <w:szCs w:val="24"/>
              </w:rPr>
              <w:t>I am interested in applying for the inclusion experts procurement.  Where can I find more information regarding this procurement?</w:t>
            </w:r>
          </w:p>
          <w:p w14:paraId="52A39BCF" w14:textId="66AB4B93" w:rsidR="00785D57" w:rsidRPr="00D23C4E" w:rsidRDefault="00785D57" w:rsidP="00785D57">
            <w:pPr>
              <w:rPr>
                <w:rFonts w:ascii="Arial" w:hAnsi="Arial" w:cs="Arial"/>
              </w:rPr>
            </w:pPr>
          </w:p>
        </w:tc>
        <w:tc>
          <w:tcPr>
            <w:tcW w:w="5487" w:type="dxa"/>
            <w:shd w:val="clear" w:color="auto" w:fill="auto"/>
          </w:tcPr>
          <w:p w14:paraId="5651F0FE" w14:textId="77777777" w:rsidR="00785D57" w:rsidRPr="00785D57" w:rsidRDefault="00785D57" w:rsidP="00785D57">
            <w:pPr>
              <w:rPr>
                <w:rFonts w:ascii="Arial" w:hAnsi="Arial" w:cs="Arial"/>
              </w:rPr>
            </w:pPr>
            <w:r w:rsidRPr="00785D57">
              <w:rPr>
                <w:rFonts w:ascii="Arial" w:hAnsi="Arial" w:cs="Arial"/>
              </w:rPr>
              <w:t xml:space="preserve">An invitation to tender (ITT) for the provision of Inclusion Expert resource (ref: STA-0165) </w:t>
            </w:r>
            <w:r>
              <w:rPr>
                <w:rFonts w:ascii="Arial" w:hAnsi="Arial" w:cs="Arial"/>
              </w:rPr>
              <w:t xml:space="preserve">with all relevant information regarding this procurement together with responses to clarification questions can be found </w:t>
            </w:r>
            <w:r w:rsidRPr="00785D57">
              <w:rPr>
                <w:rFonts w:ascii="Arial" w:hAnsi="Arial" w:cs="Arial"/>
              </w:rPr>
              <w:t>on the Gov.uk website at the link below:</w:t>
            </w:r>
          </w:p>
          <w:p w14:paraId="20971C10" w14:textId="77777777" w:rsidR="00785D57" w:rsidRDefault="0037433A" w:rsidP="00785D57">
            <w:pPr>
              <w:rPr>
                <w:rFonts w:ascii="Arial" w:hAnsi="Arial" w:cs="Arial"/>
              </w:rPr>
            </w:pPr>
            <w:hyperlink r:id="rId14" w:history="1">
              <w:r w:rsidR="00785D57" w:rsidRPr="00193429">
                <w:rPr>
                  <w:rStyle w:val="Hyperlink"/>
                  <w:rFonts w:ascii="Arial" w:hAnsi="Arial" w:cs="Arial"/>
                </w:rPr>
                <w:t>https://www.contractsfinder.service.gov.uk/Notice/bc6211bd-91ae-484d-9033-1f165bcab2ba</w:t>
              </w:r>
            </w:hyperlink>
          </w:p>
          <w:p w14:paraId="699D2665" w14:textId="77777777" w:rsidR="00785D57" w:rsidRPr="00BE5664" w:rsidRDefault="00785D57" w:rsidP="00565D90">
            <w:pPr>
              <w:rPr>
                <w:rFonts w:ascii="Arial" w:hAnsi="Arial" w:cs="Arial"/>
              </w:rPr>
            </w:pPr>
          </w:p>
        </w:tc>
      </w:tr>
      <w:tr w:rsidR="00ED178B" w:rsidRPr="00AF0F5A" w14:paraId="77DFD1C8" w14:textId="77777777" w:rsidTr="00DD7AB4">
        <w:trPr>
          <w:trHeight w:val="391"/>
        </w:trPr>
        <w:tc>
          <w:tcPr>
            <w:tcW w:w="1271" w:type="dxa"/>
          </w:tcPr>
          <w:p w14:paraId="4494A83F" w14:textId="6327A1E8" w:rsidR="00ED178B" w:rsidRPr="003562C1" w:rsidRDefault="00785D57" w:rsidP="00ED178B">
            <w:pPr>
              <w:jc w:val="center"/>
              <w:rPr>
                <w:rFonts w:ascii="Arial" w:hAnsi="Arial" w:cs="Arial"/>
                <w:sz w:val="24"/>
                <w:szCs w:val="24"/>
              </w:rPr>
            </w:pPr>
            <w:r>
              <w:rPr>
                <w:rFonts w:ascii="Arial" w:hAnsi="Arial" w:cs="Arial"/>
                <w:sz w:val="24"/>
                <w:szCs w:val="24"/>
              </w:rPr>
              <w:t>6</w:t>
            </w:r>
          </w:p>
        </w:tc>
        <w:tc>
          <w:tcPr>
            <w:tcW w:w="2631" w:type="dxa"/>
            <w:shd w:val="clear" w:color="auto" w:fill="auto"/>
          </w:tcPr>
          <w:p w14:paraId="160761B7" w14:textId="62FC95A5" w:rsidR="00ED178B" w:rsidRPr="003562C1" w:rsidRDefault="005431F3" w:rsidP="00ED178B">
            <w:pPr>
              <w:rPr>
                <w:rFonts w:ascii="Arial" w:hAnsi="Arial" w:cs="Arial"/>
                <w:sz w:val="24"/>
                <w:szCs w:val="24"/>
              </w:rPr>
            </w:pPr>
            <w:r>
              <w:rPr>
                <w:rFonts w:ascii="Arial" w:hAnsi="Arial" w:cs="Arial"/>
                <w:sz w:val="24"/>
                <w:szCs w:val="24"/>
              </w:rPr>
              <w:t>3.6 Confidentiality</w:t>
            </w:r>
          </w:p>
        </w:tc>
        <w:tc>
          <w:tcPr>
            <w:tcW w:w="6704" w:type="dxa"/>
            <w:shd w:val="clear" w:color="auto" w:fill="auto"/>
          </w:tcPr>
          <w:p w14:paraId="343C6161" w14:textId="73E2660D" w:rsidR="00ED178B" w:rsidRPr="00BE5664" w:rsidRDefault="00D23C4E" w:rsidP="00ED178B">
            <w:pPr>
              <w:rPr>
                <w:rFonts w:ascii="Arial" w:hAnsi="Arial" w:cs="Arial"/>
              </w:rPr>
            </w:pPr>
            <w:r w:rsidRPr="00D23C4E">
              <w:rPr>
                <w:rFonts w:ascii="Arial" w:hAnsi="Arial" w:cs="Arial"/>
              </w:rPr>
              <w:t>Could you please clarify what level of confidentiality is required during the process? Can participants mention that they are involved in the process?</w:t>
            </w:r>
          </w:p>
        </w:tc>
        <w:tc>
          <w:tcPr>
            <w:tcW w:w="5487" w:type="dxa"/>
            <w:shd w:val="clear" w:color="auto" w:fill="auto"/>
          </w:tcPr>
          <w:p w14:paraId="7719A915" w14:textId="6891A90B" w:rsidR="004A520E" w:rsidRDefault="004A520E" w:rsidP="00565D90">
            <w:pPr>
              <w:rPr>
                <w:rFonts w:ascii="Arial" w:hAnsi="Arial" w:cs="Arial"/>
              </w:rPr>
            </w:pPr>
            <w:r>
              <w:rPr>
                <w:rFonts w:ascii="Arial" w:hAnsi="Arial" w:cs="Arial"/>
              </w:rPr>
              <w:t>Unclear as to what is defined as “the process” so the answer covers two scenarios</w:t>
            </w:r>
            <w:r w:rsidR="0001342D">
              <w:rPr>
                <w:rFonts w:ascii="Arial" w:hAnsi="Arial" w:cs="Arial"/>
              </w:rPr>
              <w:t>:</w:t>
            </w:r>
          </w:p>
          <w:p w14:paraId="370EEA9B" w14:textId="77777777" w:rsidR="0001342D" w:rsidRDefault="0001342D" w:rsidP="00565D90">
            <w:pPr>
              <w:rPr>
                <w:rFonts w:ascii="Arial" w:hAnsi="Arial" w:cs="Arial"/>
              </w:rPr>
            </w:pPr>
          </w:p>
          <w:p w14:paraId="26B1EF2A" w14:textId="77777777" w:rsidR="004A520E" w:rsidRPr="004A520E" w:rsidRDefault="004A520E" w:rsidP="00565D90">
            <w:pPr>
              <w:rPr>
                <w:rFonts w:ascii="Arial" w:hAnsi="Arial" w:cs="Arial"/>
                <w:u w:val="single"/>
              </w:rPr>
            </w:pPr>
            <w:r w:rsidRPr="004A520E">
              <w:rPr>
                <w:rFonts w:ascii="Arial" w:hAnsi="Arial" w:cs="Arial"/>
                <w:u w:val="single"/>
              </w:rPr>
              <w:t>ITT</w:t>
            </w:r>
          </w:p>
          <w:p w14:paraId="5CC8EF03" w14:textId="3F10AE90" w:rsidR="004A520E" w:rsidRDefault="004A520E" w:rsidP="00565D90">
            <w:pPr>
              <w:rPr>
                <w:rFonts w:ascii="Arial" w:hAnsi="Arial" w:cs="Arial"/>
              </w:rPr>
            </w:pPr>
            <w:r>
              <w:rPr>
                <w:rFonts w:ascii="Arial" w:hAnsi="Arial" w:cs="Arial"/>
              </w:rPr>
              <w:t xml:space="preserve">Participants are able to inform others that they are applying. The specific content of their tender </w:t>
            </w:r>
            <w:r w:rsidR="00607DC4">
              <w:rPr>
                <w:rFonts w:ascii="Arial" w:hAnsi="Arial" w:cs="Arial"/>
              </w:rPr>
              <w:t xml:space="preserve">is confidential </w:t>
            </w:r>
            <w:r w:rsidR="0001342D">
              <w:rPr>
                <w:rFonts w:ascii="Arial" w:hAnsi="Arial" w:cs="Arial"/>
              </w:rPr>
              <w:t xml:space="preserve">and </w:t>
            </w:r>
            <w:r>
              <w:rPr>
                <w:rFonts w:ascii="Arial" w:hAnsi="Arial" w:cs="Arial"/>
              </w:rPr>
              <w:t>should not be discussed.</w:t>
            </w:r>
          </w:p>
          <w:p w14:paraId="7E05AC51" w14:textId="77777777" w:rsidR="0001342D" w:rsidRDefault="0001342D" w:rsidP="00565D90">
            <w:pPr>
              <w:rPr>
                <w:rFonts w:ascii="Arial" w:hAnsi="Arial" w:cs="Arial"/>
              </w:rPr>
            </w:pPr>
          </w:p>
          <w:p w14:paraId="16451726" w14:textId="77777777" w:rsidR="004A520E" w:rsidRPr="004A520E" w:rsidRDefault="004A520E" w:rsidP="00565D90">
            <w:pPr>
              <w:rPr>
                <w:rFonts w:ascii="Arial" w:hAnsi="Arial" w:cs="Arial"/>
                <w:u w:val="single"/>
              </w:rPr>
            </w:pPr>
            <w:r w:rsidRPr="004A520E">
              <w:rPr>
                <w:rFonts w:ascii="Arial" w:hAnsi="Arial" w:cs="Arial"/>
                <w:u w:val="single"/>
              </w:rPr>
              <w:t>Inclusion Expert</w:t>
            </w:r>
          </w:p>
          <w:p w14:paraId="7D7A5E1D" w14:textId="77777777" w:rsidR="00ED178B" w:rsidRDefault="004A520E" w:rsidP="00607DC4">
            <w:pPr>
              <w:rPr>
                <w:rFonts w:ascii="Arial" w:hAnsi="Arial" w:cs="Arial"/>
              </w:rPr>
            </w:pPr>
            <w:r>
              <w:rPr>
                <w:rFonts w:ascii="Arial" w:hAnsi="Arial" w:cs="Arial"/>
              </w:rPr>
              <w:t>If selected to be an Inclusion Expert participants are able to inform other</w:t>
            </w:r>
            <w:r w:rsidR="00607DC4">
              <w:rPr>
                <w:rFonts w:ascii="Arial" w:hAnsi="Arial" w:cs="Arial"/>
              </w:rPr>
              <w:t>s</w:t>
            </w:r>
            <w:r>
              <w:rPr>
                <w:rFonts w:ascii="Arial" w:hAnsi="Arial" w:cs="Arial"/>
              </w:rPr>
              <w:t xml:space="preserve"> that they are involved in this role. The specific content of the work carried out </w:t>
            </w:r>
            <w:r w:rsidR="00607DC4">
              <w:rPr>
                <w:rFonts w:ascii="Arial" w:hAnsi="Arial" w:cs="Arial"/>
              </w:rPr>
              <w:t xml:space="preserve">is confidential and </w:t>
            </w:r>
            <w:r>
              <w:rPr>
                <w:rFonts w:ascii="Arial" w:hAnsi="Arial" w:cs="Arial"/>
              </w:rPr>
              <w:t xml:space="preserve">should </w:t>
            </w:r>
            <w:r w:rsidR="00607DC4">
              <w:rPr>
                <w:rFonts w:ascii="Arial" w:hAnsi="Arial" w:cs="Arial"/>
              </w:rPr>
              <w:t>not be discussed.</w:t>
            </w:r>
          </w:p>
          <w:p w14:paraId="0B708D0D" w14:textId="491D20A6" w:rsidR="0001342D" w:rsidRPr="00BE5664" w:rsidRDefault="0001342D" w:rsidP="00607DC4">
            <w:pPr>
              <w:rPr>
                <w:rFonts w:ascii="Arial" w:hAnsi="Arial" w:cs="Arial"/>
              </w:rPr>
            </w:pPr>
          </w:p>
        </w:tc>
      </w:tr>
      <w:tr w:rsidR="00785D57" w:rsidRPr="00AF0F5A" w14:paraId="701D7004" w14:textId="77777777" w:rsidTr="00DD7AB4">
        <w:trPr>
          <w:trHeight w:val="391"/>
        </w:trPr>
        <w:tc>
          <w:tcPr>
            <w:tcW w:w="1271" w:type="dxa"/>
          </w:tcPr>
          <w:p w14:paraId="3875AFDD" w14:textId="5031862D" w:rsidR="00785D57" w:rsidRDefault="00785D57" w:rsidP="00ED178B">
            <w:pPr>
              <w:jc w:val="center"/>
              <w:rPr>
                <w:rFonts w:ascii="Arial" w:hAnsi="Arial" w:cs="Arial"/>
                <w:sz w:val="24"/>
                <w:szCs w:val="24"/>
              </w:rPr>
            </w:pPr>
            <w:r>
              <w:rPr>
                <w:rFonts w:ascii="Arial" w:hAnsi="Arial" w:cs="Arial"/>
                <w:sz w:val="24"/>
                <w:szCs w:val="24"/>
              </w:rPr>
              <w:lastRenderedPageBreak/>
              <w:t>7</w:t>
            </w:r>
          </w:p>
        </w:tc>
        <w:tc>
          <w:tcPr>
            <w:tcW w:w="2631" w:type="dxa"/>
            <w:shd w:val="clear" w:color="auto" w:fill="auto"/>
          </w:tcPr>
          <w:p w14:paraId="15E895C4" w14:textId="29E478BF" w:rsidR="00785D57" w:rsidRDefault="005431F3" w:rsidP="00ED178B">
            <w:pPr>
              <w:rPr>
                <w:rFonts w:ascii="Arial" w:hAnsi="Arial" w:cs="Arial"/>
                <w:sz w:val="24"/>
                <w:szCs w:val="24"/>
              </w:rPr>
            </w:pPr>
            <w:r>
              <w:rPr>
                <w:rFonts w:ascii="Arial" w:hAnsi="Arial" w:cs="Arial"/>
                <w:sz w:val="24"/>
                <w:szCs w:val="24"/>
              </w:rPr>
              <w:t>3.7 Conflict of interest</w:t>
            </w:r>
          </w:p>
        </w:tc>
        <w:tc>
          <w:tcPr>
            <w:tcW w:w="6704" w:type="dxa"/>
            <w:shd w:val="clear" w:color="auto" w:fill="auto"/>
          </w:tcPr>
          <w:p w14:paraId="2BC05E56" w14:textId="77777777" w:rsidR="00785D57" w:rsidRDefault="00785D57" w:rsidP="00785D57">
            <w:pPr>
              <w:rPr>
                <w:rFonts w:ascii="Arial" w:hAnsi="Arial" w:cs="Arial"/>
              </w:rPr>
            </w:pPr>
            <w:r w:rsidRPr="00785D57">
              <w:rPr>
                <w:rFonts w:ascii="Arial" w:hAnsi="Arial" w:cs="Arial"/>
              </w:rPr>
              <w:t>I have provided cultural sensitivity reviews for another agency in the past. Am I right in assuming that this does not constitute a conflict of interest?</w:t>
            </w:r>
          </w:p>
          <w:p w14:paraId="16C649EF" w14:textId="67B527AF" w:rsidR="00785D57" w:rsidRPr="00D23C4E" w:rsidRDefault="00785D57" w:rsidP="00785D57">
            <w:pPr>
              <w:rPr>
                <w:rFonts w:ascii="Arial" w:hAnsi="Arial" w:cs="Arial"/>
              </w:rPr>
            </w:pPr>
          </w:p>
        </w:tc>
        <w:tc>
          <w:tcPr>
            <w:tcW w:w="5487" w:type="dxa"/>
            <w:shd w:val="clear" w:color="auto" w:fill="auto"/>
          </w:tcPr>
          <w:p w14:paraId="4F72F0CD" w14:textId="77777777" w:rsidR="00D871EB" w:rsidRDefault="00D871EB" w:rsidP="00565D90">
            <w:pPr>
              <w:rPr>
                <w:rFonts w:ascii="Arial" w:hAnsi="Arial" w:cs="Arial"/>
              </w:rPr>
            </w:pPr>
            <w:r>
              <w:rPr>
                <w:rFonts w:ascii="Arial" w:hAnsi="Arial" w:cs="Arial"/>
              </w:rPr>
              <w:t>No, any work carried out for other organisations in the past does not constitute a conflict of interest.</w:t>
            </w:r>
          </w:p>
          <w:p w14:paraId="500F2579" w14:textId="3295C600" w:rsidR="00785D57" w:rsidRPr="00BE5664" w:rsidRDefault="00785D57" w:rsidP="00565D90">
            <w:pPr>
              <w:rPr>
                <w:rFonts w:ascii="Arial" w:hAnsi="Arial" w:cs="Arial"/>
              </w:rPr>
            </w:pPr>
          </w:p>
        </w:tc>
      </w:tr>
      <w:tr w:rsidR="00785D57" w:rsidRPr="00AF0F5A" w14:paraId="7DD816F9" w14:textId="77777777" w:rsidTr="00DD7AB4">
        <w:trPr>
          <w:trHeight w:val="391"/>
        </w:trPr>
        <w:tc>
          <w:tcPr>
            <w:tcW w:w="1271" w:type="dxa"/>
          </w:tcPr>
          <w:p w14:paraId="543539C4" w14:textId="21D79508" w:rsidR="00785D57" w:rsidRDefault="00785D57" w:rsidP="00ED178B">
            <w:pPr>
              <w:jc w:val="center"/>
              <w:rPr>
                <w:rFonts w:ascii="Arial" w:hAnsi="Arial" w:cs="Arial"/>
                <w:sz w:val="24"/>
                <w:szCs w:val="24"/>
              </w:rPr>
            </w:pPr>
            <w:r>
              <w:rPr>
                <w:rFonts w:ascii="Arial" w:hAnsi="Arial" w:cs="Arial"/>
                <w:sz w:val="24"/>
                <w:szCs w:val="24"/>
              </w:rPr>
              <w:t>8</w:t>
            </w:r>
          </w:p>
        </w:tc>
        <w:tc>
          <w:tcPr>
            <w:tcW w:w="2631" w:type="dxa"/>
            <w:shd w:val="clear" w:color="auto" w:fill="auto"/>
          </w:tcPr>
          <w:p w14:paraId="18F5ECFF" w14:textId="7BE3CE1F" w:rsidR="00785D57" w:rsidRDefault="00785D57"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667D0E46" w14:textId="77777777" w:rsidR="00785D57" w:rsidRPr="00785D57" w:rsidRDefault="00785D57" w:rsidP="00785D57">
            <w:pPr>
              <w:rPr>
                <w:rFonts w:ascii="Arial" w:hAnsi="Arial" w:cs="Arial"/>
              </w:rPr>
            </w:pPr>
            <w:r w:rsidRPr="00785D57">
              <w:rPr>
                <w:rFonts w:ascii="Arial" w:hAnsi="Arial" w:cs="Arial"/>
              </w:rPr>
              <w:t>I am about to submit a tender but need to know whether I can simply attach my completed form or whether I need to manually sign it and then send a  scan.</w:t>
            </w:r>
          </w:p>
          <w:p w14:paraId="2D91AF7B" w14:textId="29DEC0C3" w:rsidR="00785D57" w:rsidRPr="00D23C4E" w:rsidRDefault="00785D57" w:rsidP="00ED178B">
            <w:pPr>
              <w:rPr>
                <w:rFonts w:ascii="Arial" w:hAnsi="Arial" w:cs="Arial"/>
              </w:rPr>
            </w:pPr>
          </w:p>
        </w:tc>
        <w:tc>
          <w:tcPr>
            <w:tcW w:w="5487" w:type="dxa"/>
            <w:shd w:val="clear" w:color="auto" w:fill="auto"/>
          </w:tcPr>
          <w:p w14:paraId="4986103E" w14:textId="637ECEA2" w:rsidR="009839BC" w:rsidRDefault="00AA62D4" w:rsidP="00126BB8">
            <w:pPr>
              <w:rPr>
                <w:rFonts w:ascii="Arial" w:hAnsi="Arial" w:cs="Arial"/>
              </w:rPr>
            </w:pPr>
            <w:r>
              <w:rPr>
                <w:rFonts w:ascii="Arial" w:hAnsi="Arial" w:cs="Arial"/>
              </w:rPr>
              <w:t>You do not need to sign and scan your application.  Please type your name or i</w:t>
            </w:r>
            <w:r w:rsidR="00126BB8">
              <w:rPr>
                <w:rFonts w:ascii="Arial" w:hAnsi="Arial" w:cs="Arial"/>
              </w:rPr>
              <w:t>nsert an electronic signature in the relevant field of</w:t>
            </w:r>
            <w:r>
              <w:rPr>
                <w:rFonts w:ascii="Arial" w:hAnsi="Arial" w:cs="Arial"/>
              </w:rPr>
              <w:t xml:space="preserve"> </w:t>
            </w:r>
            <w:r w:rsidR="00126BB8">
              <w:rPr>
                <w:rFonts w:ascii="Arial" w:hAnsi="Arial" w:cs="Arial"/>
              </w:rPr>
              <w:t>Part D (Declaration) under section 5 of the ITT (Bidder’s Response)</w:t>
            </w:r>
            <w:r w:rsidR="009839BC">
              <w:rPr>
                <w:rFonts w:ascii="Arial" w:hAnsi="Arial" w:cs="Arial"/>
              </w:rPr>
              <w:t>.</w:t>
            </w:r>
          </w:p>
          <w:p w14:paraId="6056BC88" w14:textId="77777777" w:rsidR="009839BC" w:rsidRDefault="009839BC" w:rsidP="00126BB8">
            <w:pPr>
              <w:rPr>
                <w:rFonts w:ascii="Arial" w:hAnsi="Arial" w:cs="Arial"/>
              </w:rPr>
            </w:pPr>
          </w:p>
          <w:p w14:paraId="59204768" w14:textId="77777777" w:rsidR="009839BC" w:rsidRDefault="00AA62D4" w:rsidP="00126BB8">
            <w:pPr>
              <w:rPr>
                <w:rFonts w:ascii="Arial" w:hAnsi="Arial" w:cs="Arial"/>
              </w:rPr>
            </w:pPr>
            <w:r>
              <w:rPr>
                <w:rFonts w:ascii="Arial" w:hAnsi="Arial" w:cs="Arial"/>
              </w:rPr>
              <w:t xml:space="preserve">Please send through your application as a Microsoft Word 2016  </w:t>
            </w:r>
            <w:r w:rsidR="005431F3">
              <w:rPr>
                <w:rFonts w:ascii="Arial" w:hAnsi="Arial" w:cs="Arial"/>
              </w:rPr>
              <w:t>ve</w:t>
            </w:r>
            <w:r w:rsidR="006D7941">
              <w:rPr>
                <w:rFonts w:ascii="Arial" w:hAnsi="Arial" w:cs="Arial"/>
              </w:rPr>
              <w:t>rsion or equivalen</w:t>
            </w:r>
            <w:r>
              <w:rPr>
                <w:rFonts w:ascii="Arial" w:hAnsi="Arial" w:cs="Arial"/>
              </w:rPr>
              <w:t xml:space="preserve">t as advised in </w:t>
            </w:r>
            <w:r w:rsidR="005431F3">
              <w:rPr>
                <w:rFonts w:ascii="Arial" w:hAnsi="Arial" w:cs="Arial"/>
              </w:rPr>
              <w:t xml:space="preserve">section 3.9 (Submission of applications) of </w:t>
            </w:r>
            <w:r>
              <w:rPr>
                <w:rFonts w:ascii="Arial" w:hAnsi="Arial" w:cs="Arial"/>
              </w:rPr>
              <w:t>the ITT</w:t>
            </w:r>
            <w:r w:rsidR="006D7941">
              <w:rPr>
                <w:rFonts w:ascii="Arial" w:hAnsi="Arial" w:cs="Arial"/>
              </w:rPr>
              <w:t xml:space="preserve"> document</w:t>
            </w:r>
            <w:r>
              <w:rPr>
                <w:rFonts w:ascii="Arial" w:hAnsi="Arial" w:cs="Arial"/>
              </w:rPr>
              <w:t>.</w:t>
            </w:r>
          </w:p>
          <w:p w14:paraId="4905C80B" w14:textId="7A8B9D59" w:rsidR="00785D57" w:rsidRPr="00BE5664" w:rsidRDefault="00785D57" w:rsidP="00126BB8">
            <w:pPr>
              <w:rPr>
                <w:rFonts w:ascii="Arial" w:hAnsi="Arial" w:cs="Arial"/>
              </w:rPr>
            </w:pPr>
          </w:p>
        </w:tc>
      </w:tr>
      <w:tr w:rsidR="00D871EB" w:rsidRPr="00AF0F5A" w14:paraId="1FAE34CE" w14:textId="77777777" w:rsidTr="00DD7AB4">
        <w:trPr>
          <w:trHeight w:val="391"/>
        </w:trPr>
        <w:tc>
          <w:tcPr>
            <w:tcW w:w="1271" w:type="dxa"/>
          </w:tcPr>
          <w:p w14:paraId="2C5C8D16" w14:textId="6787BBD8" w:rsidR="00D871EB" w:rsidRDefault="00D871EB" w:rsidP="001C58B0">
            <w:pPr>
              <w:jc w:val="center"/>
              <w:rPr>
                <w:rFonts w:ascii="Arial" w:hAnsi="Arial" w:cs="Arial"/>
                <w:sz w:val="24"/>
                <w:szCs w:val="24"/>
              </w:rPr>
            </w:pPr>
            <w:r>
              <w:rPr>
                <w:rFonts w:ascii="Arial" w:hAnsi="Arial" w:cs="Arial"/>
                <w:sz w:val="24"/>
                <w:szCs w:val="24"/>
              </w:rPr>
              <w:t>9</w:t>
            </w:r>
          </w:p>
        </w:tc>
        <w:tc>
          <w:tcPr>
            <w:tcW w:w="2631" w:type="dxa"/>
            <w:shd w:val="clear" w:color="auto" w:fill="auto"/>
          </w:tcPr>
          <w:p w14:paraId="759D4FB1" w14:textId="4DEB46CE" w:rsidR="00D871EB" w:rsidRDefault="00AA62D4"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53766F18" w14:textId="77777777" w:rsidR="00D871EB" w:rsidRDefault="00D871EB" w:rsidP="00ED178B">
            <w:pPr>
              <w:rPr>
                <w:rFonts w:ascii="Arial" w:hAnsi="Arial" w:cs="Arial"/>
              </w:rPr>
            </w:pPr>
            <w:r w:rsidRPr="00D871EB">
              <w:rPr>
                <w:rFonts w:ascii="Arial" w:hAnsi="Arial" w:cs="Arial"/>
              </w:rPr>
              <w:t>I notice that you are looking for both individuals and organisations for this contract, and that organisations must submit separate applications for each individual wishing to be involved. In this circumstance, would the contract be directly with the individual or with the organisation? For example would the request for involvement be sent to the individual or the organisation, and would invoicing etc. be undertaken with the individual or with the organisation?</w:t>
            </w:r>
          </w:p>
          <w:p w14:paraId="2F073D2D" w14:textId="3873F478" w:rsidR="00D871EB" w:rsidRPr="00D23C4E" w:rsidRDefault="00D871EB" w:rsidP="00ED178B">
            <w:pPr>
              <w:rPr>
                <w:rFonts w:ascii="Arial" w:hAnsi="Arial" w:cs="Arial"/>
              </w:rPr>
            </w:pPr>
          </w:p>
        </w:tc>
        <w:tc>
          <w:tcPr>
            <w:tcW w:w="5487" w:type="dxa"/>
            <w:shd w:val="clear" w:color="auto" w:fill="auto"/>
          </w:tcPr>
          <w:p w14:paraId="23BDE1B8" w14:textId="6EA3CF98" w:rsidR="00D871EB" w:rsidRDefault="00D871EB" w:rsidP="00565D90">
            <w:pPr>
              <w:rPr>
                <w:rFonts w:ascii="Arial" w:hAnsi="Arial" w:cs="Arial"/>
              </w:rPr>
            </w:pPr>
            <w:r>
              <w:rPr>
                <w:rFonts w:ascii="Arial" w:hAnsi="Arial" w:cs="Arial"/>
              </w:rPr>
              <w:t>Where individuals are applying on behalf of an organisation, the contract will be with the organisation and the individual will be named on the contract document.</w:t>
            </w:r>
          </w:p>
          <w:p w14:paraId="1184F023" w14:textId="77777777" w:rsidR="00D871EB" w:rsidRDefault="00D871EB" w:rsidP="00565D90">
            <w:pPr>
              <w:rPr>
                <w:rFonts w:ascii="Arial" w:hAnsi="Arial" w:cs="Arial"/>
              </w:rPr>
            </w:pPr>
          </w:p>
          <w:p w14:paraId="11C55E22" w14:textId="77777777" w:rsidR="00D871EB" w:rsidRDefault="00D871EB" w:rsidP="00565D90">
            <w:pPr>
              <w:rPr>
                <w:rFonts w:ascii="Arial" w:hAnsi="Arial" w:cs="Arial"/>
              </w:rPr>
            </w:pPr>
            <w:r>
              <w:rPr>
                <w:rFonts w:ascii="Arial" w:hAnsi="Arial" w:cs="Arial"/>
              </w:rPr>
              <w:t>The individuals from the organisations will be contacted directly via email when inclusion experts are required.</w:t>
            </w:r>
          </w:p>
          <w:p w14:paraId="60C347F4" w14:textId="77777777" w:rsidR="00D871EB" w:rsidRDefault="00D871EB" w:rsidP="00565D90">
            <w:pPr>
              <w:rPr>
                <w:rFonts w:ascii="Arial" w:hAnsi="Arial" w:cs="Arial"/>
              </w:rPr>
            </w:pPr>
          </w:p>
          <w:p w14:paraId="7EEBE5CB" w14:textId="5BB8EF5A" w:rsidR="00D871EB" w:rsidRDefault="00D871EB" w:rsidP="00565D90">
            <w:pPr>
              <w:rPr>
                <w:rFonts w:ascii="Arial" w:hAnsi="Arial" w:cs="Arial"/>
              </w:rPr>
            </w:pPr>
            <w:r>
              <w:rPr>
                <w:rFonts w:ascii="Arial" w:hAnsi="Arial" w:cs="Arial"/>
              </w:rPr>
              <w:t>Organisations will have to submit invoices together with the relevant receipts of any expenses incurred for payment.</w:t>
            </w:r>
          </w:p>
          <w:p w14:paraId="43C2B533" w14:textId="6E9901ED" w:rsidR="00D871EB" w:rsidRPr="00BE5664" w:rsidRDefault="00D871EB" w:rsidP="00565D90">
            <w:pPr>
              <w:rPr>
                <w:rFonts w:ascii="Arial" w:hAnsi="Arial" w:cs="Arial"/>
              </w:rPr>
            </w:pPr>
          </w:p>
        </w:tc>
      </w:tr>
      <w:tr w:rsidR="00D23C4E" w:rsidRPr="00AF0F5A" w14:paraId="7D162422" w14:textId="77777777" w:rsidTr="00DD7AB4">
        <w:trPr>
          <w:trHeight w:val="391"/>
        </w:trPr>
        <w:tc>
          <w:tcPr>
            <w:tcW w:w="1271" w:type="dxa"/>
          </w:tcPr>
          <w:p w14:paraId="4565DBB2" w14:textId="69EA642D" w:rsidR="00D23C4E" w:rsidRDefault="00D871EB" w:rsidP="001C58B0">
            <w:pPr>
              <w:jc w:val="center"/>
              <w:rPr>
                <w:rFonts w:ascii="Arial" w:hAnsi="Arial" w:cs="Arial"/>
                <w:sz w:val="24"/>
                <w:szCs w:val="24"/>
              </w:rPr>
            </w:pPr>
            <w:r>
              <w:rPr>
                <w:rFonts w:ascii="Arial" w:hAnsi="Arial" w:cs="Arial"/>
                <w:sz w:val="24"/>
                <w:szCs w:val="24"/>
              </w:rPr>
              <w:lastRenderedPageBreak/>
              <w:t>10</w:t>
            </w:r>
          </w:p>
        </w:tc>
        <w:tc>
          <w:tcPr>
            <w:tcW w:w="2631" w:type="dxa"/>
            <w:shd w:val="clear" w:color="auto" w:fill="auto"/>
          </w:tcPr>
          <w:p w14:paraId="6FAA1760" w14:textId="290BC432" w:rsidR="00D23C4E" w:rsidRDefault="006D7941"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76A0194E" w14:textId="77777777" w:rsidR="00D23C4E" w:rsidRDefault="00D23C4E" w:rsidP="00ED178B">
            <w:pPr>
              <w:rPr>
                <w:rFonts w:ascii="Arial" w:hAnsi="Arial" w:cs="Arial"/>
              </w:rPr>
            </w:pPr>
            <w:r w:rsidRPr="00D23C4E">
              <w:rPr>
                <w:rFonts w:ascii="Arial" w:hAnsi="Arial" w:cs="Arial"/>
              </w:rPr>
              <w:t>How would payment be claimed and what would the timescales be?</w:t>
            </w:r>
          </w:p>
          <w:p w14:paraId="6B4FA44D" w14:textId="5E4ACCCF" w:rsidR="00E517A1" w:rsidRPr="00D23C4E" w:rsidRDefault="00E517A1" w:rsidP="00ED178B">
            <w:pPr>
              <w:rPr>
                <w:rFonts w:ascii="Arial" w:hAnsi="Arial" w:cs="Arial"/>
              </w:rPr>
            </w:pPr>
          </w:p>
        </w:tc>
        <w:tc>
          <w:tcPr>
            <w:tcW w:w="5487" w:type="dxa"/>
            <w:shd w:val="clear" w:color="auto" w:fill="auto"/>
          </w:tcPr>
          <w:p w14:paraId="60E76F19" w14:textId="77777777" w:rsidR="00126BB8" w:rsidRDefault="006D7941" w:rsidP="00565D90">
            <w:pPr>
              <w:rPr>
                <w:rFonts w:ascii="Arial" w:hAnsi="Arial" w:cs="Arial"/>
              </w:rPr>
            </w:pPr>
            <w:r>
              <w:rPr>
                <w:rFonts w:ascii="Arial" w:hAnsi="Arial" w:cs="Arial"/>
              </w:rPr>
              <w:t>Please see section 4 (Payment terms) of the draft contract document contained within the annex of the ITT document.</w:t>
            </w:r>
            <w:r w:rsidR="00126BB8">
              <w:rPr>
                <w:rFonts w:ascii="Arial" w:hAnsi="Arial" w:cs="Arial"/>
              </w:rPr>
              <w:t xml:space="preserve">  You may also find section 3 (Renumeration) and section 5 (Expenses) of the draft contract helpful reference points.</w:t>
            </w:r>
          </w:p>
          <w:p w14:paraId="695F0380" w14:textId="6251383D" w:rsidR="00D23C4E" w:rsidRPr="00BE5664" w:rsidRDefault="00D23C4E" w:rsidP="00565D90">
            <w:pPr>
              <w:rPr>
                <w:rFonts w:ascii="Arial" w:hAnsi="Arial" w:cs="Arial"/>
              </w:rPr>
            </w:pPr>
          </w:p>
        </w:tc>
      </w:tr>
      <w:tr w:rsidR="00E517A1" w:rsidRPr="00AF0F5A" w14:paraId="7A5862DC" w14:textId="77777777" w:rsidTr="00DD7AB4">
        <w:trPr>
          <w:trHeight w:val="391"/>
        </w:trPr>
        <w:tc>
          <w:tcPr>
            <w:tcW w:w="1271" w:type="dxa"/>
          </w:tcPr>
          <w:p w14:paraId="1D75A71F" w14:textId="07371A09" w:rsidR="00E517A1" w:rsidRDefault="00E517A1" w:rsidP="001C58B0">
            <w:pPr>
              <w:jc w:val="center"/>
              <w:rPr>
                <w:rFonts w:ascii="Arial" w:hAnsi="Arial" w:cs="Arial"/>
                <w:sz w:val="24"/>
                <w:szCs w:val="24"/>
              </w:rPr>
            </w:pPr>
            <w:r>
              <w:rPr>
                <w:rFonts w:ascii="Arial" w:hAnsi="Arial" w:cs="Arial"/>
                <w:sz w:val="24"/>
                <w:szCs w:val="24"/>
              </w:rPr>
              <w:t>11</w:t>
            </w:r>
          </w:p>
        </w:tc>
        <w:tc>
          <w:tcPr>
            <w:tcW w:w="2631" w:type="dxa"/>
            <w:shd w:val="clear" w:color="auto" w:fill="auto"/>
          </w:tcPr>
          <w:p w14:paraId="45990862" w14:textId="400D6E3C" w:rsidR="00E517A1" w:rsidRDefault="00E517A1"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2ED22E5C" w14:textId="77777777" w:rsidR="00E517A1" w:rsidRDefault="00E517A1" w:rsidP="00AE5C12">
            <w:pPr>
              <w:rPr>
                <w:rFonts w:ascii="Arial" w:hAnsi="Arial" w:cs="Arial"/>
                <w:sz w:val="24"/>
                <w:szCs w:val="24"/>
              </w:rPr>
            </w:pPr>
            <w:r w:rsidRPr="00E517A1">
              <w:rPr>
                <w:rFonts w:ascii="Arial" w:hAnsi="Arial" w:cs="Arial"/>
                <w:sz w:val="24"/>
                <w:szCs w:val="24"/>
              </w:rPr>
              <w:t>I have been employed as a specialist teacher for over twenty years, supporting learners with a variety of SEND.  Would I be eligible to apply for the post of Inclusion Expert SEND, as an individual?</w:t>
            </w:r>
          </w:p>
          <w:p w14:paraId="1AE37351" w14:textId="7E2A10C4" w:rsidR="00E517A1" w:rsidRPr="000014B8" w:rsidRDefault="00E517A1" w:rsidP="00AE5C12">
            <w:pPr>
              <w:rPr>
                <w:rFonts w:ascii="Arial" w:hAnsi="Arial" w:cs="Arial"/>
                <w:sz w:val="24"/>
                <w:szCs w:val="24"/>
              </w:rPr>
            </w:pPr>
          </w:p>
        </w:tc>
        <w:tc>
          <w:tcPr>
            <w:tcW w:w="5487" w:type="dxa"/>
            <w:shd w:val="clear" w:color="auto" w:fill="auto"/>
          </w:tcPr>
          <w:p w14:paraId="22CBAA7E" w14:textId="728063A3" w:rsidR="00E517A1" w:rsidRDefault="00E517A1" w:rsidP="00565D90">
            <w:pPr>
              <w:rPr>
                <w:rFonts w:ascii="Arial" w:hAnsi="Arial" w:cs="Arial"/>
              </w:rPr>
            </w:pPr>
            <w:r>
              <w:rPr>
                <w:rFonts w:ascii="Arial" w:hAnsi="Arial" w:cs="Arial"/>
              </w:rPr>
              <w:t>Yes.</w:t>
            </w:r>
          </w:p>
        </w:tc>
      </w:tr>
      <w:tr w:rsidR="00AE5C12" w:rsidRPr="00AF0F5A" w14:paraId="4682FD6A" w14:textId="77777777" w:rsidTr="00DD7AB4">
        <w:trPr>
          <w:trHeight w:val="391"/>
        </w:trPr>
        <w:tc>
          <w:tcPr>
            <w:tcW w:w="1271" w:type="dxa"/>
          </w:tcPr>
          <w:p w14:paraId="0A138CD1" w14:textId="4FF36989" w:rsidR="00AE5C12" w:rsidRDefault="00E517A1" w:rsidP="001C58B0">
            <w:pPr>
              <w:jc w:val="center"/>
              <w:rPr>
                <w:rFonts w:ascii="Arial" w:hAnsi="Arial" w:cs="Arial"/>
                <w:sz w:val="24"/>
                <w:szCs w:val="24"/>
              </w:rPr>
            </w:pPr>
            <w:r>
              <w:rPr>
                <w:rFonts w:ascii="Arial" w:hAnsi="Arial" w:cs="Arial"/>
                <w:sz w:val="24"/>
                <w:szCs w:val="24"/>
              </w:rPr>
              <w:t>12</w:t>
            </w:r>
          </w:p>
        </w:tc>
        <w:tc>
          <w:tcPr>
            <w:tcW w:w="2631" w:type="dxa"/>
            <w:shd w:val="clear" w:color="auto" w:fill="auto"/>
          </w:tcPr>
          <w:p w14:paraId="2B0DD69D" w14:textId="44AEF706" w:rsidR="00AE5C12" w:rsidRDefault="00AE5C12"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6A13D2C0" w14:textId="77777777" w:rsidR="00AE5C12" w:rsidRPr="000014B8" w:rsidRDefault="00AE5C12" w:rsidP="00AE5C12">
            <w:pPr>
              <w:rPr>
                <w:rFonts w:ascii="Arial" w:hAnsi="Arial" w:cs="Arial"/>
                <w:sz w:val="24"/>
                <w:szCs w:val="24"/>
              </w:rPr>
            </w:pPr>
            <w:r w:rsidRPr="000014B8">
              <w:rPr>
                <w:rFonts w:ascii="Arial" w:hAnsi="Arial" w:cs="Arial"/>
                <w:sz w:val="24"/>
                <w:szCs w:val="24"/>
              </w:rPr>
              <w:t xml:space="preserve">I note that the induction day will be held in the latter half of October 2018. </w:t>
            </w:r>
          </w:p>
          <w:p w14:paraId="15890517" w14:textId="77777777" w:rsidR="00AE5C12" w:rsidRPr="000014B8" w:rsidRDefault="00AE5C12" w:rsidP="00AE5C12">
            <w:pPr>
              <w:rPr>
                <w:rFonts w:ascii="Arial" w:hAnsi="Arial" w:cs="Arial"/>
                <w:sz w:val="24"/>
                <w:szCs w:val="24"/>
              </w:rPr>
            </w:pPr>
          </w:p>
          <w:p w14:paraId="44950811" w14:textId="2AEDB5C5" w:rsidR="00AE5C12" w:rsidRDefault="00AE5C12" w:rsidP="00AE5C12">
            <w:pPr>
              <w:rPr>
                <w:rFonts w:ascii="Arial" w:hAnsi="Arial" w:cs="Arial"/>
                <w:sz w:val="24"/>
                <w:szCs w:val="24"/>
              </w:rPr>
            </w:pPr>
            <w:r w:rsidRPr="000014B8">
              <w:rPr>
                <w:rFonts w:ascii="Arial" w:hAnsi="Arial" w:cs="Arial"/>
                <w:sz w:val="24"/>
                <w:szCs w:val="24"/>
              </w:rPr>
              <w:t>I will not</w:t>
            </w:r>
            <w:r>
              <w:rPr>
                <w:rFonts w:ascii="Arial" w:hAnsi="Arial" w:cs="Arial"/>
                <w:sz w:val="24"/>
                <w:szCs w:val="24"/>
              </w:rPr>
              <w:t xml:space="preserve"> be in the country late October.  </w:t>
            </w:r>
            <w:r w:rsidRPr="000014B8">
              <w:rPr>
                <w:rFonts w:ascii="Arial" w:hAnsi="Arial" w:cs="Arial"/>
                <w:sz w:val="24"/>
                <w:szCs w:val="24"/>
              </w:rPr>
              <w:t xml:space="preserve">will this impact on the success of my application? </w:t>
            </w:r>
            <w:r>
              <w:rPr>
                <w:rFonts w:ascii="Arial" w:hAnsi="Arial" w:cs="Arial"/>
                <w:sz w:val="24"/>
                <w:szCs w:val="24"/>
              </w:rPr>
              <w:t xml:space="preserve"> </w:t>
            </w:r>
            <w:r w:rsidRPr="000014B8">
              <w:rPr>
                <w:rFonts w:ascii="Arial" w:hAnsi="Arial" w:cs="Arial"/>
                <w:sz w:val="24"/>
                <w:szCs w:val="24"/>
              </w:rPr>
              <w:t xml:space="preserve">Are </w:t>
            </w:r>
            <w:r>
              <w:rPr>
                <w:rFonts w:ascii="Arial" w:hAnsi="Arial" w:cs="Arial"/>
                <w:sz w:val="24"/>
                <w:szCs w:val="24"/>
              </w:rPr>
              <w:t>Inclusion Experts</w:t>
            </w:r>
            <w:r w:rsidRPr="000014B8">
              <w:rPr>
                <w:rFonts w:ascii="Arial" w:hAnsi="Arial" w:cs="Arial"/>
                <w:sz w:val="24"/>
                <w:szCs w:val="24"/>
              </w:rPr>
              <w:t xml:space="preserve"> able to attend the induction remotely or are there other dates that will be available?</w:t>
            </w:r>
          </w:p>
          <w:p w14:paraId="4CEF10B6" w14:textId="77777777" w:rsidR="00AE5C12" w:rsidRPr="00D23C4E" w:rsidRDefault="00AE5C12" w:rsidP="00ED178B">
            <w:pPr>
              <w:rPr>
                <w:rFonts w:ascii="Arial" w:hAnsi="Arial" w:cs="Arial"/>
              </w:rPr>
            </w:pPr>
          </w:p>
        </w:tc>
        <w:tc>
          <w:tcPr>
            <w:tcW w:w="5487" w:type="dxa"/>
            <w:shd w:val="clear" w:color="auto" w:fill="auto"/>
          </w:tcPr>
          <w:p w14:paraId="76464863" w14:textId="77777777" w:rsidR="00E517A1" w:rsidRDefault="00E517A1" w:rsidP="00E517A1">
            <w:pPr>
              <w:rPr>
                <w:rFonts w:ascii="Arial" w:hAnsi="Arial" w:cs="Arial"/>
              </w:rPr>
            </w:pPr>
            <w:r>
              <w:rPr>
                <w:rFonts w:ascii="Arial" w:hAnsi="Arial" w:cs="Arial"/>
              </w:rPr>
              <w:t>The success of your application / awarding of the contract is not dependent on whether or not you will be able to attend the Induction day.</w:t>
            </w:r>
          </w:p>
          <w:p w14:paraId="0153F541" w14:textId="77777777" w:rsidR="00E517A1" w:rsidRDefault="00E517A1" w:rsidP="00E517A1">
            <w:pPr>
              <w:rPr>
                <w:rFonts w:ascii="Arial" w:hAnsi="Arial" w:cs="Arial"/>
              </w:rPr>
            </w:pPr>
          </w:p>
          <w:p w14:paraId="0CF478B0" w14:textId="77777777" w:rsidR="00E517A1" w:rsidRDefault="00E517A1" w:rsidP="00E517A1">
            <w:pPr>
              <w:rPr>
                <w:rFonts w:ascii="Arial" w:hAnsi="Arial" w:cs="Arial"/>
              </w:rPr>
            </w:pPr>
            <w:r>
              <w:rPr>
                <w:rFonts w:ascii="Arial" w:hAnsi="Arial" w:cs="Arial"/>
              </w:rPr>
              <w:t>However, we would strongly urge successful applicants to attend the induction day as this will provide information on the STA requirements and what will be expected from experts involved in this work.</w:t>
            </w:r>
          </w:p>
          <w:p w14:paraId="19C6A2A7" w14:textId="77777777" w:rsidR="00E517A1" w:rsidRDefault="00E517A1" w:rsidP="00E517A1">
            <w:pPr>
              <w:rPr>
                <w:rFonts w:ascii="Arial" w:hAnsi="Arial" w:cs="Arial"/>
              </w:rPr>
            </w:pPr>
          </w:p>
          <w:p w14:paraId="745A8DCF" w14:textId="77777777" w:rsidR="00E517A1" w:rsidRDefault="00E517A1" w:rsidP="00E517A1">
            <w:pPr>
              <w:rPr>
                <w:rFonts w:ascii="Arial" w:hAnsi="Arial" w:cs="Arial"/>
              </w:rPr>
            </w:pPr>
            <w:r>
              <w:rPr>
                <w:rFonts w:ascii="Arial" w:hAnsi="Arial" w:cs="Arial"/>
              </w:rPr>
              <w:t>We will confirm the date(s) of the Induction once all applications have been received, evaluated and successful applicants have been notified.</w:t>
            </w:r>
          </w:p>
          <w:p w14:paraId="50FF3C0A" w14:textId="77777777" w:rsidR="00E517A1" w:rsidRDefault="00E517A1" w:rsidP="00E517A1">
            <w:pPr>
              <w:rPr>
                <w:rFonts w:ascii="Arial" w:hAnsi="Arial" w:cs="Arial"/>
              </w:rPr>
            </w:pPr>
          </w:p>
          <w:p w14:paraId="6AAF3B33" w14:textId="77777777" w:rsidR="00E517A1" w:rsidRDefault="00E517A1" w:rsidP="00E517A1">
            <w:pPr>
              <w:rPr>
                <w:rFonts w:ascii="Arial" w:hAnsi="Arial" w:cs="Arial"/>
              </w:rPr>
            </w:pPr>
            <w:r>
              <w:rPr>
                <w:rFonts w:ascii="Arial" w:hAnsi="Arial" w:cs="Arial"/>
              </w:rPr>
              <w:t>We will investigate the possibility of successful applicants being able to attend the induction event remotely via Skype for those unable to attend in person.  However, this may not be possible as it is dependent on the meeting logistics.  We would therefore strongly recommend that the induction is attended in person wherever possible.</w:t>
            </w:r>
          </w:p>
          <w:p w14:paraId="5F7EFF1F" w14:textId="77777777" w:rsidR="00E517A1" w:rsidRDefault="00E517A1" w:rsidP="00E517A1">
            <w:pPr>
              <w:rPr>
                <w:rFonts w:ascii="Arial" w:hAnsi="Arial" w:cs="Arial"/>
              </w:rPr>
            </w:pPr>
          </w:p>
          <w:p w14:paraId="260E422C" w14:textId="77777777" w:rsidR="00E517A1" w:rsidRDefault="00E517A1" w:rsidP="00E517A1">
            <w:pPr>
              <w:rPr>
                <w:rFonts w:ascii="Arial" w:hAnsi="Arial" w:cs="Arial"/>
              </w:rPr>
            </w:pPr>
            <w:r w:rsidRPr="001D1BEF">
              <w:rPr>
                <w:rFonts w:ascii="Arial" w:hAnsi="Arial" w:cs="Arial"/>
              </w:rPr>
              <w:t>For those unable to attend, we will attempt to find some other way to carry out this training.</w:t>
            </w:r>
          </w:p>
          <w:p w14:paraId="0A61017E" w14:textId="2DD3E5EB" w:rsidR="00AE5C12" w:rsidRDefault="00AE5C12" w:rsidP="00E517A1">
            <w:pPr>
              <w:rPr>
                <w:rFonts w:ascii="Arial" w:hAnsi="Arial" w:cs="Arial"/>
              </w:rPr>
            </w:pPr>
          </w:p>
        </w:tc>
      </w:tr>
      <w:tr w:rsidR="00AE5C12" w:rsidRPr="00AF0F5A" w14:paraId="49EA84DA" w14:textId="77777777" w:rsidTr="00DD7AB4">
        <w:trPr>
          <w:trHeight w:val="391"/>
        </w:trPr>
        <w:tc>
          <w:tcPr>
            <w:tcW w:w="1271" w:type="dxa"/>
          </w:tcPr>
          <w:p w14:paraId="66C641A7" w14:textId="0093C49A" w:rsidR="00AE5C12" w:rsidRDefault="00E517A1" w:rsidP="001C58B0">
            <w:pPr>
              <w:jc w:val="center"/>
              <w:rPr>
                <w:rFonts w:ascii="Arial" w:hAnsi="Arial" w:cs="Arial"/>
                <w:sz w:val="24"/>
                <w:szCs w:val="24"/>
              </w:rPr>
            </w:pPr>
            <w:r>
              <w:rPr>
                <w:rFonts w:ascii="Arial" w:hAnsi="Arial" w:cs="Arial"/>
                <w:sz w:val="24"/>
                <w:szCs w:val="24"/>
              </w:rPr>
              <w:t>13</w:t>
            </w:r>
          </w:p>
        </w:tc>
        <w:tc>
          <w:tcPr>
            <w:tcW w:w="2631" w:type="dxa"/>
            <w:shd w:val="clear" w:color="auto" w:fill="auto"/>
          </w:tcPr>
          <w:p w14:paraId="5ED18B71" w14:textId="0930D64E" w:rsidR="00AE5C12" w:rsidRDefault="00AE5C12"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7EB73543" w14:textId="77777777" w:rsidR="00AE5C12" w:rsidRDefault="00AE5C12" w:rsidP="00AE5C12">
            <w:pPr>
              <w:rPr>
                <w:rFonts w:ascii="Arial" w:hAnsi="Arial" w:cs="Arial"/>
                <w:sz w:val="24"/>
                <w:szCs w:val="24"/>
              </w:rPr>
            </w:pPr>
            <w:r>
              <w:rPr>
                <w:rFonts w:ascii="Arial" w:hAnsi="Arial" w:cs="Arial"/>
                <w:sz w:val="24"/>
                <w:szCs w:val="24"/>
              </w:rPr>
              <w:t>If I have already submitted my application, can I make changes to my application and resubmit my application by the deadline of 21 September?</w:t>
            </w:r>
          </w:p>
          <w:p w14:paraId="27DF5DD8" w14:textId="77777777" w:rsidR="00AE5C12" w:rsidRPr="000014B8" w:rsidRDefault="00AE5C12" w:rsidP="00AE5C12">
            <w:pPr>
              <w:rPr>
                <w:rFonts w:ascii="Arial" w:hAnsi="Arial" w:cs="Arial"/>
                <w:sz w:val="24"/>
                <w:szCs w:val="24"/>
              </w:rPr>
            </w:pPr>
          </w:p>
        </w:tc>
        <w:tc>
          <w:tcPr>
            <w:tcW w:w="5487" w:type="dxa"/>
            <w:shd w:val="clear" w:color="auto" w:fill="auto"/>
          </w:tcPr>
          <w:p w14:paraId="62CFDF37" w14:textId="77777777" w:rsidR="00E517A1" w:rsidRPr="00E517A1" w:rsidRDefault="00E517A1" w:rsidP="00E517A1">
            <w:pPr>
              <w:rPr>
                <w:rFonts w:ascii="Arial" w:hAnsi="Arial" w:cs="Arial"/>
              </w:rPr>
            </w:pPr>
            <w:r w:rsidRPr="00E517A1">
              <w:rPr>
                <w:rFonts w:ascii="Arial" w:hAnsi="Arial" w:cs="Arial"/>
              </w:rPr>
              <w:t>Yes.  We do not open any applications until the deadline has passed.  Therefore, if you feel that you need to make further amends to an already submitted application, you can do this and resubmit your application by the deadline.</w:t>
            </w:r>
          </w:p>
          <w:p w14:paraId="3F20019C" w14:textId="77777777" w:rsidR="00AE5C12" w:rsidRDefault="00AE5C12" w:rsidP="00565D90">
            <w:pPr>
              <w:rPr>
                <w:rFonts w:ascii="Arial" w:hAnsi="Arial" w:cs="Arial"/>
              </w:rPr>
            </w:pPr>
          </w:p>
        </w:tc>
      </w:tr>
      <w:tr w:rsidR="00E517A1" w:rsidRPr="00AF0F5A" w14:paraId="1A9BB262" w14:textId="77777777" w:rsidTr="00DD7AB4">
        <w:trPr>
          <w:trHeight w:val="391"/>
        </w:trPr>
        <w:tc>
          <w:tcPr>
            <w:tcW w:w="1271" w:type="dxa"/>
          </w:tcPr>
          <w:p w14:paraId="09C1185A" w14:textId="04390D9A" w:rsidR="00E517A1" w:rsidRDefault="00E517A1" w:rsidP="001C58B0">
            <w:pPr>
              <w:jc w:val="center"/>
              <w:rPr>
                <w:rFonts w:ascii="Arial" w:hAnsi="Arial" w:cs="Arial"/>
                <w:sz w:val="24"/>
                <w:szCs w:val="24"/>
              </w:rPr>
            </w:pPr>
            <w:r>
              <w:rPr>
                <w:rFonts w:ascii="Arial" w:hAnsi="Arial" w:cs="Arial"/>
                <w:sz w:val="24"/>
                <w:szCs w:val="24"/>
              </w:rPr>
              <w:t>14</w:t>
            </w:r>
          </w:p>
        </w:tc>
        <w:tc>
          <w:tcPr>
            <w:tcW w:w="2631" w:type="dxa"/>
            <w:shd w:val="clear" w:color="auto" w:fill="auto"/>
          </w:tcPr>
          <w:p w14:paraId="4FCFE759" w14:textId="2755CFAA" w:rsidR="00E517A1" w:rsidRDefault="00E517A1"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529D8F65" w14:textId="77777777" w:rsidR="00E517A1" w:rsidRDefault="00E517A1" w:rsidP="00E517A1">
            <w:pPr>
              <w:rPr>
                <w:rFonts w:ascii="Arial" w:hAnsi="Arial" w:cs="Arial"/>
                <w:sz w:val="24"/>
                <w:szCs w:val="24"/>
              </w:rPr>
            </w:pPr>
            <w:r>
              <w:rPr>
                <w:rFonts w:ascii="Arial" w:hAnsi="Arial" w:cs="Arial"/>
                <w:sz w:val="24"/>
                <w:szCs w:val="24"/>
              </w:rPr>
              <w:t>Can you confirm the date for submission of applications?  Is it 10 September or 21 September?</w:t>
            </w:r>
          </w:p>
          <w:p w14:paraId="75EB1313" w14:textId="77777777" w:rsidR="00E517A1" w:rsidRDefault="00E517A1" w:rsidP="00AE5C12">
            <w:pPr>
              <w:rPr>
                <w:rFonts w:ascii="Arial" w:hAnsi="Arial" w:cs="Arial"/>
                <w:sz w:val="24"/>
                <w:szCs w:val="24"/>
              </w:rPr>
            </w:pPr>
          </w:p>
        </w:tc>
        <w:tc>
          <w:tcPr>
            <w:tcW w:w="5487" w:type="dxa"/>
            <w:shd w:val="clear" w:color="auto" w:fill="auto"/>
          </w:tcPr>
          <w:p w14:paraId="07FBE3CB" w14:textId="77777777" w:rsidR="00E517A1" w:rsidRPr="00E517A1" w:rsidRDefault="00E517A1" w:rsidP="00E517A1">
            <w:pPr>
              <w:rPr>
                <w:rFonts w:ascii="Arial" w:hAnsi="Arial" w:cs="Arial"/>
              </w:rPr>
            </w:pPr>
            <w:r w:rsidRPr="00E517A1">
              <w:rPr>
                <w:rFonts w:ascii="Arial" w:hAnsi="Arial" w:cs="Arial"/>
              </w:rPr>
              <w:t xml:space="preserve">The deadline for submission of applications is 12 noon on Friday 21 September 2018.  All applications must be received by this deadline.  Please see section 3.9 (Submission of applications) of the ITT for more information. </w:t>
            </w:r>
          </w:p>
          <w:p w14:paraId="655E994B" w14:textId="77777777" w:rsidR="00E517A1" w:rsidRPr="00E517A1" w:rsidRDefault="00E517A1" w:rsidP="00E517A1">
            <w:pPr>
              <w:rPr>
                <w:rFonts w:ascii="Arial" w:hAnsi="Arial" w:cs="Arial"/>
              </w:rPr>
            </w:pPr>
          </w:p>
          <w:p w14:paraId="792BB513" w14:textId="77777777" w:rsidR="00E517A1" w:rsidRPr="00E517A1" w:rsidRDefault="00E517A1" w:rsidP="00E517A1">
            <w:pPr>
              <w:rPr>
                <w:rFonts w:ascii="Arial" w:hAnsi="Arial" w:cs="Arial"/>
              </w:rPr>
            </w:pPr>
            <w:r w:rsidRPr="00E517A1">
              <w:rPr>
                <w:rFonts w:ascii="Arial" w:hAnsi="Arial" w:cs="Arial"/>
              </w:rPr>
              <w:t>The deadline for clarifications was 12 noon on Monday 10 September 2018.  This deadline has now passed and no further clarification questions will be accepted.</w:t>
            </w:r>
          </w:p>
          <w:p w14:paraId="5647C69F" w14:textId="77777777" w:rsidR="00E517A1" w:rsidRPr="00E517A1" w:rsidRDefault="00E517A1" w:rsidP="00E517A1">
            <w:pPr>
              <w:rPr>
                <w:rFonts w:ascii="Arial" w:hAnsi="Arial" w:cs="Arial"/>
              </w:rPr>
            </w:pPr>
          </w:p>
        </w:tc>
      </w:tr>
    </w:tbl>
    <w:p w14:paraId="39597F91" w14:textId="77777777" w:rsidR="0015541B" w:rsidRPr="00F326C3" w:rsidRDefault="0015541B" w:rsidP="004075FD">
      <w:pPr>
        <w:rPr>
          <w:rFonts w:ascii="Arial" w:hAnsi="Arial" w:cs="Arial"/>
          <w:sz w:val="24"/>
          <w:szCs w:val="24"/>
        </w:rPr>
      </w:pPr>
      <w:bookmarkStart w:id="0" w:name="_GoBack"/>
      <w:bookmarkEnd w:id="0"/>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612"/>
    <w:rsid w:val="000070F3"/>
    <w:rsid w:val="0001342D"/>
    <w:rsid w:val="00014E0E"/>
    <w:rsid w:val="00077287"/>
    <w:rsid w:val="00083956"/>
    <w:rsid w:val="000F097A"/>
    <w:rsid w:val="00100D89"/>
    <w:rsid w:val="001017CA"/>
    <w:rsid w:val="00104660"/>
    <w:rsid w:val="0011194A"/>
    <w:rsid w:val="00126BB8"/>
    <w:rsid w:val="0015541B"/>
    <w:rsid w:val="00182132"/>
    <w:rsid w:val="00182D60"/>
    <w:rsid w:val="00183939"/>
    <w:rsid w:val="0018545C"/>
    <w:rsid w:val="001A5DC5"/>
    <w:rsid w:val="001C58B0"/>
    <w:rsid w:val="00217A08"/>
    <w:rsid w:val="00225329"/>
    <w:rsid w:val="00277040"/>
    <w:rsid w:val="002A0150"/>
    <w:rsid w:val="002C025F"/>
    <w:rsid w:val="002C0765"/>
    <w:rsid w:val="002C7A02"/>
    <w:rsid w:val="002E5032"/>
    <w:rsid w:val="0034215E"/>
    <w:rsid w:val="003562C1"/>
    <w:rsid w:val="00357CBC"/>
    <w:rsid w:val="00362A41"/>
    <w:rsid w:val="003663F0"/>
    <w:rsid w:val="0037433A"/>
    <w:rsid w:val="00374A77"/>
    <w:rsid w:val="003B686D"/>
    <w:rsid w:val="003C149A"/>
    <w:rsid w:val="003C60BB"/>
    <w:rsid w:val="004075FD"/>
    <w:rsid w:val="0041397B"/>
    <w:rsid w:val="00445601"/>
    <w:rsid w:val="00464719"/>
    <w:rsid w:val="00477583"/>
    <w:rsid w:val="004A025B"/>
    <w:rsid w:val="004A520E"/>
    <w:rsid w:val="004D0583"/>
    <w:rsid w:val="004D4001"/>
    <w:rsid w:val="004D4E15"/>
    <w:rsid w:val="004D6957"/>
    <w:rsid w:val="004E3051"/>
    <w:rsid w:val="004E4430"/>
    <w:rsid w:val="004F45F8"/>
    <w:rsid w:val="004F4FBD"/>
    <w:rsid w:val="005073C2"/>
    <w:rsid w:val="00540D5C"/>
    <w:rsid w:val="005431F3"/>
    <w:rsid w:val="005444B0"/>
    <w:rsid w:val="00555D7A"/>
    <w:rsid w:val="00557504"/>
    <w:rsid w:val="0056434F"/>
    <w:rsid w:val="00565D90"/>
    <w:rsid w:val="005869EE"/>
    <w:rsid w:val="005A188B"/>
    <w:rsid w:val="005E589F"/>
    <w:rsid w:val="005F0AA7"/>
    <w:rsid w:val="00607DC4"/>
    <w:rsid w:val="00675CB4"/>
    <w:rsid w:val="00682390"/>
    <w:rsid w:val="00685807"/>
    <w:rsid w:val="006D7941"/>
    <w:rsid w:val="007037C1"/>
    <w:rsid w:val="00707FE1"/>
    <w:rsid w:val="00710036"/>
    <w:rsid w:val="007279BA"/>
    <w:rsid w:val="00741A3F"/>
    <w:rsid w:val="007547BD"/>
    <w:rsid w:val="00785D57"/>
    <w:rsid w:val="00792822"/>
    <w:rsid w:val="007B2420"/>
    <w:rsid w:val="007B367A"/>
    <w:rsid w:val="007B5B42"/>
    <w:rsid w:val="007E450F"/>
    <w:rsid w:val="007F2147"/>
    <w:rsid w:val="007F35BE"/>
    <w:rsid w:val="00802DCB"/>
    <w:rsid w:val="00810554"/>
    <w:rsid w:val="008323AF"/>
    <w:rsid w:val="00832DDD"/>
    <w:rsid w:val="00841B4C"/>
    <w:rsid w:val="00844D55"/>
    <w:rsid w:val="008608EC"/>
    <w:rsid w:val="008755B3"/>
    <w:rsid w:val="008968F9"/>
    <w:rsid w:val="008D5E23"/>
    <w:rsid w:val="00970BF6"/>
    <w:rsid w:val="009839BC"/>
    <w:rsid w:val="009840CB"/>
    <w:rsid w:val="009866A2"/>
    <w:rsid w:val="009C13FE"/>
    <w:rsid w:val="009C1BC0"/>
    <w:rsid w:val="009C45A8"/>
    <w:rsid w:val="009C74E7"/>
    <w:rsid w:val="009E5AAF"/>
    <w:rsid w:val="00A00BB2"/>
    <w:rsid w:val="00A14887"/>
    <w:rsid w:val="00A16DF1"/>
    <w:rsid w:val="00A35294"/>
    <w:rsid w:val="00A53AEA"/>
    <w:rsid w:val="00A542C6"/>
    <w:rsid w:val="00A82A39"/>
    <w:rsid w:val="00A91706"/>
    <w:rsid w:val="00A97D2F"/>
    <w:rsid w:val="00AA62D4"/>
    <w:rsid w:val="00AD2021"/>
    <w:rsid w:val="00AE5C12"/>
    <w:rsid w:val="00AF0F5A"/>
    <w:rsid w:val="00B10DA4"/>
    <w:rsid w:val="00B25E03"/>
    <w:rsid w:val="00B357ED"/>
    <w:rsid w:val="00BA7635"/>
    <w:rsid w:val="00BB4F77"/>
    <w:rsid w:val="00BD1798"/>
    <w:rsid w:val="00BE5664"/>
    <w:rsid w:val="00BF34F1"/>
    <w:rsid w:val="00C0572E"/>
    <w:rsid w:val="00C066B5"/>
    <w:rsid w:val="00C108B5"/>
    <w:rsid w:val="00C432BF"/>
    <w:rsid w:val="00C52A26"/>
    <w:rsid w:val="00C55082"/>
    <w:rsid w:val="00C55A8A"/>
    <w:rsid w:val="00C813D0"/>
    <w:rsid w:val="00C93FC9"/>
    <w:rsid w:val="00CB4767"/>
    <w:rsid w:val="00CB7287"/>
    <w:rsid w:val="00CC194D"/>
    <w:rsid w:val="00CE08FC"/>
    <w:rsid w:val="00D02DA6"/>
    <w:rsid w:val="00D20E64"/>
    <w:rsid w:val="00D23C4E"/>
    <w:rsid w:val="00D30801"/>
    <w:rsid w:val="00D43982"/>
    <w:rsid w:val="00D47315"/>
    <w:rsid w:val="00D871EB"/>
    <w:rsid w:val="00D92FD5"/>
    <w:rsid w:val="00DA5A1A"/>
    <w:rsid w:val="00DB1D26"/>
    <w:rsid w:val="00DC600A"/>
    <w:rsid w:val="00DC79DB"/>
    <w:rsid w:val="00DD7AB4"/>
    <w:rsid w:val="00DE061E"/>
    <w:rsid w:val="00E27C06"/>
    <w:rsid w:val="00E365D7"/>
    <w:rsid w:val="00E5159A"/>
    <w:rsid w:val="00E517A1"/>
    <w:rsid w:val="00E91CEF"/>
    <w:rsid w:val="00EA1A94"/>
    <w:rsid w:val="00EB294A"/>
    <w:rsid w:val="00ED178B"/>
    <w:rsid w:val="00EE11C9"/>
    <w:rsid w:val="00F325CB"/>
    <w:rsid w:val="00F326C3"/>
    <w:rsid w:val="00F34675"/>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294017920">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1741906455">
      <w:bodyDiv w:val="1"/>
      <w:marLeft w:val="0"/>
      <w:marRight w:val="0"/>
      <w:marTop w:val="0"/>
      <w:marBottom w:val="0"/>
      <w:divBdr>
        <w:top w:val="none" w:sz="0" w:space="0" w:color="auto"/>
        <w:left w:val="none" w:sz="0" w:space="0" w:color="auto"/>
        <w:bottom w:val="none" w:sz="0" w:space="0" w:color="auto"/>
        <w:right w:val="none" w:sz="0" w:space="0" w:color="auto"/>
      </w:divBdr>
    </w:div>
    <w:div w:id="1998486242">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bc6211bd-91ae-484d-9033-1f165bcab2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R7V2QUUQPMTK-6-71618</_dlc_DocId>
    <_dlc_DocIdUrl xmlns="85a719ee-0e1a-405a-acca-fded54921c95">
      <Url>https://educationgovuk.sharepoint.com/sites/stacom/_layouts/15/DocIdRedir.aspx?ID=R7V2QUUQPMTK-6-71618</Url>
      <Description>R7V2QUUQPMTK-6-71618</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75532-8675-49E5-9BF8-D68DFBBAEFB1}">
  <ds:schemaRefs>
    <ds:schemaRef ds:uri="http://schemas.microsoft.com/office/infopath/2007/PartnerControls"/>
    <ds:schemaRef ds:uri="http://purl.org/dc/elements/1.1/"/>
    <ds:schemaRef ds:uri="http://schemas.microsoft.com/office/2006/metadata/properties"/>
    <ds:schemaRef ds:uri="95ab55cc-3ec0-4b23-b395-e89a1530037f"/>
    <ds:schemaRef ds:uri="85a719ee-0e1a-405a-acca-fded54921c95"/>
    <ds:schemaRef ds:uri="http://schemas.microsoft.com/sharepoint/v3"/>
    <ds:schemaRef ds:uri="http://purl.org/dc/terms/"/>
    <ds:schemaRef ds:uri="http://schemas.openxmlformats.org/package/2006/metadata/core-properties"/>
    <ds:schemaRef ds:uri="http://schemas.microsoft.com/office/2006/documentManagement/types"/>
    <ds:schemaRef ds:uri="906b00a0-3f23-4820-8da1-8de25fc78cbd"/>
    <ds:schemaRef ds:uri="http://www.w3.org/XML/1998/namespace"/>
    <ds:schemaRef ds:uri="http://purl.org/dc/dcmitype/"/>
  </ds:schemaRefs>
</ds:datastoreItem>
</file>

<file path=customXml/itemProps3.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4.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5.xml><?xml version="1.0" encoding="utf-8"?>
<ds:datastoreItem xmlns:ds="http://schemas.openxmlformats.org/officeDocument/2006/customXml" ds:itemID="{22EDA175-287A-4C2E-8C19-528355B0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Inclusion Experts Clarification Qs</vt:lpstr>
    </vt:vector>
  </TitlesOfParts>
  <Company>DfE</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Experts Clarification Qs</dc:title>
  <dc:subject/>
  <dc:creator>HEATHCOTE, James</dc:creator>
  <cp:keywords/>
  <dc:description/>
  <cp:lastModifiedBy>AKBAR, Rashida</cp:lastModifiedBy>
  <cp:revision>10</cp:revision>
  <dcterms:created xsi:type="dcterms:W3CDTF">2018-08-30T12:51:00Z</dcterms:created>
  <dcterms:modified xsi:type="dcterms:W3CDTF">2018-09-11T08:28:00Z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9c241f06-6177-4a58-88c2-737f1670468e</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