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D70AC41" w:rsidR="00B327EC" w:rsidRPr="002C519F" w:rsidRDefault="00081FDA" w:rsidP="00B327EC">
      <w:pPr>
        <w:widowControl w:val="0"/>
        <w:tabs>
          <w:tab w:val="center" w:pos="4513"/>
        </w:tabs>
        <w:spacing w:before="120" w:after="120"/>
        <w:jc w:val="center"/>
        <w:rPr>
          <w:b/>
          <w:bCs/>
          <w:sz w:val="36"/>
          <w:szCs w:val="36"/>
        </w:rPr>
      </w:pPr>
      <w:r>
        <w:rPr>
          <w:b/>
          <w:bCs/>
          <w:sz w:val="36"/>
          <w:szCs w:val="36"/>
        </w:rPr>
        <w:t>CABINET OFFICE</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6FD76A02" w:rsidR="00B327EC" w:rsidRPr="002C519F" w:rsidRDefault="00081FDA" w:rsidP="00B327EC">
      <w:pPr>
        <w:widowControl w:val="0"/>
        <w:tabs>
          <w:tab w:val="center" w:pos="4513"/>
        </w:tabs>
        <w:spacing w:before="120" w:after="120"/>
        <w:jc w:val="center"/>
        <w:rPr>
          <w:bCs/>
          <w:sz w:val="36"/>
          <w:szCs w:val="36"/>
        </w:rPr>
      </w:pPr>
      <w:r w:rsidRPr="00081FDA">
        <w:rPr>
          <w:b/>
          <w:bCs/>
          <w:sz w:val="36"/>
          <w:szCs w:val="36"/>
        </w:rPr>
        <w:t>PERETT LAVER</w:t>
      </w:r>
      <w:r w:rsidR="00453E07">
        <w:rPr>
          <w:b/>
          <w:bCs/>
          <w:sz w:val="36"/>
          <w:szCs w:val="36"/>
        </w:rPr>
        <w:t xml:space="preserve"> LTD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84C9CC2" w14:textId="39D17BC6" w:rsidR="00F42D71" w:rsidRDefault="00081FDA" w:rsidP="00081FDA">
      <w:pPr>
        <w:widowControl w:val="0"/>
        <w:tabs>
          <w:tab w:val="center" w:pos="4513"/>
        </w:tabs>
        <w:spacing w:before="120" w:after="120"/>
        <w:jc w:val="center"/>
        <w:rPr>
          <w:b/>
          <w:bCs/>
          <w:sz w:val="36"/>
          <w:szCs w:val="36"/>
        </w:rPr>
      </w:pPr>
      <w:r w:rsidRPr="00081FDA">
        <w:rPr>
          <w:b/>
          <w:bCs/>
          <w:sz w:val="36"/>
          <w:szCs w:val="36"/>
        </w:rPr>
        <w:t>THE PROVISION OF RECRUITMENT FOR THE GRENFELL TOWER INQUIRY PANEL</w:t>
      </w:r>
    </w:p>
    <w:p w14:paraId="34862C61" w14:textId="0B58CEC9" w:rsidR="00081FDA" w:rsidRDefault="00081FDA" w:rsidP="00081FDA">
      <w:pPr>
        <w:widowControl w:val="0"/>
        <w:tabs>
          <w:tab w:val="center" w:pos="4513"/>
        </w:tabs>
        <w:spacing w:before="120" w:after="120"/>
        <w:jc w:val="center"/>
        <w:rPr>
          <w:b/>
          <w:bCs/>
          <w:sz w:val="36"/>
          <w:szCs w:val="36"/>
        </w:rPr>
      </w:pPr>
    </w:p>
    <w:p w14:paraId="6901B202" w14:textId="780ED5AC" w:rsidR="00081FDA" w:rsidRPr="002C519F" w:rsidRDefault="00081FDA" w:rsidP="00081FDA">
      <w:pPr>
        <w:widowControl w:val="0"/>
        <w:tabs>
          <w:tab w:val="center" w:pos="4513"/>
        </w:tabs>
        <w:spacing w:before="120" w:after="120"/>
        <w:jc w:val="center"/>
        <w:rPr>
          <w:b/>
          <w:bCs/>
          <w:sz w:val="36"/>
          <w:szCs w:val="36"/>
        </w:rPr>
      </w:pPr>
      <w:r>
        <w:rPr>
          <w:b/>
          <w:bCs/>
          <w:sz w:val="36"/>
          <w:szCs w:val="36"/>
        </w:rPr>
        <w:t>CCHR20A21</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01CD8D68"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BF7DF5">
          <w:rPr>
            <w:noProof/>
            <w:webHidden/>
          </w:rPr>
          <w:t>3</w:t>
        </w:r>
        <w:r w:rsidR="003537BB">
          <w:rPr>
            <w:noProof/>
            <w:webHidden/>
          </w:rPr>
          <w:fldChar w:fldCharType="end"/>
        </w:r>
      </w:hyperlink>
    </w:p>
    <w:p w14:paraId="0AA737F4" w14:textId="382D64E9" w:rsidR="003537BB" w:rsidRDefault="00964CD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BF7DF5">
          <w:rPr>
            <w:noProof/>
            <w:webHidden/>
          </w:rPr>
          <w:t>3</w:t>
        </w:r>
        <w:r w:rsidR="003537BB">
          <w:rPr>
            <w:noProof/>
            <w:webHidden/>
          </w:rPr>
          <w:fldChar w:fldCharType="end"/>
        </w:r>
      </w:hyperlink>
    </w:p>
    <w:p w14:paraId="4C1A2F88" w14:textId="50DC7E81" w:rsidR="003537BB" w:rsidRDefault="00964CD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BF7DF5">
          <w:rPr>
            <w:noProof/>
            <w:webHidden/>
          </w:rPr>
          <w:t>4</w:t>
        </w:r>
        <w:r w:rsidR="003537BB">
          <w:rPr>
            <w:noProof/>
            <w:webHidden/>
          </w:rPr>
          <w:fldChar w:fldCharType="end"/>
        </w:r>
      </w:hyperlink>
    </w:p>
    <w:p w14:paraId="239E4E79" w14:textId="2E28AA93" w:rsidR="003537BB" w:rsidRDefault="00964CD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BF7DF5">
          <w:rPr>
            <w:noProof/>
            <w:webHidden/>
          </w:rPr>
          <w:t>5</w:t>
        </w:r>
        <w:r w:rsidR="003537BB">
          <w:rPr>
            <w:noProof/>
            <w:webHidden/>
          </w:rPr>
          <w:fldChar w:fldCharType="end"/>
        </w:r>
      </w:hyperlink>
    </w:p>
    <w:p w14:paraId="0B35382D" w14:textId="34F4834B" w:rsidR="003537BB" w:rsidRDefault="00964CD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BF7DF5">
          <w:rPr>
            <w:noProof/>
            <w:webHidden/>
          </w:rPr>
          <w:t>5</w:t>
        </w:r>
        <w:r w:rsidR="003537BB">
          <w:rPr>
            <w:noProof/>
            <w:webHidden/>
          </w:rPr>
          <w:fldChar w:fldCharType="end"/>
        </w:r>
      </w:hyperlink>
    </w:p>
    <w:p w14:paraId="13B8BD04" w14:textId="4814CCD7" w:rsidR="003537BB" w:rsidRDefault="00964CD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BF7DF5">
          <w:rPr>
            <w:noProof/>
            <w:webHidden/>
          </w:rPr>
          <w:t>5</w:t>
        </w:r>
        <w:r w:rsidR="003537BB">
          <w:rPr>
            <w:noProof/>
            <w:webHidden/>
          </w:rPr>
          <w:fldChar w:fldCharType="end"/>
        </w:r>
      </w:hyperlink>
    </w:p>
    <w:p w14:paraId="3137EB71" w14:textId="40722259" w:rsidR="003537BB" w:rsidRDefault="00964CD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BF7DF5">
          <w:rPr>
            <w:noProof/>
            <w:webHidden/>
          </w:rPr>
          <w:t>6</w:t>
        </w:r>
        <w:r w:rsidR="003537BB">
          <w:rPr>
            <w:noProof/>
            <w:webHidden/>
          </w:rPr>
          <w:fldChar w:fldCharType="end"/>
        </w:r>
      </w:hyperlink>
    </w:p>
    <w:p w14:paraId="49500F3D" w14:textId="71FD6AC8" w:rsidR="003537BB" w:rsidRDefault="00964CD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BF7DF5">
          <w:rPr>
            <w:noProof/>
            <w:webHidden/>
          </w:rPr>
          <w:t>7</w:t>
        </w:r>
        <w:r w:rsidR="003537BB">
          <w:rPr>
            <w:noProof/>
            <w:webHidden/>
          </w:rPr>
          <w:fldChar w:fldCharType="end"/>
        </w:r>
      </w:hyperlink>
    </w:p>
    <w:p w14:paraId="1F65720D" w14:textId="10DED4E0" w:rsidR="003537BB" w:rsidRDefault="00964CD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BF7DF5">
          <w:rPr>
            <w:noProof/>
            <w:webHidden/>
          </w:rPr>
          <w:t>8</w:t>
        </w:r>
        <w:r w:rsidR="003537BB">
          <w:rPr>
            <w:noProof/>
            <w:webHidden/>
          </w:rPr>
          <w:fldChar w:fldCharType="end"/>
        </w:r>
      </w:hyperlink>
    </w:p>
    <w:p w14:paraId="11D51CDD" w14:textId="0D285751" w:rsidR="003537BB" w:rsidRDefault="00964CD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BF7DF5">
          <w:rPr>
            <w:noProof/>
            <w:webHidden/>
          </w:rPr>
          <w:t>8</w:t>
        </w:r>
        <w:r w:rsidR="003537BB">
          <w:rPr>
            <w:noProof/>
            <w:webHidden/>
          </w:rPr>
          <w:fldChar w:fldCharType="end"/>
        </w:r>
      </w:hyperlink>
    </w:p>
    <w:p w14:paraId="37C11058" w14:textId="4ED3339B" w:rsidR="003537BB" w:rsidRDefault="00964CD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BF7DF5">
          <w:rPr>
            <w:noProof/>
            <w:webHidden/>
          </w:rPr>
          <w:t>9</w:t>
        </w:r>
        <w:r w:rsidR="003537BB">
          <w:rPr>
            <w:noProof/>
            <w:webHidden/>
          </w:rPr>
          <w:fldChar w:fldCharType="end"/>
        </w:r>
      </w:hyperlink>
    </w:p>
    <w:p w14:paraId="049CD371" w14:textId="035DB179" w:rsidR="003537BB" w:rsidRDefault="00964CD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BF7DF5">
          <w:rPr>
            <w:noProof/>
            <w:webHidden/>
          </w:rPr>
          <w:t>9</w:t>
        </w:r>
        <w:r w:rsidR="003537BB">
          <w:rPr>
            <w:noProof/>
            <w:webHidden/>
          </w:rPr>
          <w:fldChar w:fldCharType="end"/>
        </w:r>
      </w:hyperlink>
    </w:p>
    <w:p w14:paraId="0F6856DE" w14:textId="7F5138BA" w:rsidR="003537BB" w:rsidRDefault="00964CD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BF7DF5">
          <w:rPr>
            <w:noProof/>
            <w:webHidden/>
          </w:rPr>
          <w:t>10</w:t>
        </w:r>
        <w:r w:rsidR="003537BB">
          <w:rPr>
            <w:noProof/>
            <w:webHidden/>
          </w:rPr>
          <w:fldChar w:fldCharType="end"/>
        </w:r>
      </w:hyperlink>
    </w:p>
    <w:p w14:paraId="30D93AB2" w14:textId="3773B6AC" w:rsidR="003537BB" w:rsidRDefault="00964CD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BF7DF5">
          <w:rPr>
            <w:noProof/>
            <w:webHidden/>
          </w:rPr>
          <w:t>11</w:t>
        </w:r>
        <w:r w:rsidR="003537BB">
          <w:rPr>
            <w:noProof/>
            <w:webHidden/>
          </w:rPr>
          <w:fldChar w:fldCharType="end"/>
        </w:r>
      </w:hyperlink>
    </w:p>
    <w:p w14:paraId="18AD9369" w14:textId="4C32C581" w:rsidR="003537BB" w:rsidRDefault="00964CD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BF7DF5">
          <w:rPr>
            <w:noProof/>
            <w:webHidden/>
          </w:rPr>
          <w:t>11</w:t>
        </w:r>
        <w:r w:rsidR="003537BB">
          <w:rPr>
            <w:noProof/>
            <w:webHidden/>
          </w:rPr>
          <w:fldChar w:fldCharType="end"/>
        </w:r>
      </w:hyperlink>
    </w:p>
    <w:p w14:paraId="55FCE754" w14:textId="0F16BD47" w:rsidR="003537BB" w:rsidRDefault="00964CD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BF7DF5">
          <w:rPr>
            <w:noProof/>
            <w:webHidden/>
          </w:rPr>
          <w:t>12</w:t>
        </w:r>
        <w:r w:rsidR="003537BB">
          <w:rPr>
            <w:noProof/>
            <w:webHidden/>
          </w:rPr>
          <w:fldChar w:fldCharType="end"/>
        </w:r>
      </w:hyperlink>
    </w:p>
    <w:p w14:paraId="62436698" w14:textId="2D74EF67" w:rsidR="003537BB" w:rsidRDefault="00964CD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BF7DF5">
          <w:rPr>
            <w:noProof/>
            <w:webHidden/>
          </w:rPr>
          <w:t>12</w:t>
        </w:r>
        <w:r w:rsidR="003537BB">
          <w:rPr>
            <w:noProof/>
            <w:webHidden/>
          </w:rPr>
          <w:fldChar w:fldCharType="end"/>
        </w:r>
      </w:hyperlink>
    </w:p>
    <w:p w14:paraId="4EC3B055" w14:textId="0B48A1E0" w:rsidR="003537BB" w:rsidRDefault="00964CD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BF7DF5">
          <w:rPr>
            <w:noProof/>
            <w:webHidden/>
          </w:rPr>
          <w:t>13</w:t>
        </w:r>
        <w:r w:rsidR="003537BB">
          <w:rPr>
            <w:noProof/>
            <w:webHidden/>
          </w:rPr>
          <w:fldChar w:fldCharType="end"/>
        </w:r>
      </w:hyperlink>
    </w:p>
    <w:p w14:paraId="445081EC" w14:textId="4349DF42" w:rsidR="003537BB" w:rsidRDefault="00964CD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BF7DF5">
          <w:rPr>
            <w:noProof/>
            <w:webHidden/>
          </w:rPr>
          <w:t>13</w:t>
        </w:r>
        <w:r w:rsidR="003537BB">
          <w:rPr>
            <w:noProof/>
            <w:webHidden/>
          </w:rPr>
          <w:fldChar w:fldCharType="end"/>
        </w:r>
      </w:hyperlink>
    </w:p>
    <w:p w14:paraId="5F951ACA" w14:textId="474F67E7" w:rsidR="003537BB" w:rsidRDefault="00964CD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BF7DF5">
          <w:rPr>
            <w:noProof/>
            <w:webHidden/>
          </w:rPr>
          <w:t>14</w:t>
        </w:r>
        <w:r w:rsidR="003537BB">
          <w:rPr>
            <w:noProof/>
            <w:webHidden/>
          </w:rPr>
          <w:fldChar w:fldCharType="end"/>
        </w:r>
      </w:hyperlink>
    </w:p>
    <w:p w14:paraId="7631B256" w14:textId="4AC115D6" w:rsidR="003537BB" w:rsidRDefault="00964CD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BF7DF5">
          <w:rPr>
            <w:noProof/>
            <w:webHidden/>
          </w:rPr>
          <w:t>14</w:t>
        </w:r>
        <w:r w:rsidR="003537BB">
          <w:rPr>
            <w:noProof/>
            <w:webHidden/>
          </w:rPr>
          <w:fldChar w:fldCharType="end"/>
        </w:r>
      </w:hyperlink>
    </w:p>
    <w:p w14:paraId="6B939037" w14:textId="41ACFCF4" w:rsidR="003537BB" w:rsidRDefault="00964CD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BF7DF5">
          <w:rPr>
            <w:noProof/>
            <w:webHidden/>
          </w:rPr>
          <w:t>15</w:t>
        </w:r>
        <w:r w:rsidR="003537BB">
          <w:rPr>
            <w:noProof/>
            <w:webHidden/>
          </w:rPr>
          <w:fldChar w:fldCharType="end"/>
        </w:r>
      </w:hyperlink>
    </w:p>
    <w:p w14:paraId="17107B4E" w14:textId="197D32BF" w:rsidR="003537BB" w:rsidRDefault="00964CD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BF7DF5">
          <w:rPr>
            <w:noProof/>
            <w:webHidden/>
          </w:rPr>
          <w:t>15</w:t>
        </w:r>
        <w:r w:rsidR="003537BB">
          <w:rPr>
            <w:noProof/>
            <w:webHidden/>
          </w:rPr>
          <w:fldChar w:fldCharType="end"/>
        </w:r>
      </w:hyperlink>
    </w:p>
    <w:p w14:paraId="6E571369" w14:textId="6128FBFD" w:rsidR="003537BB" w:rsidRDefault="00964CD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BF7DF5">
          <w:rPr>
            <w:noProof/>
            <w:webHidden/>
          </w:rPr>
          <w:t>16</w:t>
        </w:r>
        <w:r w:rsidR="003537BB">
          <w:rPr>
            <w:noProof/>
            <w:webHidden/>
          </w:rPr>
          <w:fldChar w:fldCharType="end"/>
        </w:r>
      </w:hyperlink>
    </w:p>
    <w:p w14:paraId="1D908634" w14:textId="45CA5681" w:rsidR="003537BB" w:rsidRDefault="00964CD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BF7DF5">
          <w:rPr>
            <w:noProof/>
            <w:webHidden/>
          </w:rPr>
          <w:t>17</w:t>
        </w:r>
        <w:r w:rsidR="003537BB">
          <w:rPr>
            <w:noProof/>
            <w:webHidden/>
          </w:rPr>
          <w:fldChar w:fldCharType="end"/>
        </w:r>
      </w:hyperlink>
    </w:p>
    <w:p w14:paraId="4C793176" w14:textId="5580C90D" w:rsidR="003537BB" w:rsidRDefault="00964CD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BF7DF5">
          <w:rPr>
            <w:noProof/>
            <w:webHidden/>
          </w:rPr>
          <w:t>23</w:t>
        </w:r>
        <w:r w:rsidR="003537BB">
          <w:rPr>
            <w:noProof/>
            <w:webHidden/>
          </w:rPr>
          <w:fldChar w:fldCharType="end"/>
        </w:r>
      </w:hyperlink>
    </w:p>
    <w:p w14:paraId="606B5B06" w14:textId="62312B8D" w:rsidR="003537BB" w:rsidRDefault="00964CD9">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BF7DF5">
          <w:rPr>
            <w:noProof/>
            <w:webHidden/>
          </w:rPr>
          <w:t>24</w:t>
        </w:r>
        <w:r w:rsidR="003537BB">
          <w:rPr>
            <w:noProof/>
            <w:webHidden/>
          </w:rPr>
          <w:fldChar w:fldCharType="end"/>
        </w:r>
      </w:hyperlink>
    </w:p>
    <w:p w14:paraId="118FE93F" w14:textId="43904571" w:rsidR="003537BB" w:rsidRDefault="00964CD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BF7DF5">
          <w:rPr>
            <w:noProof/>
            <w:webHidden/>
          </w:rPr>
          <w:t>25</w:t>
        </w:r>
        <w:r w:rsidR="003537BB">
          <w:rPr>
            <w:noProof/>
            <w:webHidden/>
          </w:rPr>
          <w:fldChar w:fldCharType="end"/>
        </w:r>
      </w:hyperlink>
    </w:p>
    <w:p w14:paraId="58F3D739" w14:textId="273633BC" w:rsidR="003537BB" w:rsidRDefault="00964CD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BF7DF5">
          <w:rPr>
            <w:noProof/>
            <w:webHidden/>
          </w:rPr>
          <w:t>25</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2F6DB17" w14:textId="77777777" w:rsidR="00FF69F6" w:rsidRPr="00FF69F6" w:rsidRDefault="006E4A65" w:rsidP="00FF69F6">
            <w:pPr>
              <w:widowControl w:val="0"/>
              <w:spacing w:line="240" w:lineRule="atLeast"/>
              <w:jc w:val="both"/>
              <w:rPr>
                <w:rFonts w:cs="Arial"/>
                <w:szCs w:val="22"/>
              </w:rPr>
            </w:pPr>
            <w:r w:rsidRPr="006E4A65">
              <w:rPr>
                <w:rFonts w:cs="Arial"/>
                <w:szCs w:val="22"/>
              </w:rPr>
              <w:t xml:space="preserve">means </w:t>
            </w:r>
            <w:r w:rsidR="00FF69F6" w:rsidRPr="00FF69F6">
              <w:rPr>
                <w:rFonts w:cs="Arial"/>
                <w:szCs w:val="22"/>
              </w:rPr>
              <w:t>the period from the Start Date of the Agreement set out in the</w:t>
            </w:r>
          </w:p>
          <w:p w14:paraId="233FB548" w14:textId="77777777" w:rsidR="00FF69F6" w:rsidRPr="00FF69F6" w:rsidRDefault="00FF69F6" w:rsidP="00FF69F6">
            <w:pPr>
              <w:widowControl w:val="0"/>
              <w:spacing w:line="240" w:lineRule="atLeast"/>
              <w:jc w:val="both"/>
              <w:rPr>
                <w:rFonts w:cs="Arial"/>
                <w:szCs w:val="22"/>
              </w:rPr>
            </w:pPr>
            <w:r w:rsidRPr="00FF69F6">
              <w:rPr>
                <w:rFonts w:cs="Arial"/>
                <w:szCs w:val="22"/>
              </w:rPr>
              <w:t>Award Letter to the Expiry Date as such period may be extended in</w:t>
            </w:r>
          </w:p>
          <w:p w14:paraId="5E1A6046" w14:textId="77777777" w:rsidR="00FF69F6" w:rsidRPr="00FF69F6" w:rsidRDefault="00FF69F6" w:rsidP="00FF69F6">
            <w:pPr>
              <w:widowControl w:val="0"/>
              <w:spacing w:line="240" w:lineRule="atLeast"/>
              <w:jc w:val="both"/>
              <w:rPr>
                <w:rFonts w:cs="Arial"/>
                <w:szCs w:val="22"/>
              </w:rPr>
            </w:pPr>
            <w:r w:rsidRPr="00FF69F6">
              <w:rPr>
                <w:rFonts w:cs="Arial"/>
                <w:szCs w:val="22"/>
              </w:rPr>
              <w:t>accordance with clause  4.2 or terminated in accordance with the terms</w:t>
            </w:r>
          </w:p>
          <w:p w14:paraId="1DCA4432" w14:textId="34EC4475" w:rsidR="006E4A65" w:rsidRPr="006E4A65" w:rsidRDefault="00FF69F6" w:rsidP="00FF69F6">
            <w:pPr>
              <w:widowControl w:val="0"/>
              <w:spacing w:line="240" w:lineRule="atLeast"/>
              <w:jc w:val="both"/>
              <w:rPr>
                <w:rFonts w:cs="Arial"/>
                <w:szCs w:val="22"/>
              </w:rPr>
            </w:pPr>
            <w:r w:rsidRPr="00FF69F6">
              <w:rPr>
                <w:rFonts w:cs="Arial"/>
                <w:szCs w:val="22"/>
              </w:rPr>
              <w:t>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060EEAF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452BCB">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0707D397" w14:textId="77777777" w:rsidR="00FF69F6" w:rsidRDefault="00C4129F" w:rsidP="00C4129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Pr>
          <w:rFonts w:cs="Arial"/>
          <w:b w:val="0"/>
          <w:u w:val="none"/>
        </w:rPr>
        <w:t xml:space="preserve">The </w:t>
      </w:r>
      <w:r w:rsidR="00FF69F6" w:rsidRPr="00FF69F6">
        <w:rPr>
          <w:rFonts w:cs="Arial"/>
          <w:b w:val="0"/>
          <w:u w:val="none"/>
        </w:rPr>
        <w:t>Agreement shall take effect on the Start Date and shall expire on the Expiry Date, unless it is otherwise extended in accordance with clause </w:t>
      </w:r>
      <w:r w:rsidR="00FF69F6" w:rsidRPr="00FF69F6">
        <w:rPr>
          <w:rFonts w:cs="Arial"/>
          <w:b w:val="0"/>
          <w:u w:val="none"/>
        </w:rPr>
        <w:fldChar w:fldCharType="begin"/>
      </w:r>
      <w:r w:rsidR="00FF69F6" w:rsidRPr="00FF69F6">
        <w:rPr>
          <w:rFonts w:cs="Arial"/>
          <w:b w:val="0"/>
          <w:u w:val="none"/>
        </w:rPr>
        <w:instrText xml:space="preserve"> REF _Ref359607345 \r \h </w:instrText>
      </w:r>
      <w:r w:rsidR="00FF69F6" w:rsidRPr="00FF69F6">
        <w:rPr>
          <w:rFonts w:cs="Arial"/>
          <w:b w:val="0"/>
          <w:u w:val="none"/>
        </w:rPr>
      </w:r>
      <w:r w:rsidR="00FF69F6" w:rsidRPr="00FF69F6">
        <w:rPr>
          <w:rFonts w:cs="Arial"/>
          <w:b w:val="0"/>
          <w:u w:val="none"/>
        </w:rPr>
        <w:fldChar w:fldCharType="separate"/>
      </w:r>
      <w:r w:rsidR="00FF69F6" w:rsidRPr="00FF69F6">
        <w:rPr>
          <w:rFonts w:cs="Arial"/>
          <w:b w:val="0"/>
          <w:u w:val="none"/>
        </w:rPr>
        <w:t>4.2</w:t>
      </w:r>
      <w:r w:rsidR="00FF69F6" w:rsidRPr="00FF69F6">
        <w:rPr>
          <w:rFonts w:cs="Arial"/>
          <w:b w:val="0"/>
          <w:u w:val="none"/>
        </w:rPr>
        <w:fldChar w:fldCharType="end"/>
      </w:r>
      <w:r w:rsidR="00FF69F6" w:rsidRPr="00FF69F6">
        <w:rPr>
          <w:rFonts w:cs="Arial"/>
          <w:b w:val="0"/>
          <w:u w:val="none"/>
        </w:rPr>
        <w:t xml:space="preserve"> or terminated in accordance with the terms and conditions of the Agreement. </w:t>
      </w:r>
    </w:p>
    <w:p w14:paraId="4C3D479A" w14:textId="3C167E6A" w:rsidR="006E4A65" w:rsidRPr="006E4A65" w:rsidRDefault="00FF69F6" w:rsidP="00C4129F">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Pr>
          <w:rFonts w:cs="Arial"/>
          <w:b w:val="0"/>
          <w:u w:val="none"/>
        </w:rPr>
        <w:t xml:space="preserve">The </w:t>
      </w:r>
      <w:r w:rsidRPr="00FF69F6">
        <w:rPr>
          <w:rFonts w:cs="Arial"/>
          <w:b w:val="0"/>
          <w:u w:val="none"/>
        </w:rPr>
        <w:t xml:space="preserve">Customer may extend the Agreement for a period of up to </w:t>
      </w:r>
      <w:r>
        <w:rPr>
          <w:rFonts w:cs="Arial"/>
          <w:b w:val="0"/>
          <w:u w:val="none"/>
        </w:rPr>
        <w:t>1 month</w:t>
      </w:r>
      <w:r w:rsidR="00F126D6">
        <w:rPr>
          <w:rFonts w:cs="Arial"/>
          <w:b w:val="0"/>
          <w:u w:val="none"/>
        </w:rPr>
        <w:t xml:space="preserve"> by giving no</w:t>
      </w:r>
      <w:r w:rsidRPr="00FF69F6">
        <w:rPr>
          <w:rFonts w:cs="Arial"/>
          <w:b w:val="0"/>
          <w:u w:val="none"/>
        </w:rPr>
        <w:t xml:space="preserve"> less than 10 Working Days’ notice in writing to the Supp</w:t>
      </w:r>
      <w:r w:rsidR="00F126D6">
        <w:rPr>
          <w:rFonts w:cs="Arial"/>
          <w:b w:val="0"/>
          <w:u w:val="none"/>
        </w:rPr>
        <w:t xml:space="preserve">lier prior to the Expiry Date. </w:t>
      </w:r>
      <w:r w:rsidRPr="00FF69F6">
        <w:rPr>
          <w:rFonts w:cs="Arial"/>
          <w:b w:val="0"/>
          <w:u w:val="none"/>
        </w:rPr>
        <w:t>The terms and conditions of the Agreement shall apply throughout any such extended period.</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w:t>
      </w:r>
      <w:r w:rsidRPr="006E4A65">
        <w:rPr>
          <w:rFonts w:cs="Arial"/>
          <w:b w:val="0"/>
          <w:u w:val="none"/>
        </w:rPr>
        <w:lastRenderedPageBreak/>
        <w:t>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lastRenderedPageBreak/>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expenses, damages and losses (whether direct or indirect), including any interest, </w:t>
      </w:r>
      <w:r w:rsidRPr="006E4A65">
        <w:rPr>
          <w:rFonts w:cs="Arial"/>
          <w:b w:val="0"/>
          <w:u w:val="none"/>
        </w:rPr>
        <w:lastRenderedPageBreak/>
        <w:t>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w:t>
      </w:r>
      <w:r w:rsidRPr="006E4A65">
        <w:rPr>
          <w:rFonts w:cs="Arial"/>
          <w:b w:val="0"/>
          <w:u w:val="none"/>
        </w:rPr>
        <w:lastRenderedPageBreak/>
        <w:t xml:space="preserve">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09570B94" w:rsidR="006E4A65" w:rsidRPr="00795528" w:rsidRDefault="00795528"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795528">
        <w:rPr>
          <w:rFonts w:cs="Arial"/>
          <w:b w:val="0"/>
          <w:u w:val="none"/>
        </w:rPr>
        <w:t>The Customer and supplier agree that they will be independent data controllers for any person</w:t>
      </w:r>
      <w:r>
        <w:rPr>
          <w:rFonts w:cs="Arial"/>
          <w:b w:val="0"/>
          <w:u w:val="none"/>
        </w:rPr>
        <w:t>al</w:t>
      </w:r>
      <w:r w:rsidRPr="00795528">
        <w:rPr>
          <w:rFonts w:cs="Arial"/>
          <w:b w:val="0"/>
          <w:u w:val="none"/>
        </w:rPr>
        <w:t xml:space="preserve"> data processed in provision of he Services.</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lastRenderedPageBreak/>
        <w:t>Force Majeure</w:t>
      </w:r>
      <w:bookmarkEnd w:id="51"/>
      <w:bookmarkEnd w:id="52"/>
    </w:p>
    <w:p w14:paraId="5B182549" w14:textId="77777777" w:rsidR="006E4A65" w:rsidRPr="006E4A65" w:rsidRDefault="006E4A65" w:rsidP="00081FDA">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give all reasonable assistance to the Customer and any incoming supplier of </w:t>
      </w:r>
      <w:r w:rsidRPr="006E4A65">
        <w:rPr>
          <w:rFonts w:cs="Arial"/>
          <w:sz w:val="22"/>
          <w:szCs w:val="22"/>
        </w:rPr>
        <w:lastRenderedPageBreak/>
        <w:t>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w:t>
      </w:r>
      <w:r w:rsidRPr="006E4A65">
        <w:rPr>
          <w:rFonts w:cs="Arial"/>
          <w:sz w:val="22"/>
          <w:szCs w:val="22"/>
        </w:rPr>
        <w:lastRenderedPageBreak/>
        <w:t xml:space="preserve">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081FDA">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1C12CB4D" w:rsidR="00313354" w:rsidRDefault="00A649DF" w:rsidP="00645532">
      <w:pPr>
        <w:widowControl w:val="0"/>
        <w:tabs>
          <w:tab w:val="num" w:pos="540"/>
        </w:tabs>
        <w:spacing w:after="100" w:afterAutospacing="1"/>
        <w:jc w:val="center"/>
        <w:outlineLvl w:val="0"/>
        <w:rPr>
          <w:rFonts w:eastAsia="Times New Roman"/>
          <w:b/>
          <w:szCs w:val="22"/>
          <w:lang w:eastAsia="en-US"/>
        </w:rPr>
      </w:pPr>
      <w:bookmarkStart w:id="105" w:name="_Toc444688622"/>
      <w:r w:rsidRPr="001167A3">
        <w:rPr>
          <w:rFonts w:eastAsia="Times New Roman"/>
          <w:b/>
          <w:szCs w:val="22"/>
          <w:lang w:eastAsia="en-US"/>
        </w:rPr>
        <w:lastRenderedPageBreak/>
        <w:t>ANNEX 2 – PRICE SCHEDULE</w:t>
      </w:r>
      <w:bookmarkEnd w:id="105"/>
    </w:p>
    <w:p w14:paraId="07AFED0D" w14:textId="7999D240" w:rsidR="00A649DF" w:rsidRPr="00754C3D" w:rsidRDefault="00B81AA1">
      <w:pPr>
        <w:rPr>
          <w:rFonts w:cs="Arial"/>
          <w:szCs w:val="22"/>
        </w:rPr>
      </w:pPr>
      <w:r w:rsidRPr="00754C3D">
        <w:rPr>
          <w:rFonts w:cs="Arial"/>
          <w:szCs w:val="22"/>
        </w:rPr>
        <w:t>The supplier has proposed, and the customer has accepted, a fixed fee o</w:t>
      </w:r>
      <w:r w:rsidR="00255FD2">
        <w:rPr>
          <w:rFonts w:cs="Arial"/>
          <w:szCs w:val="22"/>
        </w:rPr>
        <w:t xml:space="preserve">f £23,000.00 ex vat </w:t>
      </w:r>
    </w:p>
    <w:p w14:paraId="3C125BEB" w14:textId="77777777" w:rsidR="00B81AA1" w:rsidRPr="00754C3D" w:rsidRDefault="00B81AA1">
      <w:pPr>
        <w:rPr>
          <w:rFonts w:cs="Arial"/>
          <w:szCs w:val="22"/>
        </w:rPr>
      </w:pPr>
    </w:p>
    <w:p w14:paraId="50BF1CAC" w14:textId="429E6EC5" w:rsidR="008248C7" w:rsidRPr="00255FD2" w:rsidRDefault="00255FD2">
      <w:pPr>
        <w:rPr>
          <w:rFonts w:cs="Arial"/>
          <w:b/>
          <w:szCs w:val="22"/>
        </w:rPr>
      </w:pPr>
      <w:r w:rsidRPr="00255FD2">
        <w:rPr>
          <w:rFonts w:cs="Arial"/>
          <w:b/>
          <w:szCs w:val="22"/>
        </w:rPr>
        <w:t>REDACTED TEXT</w:t>
      </w:r>
    </w:p>
    <w:p w14:paraId="708F2BC5" w14:textId="77777777" w:rsidR="008248C7" w:rsidRPr="00754C3D" w:rsidRDefault="008248C7">
      <w:pPr>
        <w:rPr>
          <w:rFonts w:cs="Arial"/>
          <w:szCs w:val="22"/>
        </w:rPr>
      </w:pPr>
    </w:p>
    <w:p w14:paraId="178BEB27" w14:textId="77777777" w:rsidR="00754C3D" w:rsidRDefault="00754C3D">
      <w:pPr>
        <w:rPr>
          <w:rFonts w:cs="Arial"/>
          <w:b/>
          <w:szCs w:val="22"/>
        </w:rPr>
      </w:pPr>
    </w:p>
    <w:p w14:paraId="5D42B21B" w14:textId="7C57F2AB" w:rsidR="00754C3D" w:rsidRPr="00266BE5" w:rsidRDefault="00754C3D" w:rsidP="00754C3D">
      <w:pPr>
        <w:rPr>
          <w:rFonts w:eastAsia="Times New Roman" w:cs="Arial"/>
          <w:sz w:val="20"/>
          <w:szCs w:val="20"/>
          <w:lang w:eastAsia="en-US"/>
        </w:rPr>
      </w:pPr>
    </w:p>
    <w:p w14:paraId="36382A63" w14:textId="0C3A17BE" w:rsidR="00C4129F" w:rsidRDefault="00C4129F" w:rsidP="001167A3">
      <w:pPr>
        <w:widowControl w:val="0"/>
        <w:tabs>
          <w:tab w:val="num" w:pos="540"/>
        </w:tabs>
        <w:spacing w:after="100" w:afterAutospacing="1"/>
        <w:ind w:left="851" w:hanging="851"/>
        <w:jc w:val="center"/>
        <w:outlineLvl w:val="0"/>
        <w:rPr>
          <w:rFonts w:cs="Arial"/>
          <w:szCs w:val="22"/>
          <w:u w:val="single"/>
        </w:rPr>
      </w:pPr>
      <w:bookmarkStart w:id="106" w:name="_Toc444688623"/>
    </w:p>
    <w:p w14:paraId="2BAD9C42" w14:textId="29FF5223"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42FED4FE" w14:textId="1C5392F6"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4D39A183" w14:textId="58821586"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11808987" w14:textId="2C37969F"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6B9A0FE0" w14:textId="398F50B6"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4A181D60" w14:textId="564FBC4E"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4BF7DD25" w14:textId="5BF20748" w:rsidR="00255FD2" w:rsidRDefault="00255FD2" w:rsidP="001167A3">
      <w:pPr>
        <w:widowControl w:val="0"/>
        <w:tabs>
          <w:tab w:val="num" w:pos="540"/>
        </w:tabs>
        <w:spacing w:after="100" w:afterAutospacing="1"/>
        <w:ind w:left="851" w:hanging="851"/>
        <w:jc w:val="center"/>
        <w:outlineLvl w:val="0"/>
        <w:rPr>
          <w:rFonts w:cs="Arial"/>
          <w:szCs w:val="22"/>
          <w:u w:val="single"/>
        </w:rPr>
      </w:pPr>
    </w:p>
    <w:p w14:paraId="6F0E35A9" w14:textId="77777777"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73F95B49" w14:textId="77777777"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5D0B7716" w14:textId="77777777"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1DAF9782" w14:textId="77777777"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7DFDB4E5" w14:textId="77777777"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4638BC61" w14:textId="77777777"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4B2C469D" w14:textId="441F9A7B" w:rsidR="00C4129F" w:rsidRDefault="00C4129F" w:rsidP="001167A3">
      <w:pPr>
        <w:widowControl w:val="0"/>
        <w:tabs>
          <w:tab w:val="num" w:pos="540"/>
        </w:tabs>
        <w:spacing w:after="100" w:afterAutospacing="1"/>
        <w:ind w:left="851" w:hanging="851"/>
        <w:jc w:val="center"/>
        <w:outlineLvl w:val="0"/>
        <w:rPr>
          <w:rFonts w:eastAsia="Times New Roman"/>
          <w:b/>
          <w:szCs w:val="22"/>
          <w:lang w:eastAsia="en-US"/>
        </w:rPr>
      </w:pPr>
    </w:p>
    <w:p w14:paraId="0B763E0C" w14:textId="479313C9"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706AD331" w14:textId="1E0D6EC1"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045E97EA" w14:textId="458F5028"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2602F8EE" w14:textId="346ED2A2"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1A936D64" w14:textId="77777777" w:rsidR="00255FD2" w:rsidRDefault="00255FD2" w:rsidP="001167A3">
      <w:pPr>
        <w:widowControl w:val="0"/>
        <w:tabs>
          <w:tab w:val="num" w:pos="540"/>
        </w:tabs>
        <w:spacing w:after="100" w:afterAutospacing="1"/>
        <w:ind w:left="851" w:hanging="851"/>
        <w:jc w:val="center"/>
        <w:outlineLvl w:val="0"/>
        <w:rPr>
          <w:rFonts w:eastAsia="Times New Roman"/>
          <w:b/>
          <w:szCs w:val="22"/>
          <w:lang w:eastAsia="en-US"/>
        </w:rPr>
      </w:pPr>
    </w:p>
    <w:p w14:paraId="236F4915" w14:textId="47231F77" w:rsidR="008248C7" w:rsidRDefault="008248C7" w:rsidP="00DC7629">
      <w:pPr>
        <w:widowControl w:val="0"/>
        <w:tabs>
          <w:tab w:val="num" w:pos="540"/>
        </w:tabs>
        <w:spacing w:after="100" w:afterAutospacing="1"/>
        <w:outlineLvl w:val="0"/>
        <w:rPr>
          <w:rFonts w:eastAsia="Times New Roman"/>
          <w:b/>
          <w:szCs w:val="22"/>
          <w:lang w:eastAsia="en-US"/>
        </w:rPr>
      </w:pPr>
    </w:p>
    <w:p w14:paraId="0325C2CD" w14:textId="0BAA684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r w:rsidRPr="001167A3">
        <w:rPr>
          <w:rFonts w:eastAsia="Times New Roman"/>
          <w:b/>
          <w:szCs w:val="22"/>
          <w:lang w:eastAsia="en-US"/>
        </w:rPr>
        <w:lastRenderedPageBreak/>
        <w:t>ANNEX 3 – STATEMENT OF REQUIREMENT</w:t>
      </w:r>
      <w:bookmarkEnd w:id="106"/>
      <w:r w:rsidR="00E33C8F">
        <w:rPr>
          <w:rFonts w:eastAsia="Times New Roman"/>
          <w:b/>
          <w:szCs w:val="22"/>
          <w:lang w:eastAsia="en-US"/>
        </w:rPr>
        <w:t>S</w:t>
      </w:r>
    </w:p>
    <w:p w14:paraId="5AAED2FE" w14:textId="09F9E2A9" w:rsidR="00A649DF" w:rsidRPr="00336839" w:rsidRDefault="00A649DF" w:rsidP="00174DC0">
      <w:pPr>
        <w:pStyle w:val="ScheduleLevel1"/>
        <w:numPr>
          <w:ilvl w:val="0"/>
          <w:numId w:val="0"/>
        </w:numPr>
        <w:spacing w:after="120"/>
        <w:jc w:val="center"/>
        <w:rPr>
          <w:rFonts w:cs="Arial"/>
          <w:b/>
          <w:szCs w:val="22"/>
        </w:rPr>
      </w:pPr>
    </w:p>
    <w:p w14:paraId="21565944" w14:textId="77777777" w:rsidR="00DD0961" w:rsidRPr="001A45DF" w:rsidRDefault="00DD0961" w:rsidP="00DD0961">
      <w:pPr>
        <w:pStyle w:val="Heading1"/>
        <w:numPr>
          <w:ilvl w:val="0"/>
          <w:numId w:val="48"/>
        </w:numPr>
        <w:tabs>
          <w:tab w:val="clear" w:pos="720"/>
        </w:tabs>
        <w:overflowPunct w:val="0"/>
        <w:autoSpaceDE w:val="0"/>
        <w:autoSpaceDN w:val="0"/>
        <w:spacing w:after="120"/>
        <w:textAlignment w:val="baseline"/>
        <w:rPr>
          <w:sz w:val="32"/>
          <w:szCs w:val="32"/>
        </w:rPr>
      </w:pPr>
      <w:bookmarkStart w:id="107" w:name="_Toc368573027"/>
      <w:bookmarkStart w:id="108" w:name="_Toc34225037"/>
      <w:r w:rsidRPr="001A45DF">
        <w:rPr>
          <w:caps w:val="0"/>
          <w:sz w:val="32"/>
          <w:szCs w:val="32"/>
        </w:rPr>
        <w:t>PURPOSE</w:t>
      </w:r>
      <w:bookmarkEnd w:id="107"/>
      <w:bookmarkEnd w:id="108"/>
    </w:p>
    <w:p w14:paraId="08AB3EF4" w14:textId="77777777" w:rsidR="00DD0961" w:rsidRPr="00642787" w:rsidRDefault="00DD0961" w:rsidP="00DD0961">
      <w:pPr>
        <w:pStyle w:val="Heading2"/>
        <w:tabs>
          <w:tab w:val="clear" w:pos="720"/>
          <w:tab w:val="num" w:pos="709"/>
        </w:tabs>
        <w:overflowPunct w:val="0"/>
        <w:autoSpaceDE w:val="0"/>
        <w:autoSpaceDN w:val="0"/>
        <w:spacing w:after="120"/>
        <w:ind w:left="709" w:hanging="709"/>
        <w:textAlignment w:val="baseline"/>
        <w:rPr>
          <w:sz w:val="24"/>
          <w:szCs w:val="24"/>
        </w:rPr>
      </w:pPr>
      <w:bookmarkStart w:id="109" w:name="_Toc296415791"/>
      <w:r w:rsidRPr="00642787">
        <w:rPr>
          <w:sz w:val="24"/>
          <w:szCs w:val="24"/>
        </w:rPr>
        <w:t>To meet the Prime Minister’s commitment to appoint as soon as possible a new member to the panel of the Grenfell Tower Inquiry.</w:t>
      </w:r>
    </w:p>
    <w:p w14:paraId="2C9AC16D" w14:textId="77777777" w:rsidR="00DD0961" w:rsidRPr="001A45DF" w:rsidRDefault="00DD0961" w:rsidP="00DD0961">
      <w:pPr>
        <w:pStyle w:val="Heading1"/>
        <w:tabs>
          <w:tab w:val="clear" w:pos="720"/>
        </w:tabs>
        <w:overflowPunct w:val="0"/>
        <w:autoSpaceDE w:val="0"/>
        <w:autoSpaceDN w:val="0"/>
        <w:spacing w:after="120"/>
        <w:textAlignment w:val="baseline"/>
        <w:rPr>
          <w:sz w:val="32"/>
          <w:szCs w:val="32"/>
        </w:rPr>
      </w:pPr>
      <w:bookmarkStart w:id="110" w:name="_Toc368573028"/>
      <w:bookmarkStart w:id="111" w:name="_Toc34225038"/>
      <w:bookmarkStart w:id="112" w:name="_Toc297554773"/>
      <w:bookmarkStart w:id="113" w:name="_Toc296415805"/>
      <w:bookmarkStart w:id="114" w:name="_Toc296415793"/>
      <w:bookmarkEnd w:id="109"/>
      <w:r w:rsidRPr="001A45DF">
        <w:rPr>
          <w:sz w:val="32"/>
          <w:szCs w:val="32"/>
        </w:rPr>
        <w:t>BACKGROUND TO THE CONTRACTING aUTHORITY</w:t>
      </w:r>
      <w:bookmarkEnd w:id="110"/>
      <w:bookmarkEnd w:id="111"/>
    </w:p>
    <w:p w14:paraId="47FB4192" w14:textId="77777777" w:rsidR="00DD0961" w:rsidRPr="00642787" w:rsidRDefault="00DD0961" w:rsidP="00DD0961">
      <w:pPr>
        <w:pStyle w:val="Heading2"/>
        <w:tabs>
          <w:tab w:val="clear" w:pos="720"/>
          <w:tab w:val="num" w:pos="709"/>
        </w:tabs>
        <w:spacing w:after="120"/>
        <w:ind w:left="709" w:hanging="709"/>
        <w:rPr>
          <w:sz w:val="24"/>
          <w:szCs w:val="24"/>
        </w:rPr>
      </w:pPr>
      <w:r w:rsidRPr="00642787">
        <w:rPr>
          <w:sz w:val="24"/>
          <w:szCs w:val="24"/>
        </w:rPr>
        <w:t>Cabinet Office is responsible for sponsorship of the independent statutory inquiry into the Grenfell Tower fire, on behalf of the Prime Minister who is the sponsor Minister. Following the resignation from the Inquiry panel of Benita Mehra, the Prime Minister wrote to the Chair of the Inquiry on 7 February confirming that he would appoint a replacement, and that Cabinet Office would engage an executive search firm to identify a shortlist of candidates for the PM’s consideration, as a matter of urgency.</w:t>
      </w:r>
    </w:p>
    <w:p w14:paraId="0D0F691D" w14:textId="77777777" w:rsidR="00DD0961" w:rsidRPr="001A45DF" w:rsidRDefault="00DD0961" w:rsidP="00DD0961">
      <w:pPr>
        <w:pStyle w:val="Heading1"/>
        <w:tabs>
          <w:tab w:val="clear" w:pos="720"/>
        </w:tabs>
        <w:overflowPunct w:val="0"/>
        <w:autoSpaceDE w:val="0"/>
        <w:autoSpaceDN w:val="0"/>
        <w:spacing w:after="120"/>
        <w:textAlignment w:val="baseline"/>
        <w:rPr>
          <w:sz w:val="32"/>
          <w:szCs w:val="32"/>
        </w:rPr>
      </w:pPr>
      <w:bookmarkStart w:id="115" w:name="_Toc368573029"/>
      <w:bookmarkStart w:id="116" w:name="_Toc34225039"/>
      <w:r w:rsidRPr="001A45DF">
        <w:rPr>
          <w:sz w:val="32"/>
          <w:szCs w:val="32"/>
        </w:rPr>
        <w:t>Background to requirement/OVERVIEW</w:t>
      </w:r>
      <w:bookmarkEnd w:id="112"/>
      <w:r w:rsidRPr="001A45DF">
        <w:rPr>
          <w:sz w:val="32"/>
          <w:szCs w:val="32"/>
        </w:rPr>
        <w:t xml:space="preserve"> of requirement</w:t>
      </w:r>
      <w:bookmarkEnd w:id="115"/>
      <w:bookmarkEnd w:id="116"/>
    </w:p>
    <w:bookmarkEnd w:id="113"/>
    <w:p w14:paraId="234046AB" w14:textId="77777777" w:rsidR="00DD0961" w:rsidRPr="00642787" w:rsidRDefault="00DD0961" w:rsidP="00DD0961">
      <w:pPr>
        <w:pStyle w:val="Heading2"/>
        <w:tabs>
          <w:tab w:val="clear" w:pos="720"/>
          <w:tab w:val="num" w:pos="709"/>
        </w:tabs>
        <w:spacing w:after="120"/>
        <w:ind w:left="709" w:hanging="709"/>
        <w:rPr>
          <w:sz w:val="24"/>
          <w:szCs w:val="24"/>
        </w:rPr>
      </w:pPr>
      <w:r w:rsidRPr="00642787">
        <w:rPr>
          <w:sz w:val="24"/>
          <w:szCs w:val="24"/>
        </w:rPr>
        <w:t xml:space="preserve">The Grenfell Tower Inquiry is a statutory inquiry established under the Inquiries Act 2005 (the Act), to consider the events surrounding the fire at Grenfell Tower on 14 June 2017. The Inquiry is chaired by Sir Martin Moore-Bick, a retired </w:t>
      </w:r>
      <w:r>
        <w:rPr>
          <w:sz w:val="24"/>
          <w:szCs w:val="24"/>
        </w:rPr>
        <w:t>c</w:t>
      </w:r>
      <w:r w:rsidRPr="00642787">
        <w:rPr>
          <w:sz w:val="24"/>
          <w:szCs w:val="24"/>
        </w:rPr>
        <w:t xml:space="preserve">ourt </w:t>
      </w:r>
      <w:r>
        <w:rPr>
          <w:sz w:val="24"/>
          <w:szCs w:val="24"/>
        </w:rPr>
        <w:t xml:space="preserve">of appeal </w:t>
      </w:r>
      <w:r w:rsidRPr="00642787">
        <w:rPr>
          <w:sz w:val="24"/>
          <w:szCs w:val="24"/>
        </w:rPr>
        <w:t>judge. The Inquiry is being conducted in two phases. Phase 1 looked at the night of the fire, and the performance of the emergency services on the night. The Phase 1 report was published on 30 October 2019. Phase 2 looks at a range of issues including the design, construction and refurbishment of the Tower, the relationship between the local authorities and the residents of the Tower, and the performance of loc</w:t>
      </w:r>
      <w:bookmarkStart w:id="117" w:name="_GoBack"/>
      <w:bookmarkEnd w:id="117"/>
      <w:r w:rsidRPr="00642787">
        <w:rPr>
          <w:sz w:val="24"/>
          <w:szCs w:val="24"/>
        </w:rPr>
        <w:t>al and central government in the aftermath of the fire.</w:t>
      </w:r>
    </w:p>
    <w:p w14:paraId="73E3CC62" w14:textId="77777777" w:rsidR="00DD0961" w:rsidRPr="000A0B4C" w:rsidRDefault="00DD0961" w:rsidP="00DD0961">
      <w:pPr>
        <w:pStyle w:val="Heading2"/>
        <w:tabs>
          <w:tab w:val="clear" w:pos="720"/>
          <w:tab w:val="num" w:pos="709"/>
        </w:tabs>
        <w:spacing w:after="120"/>
        <w:ind w:left="709" w:hanging="709"/>
        <w:rPr>
          <w:sz w:val="24"/>
          <w:szCs w:val="24"/>
        </w:rPr>
      </w:pPr>
      <w:r w:rsidRPr="000A0B4C">
        <w:rPr>
          <w:sz w:val="24"/>
          <w:szCs w:val="24"/>
        </w:rPr>
        <w:t>In May 2018, the then Prime Minister, Theresa May, announced that she would appoint two panel members to sit with the Chair of the Grenfell Tower Inquiry for Phase 2 of the Inquiry’s work, to provide a diversity of expertise and experience, in recognition of the broad range of issues to be considered in Phase 2.</w:t>
      </w:r>
    </w:p>
    <w:p w14:paraId="0524C9A3" w14:textId="5E82FF5F" w:rsidR="00DD0961" w:rsidRPr="00964CD9" w:rsidRDefault="00964CD9" w:rsidP="00DD0961">
      <w:pPr>
        <w:pStyle w:val="Heading2"/>
        <w:tabs>
          <w:tab w:val="clear" w:pos="720"/>
          <w:tab w:val="num" w:pos="709"/>
        </w:tabs>
        <w:spacing w:after="120"/>
        <w:ind w:left="709" w:hanging="709"/>
        <w:rPr>
          <w:b/>
          <w:sz w:val="24"/>
          <w:szCs w:val="24"/>
        </w:rPr>
      </w:pPr>
      <w:r w:rsidRPr="00964CD9">
        <w:rPr>
          <w:b/>
          <w:sz w:val="24"/>
          <w:szCs w:val="24"/>
        </w:rPr>
        <w:t>REDACTED TEXT</w:t>
      </w:r>
      <w:r w:rsidR="00DD0961" w:rsidRPr="00964CD9">
        <w:rPr>
          <w:b/>
          <w:sz w:val="24"/>
          <w:szCs w:val="24"/>
        </w:rPr>
        <w:t xml:space="preserve"> </w:t>
      </w:r>
    </w:p>
    <w:p w14:paraId="6F581368" w14:textId="21ED1636" w:rsidR="00DD0961" w:rsidRPr="00964CD9" w:rsidRDefault="00964CD9" w:rsidP="00DD0961">
      <w:pPr>
        <w:pStyle w:val="Heading2"/>
        <w:tabs>
          <w:tab w:val="clear" w:pos="720"/>
          <w:tab w:val="num" w:pos="709"/>
        </w:tabs>
        <w:spacing w:after="120"/>
        <w:ind w:left="709" w:hanging="709"/>
        <w:rPr>
          <w:b/>
          <w:sz w:val="24"/>
          <w:szCs w:val="24"/>
        </w:rPr>
      </w:pPr>
      <w:r w:rsidRPr="00964CD9">
        <w:rPr>
          <w:b/>
          <w:sz w:val="24"/>
          <w:szCs w:val="24"/>
        </w:rPr>
        <w:t>REDACTED TEXT</w:t>
      </w:r>
    </w:p>
    <w:p w14:paraId="20ED6888" w14:textId="5BB2392A" w:rsidR="00DD0961" w:rsidRPr="00964CD9" w:rsidRDefault="00964CD9" w:rsidP="00DD0961">
      <w:pPr>
        <w:pStyle w:val="Heading2"/>
        <w:tabs>
          <w:tab w:val="clear" w:pos="720"/>
          <w:tab w:val="num" w:pos="709"/>
        </w:tabs>
        <w:spacing w:after="120"/>
        <w:ind w:left="709" w:hanging="709"/>
        <w:rPr>
          <w:b/>
          <w:sz w:val="24"/>
          <w:szCs w:val="24"/>
        </w:rPr>
      </w:pPr>
      <w:r w:rsidRPr="00964CD9">
        <w:rPr>
          <w:b/>
          <w:sz w:val="24"/>
          <w:szCs w:val="24"/>
        </w:rPr>
        <w:t>REDACTED TEXT</w:t>
      </w:r>
    </w:p>
    <w:p w14:paraId="4ECFE4AD" w14:textId="41E7B175" w:rsidR="00DD0961" w:rsidRPr="00964CD9" w:rsidRDefault="00964CD9" w:rsidP="00DD0961">
      <w:pPr>
        <w:pStyle w:val="Heading2"/>
        <w:tabs>
          <w:tab w:val="clear" w:pos="720"/>
          <w:tab w:val="num" w:pos="709"/>
        </w:tabs>
        <w:spacing w:after="120"/>
        <w:ind w:left="709" w:hanging="709"/>
        <w:rPr>
          <w:b/>
          <w:sz w:val="24"/>
          <w:szCs w:val="24"/>
        </w:rPr>
      </w:pPr>
      <w:r w:rsidRPr="00964CD9">
        <w:rPr>
          <w:b/>
          <w:sz w:val="24"/>
          <w:szCs w:val="24"/>
        </w:rPr>
        <w:t>REDACTED TEXT</w:t>
      </w:r>
    </w:p>
    <w:p w14:paraId="18848E54" w14:textId="77777777" w:rsidR="00DD0961" w:rsidRPr="001A45DF" w:rsidRDefault="00DD0961" w:rsidP="00DD0961">
      <w:pPr>
        <w:pStyle w:val="Heading1"/>
        <w:tabs>
          <w:tab w:val="clear" w:pos="720"/>
        </w:tabs>
        <w:overflowPunct w:val="0"/>
        <w:autoSpaceDE w:val="0"/>
        <w:autoSpaceDN w:val="0"/>
        <w:spacing w:after="120"/>
        <w:textAlignment w:val="baseline"/>
        <w:rPr>
          <w:sz w:val="32"/>
          <w:szCs w:val="32"/>
        </w:rPr>
      </w:pPr>
      <w:bookmarkStart w:id="118" w:name="_Toc34225040"/>
      <w:bookmarkStart w:id="119" w:name="_Toc368573030"/>
      <w:r w:rsidRPr="001A45DF">
        <w:rPr>
          <w:sz w:val="32"/>
          <w:szCs w:val="32"/>
        </w:rPr>
        <w:t>definitions</w:t>
      </w:r>
      <w:bookmarkEnd w:id="118"/>
      <w:r w:rsidRPr="001A45DF">
        <w:rPr>
          <w:sz w:val="32"/>
          <w:szCs w:val="32"/>
        </w:rPr>
        <w:t xml:space="preserve"> </w:t>
      </w:r>
    </w:p>
    <w:tbl>
      <w:tblPr>
        <w:tblStyle w:val="TableGrid"/>
        <w:tblW w:w="0" w:type="auto"/>
        <w:tblInd w:w="720" w:type="dxa"/>
        <w:tblLook w:val="04A0" w:firstRow="1" w:lastRow="0" w:firstColumn="1" w:lastColumn="0" w:noHBand="0" w:noVBand="1"/>
      </w:tblPr>
      <w:tblGrid>
        <w:gridCol w:w="2164"/>
        <w:gridCol w:w="6135"/>
      </w:tblGrid>
      <w:tr w:rsidR="00DD0961" w14:paraId="087E0F96" w14:textId="77777777" w:rsidTr="00DD0961">
        <w:tc>
          <w:tcPr>
            <w:tcW w:w="2082" w:type="dxa"/>
            <w:shd w:val="clear" w:color="auto" w:fill="B8CCE4" w:themeFill="accent1" w:themeFillTint="66"/>
          </w:tcPr>
          <w:p w14:paraId="3054D8F3" w14:textId="77777777" w:rsidR="00DD0961" w:rsidRPr="001A45DF" w:rsidRDefault="00DD0961" w:rsidP="00DD0961">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217" w:type="dxa"/>
            <w:shd w:val="clear" w:color="auto" w:fill="B8CCE4" w:themeFill="accent1" w:themeFillTint="66"/>
          </w:tcPr>
          <w:p w14:paraId="4213B11A" w14:textId="77777777" w:rsidR="00DD0961" w:rsidRPr="001A45DF" w:rsidRDefault="00DD0961" w:rsidP="00DD0961">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DD0961" w14:paraId="178549F3" w14:textId="77777777" w:rsidTr="00DD0961">
        <w:tc>
          <w:tcPr>
            <w:tcW w:w="2082" w:type="dxa"/>
          </w:tcPr>
          <w:p w14:paraId="67289880" w14:textId="77777777" w:rsidR="00DD0961" w:rsidRPr="001A45DF" w:rsidRDefault="00DD0961" w:rsidP="00DD0961">
            <w:pPr>
              <w:pStyle w:val="Heading2"/>
              <w:numPr>
                <w:ilvl w:val="0"/>
                <w:numId w:val="0"/>
              </w:numPr>
              <w:spacing w:after="120"/>
              <w:ind w:left="720" w:hanging="720"/>
              <w:outlineLvl w:val="1"/>
              <w:rPr>
                <w:sz w:val="24"/>
                <w:szCs w:val="24"/>
                <w:highlight w:val="yellow"/>
              </w:rPr>
            </w:pPr>
            <w:r w:rsidRPr="00B25BEB">
              <w:rPr>
                <w:sz w:val="24"/>
                <w:szCs w:val="24"/>
              </w:rPr>
              <w:lastRenderedPageBreak/>
              <w:t>Core participants</w:t>
            </w:r>
          </w:p>
        </w:tc>
        <w:tc>
          <w:tcPr>
            <w:tcW w:w="6217" w:type="dxa"/>
          </w:tcPr>
          <w:p w14:paraId="1B6F4A62" w14:textId="77777777" w:rsidR="00DD0961" w:rsidRPr="001A45DF" w:rsidRDefault="00DD0961" w:rsidP="00DD0961">
            <w:pPr>
              <w:pStyle w:val="Heading2"/>
              <w:numPr>
                <w:ilvl w:val="0"/>
                <w:numId w:val="0"/>
              </w:numPr>
              <w:spacing w:after="120"/>
              <w:outlineLvl w:val="1"/>
              <w:rPr>
                <w:sz w:val="24"/>
                <w:szCs w:val="24"/>
                <w:highlight w:val="yellow"/>
              </w:rPr>
            </w:pPr>
            <w:r w:rsidRPr="00AE2A73">
              <w:rPr>
                <w:sz w:val="24"/>
                <w:szCs w:val="24"/>
              </w:rPr>
              <w:t>A core participant is someone with direct and significant interest in the Inquiry, and maybe someone who could be subject to explicit criticism by the Inquiry. The Grenfell Tower Inquiry has over 600 core participants, including bereaved, survivors and local residents, relevant government departments, the local authority, the Fire services and a number of corporate organisations.</w:t>
            </w:r>
          </w:p>
        </w:tc>
      </w:tr>
      <w:tr w:rsidR="00DD0961" w14:paraId="1F9B9253" w14:textId="77777777" w:rsidTr="00DD0961">
        <w:tc>
          <w:tcPr>
            <w:tcW w:w="2082" w:type="dxa"/>
          </w:tcPr>
          <w:p w14:paraId="6F72B987" w14:textId="77777777" w:rsidR="00DD0961" w:rsidRPr="001A45DF" w:rsidRDefault="00DD0961" w:rsidP="00DD0961">
            <w:pPr>
              <w:pStyle w:val="Heading2"/>
              <w:numPr>
                <w:ilvl w:val="0"/>
                <w:numId w:val="0"/>
              </w:numPr>
              <w:spacing w:after="120"/>
              <w:ind w:left="720" w:hanging="720"/>
              <w:outlineLvl w:val="1"/>
              <w:rPr>
                <w:sz w:val="24"/>
                <w:szCs w:val="24"/>
                <w:highlight w:val="yellow"/>
              </w:rPr>
            </w:pPr>
            <w:r w:rsidRPr="00AE2A73">
              <w:rPr>
                <w:sz w:val="24"/>
                <w:szCs w:val="24"/>
              </w:rPr>
              <w:t>Panel member</w:t>
            </w:r>
          </w:p>
        </w:tc>
        <w:tc>
          <w:tcPr>
            <w:tcW w:w="6217" w:type="dxa"/>
          </w:tcPr>
          <w:p w14:paraId="1F447079" w14:textId="77777777" w:rsidR="00DD0961" w:rsidRPr="002A15DA" w:rsidRDefault="00DD0961" w:rsidP="00DD0961">
            <w:pPr>
              <w:pStyle w:val="Heading2"/>
              <w:numPr>
                <w:ilvl w:val="0"/>
                <w:numId w:val="0"/>
              </w:numPr>
              <w:spacing w:after="120"/>
              <w:outlineLvl w:val="1"/>
              <w:rPr>
                <w:sz w:val="24"/>
                <w:szCs w:val="24"/>
              </w:rPr>
            </w:pPr>
            <w:r>
              <w:rPr>
                <w:sz w:val="24"/>
                <w:szCs w:val="24"/>
              </w:rPr>
              <w:t>Panel members of statutory public inquiries are co-determining; each panel member for Phase 2 of the Grenfell Tower Inquiry will share equal responsibility for the Inquiry’s conduct and outcome.</w:t>
            </w:r>
          </w:p>
        </w:tc>
      </w:tr>
    </w:tbl>
    <w:p w14:paraId="2E492EC1" w14:textId="77777777" w:rsidR="00DD0961" w:rsidRPr="001A45DF" w:rsidRDefault="00DD0961" w:rsidP="00DD0961">
      <w:pPr>
        <w:pStyle w:val="Heading1"/>
        <w:tabs>
          <w:tab w:val="clear" w:pos="720"/>
        </w:tabs>
        <w:overflowPunct w:val="0"/>
        <w:autoSpaceDE w:val="0"/>
        <w:autoSpaceDN w:val="0"/>
        <w:spacing w:before="240" w:after="120"/>
        <w:textAlignment w:val="baseline"/>
        <w:rPr>
          <w:sz w:val="32"/>
          <w:szCs w:val="32"/>
        </w:rPr>
      </w:pPr>
      <w:bookmarkStart w:id="120" w:name="_Toc34225041"/>
      <w:r w:rsidRPr="001A45DF">
        <w:rPr>
          <w:sz w:val="32"/>
          <w:szCs w:val="32"/>
        </w:rPr>
        <w:t>scope of requirement</w:t>
      </w:r>
      <w:bookmarkEnd w:id="119"/>
      <w:bookmarkEnd w:id="120"/>
      <w:r w:rsidRPr="001A45DF">
        <w:rPr>
          <w:sz w:val="32"/>
          <w:szCs w:val="32"/>
        </w:rPr>
        <w:t xml:space="preserve"> </w:t>
      </w:r>
    </w:p>
    <w:bookmarkEnd w:id="114"/>
    <w:p w14:paraId="3A70BC76" w14:textId="448C091E" w:rsidR="00DD0961" w:rsidRPr="00964CD9" w:rsidRDefault="00964CD9" w:rsidP="00964CD9">
      <w:pPr>
        <w:pStyle w:val="Heading2"/>
        <w:tabs>
          <w:tab w:val="clear" w:pos="720"/>
          <w:tab w:val="num" w:pos="862"/>
        </w:tabs>
        <w:overflowPunct w:val="0"/>
        <w:autoSpaceDE w:val="0"/>
        <w:autoSpaceDN w:val="0"/>
        <w:spacing w:after="120"/>
        <w:ind w:left="709" w:hanging="709"/>
        <w:textAlignment w:val="baseline"/>
        <w:rPr>
          <w:b/>
          <w:sz w:val="24"/>
          <w:szCs w:val="24"/>
        </w:rPr>
      </w:pPr>
      <w:r w:rsidRPr="00964CD9">
        <w:rPr>
          <w:b/>
          <w:sz w:val="24"/>
          <w:szCs w:val="24"/>
        </w:rPr>
        <w:t>REDACTED TEXT</w:t>
      </w:r>
    </w:p>
    <w:p w14:paraId="11FAC5A6" w14:textId="77777777" w:rsidR="00DD0961" w:rsidRPr="001A45DF" w:rsidRDefault="00DD0961" w:rsidP="00DD0961">
      <w:pPr>
        <w:pStyle w:val="Heading1"/>
        <w:spacing w:after="120"/>
        <w:rPr>
          <w:sz w:val="32"/>
          <w:szCs w:val="32"/>
        </w:rPr>
      </w:pPr>
      <w:bookmarkStart w:id="121" w:name="_Toc368573031"/>
      <w:bookmarkStart w:id="122" w:name="_Toc34225042"/>
      <w:r w:rsidRPr="001A45DF">
        <w:rPr>
          <w:sz w:val="32"/>
          <w:szCs w:val="32"/>
        </w:rPr>
        <w:t>The requirement</w:t>
      </w:r>
      <w:bookmarkEnd w:id="121"/>
      <w:bookmarkEnd w:id="122"/>
    </w:p>
    <w:p w14:paraId="49910BF7" w14:textId="5BAB034F" w:rsidR="00DD0961" w:rsidRPr="00964CD9" w:rsidRDefault="00964CD9" w:rsidP="00964CD9">
      <w:pPr>
        <w:pStyle w:val="Heading2"/>
        <w:spacing w:after="120"/>
        <w:ind w:left="709" w:hanging="709"/>
        <w:rPr>
          <w:b/>
          <w:sz w:val="24"/>
          <w:szCs w:val="24"/>
        </w:rPr>
      </w:pPr>
      <w:r w:rsidRPr="00964CD9">
        <w:rPr>
          <w:b/>
          <w:sz w:val="24"/>
          <w:szCs w:val="24"/>
        </w:rPr>
        <w:t>REDACTED TEXT</w:t>
      </w:r>
    </w:p>
    <w:p w14:paraId="6E87B04C" w14:textId="77777777" w:rsidR="00DD0961" w:rsidRPr="001A45DF" w:rsidRDefault="00DD0961" w:rsidP="00DD0961">
      <w:pPr>
        <w:pStyle w:val="Heading1"/>
        <w:spacing w:after="120"/>
        <w:rPr>
          <w:sz w:val="32"/>
          <w:szCs w:val="32"/>
        </w:rPr>
      </w:pPr>
      <w:bookmarkStart w:id="123" w:name="_Toc368573032"/>
      <w:bookmarkStart w:id="124" w:name="_Toc34225043"/>
      <w:r w:rsidRPr="001A45DF">
        <w:rPr>
          <w:sz w:val="32"/>
          <w:szCs w:val="32"/>
        </w:rPr>
        <w:t>key milestones</w:t>
      </w:r>
      <w:bookmarkEnd w:id="123"/>
      <w:r w:rsidRPr="001A45DF">
        <w:rPr>
          <w:sz w:val="32"/>
          <w:szCs w:val="32"/>
        </w:rPr>
        <w:t xml:space="preserve"> and Deliverables</w:t>
      </w:r>
      <w:bookmarkEnd w:id="124"/>
    </w:p>
    <w:p w14:paraId="58F0671B" w14:textId="6238796A" w:rsidR="00DD0961" w:rsidRPr="00964CD9" w:rsidRDefault="00964CD9" w:rsidP="00964CD9">
      <w:pPr>
        <w:pStyle w:val="Heading2"/>
        <w:tabs>
          <w:tab w:val="clear" w:pos="720"/>
          <w:tab w:val="num" w:pos="132"/>
          <w:tab w:val="num" w:pos="862"/>
        </w:tabs>
        <w:overflowPunct w:val="0"/>
        <w:autoSpaceDE w:val="0"/>
        <w:autoSpaceDN w:val="0"/>
        <w:spacing w:after="120"/>
        <w:ind w:left="709" w:hanging="709"/>
        <w:textAlignment w:val="baseline"/>
        <w:rPr>
          <w:rFonts w:cs="Arial"/>
          <w:b/>
          <w:sz w:val="24"/>
          <w:szCs w:val="24"/>
        </w:rPr>
      </w:pPr>
      <w:r w:rsidRPr="00964CD9">
        <w:rPr>
          <w:rFonts w:cs="Arial"/>
          <w:b/>
          <w:sz w:val="24"/>
          <w:szCs w:val="24"/>
        </w:rPr>
        <w:t>REDACTED TEXT</w:t>
      </w:r>
      <w:bookmarkStart w:id="125" w:name="_Toc302637211"/>
    </w:p>
    <w:p w14:paraId="19B06016"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6" w:name="_Toc368573033"/>
      <w:bookmarkStart w:id="127" w:name="_Toc34225044"/>
      <w:r w:rsidRPr="001A45DF">
        <w:rPr>
          <w:rFonts w:cs="Arial"/>
          <w:sz w:val="32"/>
          <w:szCs w:val="32"/>
        </w:rPr>
        <w:t>MANAGEMENT INFORMATION/reporting</w:t>
      </w:r>
      <w:bookmarkEnd w:id="126"/>
      <w:bookmarkEnd w:id="127"/>
    </w:p>
    <w:p w14:paraId="1E62E756" w14:textId="77777777" w:rsidR="00DD0961" w:rsidRPr="00AE2A73" w:rsidRDefault="00DD0961" w:rsidP="00DD0961">
      <w:pPr>
        <w:pStyle w:val="Heading2"/>
        <w:tabs>
          <w:tab w:val="clear" w:pos="720"/>
          <w:tab w:val="num" w:pos="709"/>
        </w:tabs>
        <w:spacing w:after="120"/>
        <w:ind w:left="709" w:hanging="709"/>
        <w:rPr>
          <w:sz w:val="24"/>
          <w:szCs w:val="24"/>
        </w:rPr>
      </w:pPr>
      <w:r>
        <w:rPr>
          <w:sz w:val="24"/>
          <w:szCs w:val="24"/>
        </w:rPr>
        <w:t>The supplier</w:t>
      </w:r>
      <w:r w:rsidRPr="00AE2A73">
        <w:rPr>
          <w:sz w:val="24"/>
          <w:szCs w:val="24"/>
        </w:rPr>
        <w:t xml:space="preserve"> will update the Cabinet Office sponsor team on a weekly basis.</w:t>
      </w:r>
    </w:p>
    <w:p w14:paraId="5351A2AF"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28" w:name="_Toc368573034"/>
      <w:bookmarkStart w:id="129" w:name="_Toc34225045"/>
      <w:r w:rsidRPr="001A45DF">
        <w:rPr>
          <w:rFonts w:cs="Arial"/>
          <w:sz w:val="32"/>
          <w:szCs w:val="32"/>
        </w:rPr>
        <w:t>volumes</w:t>
      </w:r>
      <w:bookmarkEnd w:id="128"/>
      <w:bookmarkEnd w:id="129"/>
    </w:p>
    <w:p w14:paraId="7DDB089C" w14:textId="77777777" w:rsidR="00DD0961" w:rsidRPr="00CE2107" w:rsidRDefault="00DD0961" w:rsidP="00CE2107">
      <w:pPr>
        <w:pStyle w:val="Heading2"/>
        <w:spacing w:after="120"/>
        <w:ind w:left="709" w:hanging="709"/>
        <w:rPr>
          <w:sz w:val="24"/>
          <w:szCs w:val="24"/>
        </w:rPr>
      </w:pPr>
      <w:bookmarkStart w:id="130" w:name="_Toc368573035"/>
      <w:r w:rsidRPr="00CE2107">
        <w:rPr>
          <w:sz w:val="24"/>
          <w:szCs w:val="24"/>
        </w:rPr>
        <w:t>This requirement for executive search support is based on a single campaign or appointment.</w:t>
      </w:r>
    </w:p>
    <w:p w14:paraId="56E63E3C"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1" w:name="_Toc34225046"/>
      <w:r w:rsidRPr="001A45DF">
        <w:rPr>
          <w:rFonts w:cs="Arial"/>
          <w:sz w:val="32"/>
          <w:szCs w:val="32"/>
        </w:rPr>
        <w:t>continuous improvement</w:t>
      </w:r>
      <w:bookmarkEnd w:id="130"/>
      <w:bookmarkEnd w:id="131"/>
    </w:p>
    <w:p w14:paraId="59EE5D7C" w14:textId="77777777" w:rsidR="00DD0961" w:rsidRPr="001A45DF" w:rsidRDefault="00DD0961" w:rsidP="00DD0961">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28854826"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2" w:name="_Toc368573036"/>
      <w:bookmarkStart w:id="133" w:name="_Toc34225047"/>
      <w:r w:rsidRPr="001A45DF">
        <w:rPr>
          <w:rFonts w:cs="Arial"/>
          <w:sz w:val="32"/>
          <w:szCs w:val="32"/>
        </w:rPr>
        <w:t>quality</w:t>
      </w:r>
      <w:bookmarkEnd w:id="132"/>
      <w:bookmarkEnd w:id="133"/>
    </w:p>
    <w:p w14:paraId="1C2D9513" w14:textId="77777777" w:rsidR="00DD0961" w:rsidRPr="00CE2107" w:rsidRDefault="00DD0961" w:rsidP="00DD0961">
      <w:pPr>
        <w:pStyle w:val="Heading2"/>
        <w:shd w:val="clear" w:color="auto" w:fill="FFFFFF"/>
        <w:spacing w:after="120"/>
        <w:ind w:left="709"/>
        <w:rPr>
          <w:sz w:val="24"/>
          <w:szCs w:val="24"/>
        </w:rPr>
      </w:pPr>
      <w:bookmarkStart w:id="134" w:name="_Toc368573037"/>
      <w:r w:rsidRPr="00CE2107">
        <w:rPr>
          <w:sz w:val="24"/>
          <w:szCs w:val="24"/>
        </w:rPr>
        <w:t>Suppliers may be REC (the Recruitment &amp; Employment Confederation) accredited, although it is not a formal requirement.</w:t>
      </w:r>
    </w:p>
    <w:p w14:paraId="1BBCC761"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5" w:name="_Toc34225048"/>
      <w:r w:rsidRPr="001A45DF">
        <w:rPr>
          <w:rFonts w:cs="Arial"/>
          <w:sz w:val="32"/>
          <w:szCs w:val="32"/>
        </w:rPr>
        <w:t>PRICE</w:t>
      </w:r>
      <w:bookmarkEnd w:id="134"/>
      <w:bookmarkEnd w:id="135"/>
    </w:p>
    <w:p w14:paraId="3439A709" w14:textId="77777777" w:rsidR="00DD0961" w:rsidRPr="001A45DF" w:rsidRDefault="00DD0961" w:rsidP="00DD0961">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e-Sourcing Suite</w:t>
      </w:r>
      <w:r>
        <w:rPr>
          <w:sz w:val="24"/>
          <w:szCs w:val="24"/>
        </w:rPr>
        <w:t xml:space="preserve"> </w:t>
      </w:r>
      <w:r w:rsidRPr="009106C8">
        <w:rPr>
          <w:sz w:val="24"/>
          <w:szCs w:val="24"/>
        </w:rPr>
        <w:t>Attachment 4 – Price Schedule</w:t>
      </w:r>
      <w:r w:rsidRPr="001A45DF">
        <w:rPr>
          <w:sz w:val="24"/>
          <w:szCs w:val="24"/>
        </w:rPr>
        <w:t xml:space="preserve"> excluding VAT and including all other expenses relating to Contract delivery.</w:t>
      </w:r>
    </w:p>
    <w:p w14:paraId="22C9D319"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6" w:name="_Toc368573038"/>
      <w:bookmarkStart w:id="137" w:name="_Toc34225049"/>
      <w:r w:rsidRPr="001A45DF">
        <w:rPr>
          <w:rFonts w:cs="Arial"/>
          <w:sz w:val="32"/>
          <w:szCs w:val="32"/>
        </w:rPr>
        <w:t>STAFF AND CUSTOMER SERVICE</w:t>
      </w:r>
      <w:bookmarkEnd w:id="136"/>
      <w:bookmarkEnd w:id="137"/>
    </w:p>
    <w:p w14:paraId="33B41CDB" w14:textId="77777777" w:rsidR="00DD0961" w:rsidRPr="001A45DF" w:rsidRDefault="00DD0961" w:rsidP="00DD0961">
      <w:pPr>
        <w:pStyle w:val="Heading2"/>
        <w:tabs>
          <w:tab w:val="clear" w:pos="720"/>
          <w:tab w:val="num" w:pos="709"/>
        </w:tabs>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1FC3CEEF" w14:textId="77777777" w:rsidR="00DD0961" w:rsidRPr="001A45DF" w:rsidRDefault="00DD0961" w:rsidP="00DD0961">
      <w:pPr>
        <w:pStyle w:val="Heading2"/>
        <w:tabs>
          <w:tab w:val="clear" w:pos="720"/>
          <w:tab w:val="num" w:pos="709"/>
        </w:tabs>
        <w:spacing w:after="120"/>
        <w:ind w:left="709" w:hanging="709"/>
        <w:rPr>
          <w:sz w:val="24"/>
          <w:szCs w:val="24"/>
        </w:rPr>
      </w:pPr>
      <w:r w:rsidRPr="001A45DF">
        <w:rPr>
          <w:sz w:val="24"/>
          <w:szCs w:val="24"/>
        </w:rPr>
        <w:lastRenderedPageBreak/>
        <w:t xml:space="preserve">The Supplier’s staff assigned to the Contract shall have the relevant qualifications and experience to deliver the Contract to the required standard. </w:t>
      </w:r>
    </w:p>
    <w:p w14:paraId="35E66457" w14:textId="77777777" w:rsidR="00DD0961" w:rsidRPr="001A45DF" w:rsidRDefault="00DD0961" w:rsidP="00DD0961">
      <w:pPr>
        <w:pStyle w:val="Heading2"/>
        <w:tabs>
          <w:tab w:val="clear" w:pos="720"/>
          <w:tab w:val="num" w:pos="709"/>
        </w:tabs>
        <w:spacing w:after="120"/>
        <w:ind w:left="709" w:hanging="709"/>
        <w:rPr>
          <w:sz w:val="24"/>
          <w:szCs w:val="24"/>
        </w:rPr>
      </w:pPr>
      <w:r w:rsidRPr="001A45DF">
        <w:rPr>
          <w:sz w:val="24"/>
          <w:szCs w:val="24"/>
        </w:rPr>
        <w:t xml:space="preserve">The Supplier shall ensure that staff understand the </w:t>
      </w:r>
      <w:r>
        <w:rPr>
          <w:sz w:val="24"/>
          <w:szCs w:val="24"/>
        </w:rPr>
        <w:t>Cabinet Office</w:t>
      </w:r>
      <w:r w:rsidRPr="001A45DF">
        <w:rPr>
          <w:sz w:val="24"/>
          <w:szCs w:val="24"/>
        </w:rPr>
        <w:t xml:space="preserve">’s vision and objectives and will provide excellent customer service to the </w:t>
      </w:r>
      <w:r>
        <w:rPr>
          <w:sz w:val="24"/>
          <w:szCs w:val="24"/>
        </w:rPr>
        <w:t xml:space="preserve">Cabinet Office </w:t>
      </w:r>
      <w:r w:rsidRPr="001A45DF">
        <w:rPr>
          <w:sz w:val="24"/>
          <w:szCs w:val="24"/>
        </w:rPr>
        <w:t xml:space="preserve">throughout the duration of the Contract.  </w:t>
      </w:r>
    </w:p>
    <w:p w14:paraId="62A43C50"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38" w:name="_Toc368573039"/>
      <w:bookmarkStart w:id="139" w:name="_Toc34225050"/>
      <w:r w:rsidRPr="001A45DF">
        <w:rPr>
          <w:rFonts w:cs="Arial"/>
          <w:sz w:val="32"/>
          <w:szCs w:val="32"/>
        </w:rPr>
        <w:t>service levels and performance</w:t>
      </w:r>
      <w:bookmarkEnd w:id="138"/>
      <w:bookmarkEnd w:id="139"/>
    </w:p>
    <w:p w14:paraId="51AAB9AE" w14:textId="77777777" w:rsidR="00DD0961" w:rsidRPr="001A45DF" w:rsidRDefault="00DD0961" w:rsidP="00DD0961">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 xml:space="preserve">The </w:t>
      </w:r>
      <w:r>
        <w:rPr>
          <w:sz w:val="24"/>
          <w:szCs w:val="24"/>
        </w:rPr>
        <w:t>Cabinet Office</w:t>
      </w:r>
      <w:r w:rsidRPr="001A45DF">
        <w:rPr>
          <w:sz w:val="24"/>
          <w:szCs w:val="24"/>
        </w:rPr>
        <w:t xml:space="preserve"> will measure the quality of the Supplier’s delivery by:</w:t>
      </w:r>
    </w:p>
    <w:p w14:paraId="1DA22247" w14:textId="77777777" w:rsidR="00DD0961" w:rsidRPr="001A45DF" w:rsidRDefault="00DD0961" w:rsidP="00DD0961">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63"/>
        <w:gridCol w:w="1756"/>
        <w:gridCol w:w="3750"/>
        <w:gridCol w:w="1630"/>
      </w:tblGrid>
      <w:tr w:rsidR="00DD0961" w14:paraId="287FCFC3" w14:textId="77777777" w:rsidTr="00DD0961">
        <w:tc>
          <w:tcPr>
            <w:tcW w:w="1163" w:type="dxa"/>
            <w:shd w:val="clear" w:color="auto" w:fill="B8CCE4" w:themeFill="accent1" w:themeFillTint="66"/>
          </w:tcPr>
          <w:p w14:paraId="7009BE01" w14:textId="77777777" w:rsidR="00DD0961" w:rsidRPr="002C0A45" w:rsidRDefault="00DD0961" w:rsidP="00DD0961">
            <w:pPr>
              <w:pStyle w:val="Heading2"/>
              <w:numPr>
                <w:ilvl w:val="0"/>
                <w:numId w:val="0"/>
              </w:numPr>
              <w:jc w:val="center"/>
              <w:outlineLvl w:val="1"/>
              <w:rPr>
                <w:b/>
                <w:sz w:val="24"/>
                <w:szCs w:val="24"/>
              </w:rPr>
            </w:pPr>
            <w:r w:rsidRPr="002C0A45">
              <w:rPr>
                <w:b/>
                <w:sz w:val="24"/>
                <w:szCs w:val="24"/>
              </w:rPr>
              <w:t>KPI/SLA</w:t>
            </w:r>
          </w:p>
        </w:tc>
        <w:tc>
          <w:tcPr>
            <w:tcW w:w="1771" w:type="dxa"/>
            <w:shd w:val="clear" w:color="auto" w:fill="B8CCE4" w:themeFill="accent1" w:themeFillTint="66"/>
          </w:tcPr>
          <w:p w14:paraId="40CB1FC1" w14:textId="77777777" w:rsidR="00DD0961" w:rsidRPr="002C0A45" w:rsidRDefault="00DD0961" w:rsidP="00DD0961">
            <w:pPr>
              <w:pStyle w:val="Heading2"/>
              <w:numPr>
                <w:ilvl w:val="0"/>
                <w:numId w:val="0"/>
              </w:numPr>
              <w:jc w:val="center"/>
              <w:outlineLvl w:val="1"/>
              <w:rPr>
                <w:b/>
                <w:sz w:val="24"/>
                <w:szCs w:val="24"/>
              </w:rPr>
            </w:pPr>
            <w:r w:rsidRPr="002C0A45">
              <w:rPr>
                <w:b/>
                <w:sz w:val="24"/>
                <w:szCs w:val="24"/>
              </w:rPr>
              <w:t>Service Area</w:t>
            </w:r>
          </w:p>
        </w:tc>
        <w:tc>
          <w:tcPr>
            <w:tcW w:w="3827" w:type="dxa"/>
            <w:shd w:val="clear" w:color="auto" w:fill="B8CCE4" w:themeFill="accent1" w:themeFillTint="66"/>
          </w:tcPr>
          <w:p w14:paraId="4B8DFE76" w14:textId="77777777" w:rsidR="00DD0961" w:rsidRPr="002C0A45" w:rsidRDefault="00DD0961" w:rsidP="00DD0961">
            <w:pPr>
              <w:pStyle w:val="Heading2"/>
              <w:numPr>
                <w:ilvl w:val="0"/>
                <w:numId w:val="0"/>
              </w:numPr>
              <w:jc w:val="center"/>
              <w:outlineLvl w:val="1"/>
              <w:rPr>
                <w:b/>
                <w:sz w:val="24"/>
                <w:szCs w:val="24"/>
              </w:rPr>
            </w:pPr>
            <w:r w:rsidRPr="002C0A45">
              <w:rPr>
                <w:b/>
                <w:sz w:val="24"/>
                <w:szCs w:val="24"/>
              </w:rPr>
              <w:t>KPI/SLA description</w:t>
            </w:r>
          </w:p>
        </w:tc>
        <w:tc>
          <w:tcPr>
            <w:tcW w:w="1653" w:type="dxa"/>
            <w:shd w:val="clear" w:color="auto" w:fill="B8CCE4" w:themeFill="accent1" w:themeFillTint="66"/>
          </w:tcPr>
          <w:p w14:paraId="2167DC6C" w14:textId="77777777" w:rsidR="00DD0961" w:rsidRPr="002C0A45" w:rsidRDefault="00DD0961" w:rsidP="00DD0961">
            <w:pPr>
              <w:pStyle w:val="Heading2"/>
              <w:numPr>
                <w:ilvl w:val="0"/>
                <w:numId w:val="0"/>
              </w:numPr>
              <w:jc w:val="center"/>
              <w:outlineLvl w:val="1"/>
              <w:rPr>
                <w:b/>
                <w:sz w:val="24"/>
                <w:szCs w:val="24"/>
              </w:rPr>
            </w:pPr>
            <w:r w:rsidRPr="002C0A45">
              <w:rPr>
                <w:b/>
                <w:sz w:val="24"/>
                <w:szCs w:val="24"/>
              </w:rPr>
              <w:t>Target</w:t>
            </w:r>
          </w:p>
        </w:tc>
      </w:tr>
      <w:tr w:rsidR="00DD0961" w14:paraId="62C7A42F" w14:textId="77777777" w:rsidTr="00DD0961">
        <w:tc>
          <w:tcPr>
            <w:tcW w:w="1163" w:type="dxa"/>
          </w:tcPr>
          <w:p w14:paraId="4A522BFA" w14:textId="77777777" w:rsidR="00DD0961" w:rsidRPr="001A45DF" w:rsidRDefault="00DD0961" w:rsidP="00DD0961">
            <w:pPr>
              <w:pStyle w:val="Heading2"/>
              <w:numPr>
                <w:ilvl w:val="0"/>
                <w:numId w:val="0"/>
              </w:numPr>
              <w:jc w:val="center"/>
              <w:outlineLvl w:val="1"/>
              <w:rPr>
                <w:sz w:val="24"/>
                <w:szCs w:val="24"/>
              </w:rPr>
            </w:pPr>
            <w:r w:rsidRPr="001A45DF">
              <w:rPr>
                <w:sz w:val="24"/>
                <w:szCs w:val="24"/>
              </w:rPr>
              <w:t>1</w:t>
            </w:r>
          </w:p>
        </w:tc>
        <w:tc>
          <w:tcPr>
            <w:tcW w:w="1771" w:type="dxa"/>
          </w:tcPr>
          <w:p w14:paraId="4D6E023E" w14:textId="77777777" w:rsidR="00DD0961" w:rsidRPr="001A45DF" w:rsidRDefault="00DD0961" w:rsidP="00DD0961">
            <w:pPr>
              <w:pStyle w:val="Heading2"/>
              <w:numPr>
                <w:ilvl w:val="0"/>
                <w:numId w:val="0"/>
              </w:numPr>
              <w:jc w:val="left"/>
              <w:outlineLvl w:val="1"/>
              <w:rPr>
                <w:sz w:val="24"/>
                <w:szCs w:val="24"/>
              </w:rPr>
            </w:pPr>
            <w:r w:rsidRPr="005B318E">
              <w:rPr>
                <w:sz w:val="24"/>
                <w:szCs w:val="24"/>
              </w:rPr>
              <w:t>Delivery timescales</w:t>
            </w:r>
          </w:p>
        </w:tc>
        <w:tc>
          <w:tcPr>
            <w:tcW w:w="3827" w:type="dxa"/>
          </w:tcPr>
          <w:p w14:paraId="1058D7FF" w14:textId="77777777" w:rsidR="00DD0961" w:rsidRPr="001A45DF" w:rsidRDefault="00DD0961" w:rsidP="00DD0961">
            <w:pPr>
              <w:pStyle w:val="Heading2"/>
              <w:numPr>
                <w:ilvl w:val="0"/>
                <w:numId w:val="0"/>
              </w:numPr>
              <w:jc w:val="left"/>
              <w:outlineLvl w:val="1"/>
              <w:rPr>
                <w:sz w:val="24"/>
                <w:szCs w:val="24"/>
              </w:rPr>
            </w:pPr>
            <w:r>
              <w:rPr>
                <w:sz w:val="24"/>
                <w:szCs w:val="24"/>
              </w:rPr>
              <w:t>Any issues around meeting key milestones to be raised with the Cabinet Office sponsor team within 2 working days</w:t>
            </w:r>
          </w:p>
        </w:tc>
        <w:tc>
          <w:tcPr>
            <w:tcW w:w="1653" w:type="dxa"/>
          </w:tcPr>
          <w:p w14:paraId="3B631273" w14:textId="77777777" w:rsidR="00DD0961" w:rsidRPr="001A45DF" w:rsidRDefault="00DD0961" w:rsidP="00DD0961">
            <w:pPr>
              <w:pStyle w:val="Heading2"/>
              <w:numPr>
                <w:ilvl w:val="0"/>
                <w:numId w:val="0"/>
              </w:numPr>
              <w:outlineLvl w:val="1"/>
              <w:rPr>
                <w:sz w:val="24"/>
                <w:szCs w:val="24"/>
              </w:rPr>
            </w:pPr>
            <w:r>
              <w:rPr>
                <w:sz w:val="24"/>
                <w:szCs w:val="24"/>
              </w:rPr>
              <w:t>100%</w:t>
            </w:r>
          </w:p>
        </w:tc>
      </w:tr>
    </w:tbl>
    <w:p w14:paraId="1FF29A2F" w14:textId="77777777" w:rsidR="00DD0961" w:rsidRDefault="00DD0961" w:rsidP="00DD0961">
      <w:pPr>
        <w:pStyle w:val="Heading2"/>
        <w:numPr>
          <w:ilvl w:val="0"/>
          <w:numId w:val="0"/>
        </w:numPr>
        <w:ind w:left="720"/>
      </w:pPr>
    </w:p>
    <w:p w14:paraId="3911C142" w14:textId="77777777" w:rsidR="00DD0961" w:rsidRPr="001A45DF" w:rsidRDefault="00DD0961" w:rsidP="00DD0961">
      <w:pPr>
        <w:pStyle w:val="Heading1"/>
        <w:spacing w:after="120"/>
        <w:rPr>
          <w:sz w:val="32"/>
          <w:szCs w:val="32"/>
        </w:rPr>
      </w:pPr>
      <w:bookmarkStart w:id="140" w:name="_Toc368573040"/>
      <w:bookmarkStart w:id="141" w:name="_Toc34225051"/>
      <w:r w:rsidRPr="001A45DF">
        <w:rPr>
          <w:sz w:val="32"/>
          <w:szCs w:val="32"/>
        </w:rPr>
        <w:t>Security and CONFIDENTIALITY requirements</w:t>
      </w:r>
      <w:bookmarkEnd w:id="140"/>
      <w:bookmarkEnd w:id="141"/>
    </w:p>
    <w:p w14:paraId="792FE60D" w14:textId="77777777" w:rsidR="00DD0961" w:rsidRPr="005263E6" w:rsidRDefault="00DD0961" w:rsidP="00DD0961">
      <w:pPr>
        <w:pStyle w:val="Heading2"/>
        <w:rPr>
          <w:rFonts w:cs="Arial"/>
          <w:color w:val="000000"/>
          <w:sz w:val="24"/>
          <w:szCs w:val="24"/>
          <w:shd w:val="clear" w:color="auto" w:fill="FFFFFF"/>
        </w:rPr>
      </w:pPr>
      <w:bookmarkStart w:id="142" w:name="_Toc34225052"/>
      <w:bookmarkStart w:id="143" w:name="_Toc368573042"/>
      <w:r w:rsidRPr="005263E6">
        <w:rPr>
          <w:rFonts w:cs="Arial"/>
          <w:color w:val="000000"/>
          <w:sz w:val="24"/>
          <w:szCs w:val="24"/>
          <w:shd w:val="clear" w:color="auto" w:fill="FFFFFF"/>
        </w:rPr>
        <w:t>The Buyer and Supplier agree that they will be independent data controllers for any personal data processed in provision of the Services.</w:t>
      </w:r>
    </w:p>
    <w:p w14:paraId="3D998233" w14:textId="77777777" w:rsidR="00DD0961" w:rsidRDefault="00DD0961" w:rsidP="00DD0961"/>
    <w:p w14:paraId="4524B392"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r w:rsidRPr="001A45DF">
        <w:rPr>
          <w:rFonts w:cs="Arial"/>
          <w:sz w:val="32"/>
          <w:szCs w:val="32"/>
        </w:rPr>
        <w:t xml:space="preserve"> payment AND INVOICING</w:t>
      </w:r>
      <w:bookmarkEnd w:id="142"/>
      <w:r w:rsidRPr="001A45DF">
        <w:rPr>
          <w:rFonts w:cs="Arial"/>
          <w:sz w:val="32"/>
          <w:szCs w:val="32"/>
        </w:rPr>
        <w:t xml:space="preserve"> </w:t>
      </w:r>
    </w:p>
    <w:p w14:paraId="2C09C819" w14:textId="77777777" w:rsidR="00DD0961" w:rsidRPr="001A45DF" w:rsidRDefault="00DD0961" w:rsidP="00DD0961">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0E4E3BAE" w14:textId="77777777" w:rsidR="00DD0961" w:rsidRPr="001A45DF" w:rsidRDefault="00DD0961" w:rsidP="00DD0961">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6A543875" w14:textId="0142CA61" w:rsidR="00DD0961" w:rsidRPr="000144AC" w:rsidRDefault="00DD0961" w:rsidP="00DD0961">
      <w:pPr>
        <w:pStyle w:val="Heading2"/>
        <w:rPr>
          <w:sz w:val="24"/>
          <w:szCs w:val="24"/>
        </w:rPr>
      </w:pPr>
      <w:r w:rsidRPr="001A45DF">
        <w:rPr>
          <w:rFonts w:cs="Arial"/>
          <w:color w:val="000000"/>
          <w:sz w:val="24"/>
          <w:szCs w:val="24"/>
          <w:shd w:val="clear" w:color="auto" w:fill="FFFFFF"/>
        </w:rPr>
        <w:t xml:space="preserve">Invoices should be submitted to: </w:t>
      </w:r>
      <w:r w:rsidR="00904733" w:rsidRPr="00904733">
        <w:rPr>
          <w:rFonts w:cs="Arial"/>
          <w:b/>
          <w:color w:val="000000"/>
          <w:sz w:val="24"/>
          <w:szCs w:val="24"/>
          <w:shd w:val="clear" w:color="auto" w:fill="FFFFFF"/>
        </w:rPr>
        <w:t>REDACTED TEXT</w:t>
      </w:r>
      <w:r>
        <w:rPr>
          <w:rFonts w:cs="Arial"/>
          <w:color w:val="000000"/>
          <w:sz w:val="24"/>
          <w:szCs w:val="24"/>
          <w:shd w:val="clear" w:color="auto" w:fill="FFFFFF"/>
        </w:rPr>
        <w:t>, Cabinet Office Inquiry Sponsor Team (</w:t>
      </w:r>
      <w:r w:rsidR="00904733" w:rsidRPr="00904733">
        <w:rPr>
          <w:rFonts w:cs="Arial"/>
          <w:b/>
          <w:sz w:val="24"/>
          <w:szCs w:val="24"/>
          <w:shd w:val="clear" w:color="auto" w:fill="FFFFFF"/>
        </w:rPr>
        <w:t>REDACTED TEXT</w:t>
      </w:r>
      <w:r>
        <w:rPr>
          <w:rFonts w:cs="Arial"/>
          <w:color w:val="000000"/>
          <w:sz w:val="24"/>
          <w:szCs w:val="24"/>
          <w:shd w:val="clear" w:color="auto" w:fill="FFFFFF"/>
        </w:rPr>
        <w:t>).</w:t>
      </w:r>
    </w:p>
    <w:p w14:paraId="3C06CDD3" w14:textId="77777777" w:rsidR="00DD0961" w:rsidRPr="001A45DF" w:rsidRDefault="00DD0961" w:rsidP="00DD0961">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144" w:name="_Toc34225053"/>
      <w:bookmarkEnd w:id="143"/>
      <w:r w:rsidRPr="001A45DF">
        <w:rPr>
          <w:rFonts w:cs="Arial"/>
          <w:sz w:val="32"/>
          <w:szCs w:val="32"/>
        </w:rPr>
        <w:t>CONTRACT MANAGEMENT</w:t>
      </w:r>
      <w:bookmarkEnd w:id="144"/>
      <w:r w:rsidRPr="001A45DF">
        <w:rPr>
          <w:rFonts w:cs="Arial"/>
          <w:sz w:val="32"/>
          <w:szCs w:val="32"/>
        </w:rPr>
        <w:t xml:space="preserve"> </w:t>
      </w:r>
    </w:p>
    <w:p w14:paraId="6C12F203" w14:textId="77777777" w:rsidR="00DD0961" w:rsidRPr="009106C8" w:rsidRDefault="00DD0961" w:rsidP="00DD0961">
      <w:pPr>
        <w:pStyle w:val="Heading2"/>
        <w:spacing w:after="120"/>
        <w:ind w:left="709" w:hanging="709"/>
        <w:rPr>
          <w:sz w:val="24"/>
          <w:szCs w:val="24"/>
        </w:rPr>
      </w:pPr>
      <w:r w:rsidRPr="009106C8">
        <w:rPr>
          <w:sz w:val="24"/>
          <w:szCs w:val="24"/>
        </w:rPr>
        <w:t>Attendance at Contract Review meetings shall be at the Supplier’s own expense.</w:t>
      </w:r>
    </w:p>
    <w:p w14:paraId="2DDB5F8B" w14:textId="77777777" w:rsidR="00DD0961" w:rsidRPr="009106C8" w:rsidRDefault="00DD0961" w:rsidP="00DD0961">
      <w:pPr>
        <w:pStyle w:val="Heading1"/>
        <w:spacing w:after="120"/>
        <w:rPr>
          <w:sz w:val="32"/>
          <w:szCs w:val="32"/>
        </w:rPr>
      </w:pPr>
      <w:bookmarkStart w:id="145" w:name="_Toc368573043"/>
      <w:bookmarkStart w:id="146" w:name="_Toc34225054"/>
      <w:bookmarkEnd w:id="125"/>
      <w:r w:rsidRPr="009106C8">
        <w:rPr>
          <w:sz w:val="32"/>
          <w:szCs w:val="32"/>
        </w:rPr>
        <w:t>Location</w:t>
      </w:r>
      <w:bookmarkEnd w:id="145"/>
      <w:bookmarkEnd w:id="146"/>
      <w:r w:rsidRPr="009106C8">
        <w:rPr>
          <w:sz w:val="32"/>
          <w:szCs w:val="32"/>
        </w:rPr>
        <w:t xml:space="preserve"> </w:t>
      </w:r>
    </w:p>
    <w:p w14:paraId="53ED141D" w14:textId="77777777" w:rsidR="00DD0961" w:rsidRPr="009106C8" w:rsidRDefault="00DD0961" w:rsidP="00DD0961">
      <w:pPr>
        <w:pStyle w:val="Heading2"/>
        <w:tabs>
          <w:tab w:val="clear" w:pos="720"/>
          <w:tab w:val="num" w:pos="709"/>
        </w:tabs>
        <w:spacing w:after="120"/>
        <w:ind w:left="709" w:hanging="709"/>
        <w:rPr>
          <w:sz w:val="24"/>
          <w:szCs w:val="24"/>
        </w:rPr>
      </w:pPr>
      <w:r w:rsidRPr="009106C8">
        <w:rPr>
          <w:sz w:val="24"/>
          <w:szCs w:val="24"/>
        </w:rPr>
        <w:t xml:space="preserve">The location of the Services will be carried out at </w:t>
      </w:r>
      <w:r>
        <w:rPr>
          <w:sz w:val="24"/>
          <w:szCs w:val="24"/>
        </w:rPr>
        <w:t>Perrett Laver’s premises, 8 – 10 Great George Street, London, SW1P 3AE.</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47" w:name="_Toc444688624"/>
      <w:r w:rsidRPr="001167A3">
        <w:rPr>
          <w:rFonts w:eastAsia="Times New Roman"/>
          <w:b/>
          <w:szCs w:val="22"/>
          <w:lang w:eastAsia="en-US"/>
        </w:rPr>
        <w:lastRenderedPageBreak/>
        <w:t>ANNEX 4 – SUPPLIERS RESPONSE</w:t>
      </w:r>
      <w:bookmarkEnd w:id="147"/>
    </w:p>
    <w:p w14:paraId="4D5AF130" w14:textId="227D3FAF"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p>
    <w:p w14:paraId="6B8DC66A" w14:textId="6EB331E5" w:rsidR="00174DC0" w:rsidRPr="00904733" w:rsidRDefault="00904733" w:rsidP="00174DC0">
      <w:pPr>
        <w:pStyle w:val="ScheduleLevel1"/>
        <w:numPr>
          <w:ilvl w:val="0"/>
          <w:numId w:val="0"/>
        </w:numPr>
        <w:spacing w:after="120"/>
        <w:jc w:val="center"/>
        <w:rPr>
          <w:rFonts w:cs="Arial"/>
          <w:b/>
          <w:szCs w:val="22"/>
          <w:highlight w:val="yellow"/>
        </w:rPr>
      </w:pPr>
      <w:r w:rsidRPr="00904733">
        <w:rPr>
          <w:b/>
          <w:szCs w:val="22"/>
        </w:rPr>
        <w:t>REDACTED TEXT</w:t>
      </w:r>
    </w:p>
    <w:p w14:paraId="160CA3BA" w14:textId="2F812C78" w:rsidR="00174DC0" w:rsidRDefault="00174DC0" w:rsidP="00645532">
      <w:pPr>
        <w:rPr>
          <w:rFonts w:eastAsia="Times New Roman"/>
          <w:b/>
          <w:szCs w:val="22"/>
          <w:lang w:eastAsia="en-US"/>
        </w:rPr>
      </w:pPr>
      <w:bookmarkStart w:id="148" w:name="_Toc437243999"/>
      <w:r>
        <w:rPr>
          <w:rFonts w:eastAsia="Times New Roman"/>
          <w:b/>
          <w:szCs w:val="22"/>
          <w:lang w:eastAsia="en-US"/>
        </w:rPr>
        <w:br w:type="page"/>
      </w: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49" w:name="_Toc444688625"/>
      <w:r w:rsidRPr="00506046">
        <w:rPr>
          <w:rFonts w:eastAsia="Times New Roman"/>
          <w:b/>
          <w:szCs w:val="22"/>
          <w:lang w:eastAsia="en-US"/>
        </w:rPr>
        <w:t>ANNEX 5 – CLARIFICATIONS</w:t>
      </w:r>
      <w:bookmarkEnd w:id="148"/>
      <w:bookmarkEnd w:id="149"/>
    </w:p>
    <w:p w14:paraId="4416EF89" w14:textId="764ED150" w:rsidR="00174DC0" w:rsidRPr="00913679" w:rsidRDefault="000049C2" w:rsidP="00174DC0">
      <w:pPr>
        <w:pStyle w:val="ScheduleLevel1"/>
        <w:numPr>
          <w:ilvl w:val="0"/>
          <w:numId w:val="0"/>
        </w:numPr>
        <w:spacing w:after="120"/>
        <w:jc w:val="center"/>
        <w:rPr>
          <w:rFonts w:cs="Arial"/>
          <w:b/>
          <w:szCs w:val="22"/>
        </w:rPr>
      </w:pPr>
      <w:r w:rsidRPr="00081FDA">
        <w:rPr>
          <w:rFonts w:cs="Arial"/>
          <w:b/>
          <w:szCs w:val="22"/>
        </w:rPr>
        <w:t>Not A</w:t>
      </w:r>
      <w:r w:rsidR="00174DC0" w:rsidRPr="00081FDA">
        <w:rPr>
          <w:rFonts w:cs="Arial"/>
          <w:b/>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2559F253" w14:textId="35C87CFB" w:rsidR="00DD0961" w:rsidRPr="00DD0961" w:rsidRDefault="00DD0961" w:rsidP="006C4B7C">
      <w:pPr>
        <w:widowControl w:val="0"/>
        <w:tabs>
          <w:tab w:val="num" w:pos="540"/>
        </w:tabs>
        <w:spacing w:after="100" w:afterAutospacing="1"/>
        <w:jc w:val="center"/>
        <w:outlineLvl w:val="0"/>
        <w:rPr>
          <w:rFonts w:eastAsia="Times New Roman"/>
          <w:b/>
          <w:szCs w:val="22"/>
          <w:lang w:eastAsia="en-US"/>
        </w:rPr>
      </w:pPr>
      <w:bookmarkStart w:id="150" w:name="_Toc439318929"/>
      <w:bookmarkStart w:id="151" w:name="_Toc444688626"/>
      <w:bookmarkStart w:id="152" w:name="_Toc440457130"/>
      <w:bookmarkStart w:id="153" w:name="_Toc444688627"/>
      <w:r w:rsidRPr="00DD0961">
        <w:rPr>
          <w:rFonts w:eastAsia="Times New Roman"/>
          <w:b/>
          <w:szCs w:val="22"/>
          <w:lang w:eastAsia="en-US"/>
        </w:rPr>
        <w:lastRenderedPageBreak/>
        <w:t>ANNEX 6 – ADDITIONAL TERMS &amp; CONDITIONS</w:t>
      </w:r>
      <w:bookmarkEnd w:id="150"/>
      <w:bookmarkEnd w:id="151"/>
    </w:p>
    <w:p w14:paraId="4E6B018F" w14:textId="7390E075"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Not Applicable</w:t>
      </w:r>
      <w:r w:rsidR="00DE5A52">
        <w:rPr>
          <w:rFonts w:eastAsia="Times New Roman"/>
          <w:b/>
          <w:szCs w:val="22"/>
          <w:lang w:eastAsia="en-US"/>
        </w:rPr>
        <w:t xml:space="preserve"> – Please refer to Annex 3 Statement of Requirements section 15.</w:t>
      </w:r>
    </w:p>
    <w:p w14:paraId="38F43AC0"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325280D7"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18BEA7B0"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530232B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688EDCDB"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51EC9C35"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23A32FCF"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246E204F"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4FC62590"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69D1ABC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19D368EB"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2837E65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71BE142B"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29F8FC00"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35D0C35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2DB9C97C"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495F768D"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3301F5B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41BCB49F"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32AB54EA"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47A9FF77" w14:textId="753E7AFC"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7900FED1" w14:textId="77777777" w:rsidR="006C4B7C" w:rsidRDefault="006C4B7C" w:rsidP="006D60CC">
      <w:pPr>
        <w:widowControl w:val="0"/>
        <w:tabs>
          <w:tab w:val="num" w:pos="540"/>
        </w:tabs>
        <w:spacing w:after="100" w:afterAutospacing="1"/>
        <w:ind w:left="851" w:hanging="851"/>
        <w:jc w:val="center"/>
        <w:outlineLvl w:val="0"/>
        <w:rPr>
          <w:rFonts w:eastAsia="Times New Roman"/>
          <w:b/>
          <w:szCs w:val="22"/>
          <w:lang w:eastAsia="en-US"/>
        </w:rPr>
      </w:pPr>
    </w:p>
    <w:p w14:paraId="6B24C624" w14:textId="77777777" w:rsidR="00DD0961" w:rsidRDefault="00DD0961" w:rsidP="006D60CC">
      <w:pPr>
        <w:widowControl w:val="0"/>
        <w:tabs>
          <w:tab w:val="num" w:pos="540"/>
        </w:tabs>
        <w:spacing w:after="100" w:afterAutospacing="1"/>
        <w:ind w:left="851" w:hanging="851"/>
        <w:jc w:val="center"/>
        <w:outlineLvl w:val="0"/>
        <w:rPr>
          <w:rFonts w:eastAsia="Times New Roman"/>
          <w:b/>
          <w:szCs w:val="22"/>
          <w:lang w:eastAsia="en-US"/>
        </w:rPr>
      </w:pPr>
    </w:p>
    <w:p w14:paraId="79C41E16" w14:textId="42CFFB22" w:rsidR="004B1AF8" w:rsidRDefault="000B01FD" w:rsidP="006C4B7C">
      <w:pPr>
        <w:widowControl w:val="0"/>
        <w:tabs>
          <w:tab w:val="num" w:pos="540"/>
        </w:tabs>
        <w:spacing w:after="100" w:afterAutospacing="1"/>
        <w:jc w:val="center"/>
        <w:outlineLvl w:val="0"/>
        <w:rPr>
          <w:rFonts w:eastAsia="Times New Roman"/>
          <w:b/>
          <w:szCs w:val="22"/>
          <w:lang w:eastAsia="en-US"/>
        </w:rPr>
      </w:pPr>
      <w:r w:rsidRPr="00D66848">
        <w:rPr>
          <w:rFonts w:eastAsia="Times New Roman"/>
          <w:b/>
          <w:szCs w:val="22"/>
          <w:lang w:eastAsia="en-US"/>
        </w:rPr>
        <w:lastRenderedPageBreak/>
        <w:t>ANNEX 7 – CHANGE CONTROL FORMS</w:t>
      </w:r>
      <w:bookmarkEnd w:id="152"/>
      <w:bookmarkEnd w:id="153"/>
    </w:p>
    <w:p w14:paraId="730778F9" w14:textId="4A47D1A3"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47C95B8F" w:rsidR="00B40533" w:rsidRPr="00C4129F" w:rsidRDefault="00B40533" w:rsidP="00C24981">
            <w:pPr>
              <w:rPr>
                <w:color w:val="FF0000"/>
              </w:rPr>
            </w:pPr>
            <w:r w:rsidRPr="00C4129F">
              <w:t xml:space="preserve">Contract for the Provision of </w:t>
            </w:r>
            <w:r w:rsidR="00C24981" w:rsidRPr="00C4129F">
              <w:rPr>
                <w:b/>
                <w:szCs w:val="22"/>
              </w:rPr>
              <w:t>a search to identify candidates to sit on the panel of the Grenfell Tower Inquiry</w:t>
            </w:r>
            <w:r w:rsidRPr="00C4129F">
              <w:t xml:space="preserve"> (The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C4129F"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C4129F"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Pr="00C4129F" w:rsidRDefault="00B40533" w:rsidP="00B40533">
            <w:pPr>
              <w:rPr>
                <w:rFonts w:ascii="Calibri" w:hAnsi="Calibri" w:cs="Arial"/>
                <w:b/>
                <w:iCs/>
              </w:rPr>
            </w:pPr>
          </w:p>
          <w:p w14:paraId="6B6A07A2" w14:textId="46C81DB9" w:rsidR="00B40533" w:rsidRPr="00C4129F" w:rsidRDefault="00B40533" w:rsidP="00B40533">
            <w:pPr>
              <w:rPr>
                <w:rFonts w:ascii="Calibri" w:hAnsi="Calibri" w:cs="Arial"/>
                <w:iCs/>
              </w:rPr>
            </w:pPr>
            <w:r w:rsidRPr="00C4129F">
              <w:rPr>
                <w:rFonts w:ascii="Calibri" w:hAnsi="Calibri" w:cs="Arial"/>
                <w:b/>
                <w:iCs/>
              </w:rPr>
              <w:t>Between</w:t>
            </w:r>
            <w:r w:rsidRPr="00C4129F">
              <w:rPr>
                <w:rFonts w:ascii="Calibri" w:hAnsi="Calibri" w:cs="Arial"/>
                <w:iCs/>
              </w:rPr>
              <w:t>:</w:t>
            </w:r>
            <w:r w:rsidRPr="00C4129F">
              <w:rPr>
                <w:rFonts w:ascii="Calibri" w:hAnsi="Calibri" w:cs="Arial"/>
                <w:iCs/>
                <w:color w:val="FF0000"/>
              </w:rPr>
              <w:t xml:space="preserve"> </w:t>
            </w:r>
            <w:r w:rsidRPr="00C4129F">
              <w:rPr>
                <w:rFonts w:ascii="Calibri" w:hAnsi="Calibri" w:cs="Arial"/>
                <w:iCs/>
              </w:rPr>
              <w:t>The</w:t>
            </w:r>
            <w:r w:rsidRPr="00C4129F">
              <w:rPr>
                <w:rFonts w:ascii="Calibri" w:hAnsi="Calibri" w:cs="Arial"/>
                <w:iCs/>
                <w:color w:val="FF0000"/>
              </w:rPr>
              <w:t xml:space="preserve"> </w:t>
            </w:r>
            <w:r w:rsidR="00C24981" w:rsidRPr="00C4129F">
              <w:rPr>
                <w:rFonts w:ascii="Calibri" w:hAnsi="Calibri" w:cs="Arial"/>
                <w:b/>
                <w:iCs/>
              </w:rPr>
              <w:t>Cabinet Office</w:t>
            </w:r>
            <w:r w:rsidRPr="00C4129F">
              <w:rPr>
                <w:rFonts w:ascii="Calibri" w:hAnsi="Calibri" w:cs="Arial"/>
                <w:iCs/>
              </w:rPr>
              <w:t xml:space="preserve"> </w:t>
            </w:r>
            <w:r w:rsidR="00383309" w:rsidRPr="00C4129F">
              <w:rPr>
                <w:rFonts w:ascii="Calibri" w:hAnsi="Calibri" w:cs="Arial"/>
                <w:iCs/>
              </w:rPr>
              <w:t>(The Customer</w:t>
            </w:r>
            <w:r w:rsidRPr="00C4129F">
              <w:rPr>
                <w:rFonts w:ascii="Calibri" w:hAnsi="Calibri" w:cs="Arial"/>
                <w:iCs/>
              </w:rPr>
              <w:t xml:space="preserve">) and </w:t>
            </w:r>
            <w:r w:rsidR="00C24981" w:rsidRPr="00C4129F">
              <w:rPr>
                <w:rFonts w:ascii="Calibri" w:hAnsi="Calibri" w:cs="Arial"/>
                <w:b/>
                <w:iCs/>
              </w:rPr>
              <w:t>Perrett Laver</w:t>
            </w:r>
            <w:r w:rsidRPr="00C4129F">
              <w:rPr>
                <w:rFonts w:ascii="Calibri" w:hAnsi="Calibri" w:cs="Arial"/>
                <w:iCs/>
              </w:rPr>
              <w:t xml:space="preserve"> (The Supplier)</w:t>
            </w:r>
          </w:p>
          <w:p w14:paraId="5DB3B8E0" w14:textId="77777777" w:rsidR="00B40533" w:rsidRPr="00C4129F" w:rsidRDefault="00B40533" w:rsidP="00B40533">
            <w:pPr>
              <w:rPr>
                <w:rFonts w:ascii="Calibri" w:hAnsi="Calibri" w:cs="Arial"/>
                <w:iCs/>
              </w:rPr>
            </w:pPr>
          </w:p>
          <w:p w14:paraId="1E337F67" w14:textId="77777777" w:rsidR="00B40533" w:rsidRPr="00C4129F" w:rsidRDefault="00B40533" w:rsidP="00C86C03">
            <w:pPr>
              <w:pStyle w:val="ListParagraph"/>
              <w:numPr>
                <w:ilvl w:val="0"/>
                <w:numId w:val="26"/>
              </w:numPr>
              <w:adjustRightInd/>
              <w:ind w:left="360" w:hanging="360"/>
              <w:contextualSpacing/>
              <w:jc w:val="left"/>
              <w:rPr>
                <w:rFonts w:ascii="Calibri" w:hAnsi="Calibri" w:cs="Arial"/>
                <w:iCs/>
              </w:rPr>
            </w:pPr>
            <w:r w:rsidRPr="00C4129F">
              <w:rPr>
                <w:rFonts w:ascii="Calibri" w:hAnsi="Calibri" w:cs="Arial"/>
                <w:iCs/>
              </w:rPr>
              <w:t>The Contract is varied as follows:</w:t>
            </w:r>
          </w:p>
          <w:p w14:paraId="0F0A7432" w14:textId="77777777" w:rsidR="00B40533" w:rsidRPr="00C4129F" w:rsidRDefault="00B40533" w:rsidP="00B40533">
            <w:pPr>
              <w:pStyle w:val="ListParagraph"/>
              <w:adjustRightInd/>
              <w:ind w:left="360"/>
              <w:contextualSpacing/>
              <w:jc w:val="left"/>
              <w:rPr>
                <w:rFonts w:ascii="Calibri" w:hAnsi="Calibri" w:cs="Arial"/>
                <w:iCs/>
              </w:rPr>
            </w:pPr>
          </w:p>
          <w:p w14:paraId="65D76656" w14:textId="566BA1BC" w:rsidR="00B40533" w:rsidRPr="00C4129F" w:rsidRDefault="00383309" w:rsidP="00B40533">
            <w:pPr>
              <w:pStyle w:val="ListParagraph"/>
              <w:adjustRightInd/>
              <w:ind w:left="360"/>
              <w:contextualSpacing/>
              <w:jc w:val="left"/>
              <w:rPr>
                <w:rFonts w:ascii="Calibri" w:hAnsi="Calibri" w:cs="Arial"/>
                <w:iCs/>
              </w:rPr>
            </w:pPr>
            <w:r w:rsidRPr="00C4129F">
              <w:rPr>
                <w:rFonts w:ascii="Calibri" w:hAnsi="Calibri" w:cs="Arial"/>
                <w:iCs/>
              </w:rPr>
              <w:t xml:space="preserve">1.1. </w:t>
            </w:r>
            <w:r w:rsidRPr="00C4129F">
              <w:rPr>
                <w:rFonts w:ascii="Calibri" w:hAnsi="Calibri" w:cs="Arial"/>
                <w:b/>
                <w:iCs/>
              </w:rPr>
              <w:t>Insert</w:t>
            </w:r>
            <w:r w:rsidR="00B40533" w:rsidRPr="00C4129F">
              <w:rPr>
                <w:rFonts w:ascii="Calibri" w:hAnsi="Calibri" w:cs="Arial"/>
                <w:b/>
                <w:iCs/>
              </w:rPr>
              <w:t xml:space="preserve"> details of changes</w:t>
            </w:r>
            <w:r w:rsidRPr="00C4129F">
              <w:rPr>
                <w:rFonts w:ascii="Calibri" w:hAnsi="Calibri" w:cs="Arial"/>
                <w:b/>
                <w:iCs/>
              </w:rPr>
              <w:t xml:space="preserve"> to the </w:t>
            </w:r>
            <w:r w:rsidR="00B40533" w:rsidRPr="00C4129F">
              <w:rPr>
                <w:rFonts w:ascii="Calibri" w:hAnsi="Calibri" w:cs="Arial"/>
                <w:b/>
                <w:iCs/>
              </w:rPr>
              <w:t>original contract</w:t>
            </w:r>
            <w:r w:rsidR="00336839" w:rsidRPr="00C4129F">
              <w:rPr>
                <w:rFonts w:ascii="Calibri" w:hAnsi="Calibri" w:cs="Arial"/>
                <w:b/>
                <w:iCs/>
              </w:rPr>
              <w:t>.</w:t>
            </w:r>
          </w:p>
          <w:p w14:paraId="0A726BA3" w14:textId="77777777" w:rsidR="00B40533" w:rsidRPr="00C4129F" w:rsidRDefault="00B40533" w:rsidP="00C86C03">
            <w:pPr>
              <w:pStyle w:val="MarginText"/>
              <w:keepNext/>
              <w:numPr>
                <w:ilvl w:val="0"/>
                <w:numId w:val="26"/>
              </w:numPr>
              <w:spacing w:before="240" w:after="120"/>
              <w:ind w:left="360" w:hanging="360"/>
              <w:rPr>
                <w:rFonts w:ascii="Calibri" w:hAnsi="Calibri" w:cs="Arial"/>
                <w:szCs w:val="22"/>
              </w:rPr>
            </w:pPr>
            <w:r w:rsidRPr="00C4129F">
              <w:rPr>
                <w:rFonts w:ascii="Calibri" w:hAnsi="Calibri" w:cs="Arial"/>
                <w:szCs w:val="22"/>
              </w:rPr>
              <w:t>Words and expressions in this Change Control Notice shall have the meanings given to them in the Contract.</w:t>
            </w:r>
          </w:p>
          <w:p w14:paraId="6298126C" w14:textId="77777777" w:rsidR="00B40533" w:rsidRPr="00C4129F" w:rsidRDefault="00B40533" w:rsidP="00C86C03">
            <w:pPr>
              <w:pStyle w:val="MarginText"/>
              <w:keepNext/>
              <w:numPr>
                <w:ilvl w:val="0"/>
                <w:numId w:val="26"/>
              </w:numPr>
              <w:spacing w:before="240" w:after="120"/>
              <w:ind w:left="360" w:hanging="360"/>
              <w:rPr>
                <w:rFonts w:asciiTheme="minorHAnsi" w:hAnsiTheme="minorHAnsi" w:cs="Arial"/>
                <w:szCs w:val="22"/>
              </w:rPr>
            </w:pPr>
            <w:r w:rsidRPr="00C4129F">
              <w:rPr>
                <w:rFonts w:asciiTheme="minorHAnsi" w:hAnsiTheme="minorHAnsi"/>
                <w:szCs w:val="22"/>
              </w:rPr>
              <w:t xml:space="preserve">The Contract, including any previous Contract changes, authorised in writing by both Parties, shall remain effective and unaltered </w:t>
            </w:r>
            <w:r w:rsidRPr="00C4129F">
              <w:rPr>
                <w:rFonts w:asciiTheme="minorHAnsi" w:hAnsiTheme="minorHAnsi" w:cs="Arial"/>
                <w:szCs w:val="22"/>
              </w:rPr>
              <w:t>except as amended by this Change Control Notice.</w:t>
            </w:r>
          </w:p>
          <w:p w14:paraId="7F079AA3" w14:textId="77777777" w:rsidR="00B40533" w:rsidRPr="00C4129F" w:rsidRDefault="00B40533" w:rsidP="00B40533">
            <w:pPr>
              <w:rPr>
                <w:rFonts w:ascii="Calibri" w:hAnsi="Calibri" w:cs="Arial"/>
                <w:iCs/>
              </w:rPr>
            </w:pPr>
          </w:p>
          <w:p w14:paraId="61C46483" w14:textId="77777777" w:rsidR="00B40533" w:rsidRPr="00C4129F"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255FD2" w:rsidRDefault="00255FD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255FD2" w:rsidRDefault="00255FD2"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255FD2" w:rsidRDefault="00255FD2"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255FD2" w:rsidRDefault="00255FD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255FD2" w:rsidRDefault="00255FD2"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255FD2" w:rsidRDefault="00255FD2"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255FD2" w:rsidRDefault="00255FD2"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255FD2" w:rsidRDefault="00255FD2"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255FD2" w:rsidRDefault="00255FD2"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255FD2" w:rsidRDefault="00255FD2"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255FD2" w:rsidRDefault="00255FD2">
      <w:pPr>
        <w:spacing w:line="20" w:lineRule="exact"/>
      </w:pPr>
    </w:p>
  </w:endnote>
  <w:endnote w:type="continuationSeparator" w:id="0">
    <w:p w14:paraId="0DA0E19E" w14:textId="77777777" w:rsidR="00255FD2" w:rsidRDefault="00255FD2">
      <w:pPr>
        <w:spacing w:line="20" w:lineRule="exact"/>
      </w:pPr>
      <w:r>
        <w:t xml:space="preserve"> </w:t>
      </w:r>
    </w:p>
  </w:endnote>
  <w:endnote w:type="continuationNotice" w:id="1">
    <w:p w14:paraId="397CC4BC" w14:textId="77777777" w:rsidR="00255FD2" w:rsidRDefault="00255FD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255FD2" w:rsidRDefault="00255FD2"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55FD2" w:rsidRDefault="00255FD2"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55FD2" w:rsidRDefault="00255FD2"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255FD2" w:rsidRPr="00C34E12" w:rsidRDefault="00255FD2"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55FD2" w:rsidRDefault="00255FD2"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255FD2" w:rsidRPr="00A65391" w:rsidRDefault="00255FD2"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255FD2" w:rsidRPr="00CE50FE" w:rsidRDefault="00255FD2" w:rsidP="00F70073">
        <w:pPr>
          <w:pStyle w:val="Footer"/>
          <w:pBdr>
            <w:top w:val="single" w:sz="4" w:space="1" w:color="auto"/>
          </w:pBdr>
          <w:jc w:val="center"/>
          <w:rPr>
            <w:sz w:val="20"/>
            <w:szCs w:val="20"/>
          </w:rPr>
        </w:pPr>
        <w:r w:rsidRPr="00CE50FE">
          <w:rPr>
            <w:sz w:val="20"/>
            <w:szCs w:val="20"/>
          </w:rPr>
          <w:t>OFFICIAL</w:t>
        </w:r>
      </w:p>
      <w:p w14:paraId="6369C02F" w14:textId="77777777" w:rsidR="00255FD2" w:rsidRPr="00CE50FE" w:rsidRDefault="00255FD2"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255FD2" w:rsidRPr="00CE50FE" w:rsidRDefault="00255FD2"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2F20DB9A" w:rsidR="00255FD2" w:rsidRPr="00CE50FE" w:rsidRDefault="00255FD2" w:rsidP="00F70073">
        <w:pPr>
          <w:pStyle w:val="Footer"/>
          <w:pBdr>
            <w:top w:val="single" w:sz="4" w:space="1" w:color="auto"/>
          </w:pBdr>
          <w:jc w:val="right"/>
          <w:rPr>
            <w:sz w:val="20"/>
            <w:szCs w:val="20"/>
          </w:rPr>
        </w:pPr>
        <w:r>
          <w:rPr>
            <w:sz w:val="20"/>
            <w:szCs w:val="20"/>
          </w:rPr>
          <w:t>V2.0 12</w:t>
        </w:r>
        <w:r w:rsidRPr="00081FDA">
          <w:rPr>
            <w:sz w:val="20"/>
            <w:szCs w:val="20"/>
            <w:vertAlign w:val="superscript"/>
          </w:rPr>
          <w:t>th</w:t>
        </w:r>
        <w:r>
          <w:rPr>
            <w:sz w:val="20"/>
            <w:szCs w:val="20"/>
          </w:rPr>
          <w:t xml:space="preserve"> March 2020</w:t>
        </w:r>
      </w:p>
      <w:p w14:paraId="3085C604" w14:textId="58BE134E" w:rsidR="00255FD2" w:rsidRDefault="00255FD2"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964CD9">
          <w:rPr>
            <w:noProof/>
            <w:sz w:val="20"/>
            <w:szCs w:val="20"/>
          </w:rPr>
          <w:t>22</w:t>
        </w:r>
        <w:r w:rsidRPr="00CE50FE">
          <w:rPr>
            <w:noProof/>
            <w:sz w:val="20"/>
            <w:szCs w:val="20"/>
          </w:rPr>
          <w:fldChar w:fldCharType="end"/>
        </w:r>
      </w:p>
    </w:sdtContent>
  </w:sdt>
  <w:p w14:paraId="170A480B" w14:textId="77777777" w:rsidR="00255FD2" w:rsidRPr="00360755" w:rsidRDefault="00255FD2"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255FD2" w:rsidRDefault="00255FD2">
      <w:r>
        <w:separator/>
      </w:r>
    </w:p>
  </w:footnote>
  <w:footnote w:type="continuationSeparator" w:id="0">
    <w:p w14:paraId="29CDF82A" w14:textId="77777777" w:rsidR="00255FD2" w:rsidRDefault="00255FD2">
      <w:r>
        <w:continuationSeparator/>
      </w:r>
    </w:p>
  </w:footnote>
  <w:footnote w:type="continuationNotice" w:id="1">
    <w:p w14:paraId="3158D084" w14:textId="77777777" w:rsidR="00255FD2" w:rsidRDefault="00255F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255FD2" w:rsidRDefault="00255FD2"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255FD2" w:rsidRDefault="00255FD2" w:rsidP="00F3190B">
    <w:pPr>
      <w:pStyle w:val="Header"/>
      <w:jc w:val="center"/>
      <w:rPr>
        <w:b/>
      </w:rPr>
    </w:pPr>
  </w:p>
  <w:p w14:paraId="64559850" w14:textId="77777777" w:rsidR="00255FD2" w:rsidRDefault="00255FD2"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255FD2" w:rsidRDefault="00255FD2"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255FD2" w:rsidRDefault="00255FD2"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37743D88" w:rsidR="00255FD2" w:rsidRPr="000D4F46" w:rsidRDefault="00255FD2" w:rsidP="00F70073">
    <w:pPr>
      <w:pStyle w:val="Header"/>
      <w:pBdr>
        <w:bottom w:val="single" w:sz="4" w:space="1" w:color="auto"/>
      </w:pBdr>
      <w:jc w:val="center"/>
      <w:rPr>
        <w:rFonts w:cs="Arial"/>
        <w:sz w:val="20"/>
        <w:szCs w:val="20"/>
        <w:highlight w:val="yellow"/>
      </w:rPr>
    </w:pPr>
    <w:r w:rsidRPr="00081FDA">
      <w:rPr>
        <w:rFonts w:cs="Arial"/>
        <w:sz w:val="20"/>
        <w:szCs w:val="20"/>
      </w:rPr>
      <w:t>The Provision of Recruitment for the Grenfell Tower Inquiry Panel</w:t>
    </w:r>
  </w:p>
  <w:p w14:paraId="7FECFEFB" w14:textId="0791C78E" w:rsidR="00255FD2" w:rsidRDefault="00255FD2" w:rsidP="00F70073">
    <w:pPr>
      <w:pStyle w:val="Header"/>
      <w:pBdr>
        <w:bottom w:val="single" w:sz="4" w:space="1" w:color="auto"/>
      </w:pBdr>
      <w:jc w:val="center"/>
      <w:rPr>
        <w:rFonts w:cs="Arial"/>
        <w:sz w:val="20"/>
        <w:szCs w:val="20"/>
      </w:rPr>
    </w:pPr>
    <w:r>
      <w:rPr>
        <w:rFonts w:cs="Arial"/>
        <w:sz w:val="20"/>
        <w:szCs w:val="20"/>
      </w:rPr>
      <w:t>CCHR20A21</w:t>
    </w:r>
  </w:p>
  <w:p w14:paraId="41FED4DA" w14:textId="77777777" w:rsidR="00255FD2" w:rsidRDefault="00255FD2" w:rsidP="00F70073">
    <w:pPr>
      <w:pStyle w:val="Header"/>
      <w:pBdr>
        <w:bottom w:val="single" w:sz="4" w:space="1" w:color="auto"/>
      </w:pBdr>
      <w:jc w:val="center"/>
    </w:pPr>
  </w:p>
  <w:p w14:paraId="68388EBA" w14:textId="77777777" w:rsidR="00255FD2" w:rsidRDefault="00255FD2"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4190A40"/>
    <w:multiLevelType w:val="multilevel"/>
    <w:tmpl w:val="E0E0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7"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2B50F1C"/>
    <w:multiLevelType w:val="hybridMultilevel"/>
    <w:tmpl w:val="9F7274E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A932909"/>
    <w:multiLevelType w:val="multilevel"/>
    <w:tmpl w:val="E0E0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39"/>
  </w:num>
  <w:num w:numId="17">
    <w:abstractNumId w:val="9"/>
  </w:num>
  <w:num w:numId="18">
    <w:abstractNumId w:val="23"/>
  </w:num>
  <w:num w:numId="19">
    <w:abstractNumId w:val="20"/>
  </w:num>
  <w:num w:numId="20">
    <w:abstractNumId w:val="34"/>
  </w:num>
  <w:num w:numId="21">
    <w:abstractNumId w:val="13"/>
  </w:num>
  <w:num w:numId="22">
    <w:abstractNumId w:val="42"/>
  </w:num>
  <w:num w:numId="23">
    <w:abstractNumId w:val="15"/>
  </w:num>
  <w:num w:numId="24">
    <w:abstractNumId w:val="33"/>
  </w:num>
  <w:num w:numId="25">
    <w:abstractNumId w:val="22"/>
  </w:num>
  <w:num w:numId="26">
    <w:abstractNumId w:val="25"/>
  </w:num>
  <w:num w:numId="27">
    <w:abstractNumId w:val="41"/>
  </w:num>
  <w:num w:numId="28">
    <w:abstractNumId w:val="47"/>
  </w:num>
  <w:num w:numId="29">
    <w:abstractNumId w:val="19"/>
  </w:num>
  <w:num w:numId="30">
    <w:abstractNumId w:val="26"/>
  </w:num>
  <w:num w:numId="31">
    <w:abstractNumId w:val="36"/>
  </w:num>
  <w:num w:numId="32">
    <w:abstractNumId w:val="35"/>
  </w:num>
  <w:num w:numId="33">
    <w:abstractNumId w:val="46"/>
  </w:num>
  <w:num w:numId="34">
    <w:abstractNumId w:val="16"/>
  </w:num>
  <w:num w:numId="35">
    <w:abstractNumId w:val="32"/>
  </w:num>
  <w:num w:numId="36">
    <w:abstractNumId w:val="24"/>
  </w:num>
  <w:num w:numId="37">
    <w:abstractNumId w:val="8"/>
  </w:num>
  <w:num w:numId="38">
    <w:abstractNumId w:val="27"/>
  </w:num>
  <w:num w:numId="39">
    <w:abstractNumId w:val="37"/>
  </w:num>
  <w:num w:numId="40">
    <w:abstractNumId w:val="12"/>
  </w:num>
  <w:num w:numId="41">
    <w:abstractNumId w:val="40"/>
  </w:num>
  <w:num w:numId="42">
    <w:abstractNumId w:val="43"/>
  </w:num>
  <w:num w:numId="43">
    <w:abstractNumId w:val="10"/>
  </w:num>
  <w:num w:numId="44">
    <w:abstractNumId w:val="10"/>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4"/>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1FDA"/>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D6041"/>
    <w:rsid w:val="000E3471"/>
    <w:rsid w:val="000E4C53"/>
    <w:rsid w:val="000E5CEF"/>
    <w:rsid w:val="000E6CD7"/>
    <w:rsid w:val="000F0BB3"/>
    <w:rsid w:val="000F2027"/>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5FD2"/>
    <w:rsid w:val="00257039"/>
    <w:rsid w:val="00257F38"/>
    <w:rsid w:val="002600C6"/>
    <w:rsid w:val="002608F4"/>
    <w:rsid w:val="0026119D"/>
    <w:rsid w:val="002630FA"/>
    <w:rsid w:val="002634FE"/>
    <w:rsid w:val="00266BE5"/>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5E3A"/>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2B6B"/>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2BCB"/>
    <w:rsid w:val="00453E07"/>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3F7"/>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2A5"/>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189"/>
    <w:rsid w:val="006373DB"/>
    <w:rsid w:val="00641ACD"/>
    <w:rsid w:val="00642C89"/>
    <w:rsid w:val="0064354C"/>
    <w:rsid w:val="00645532"/>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4B7C"/>
    <w:rsid w:val="006C7377"/>
    <w:rsid w:val="006D0B91"/>
    <w:rsid w:val="006D2324"/>
    <w:rsid w:val="006D3910"/>
    <w:rsid w:val="006D50D6"/>
    <w:rsid w:val="006D60CC"/>
    <w:rsid w:val="006D6196"/>
    <w:rsid w:val="006D64A7"/>
    <w:rsid w:val="006D6C85"/>
    <w:rsid w:val="006D7362"/>
    <w:rsid w:val="006E0F2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4D91"/>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4C3D"/>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8529F"/>
    <w:rsid w:val="00790F39"/>
    <w:rsid w:val="00791568"/>
    <w:rsid w:val="00792A76"/>
    <w:rsid w:val="00792F41"/>
    <w:rsid w:val="00793CFE"/>
    <w:rsid w:val="0079414C"/>
    <w:rsid w:val="007948B4"/>
    <w:rsid w:val="00795528"/>
    <w:rsid w:val="007957E7"/>
    <w:rsid w:val="007966CD"/>
    <w:rsid w:val="007A0256"/>
    <w:rsid w:val="007A1EDB"/>
    <w:rsid w:val="007A39D5"/>
    <w:rsid w:val="007A4212"/>
    <w:rsid w:val="007A5686"/>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48C7"/>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0D3A"/>
    <w:rsid w:val="008B2760"/>
    <w:rsid w:val="008B3DC8"/>
    <w:rsid w:val="008B4EC5"/>
    <w:rsid w:val="008B5210"/>
    <w:rsid w:val="008B5644"/>
    <w:rsid w:val="008B7859"/>
    <w:rsid w:val="008C05F1"/>
    <w:rsid w:val="008C0E85"/>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4733"/>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4CD9"/>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6BB8"/>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3AB9"/>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AA1"/>
    <w:rsid w:val="00B81D11"/>
    <w:rsid w:val="00B82F46"/>
    <w:rsid w:val="00B84A62"/>
    <w:rsid w:val="00B92A35"/>
    <w:rsid w:val="00B93AE1"/>
    <w:rsid w:val="00B9498B"/>
    <w:rsid w:val="00B951B1"/>
    <w:rsid w:val="00B979BD"/>
    <w:rsid w:val="00B97A23"/>
    <w:rsid w:val="00BA16DE"/>
    <w:rsid w:val="00BA1F0B"/>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BF7DF5"/>
    <w:rsid w:val="00C02A15"/>
    <w:rsid w:val="00C02C4F"/>
    <w:rsid w:val="00C05E79"/>
    <w:rsid w:val="00C1237D"/>
    <w:rsid w:val="00C169A4"/>
    <w:rsid w:val="00C1747F"/>
    <w:rsid w:val="00C24981"/>
    <w:rsid w:val="00C25BEE"/>
    <w:rsid w:val="00C26F1C"/>
    <w:rsid w:val="00C35E26"/>
    <w:rsid w:val="00C36C28"/>
    <w:rsid w:val="00C3701E"/>
    <w:rsid w:val="00C4129F"/>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107"/>
    <w:rsid w:val="00CE2942"/>
    <w:rsid w:val="00CE43E0"/>
    <w:rsid w:val="00CE50FE"/>
    <w:rsid w:val="00CE650D"/>
    <w:rsid w:val="00CE7FD2"/>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6298"/>
    <w:rsid w:val="00D771D4"/>
    <w:rsid w:val="00D777CD"/>
    <w:rsid w:val="00D80252"/>
    <w:rsid w:val="00D8251C"/>
    <w:rsid w:val="00D82A24"/>
    <w:rsid w:val="00D82DB4"/>
    <w:rsid w:val="00D83B95"/>
    <w:rsid w:val="00D846CA"/>
    <w:rsid w:val="00D84A3C"/>
    <w:rsid w:val="00D86D28"/>
    <w:rsid w:val="00D92179"/>
    <w:rsid w:val="00D93C38"/>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C7629"/>
    <w:rsid w:val="00DD0961"/>
    <w:rsid w:val="00DD2473"/>
    <w:rsid w:val="00DD4374"/>
    <w:rsid w:val="00DD6502"/>
    <w:rsid w:val="00DD6E07"/>
    <w:rsid w:val="00DD714C"/>
    <w:rsid w:val="00DE0CDD"/>
    <w:rsid w:val="00DE1254"/>
    <w:rsid w:val="00DE29D7"/>
    <w:rsid w:val="00DE3681"/>
    <w:rsid w:val="00DE4A84"/>
    <w:rsid w:val="00DE5A52"/>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26D6"/>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56EC3"/>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9F6"/>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92BA191"/>
  <w15:docId w15:val="{35CAD9C9-D753-4CDD-8156-F4BA7337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4719">
      <w:bodyDiv w:val="1"/>
      <w:marLeft w:val="0"/>
      <w:marRight w:val="0"/>
      <w:marTop w:val="0"/>
      <w:marBottom w:val="0"/>
      <w:divBdr>
        <w:top w:val="none" w:sz="0" w:space="0" w:color="auto"/>
        <w:left w:val="none" w:sz="0" w:space="0" w:color="auto"/>
        <w:bottom w:val="none" w:sz="0" w:space="0" w:color="auto"/>
        <w:right w:val="none" w:sz="0" w:space="0" w:color="auto"/>
      </w:divBdr>
    </w:div>
    <w:div w:id="517045179">
      <w:bodyDiv w:val="1"/>
      <w:marLeft w:val="0"/>
      <w:marRight w:val="0"/>
      <w:marTop w:val="0"/>
      <w:marBottom w:val="0"/>
      <w:divBdr>
        <w:top w:val="none" w:sz="0" w:space="0" w:color="auto"/>
        <w:left w:val="none" w:sz="0" w:space="0" w:color="auto"/>
        <w:bottom w:val="none" w:sz="0" w:space="0" w:color="auto"/>
        <w:right w:val="none" w:sz="0" w:space="0" w:color="auto"/>
      </w:divBdr>
    </w:div>
    <w:div w:id="582300608">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16176976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16729451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FDA3BB9-0447-4EDE-8589-C7F1FA64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209</TotalTime>
  <Pages>24</Pages>
  <Words>7302</Words>
  <Characters>40491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47698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Jack Lewis</cp:lastModifiedBy>
  <cp:revision>3</cp:revision>
  <cp:lastPrinted>2012-12-10T12:26:00Z</cp:lastPrinted>
  <dcterms:created xsi:type="dcterms:W3CDTF">2020-03-30T14:38:00Z</dcterms:created>
  <dcterms:modified xsi:type="dcterms:W3CDTF">2020-05-13T12:58:00Z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