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DPS Schedule 6 (Order Form Template and Order Schedules)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REFERENCE:</w:t>
        <w:tab/>
        <w:tab/>
        <w:t xml:space="preserve">CCZZ25A01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HM Treasury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  <w:t xml:space="preserve">1 Horse Guards Road, London,SW1A 2HQ,United Kingdom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Institute for Fiscal Studies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 </w:t>
        <w:tab/>
        <w:tab/>
        <w:t xml:space="preserve">2 Marylebone Road, NW1 4DF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GB394583017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  <w:t xml:space="preserve">292181351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SUPPLIER REGISTRATION SERVICE ID: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TBC</w:t>
      </w:r>
    </w:p>
    <w:p w:rsidR="00000000" w:rsidDel="00000000" w:rsidP="00000000" w:rsidRDefault="00000000" w:rsidRPr="00000000" w14:paraId="00000010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 is essential that if you, as the Buyer, add to or amend any aspect of any Order Schedule, then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must send the updated Schedule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the Order Form to the Supplier]</w:t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DPS CONTRACT</w:t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Deliverables and dated 10/09/2025. </w:t>
      </w:r>
    </w:p>
    <w:p w:rsidR="00000000" w:rsidDel="00000000" w:rsidP="00000000" w:rsidRDefault="00000000" w:rsidRPr="00000000" w14:paraId="00000016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DPS Contract with the reference number RM6126 Research &amp; Insights for the provision of Provision of Research to estimate labour supply elasticities by sub-populations.   </w:t>
      </w:r>
    </w:p>
    <w:p w:rsidR="00000000" w:rsidDel="00000000" w:rsidP="00000000" w:rsidRDefault="00000000" w:rsidRPr="00000000" w14:paraId="0000001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FILTER CATEGORY(IES):</w:t>
      </w:r>
    </w:p>
    <w:p w:rsidR="00000000" w:rsidDel="00000000" w:rsidP="00000000" w:rsidRDefault="00000000" w:rsidRPr="00000000" w14:paraId="00000019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INCORPORATED TERMS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Order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Order Special Terms and Order Special Schedules.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1(Definitions and Interpretation)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RM6126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DPS Special Terms </w:t>
      </w:r>
    </w:p>
    <w:p w:rsidR="00000000" w:rsidDel="00000000" w:rsidP="00000000" w:rsidRDefault="00000000" w:rsidRPr="00000000" w14:paraId="00000020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RM6126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6 (Key Subcontractors)</w:t>
        <w:tab/>
        <w:tab/>
        <w:tab/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7 (Financial Difficulties) </w:t>
        <w:tab/>
        <w:tab/>
        <w:tab/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8 (Guarantee) </w:t>
        <w:tab/>
        <w:tab/>
        <w:tab/>
        <w:tab/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  <w:tab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Schedules for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RM6126</w:t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 (Transparency Reports)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 (Staff Transfer)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 3 (Continuous Improvement)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 5 (Pricing Details)</w:t>
        <w:tab/>
        <w:tab/>
        <w:tab/>
        <w:t xml:space="preserve"> 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 7 (Key Supplier Staff)</w:t>
        <w:tab/>
        <w:tab/>
        <w:t xml:space="preserve"> </w:t>
        <w:tab/>
        <w:tab/>
        <w:t xml:space="preserve">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Schedule 12 (Clustering) 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(DPS version) v1.0.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RM6126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[Order Schedule 4 (Order Tender) as long as any parts of the Order Tender that offer a better commercial position for the Buyer (as decided by the Buyer) take precedence over the documents above.]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Order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SPECIAL TERMS</w:t>
      </w:r>
    </w:p>
    <w:p w:rsidR="00000000" w:rsidDel="00000000" w:rsidP="00000000" w:rsidRDefault="00000000" w:rsidRPr="00000000" w14:paraId="0000003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Order Contract:</w:t>
      </w:r>
    </w:p>
    <w:p w:rsidR="00000000" w:rsidDel="00000000" w:rsidP="00000000" w:rsidRDefault="00000000" w:rsidRPr="00000000" w14:paraId="0000003A">
      <w:pPr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B">
      <w:pPr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[None]</w:t>
      </w:r>
    </w:p>
    <w:p w:rsidR="00000000" w:rsidDel="00000000" w:rsidP="00000000" w:rsidRDefault="00000000" w:rsidRPr="00000000" w14:paraId="0000003C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START DATE:</w:t>
        <w:tab/>
        <w:tab/>
        <w:tab/>
        <w:t xml:space="preserve">[12/09/2025]</w:t>
      </w:r>
    </w:p>
    <w:p w:rsidR="00000000" w:rsidDel="00000000" w:rsidP="00000000" w:rsidRDefault="00000000" w:rsidRPr="00000000" w14:paraId="0000003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EXPIRY DATE: </w:t>
        <w:tab/>
        <w:tab/>
        <w:tab/>
        <w:t xml:space="preserve">[12/09/2026]</w:t>
      </w:r>
    </w:p>
    <w:p w:rsidR="00000000" w:rsidDel="00000000" w:rsidP="00000000" w:rsidRDefault="00000000" w:rsidRPr="00000000" w14:paraId="0000004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INITIAL PERIOD:</w:t>
        <w:tab/>
        <w:tab/>
        <w:tab/>
        <w:t xml:space="preserve">[12Months] </w:t>
      </w:r>
    </w:p>
    <w:p w:rsidR="00000000" w:rsidDel="00000000" w:rsidP="00000000" w:rsidRDefault="00000000" w:rsidRPr="00000000" w14:paraId="0000004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DELIVERABLES </w:t>
      </w:r>
    </w:p>
    <w:p w:rsidR="00000000" w:rsidDel="00000000" w:rsidP="00000000" w:rsidRDefault="00000000" w:rsidRPr="00000000" w14:paraId="0000004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[Option A: See attachment 4 - Pricing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4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Order Contract is stated in Clause 11.2 of the Core Terms.</w:t>
      </w:r>
    </w:p>
    <w:p w:rsidR="00000000" w:rsidDel="00000000" w:rsidP="00000000" w:rsidRDefault="00000000" w:rsidRPr="00000000" w14:paraId="0000004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£149,420.00.</w:t>
      </w:r>
    </w:p>
    <w:p w:rsidR="00000000" w:rsidDel="00000000" w:rsidP="00000000" w:rsidRDefault="00000000" w:rsidRPr="00000000" w14:paraId="0000004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CHARGES</w:t>
      </w:r>
    </w:p>
    <w:p w:rsidR="00000000" w:rsidDel="00000000" w:rsidP="00000000" w:rsidRDefault="00000000" w:rsidRPr="00000000" w14:paraId="0000004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[Option B: See details in Order Schedule 5 (Pricing Details)]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5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5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5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https://www.gov.uk/government/publications/green-book-supplementary-guidance-environment</w:t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https://www.gov.uk/government/publications/security-policy-framework</w:t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6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later than 4 months after contract award.</w:t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Monthly Contract review meetings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E-AUCTIONS</w:t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7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8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1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4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</w:p>
          <w:p w:rsidR="00000000" w:rsidDel="00000000" w:rsidP="00000000" w:rsidRDefault="00000000" w:rsidRPr="00000000" w14:paraId="0000008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22/09/2025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24/09/2025</w:t>
            </w:r>
          </w:p>
        </w:tc>
      </w:tr>
    </w:tbl>
    <w:p w:rsidR="00000000" w:rsidDel="00000000" w:rsidP="00000000" w:rsidRDefault="00000000" w:rsidRPr="00000000" w14:paraId="0000009B">
      <w:pPr>
        <w:rPr>
          <w:rFonts w:ascii="Arial" w:cs="Arial" w:eastAsia="Arial" w:hAnsi="Arial"/>
          <w:color w:val="1f497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Buyer guidance: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execution by seal / deed where required by the Buyer].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RM6126 - Research &amp; Insights DPS</w:t>
      <w:tab/>
      <w:t xml:space="preserve">                                           </w:t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DPS Schedule 6 (Order Form Template and Order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2021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3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3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+gqO5f6ef1dUQt8cnWkeiqD6A==">CgMxLjA4AHIhMVdOUDBYYmFjZncxOVIwTHRFeGo4VVp4d0dwQlBMcUE4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2025-09-24T11:43:00Z</dcterms:created>
  <dc:creator>Madeleine Houghton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0x0101009D9F4C1E2D8BED4387F0730893FE97C8</vt:lpwstr>
  </property>
  <property fmtid="{D5CDD505-2E9C-101B-9397-08002B2CF9AE}" pid="4" name="MediaServiceImageTags">
    <vt:lpwstr/>
  </property>
</Properties>
</file>