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FD8F2" w14:textId="77777777" w:rsidR="00657396" w:rsidRDefault="0073368A" w:rsidP="00657396">
      <w:pPr>
        <w:pStyle w:val="paragraph"/>
        <w:spacing w:before="0" w:beforeAutospacing="0" w:after="0" w:afterAutospacing="0"/>
        <w:jc w:val="center"/>
        <w:textAlignment w:val="baseline"/>
        <w:rPr>
          <w:rFonts w:ascii="Arial" w:hAnsi="Arial" w:cs="Arial"/>
        </w:rPr>
      </w:pPr>
      <w:r>
        <w:rPr>
          <w:rStyle w:val="normaltextrun"/>
          <w:rFonts w:ascii="Arial" w:hAnsi="Arial" w:cs="Arial"/>
          <w:b/>
          <w:bCs/>
          <w:sz w:val="28"/>
          <w:szCs w:val="28"/>
        </w:rPr>
        <w:t>UK GOVERNMENT (HMG) PROVISION OF UK-BASED LANGUAGE TRAINING SERVICES</w:t>
      </w:r>
      <w:r w:rsidR="00657396">
        <w:rPr>
          <w:rStyle w:val="eop"/>
          <w:rFonts w:ascii="Arial" w:hAnsi="Arial" w:cs="Arial"/>
          <w:sz w:val="28"/>
          <w:szCs w:val="28"/>
        </w:rPr>
        <w:t> </w:t>
      </w:r>
    </w:p>
    <w:p w14:paraId="4EF26786" w14:textId="77777777" w:rsidR="00657396" w:rsidRDefault="00657396" w:rsidP="00657396">
      <w:pPr>
        <w:pStyle w:val="paragraph"/>
        <w:spacing w:before="0" w:beforeAutospacing="0" w:after="0" w:afterAutospacing="0"/>
        <w:jc w:val="both"/>
        <w:textAlignment w:val="baseline"/>
        <w:rPr>
          <w:rStyle w:val="normaltextrun"/>
          <w:rFonts w:ascii="Arial" w:hAnsi="Arial" w:cs="Arial"/>
          <w:b/>
          <w:bCs/>
          <w:sz w:val="28"/>
          <w:szCs w:val="28"/>
        </w:rPr>
      </w:pPr>
    </w:p>
    <w:p w14:paraId="615C36AF" w14:textId="193BE971" w:rsidR="00E23C15" w:rsidRPr="00E23C15" w:rsidRDefault="00657396" w:rsidP="00657396">
      <w:pPr>
        <w:pStyle w:val="paragraph"/>
        <w:spacing w:before="0" w:beforeAutospacing="0" w:after="0" w:afterAutospacing="0"/>
        <w:jc w:val="both"/>
        <w:textAlignment w:val="baseline"/>
        <w:rPr>
          <w:rFonts w:ascii="Arial" w:hAnsi="Arial" w:cs="Arial"/>
          <w:sz w:val="28"/>
          <w:szCs w:val="28"/>
        </w:rPr>
      </w:pPr>
      <w:r>
        <w:rPr>
          <w:rStyle w:val="normaltextrun"/>
          <w:rFonts w:ascii="Arial" w:hAnsi="Arial" w:cs="Arial"/>
          <w:b/>
          <w:bCs/>
          <w:sz w:val="28"/>
          <w:szCs w:val="28"/>
        </w:rPr>
        <w:t>Purpose of Tender </w:t>
      </w:r>
      <w:r>
        <w:rPr>
          <w:rStyle w:val="eop"/>
          <w:rFonts w:ascii="Arial" w:hAnsi="Arial" w:cs="Arial"/>
          <w:sz w:val="28"/>
          <w:szCs w:val="28"/>
        </w:rPr>
        <w:t> </w:t>
      </w:r>
    </w:p>
    <w:p w14:paraId="232567DF"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p>
    <w:p w14:paraId="6D0EA343" w14:textId="77777777" w:rsidR="00657396" w:rsidRDefault="00657396" w:rsidP="00657396">
      <w:pPr>
        <w:pStyle w:val="paragraph"/>
        <w:numPr>
          <w:ilvl w:val="0"/>
          <w:numId w:val="1"/>
        </w:numPr>
        <w:tabs>
          <w:tab w:val="clear" w:pos="720"/>
        </w:tabs>
        <w:spacing w:before="0" w:beforeAutospacing="0" w:after="0" w:afterAutospacing="0"/>
        <w:ind w:left="567" w:hanging="567"/>
        <w:jc w:val="both"/>
        <w:textAlignment w:val="baseline"/>
        <w:rPr>
          <w:rFonts w:ascii="Arial" w:hAnsi="Arial" w:cs="Arial"/>
        </w:rPr>
      </w:pPr>
      <w:r>
        <w:rPr>
          <w:rStyle w:val="normaltextrun"/>
          <w:rFonts w:ascii="Arial" w:hAnsi="Arial" w:cs="Arial"/>
        </w:rPr>
        <w:t xml:space="preserve">The current language training and examination services contracts for Her Majesty’s Government (HMG) end on 31 March 2022. We (the Foreign, Commonwealth &amp; Development Office, hereafter referred to as ‘the Authority’) are offering </w:t>
      </w:r>
      <w:proofErr w:type="gramStart"/>
      <w:r>
        <w:rPr>
          <w:rStyle w:val="normaltextrun"/>
          <w:rFonts w:ascii="Arial" w:hAnsi="Arial" w:cs="Arial"/>
        </w:rPr>
        <w:t>5</w:t>
      </w:r>
      <w:proofErr w:type="gramEnd"/>
      <w:r>
        <w:rPr>
          <w:rStyle w:val="normaltextrun"/>
          <w:rFonts w:ascii="Arial" w:hAnsi="Arial" w:cs="Arial"/>
        </w:rPr>
        <w:t xml:space="preserve"> lots to suppliers to replace these contracts. Lots 1, 2, 3, and 4 are for language training services and Lot 5 is for examinations services. </w:t>
      </w:r>
      <w:r>
        <w:rPr>
          <w:rStyle w:val="eop"/>
          <w:rFonts w:ascii="Arial" w:hAnsi="Arial" w:cs="Arial"/>
        </w:rPr>
        <w:t> </w:t>
      </w:r>
    </w:p>
    <w:p w14:paraId="659A2598" w14:textId="77777777" w:rsidR="00657396" w:rsidRDefault="00657396" w:rsidP="00657396">
      <w:pPr>
        <w:pStyle w:val="paragraph"/>
        <w:spacing w:before="0" w:beforeAutospacing="0" w:after="0" w:afterAutospacing="0"/>
        <w:ind w:left="567" w:hanging="567"/>
        <w:jc w:val="both"/>
        <w:textAlignment w:val="baseline"/>
        <w:rPr>
          <w:rFonts w:ascii="Arial" w:hAnsi="Arial" w:cs="Arial"/>
        </w:rPr>
      </w:pPr>
      <w:r>
        <w:rPr>
          <w:rStyle w:val="eop"/>
          <w:rFonts w:ascii="Arial" w:hAnsi="Arial" w:cs="Arial"/>
        </w:rPr>
        <w:t> </w:t>
      </w:r>
    </w:p>
    <w:p w14:paraId="65A1138E" w14:textId="77777777" w:rsidR="00657396" w:rsidRDefault="00657396" w:rsidP="00657396">
      <w:pPr>
        <w:pStyle w:val="paragraph"/>
        <w:numPr>
          <w:ilvl w:val="0"/>
          <w:numId w:val="2"/>
        </w:numPr>
        <w:tabs>
          <w:tab w:val="clear" w:pos="720"/>
        </w:tabs>
        <w:spacing w:before="0" w:beforeAutospacing="0" w:after="0" w:afterAutospacing="0"/>
        <w:ind w:left="567" w:hanging="567"/>
        <w:jc w:val="both"/>
        <w:textAlignment w:val="baseline"/>
        <w:rPr>
          <w:rFonts w:ascii="Arial" w:hAnsi="Arial" w:cs="Arial"/>
        </w:rPr>
      </w:pPr>
      <w:r>
        <w:rPr>
          <w:rStyle w:val="normaltextrun"/>
          <w:rFonts w:ascii="Arial" w:hAnsi="Arial" w:cs="Arial"/>
        </w:rPr>
        <w:t>Each Lot is for a separate commercial opportunity run through an open competition. Bidders may elect to submit proposals for several of the language training lots. However, in order to maintain a separation of responsibility between training and examination, we will maintain this boundary in our tender instructions and contract award methodology. This is set out in 02. Instructions to Tender.</w:t>
      </w:r>
    </w:p>
    <w:p w14:paraId="6F781888" w14:textId="77777777" w:rsidR="0073368A" w:rsidRDefault="0073368A" w:rsidP="00657396">
      <w:pPr>
        <w:pStyle w:val="paragraph"/>
        <w:spacing w:before="0" w:beforeAutospacing="0" w:after="0" w:afterAutospacing="0"/>
        <w:jc w:val="both"/>
        <w:textAlignment w:val="baseline"/>
        <w:rPr>
          <w:rStyle w:val="normaltextrun"/>
          <w:rFonts w:ascii="Arial" w:hAnsi="Arial" w:cs="Arial"/>
          <w:b/>
          <w:bCs/>
          <w:sz w:val="28"/>
          <w:szCs w:val="28"/>
        </w:rPr>
      </w:pPr>
    </w:p>
    <w:p w14:paraId="6D521376" w14:textId="77777777" w:rsidR="0073368A" w:rsidRDefault="0073368A" w:rsidP="00657396">
      <w:pPr>
        <w:pStyle w:val="paragraph"/>
        <w:spacing w:before="0" w:beforeAutospacing="0" w:after="0" w:afterAutospacing="0"/>
        <w:jc w:val="both"/>
        <w:textAlignment w:val="baseline"/>
        <w:rPr>
          <w:rStyle w:val="normaltextrun"/>
          <w:rFonts w:ascii="Arial" w:hAnsi="Arial" w:cs="Arial"/>
          <w:b/>
          <w:bCs/>
          <w:sz w:val="28"/>
          <w:szCs w:val="28"/>
        </w:rPr>
      </w:pPr>
    </w:p>
    <w:p w14:paraId="00C19207" w14:textId="77777777" w:rsidR="00657396" w:rsidRDefault="0073368A" w:rsidP="0073368A">
      <w:pPr>
        <w:pStyle w:val="paragraph"/>
        <w:spacing w:before="0" w:beforeAutospacing="0" w:after="0" w:afterAutospacing="0"/>
        <w:jc w:val="center"/>
        <w:textAlignment w:val="baseline"/>
        <w:rPr>
          <w:rStyle w:val="normaltextrun"/>
          <w:rFonts w:ascii="Arial" w:hAnsi="Arial" w:cs="Arial"/>
          <w:b/>
          <w:bCs/>
          <w:sz w:val="28"/>
          <w:szCs w:val="28"/>
        </w:rPr>
      </w:pPr>
      <w:r>
        <w:rPr>
          <w:rStyle w:val="normaltextrun"/>
          <w:rFonts w:ascii="Arial" w:hAnsi="Arial" w:cs="Arial"/>
          <w:b/>
          <w:bCs/>
          <w:sz w:val="28"/>
          <w:szCs w:val="28"/>
        </w:rPr>
        <w:t>UK GOVERNMENT (HMG) PROVISION OF UK-BASED LANGUAGE TRAINING SERVICES – LOT 1 – MAIN PROVIDER</w:t>
      </w:r>
    </w:p>
    <w:p w14:paraId="1D0BC946" w14:textId="77777777" w:rsidR="0073368A" w:rsidRDefault="0073368A" w:rsidP="00657396">
      <w:pPr>
        <w:pStyle w:val="paragraph"/>
        <w:spacing w:before="0" w:beforeAutospacing="0" w:after="0" w:afterAutospacing="0"/>
        <w:jc w:val="both"/>
        <w:textAlignment w:val="baseline"/>
        <w:rPr>
          <w:rStyle w:val="normaltextrun"/>
          <w:rFonts w:ascii="Arial" w:hAnsi="Arial" w:cs="Arial"/>
          <w:b/>
          <w:bCs/>
          <w:sz w:val="28"/>
          <w:szCs w:val="28"/>
        </w:rPr>
      </w:pPr>
    </w:p>
    <w:p w14:paraId="683534C8" w14:textId="77777777" w:rsidR="00657396" w:rsidRDefault="00657396" w:rsidP="00657396">
      <w:pPr>
        <w:pStyle w:val="paragraph"/>
        <w:spacing w:before="0" w:beforeAutospacing="0" w:after="0" w:afterAutospacing="0"/>
        <w:jc w:val="both"/>
        <w:textAlignment w:val="baseline"/>
        <w:rPr>
          <w:rStyle w:val="eop"/>
          <w:rFonts w:ascii="Arial" w:hAnsi="Arial" w:cs="Arial"/>
          <w:sz w:val="28"/>
          <w:szCs w:val="28"/>
        </w:rPr>
      </w:pPr>
      <w:r>
        <w:rPr>
          <w:rStyle w:val="normaltextrun"/>
          <w:rFonts w:ascii="Arial" w:hAnsi="Arial" w:cs="Arial"/>
          <w:b/>
          <w:bCs/>
          <w:sz w:val="28"/>
          <w:szCs w:val="28"/>
        </w:rPr>
        <w:t>Aim</w:t>
      </w:r>
    </w:p>
    <w:p w14:paraId="5C36C465" w14:textId="77777777" w:rsidR="00657396" w:rsidRDefault="00657396" w:rsidP="00657396">
      <w:pPr>
        <w:pStyle w:val="paragraph"/>
        <w:spacing w:before="0" w:beforeAutospacing="0" w:after="0" w:afterAutospacing="0"/>
        <w:jc w:val="both"/>
        <w:textAlignment w:val="baseline"/>
        <w:rPr>
          <w:rFonts w:ascii="Arial" w:hAnsi="Arial" w:cs="Arial"/>
        </w:rPr>
      </w:pPr>
    </w:p>
    <w:p w14:paraId="3C192FDB" w14:textId="77777777" w:rsidR="00657396" w:rsidRDefault="00657396" w:rsidP="0073368A">
      <w:pPr>
        <w:pStyle w:val="paragraph"/>
        <w:numPr>
          <w:ilvl w:val="0"/>
          <w:numId w:val="21"/>
        </w:numPr>
        <w:spacing w:before="0" w:beforeAutospacing="0" w:after="0" w:afterAutospacing="0"/>
        <w:ind w:left="567" w:hanging="567"/>
        <w:jc w:val="both"/>
        <w:textAlignment w:val="baseline"/>
        <w:rPr>
          <w:rStyle w:val="eop"/>
          <w:rFonts w:ascii="Arial" w:hAnsi="Arial" w:cs="Arial"/>
        </w:rPr>
      </w:pPr>
      <w:r>
        <w:rPr>
          <w:rStyle w:val="normaltextrun"/>
          <w:rFonts w:ascii="Arial" w:hAnsi="Arial" w:cs="Arial"/>
        </w:rPr>
        <w:t>To identify and contract a ‘Main Provider’ to deliver a managed, professional language school including (but not limited to) the following requirements:</w:t>
      </w:r>
    </w:p>
    <w:p w14:paraId="2D4DC43E" w14:textId="77777777" w:rsidR="00657396" w:rsidRDefault="00657396" w:rsidP="00657396">
      <w:pPr>
        <w:pStyle w:val="paragraph"/>
        <w:spacing w:before="0" w:beforeAutospacing="0" w:after="0" w:afterAutospacing="0"/>
        <w:ind w:left="567" w:hanging="567"/>
        <w:jc w:val="both"/>
        <w:textAlignment w:val="baseline"/>
        <w:rPr>
          <w:rFonts w:ascii="Arial" w:hAnsi="Arial" w:cs="Arial"/>
        </w:rPr>
      </w:pPr>
    </w:p>
    <w:p w14:paraId="1B6E56A4" w14:textId="77777777" w:rsidR="00657396" w:rsidRDefault="00657396" w:rsidP="0073368A">
      <w:pPr>
        <w:pStyle w:val="paragraph"/>
        <w:numPr>
          <w:ilvl w:val="0"/>
          <w:numId w:val="4"/>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UK-based language training mapped against the Common European Framework for Languages: </w:t>
      </w:r>
      <w:hyperlink r:id="rId8" w:tgtFrame="_blank" w:history="1">
        <w:r>
          <w:rPr>
            <w:rStyle w:val="normaltextrun"/>
            <w:rFonts w:ascii="Arial" w:hAnsi="Arial" w:cs="Arial"/>
            <w:color w:val="0563C1"/>
            <w:u w:val="single"/>
          </w:rPr>
          <w:t>https://www.coe.int/en/web/common-european-framework-reference-languages</w:t>
        </w:r>
        <w:r>
          <w:rPr>
            <w:rStyle w:val="tabchar"/>
            <w:rFonts w:ascii="Calibri" w:hAnsi="Calibri" w:cs="Calibri"/>
            <w:color w:val="0563C1"/>
          </w:rPr>
          <w:t xml:space="preserve"> </w:t>
        </w:r>
      </w:hyperlink>
      <w:r>
        <w:rPr>
          <w:rStyle w:val="normaltextrun"/>
          <w:rFonts w:ascii="Arial" w:hAnsi="Arial" w:cs="Arial"/>
        </w:rPr>
        <w:t>.</w:t>
      </w:r>
      <w:r>
        <w:rPr>
          <w:rStyle w:val="eop"/>
          <w:rFonts w:ascii="Arial" w:hAnsi="Arial" w:cs="Arial"/>
        </w:rPr>
        <w:t> </w:t>
      </w:r>
    </w:p>
    <w:p w14:paraId="72FE9C6E" w14:textId="77777777" w:rsidR="00657396" w:rsidRDefault="00657396" w:rsidP="0073368A">
      <w:pPr>
        <w:pStyle w:val="paragraph"/>
        <w:numPr>
          <w:ilvl w:val="0"/>
          <w:numId w:val="4"/>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w:t>
      </w:r>
      <w:proofErr w:type="gramStart"/>
      <w:r>
        <w:rPr>
          <w:rStyle w:val="normaltextrun"/>
          <w:rFonts w:ascii="Arial" w:hAnsi="Arial" w:cs="Arial"/>
        </w:rPr>
        <w:t>3</w:t>
      </w:r>
      <w:proofErr w:type="gramEnd"/>
      <w:r>
        <w:rPr>
          <w:rStyle w:val="normaltextrun"/>
          <w:rFonts w:ascii="Arial" w:hAnsi="Arial" w:cs="Arial"/>
        </w:rPr>
        <w:t xml:space="preserve"> types of language assessments, including 2 mapped against the Common European Framework for Languages: </w:t>
      </w:r>
      <w:hyperlink r:id="rId9" w:tgtFrame="_blank" w:history="1">
        <w:r>
          <w:rPr>
            <w:rStyle w:val="normaltextrun"/>
            <w:rFonts w:ascii="Arial" w:hAnsi="Arial" w:cs="Arial"/>
            <w:color w:val="0563C1"/>
            <w:u w:val="single"/>
          </w:rPr>
          <w:t>https://www.coe.int/en/web/common-european-framework-reference-languages</w:t>
        </w:r>
        <w:r>
          <w:rPr>
            <w:rStyle w:val="tabchar"/>
            <w:rFonts w:ascii="Calibri" w:hAnsi="Calibri" w:cs="Calibri"/>
            <w:color w:val="0563C1"/>
          </w:rPr>
          <w:t xml:space="preserve"> </w:t>
        </w:r>
      </w:hyperlink>
      <w:r>
        <w:rPr>
          <w:rStyle w:val="normaltextrun"/>
          <w:rFonts w:ascii="Arial" w:hAnsi="Arial" w:cs="Arial"/>
        </w:rPr>
        <w:t>.</w:t>
      </w:r>
      <w:r>
        <w:rPr>
          <w:rStyle w:val="eop"/>
          <w:rFonts w:ascii="Arial" w:hAnsi="Arial" w:cs="Arial"/>
        </w:rPr>
        <w:t> </w:t>
      </w:r>
    </w:p>
    <w:p w14:paraId="2CC41369" w14:textId="77777777" w:rsidR="00657396" w:rsidRDefault="00657396" w:rsidP="0073368A">
      <w:pPr>
        <w:pStyle w:val="paragraph"/>
        <w:numPr>
          <w:ilvl w:val="0"/>
          <w:numId w:val="4"/>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Provide central management of the Language Centre at the Authority’s King Charles Street building.</w:t>
      </w:r>
      <w:r>
        <w:rPr>
          <w:rStyle w:val="eop"/>
          <w:rFonts w:ascii="Arial" w:hAnsi="Arial" w:cs="Arial"/>
        </w:rPr>
        <w:t> </w:t>
      </w:r>
    </w:p>
    <w:p w14:paraId="792968E6" w14:textId="77777777" w:rsidR="00657396" w:rsidRDefault="00657396" w:rsidP="0073368A">
      <w:pPr>
        <w:pStyle w:val="paragraph"/>
        <w:numPr>
          <w:ilvl w:val="0"/>
          <w:numId w:val="5"/>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administration services.</w:t>
      </w:r>
      <w:r>
        <w:rPr>
          <w:rStyle w:val="eop"/>
          <w:rFonts w:ascii="Arial" w:hAnsi="Arial" w:cs="Arial"/>
        </w:rPr>
        <w:t> </w:t>
      </w:r>
    </w:p>
    <w:p w14:paraId="44AA43E1" w14:textId="77777777" w:rsidR="00657396" w:rsidRDefault="00657396" w:rsidP="00657396">
      <w:pPr>
        <w:pStyle w:val="paragraph"/>
        <w:spacing w:before="0" w:beforeAutospacing="0" w:after="0" w:afterAutospacing="0"/>
        <w:ind w:left="567" w:hanging="567"/>
        <w:jc w:val="both"/>
        <w:textAlignment w:val="baseline"/>
        <w:rPr>
          <w:rFonts w:ascii="Arial" w:hAnsi="Arial" w:cs="Arial"/>
        </w:rPr>
      </w:pPr>
      <w:r>
        <w:rPr>
          <w:rStyle w:val="eop"/>
          <w:rFonts w:ascii="Arial" w:hAnsi="Arial" w:cs="Arial"/>
        </w:rPr>
        <w:t> </w:t>
      </w:r>
    </w:p>
    <w:p w14:paraId="52FAE02F" w14:textId="77777777" w:rsidR="00657396" w:rsidRDefault="00657396" w:rsidP="0073368A">
      <w:pPr>
        <w:pStyle w:val="paragraph"/>
        <w:numPr>
          <w:ilvl w:val="0"/>
          <w:numId w:val="21"/>
        </w:numPr>
        <w:spacing w:before="0" w:beforeAutospacing="0" w:after="0" w:afterAutospacing="0"/>
        <w:ind w:left="567" w:hanging="567"/>
        <w:jc w:val="both"/>
        <w:textAlignment w:val="baseline"/>
        <w:rPr>
          <w:rStyle w:val="normaltextrun"/>
          <w:rFonts w:ascii="Arial" w:hAnsi="Arial" w:cs="Arial"/>
        </w:rPr>
      </w:pPr>
      <w:r>
        <w:rPr>
          <w:rStyle w:val="normaltextrun"/>
          <w:rFonts w:ascii="Arial" w:hAnsi="Arial" w:cs="Arial"/>
        </w:rPr>
        <w:t xml:space="preserve">The appointed Main Provider will have full responsibility for delivering the requirements described within this Specification. The Main Provider </w:t>
      </w:r>
      <w:proofErr w:type="gramStart"/>
      <w:r>
        <w:rPr>
          <w:rStyle w:val="normaltextrun"/>
          <w:rFonts w:ascii="Arial" w:hAnsi="Arial" w:cs="Arial"/>
        </w:rPr>
        <w:t>will be expected</w:t>
      </w:r>
      <w:proofErr w:type="gramEnd"/>
      <w:r>
        <w:rPr>
          <w:rStyle w:val="normaltextrun"/>
          <w:rFonts w:ascii="Arial" w:hAnsi="Arial" w:cs="Arial"/>
        </w:rPr>
        <w:t xml:space="preserve"> to support HMG’s objective of delivering excellence in language training within a culture of continuous improvement, innovation, and value for money.</w:t>
      </w:r>
    </w:p>
    <w:p w14:paraId="7D7755EB"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p>
    <w:p w14:paraId="66281952"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Further information is available via tender documents</w:t>
      </w:r>
    </w:p>
    <w:p w14:paraId="2B604FDC"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p>
    <w:p w14:paraId="28E46212" w14:textId="77777777" w:rsidR="00657396" w:rsidRPr="0073368A" w:rsidRDefault="00657396" w:rsidP="0073368A">
      <w:pPr>
        <w:jc w:val="center"/>
        <w:rPr>
          <w:rStyle w:val="normaltextrun"/>
          <w:rFonts w:cs="Arial"/>
          <w:b/>
          <w:bCs/>
          <w:color w:val="000000"/>
          <w:sz w:val="28"/>
          <w:szCs w:val="28"/>
          <w:bdr w:val="none" w:sz="0" w:space="0" w:color="auto" w:frame="1"/>
        </w:rPr>
      </w:pPr>
      <w:r w:rsidRPr="0073368A">
        <w:rPr>
          <w:rStyle w:val="normaltextrun"/>
          <w:rFonts w:cs="Arial"/>
          <w:b/>
          <w:bCs/>
          <w:color w:val="000000"/>
          <w:sz w:val="28"/>
          <w:szCs w:val="28"/>
          <w:bdr w:val="none" w:sz="0" w:space="0" w:color="auto" w:frame="1"/>
        </w:rPr>
        <w:lastRenderedPageBreak/>
        <w:t>UK GOVERNMENT (HMG) PROVISION OF UK-BASED FRENCH LANGUAGE TRAINING S</w:t>
      </w:r>
      <w:r w:rsidR="0073368A" w:rsidRPr="0073368A">
        <w:rPr>
          <w:rStyle w:val="normaltextrun"/>
          <w:rFonts w:cs="Arial"/>
          <w:b/>
          <w:bCs/>
          <w:color w:val="000000"/>
          <w:sz w:val="28"/>
          <w:szCs w:val="28"/>
          <w:bdr w:val="none" w:sz="0" w:space="0" w:color="auto" w:frame="1"/>
        </w:rPr>
        <w:t>ERVICES</w:t>
      </w:r>
      <w:r w:rsidRPr="0073368A">
        <w:rPr>
          <w:rStyle w:val="normaltextrun"/>
          <w:rFonts w:cs="Arial"/>
          <w:b/>
          <w:bCs/>
          <w:color w:val="000000"/>
          <w:sz w:val="28"/>
          <w:szCs w:val="28"/>
          <w:bdr w:val="none" w:sz="0" w:space="0" w:color="auto" w:frame="1"/>
        </w:rPr>
        <w:t xml:space="preserve"> – LOT 2 – CENTRE OF EXCELLENCE FOR FRENCH</w:t>
      </w:r>
    </w:p>
    <w:p w14:paraId="5C931A63" w14:textId="77777777" w:rsidR="0073368A" w:rsidRDefault="00657396" w:rsidP="00657396">
      <w:pPr>
        <w:pStyle w:val="paragraph"/>
        <w:spacing w:before="0" w:beforeAutospacing="0" w:after="0" w:afterAutospacing="0"/>
        <w:jc w:val="both"/>
        <w:textAlignment w:val="baseline"/>
        <w:rPr>
          <w:rStyle w:val="normaltextrun"/>
          <w:rFonts w:ascii="Arial" w:hAnsi="Arial" w:cs="Arial"/>
          <w:b/>
          <w:bCs/>
          <w:sz w:val="28"/>
          <w:szCs w:val="28"/>
        </w:rPr>
      </w:pPr>
      <w:r>
        <w:rPr>
          <w:rStyle w:val="normaltextrun"/>
          <w:rFonts w:ascii="Arial" w:hAnsi="Arial" w:cs="Arial"/>
          <w:b/>
          <w:bCs/>
          <w:sz w:val="28"/>
          <w:szCs w:val="28"/>
        </w:rPr>
        <w:t>Aim</w:t>
      </w:r>
    </w:p>
    <w:p w14:paraId="12683D9B" w14:textId="77777777" w:rsidR="00657396" w:rsidRDefault="00657396" w:rsidP="00657396">
      <w:pPr>
        <w:pStyle w:val="paragraph"/>
        <w:spacing w:before="0" w:beforeAutospacing="0" w:after="0" w:afterAutospacing="0"/>
        <w:jc w:val="both"/>
        <w:textAlignment w:val="baseline"/>
        <w:rPr>
          <w:rFonts w:ascii="Arial" w:hAnsi="Arial" w:cs="Arial"/>
        </w:rPr>
      </w:pPr>
      <w:r>
        <w:rPr>
          <w:rStyle w:val="eop"/>
          <w:rFonts w:ascii="Arial" w:hAnsi="Arial" w:cs="Arial"/>
          <w:sz w:val="28"/>
          <w:szCs w:val="28"/>
        </w:rPr>
        <w:t> </w:t>
      </w:r>
    </w:p>
    <w:p w14:paraId="44101D87" w14:textId="77777777" w:rsidR="0073368A" w:rsidRDefault="00657396" w:rsidP="0073368A">
      <w:pPr>
        <w:pStyle w:val="paragraph"/>
        <w:numPr>
          <w:ilvl w:val="1"/>
          <w:numId w:val="5"/>
        </w:numPr>
        <w:spacing w:before="0" w:beforeAutospacing="0" w:after="0" w:afterAutospacing="0"/>
        <w:ind w:left="567" w:hanging="567"/>
        <w:jc w:val="both"/>
        <w:textAlignment w:val="baseline"/>
        <w:rPr>
          <w:rStyle w:val="normaltextrun"/>
          <w:rFonts w:ascii="Arial" w:hAnsi="Arial" w:cs="Arial"/>
        </w:rPr>
      </w:pPr>
      <w:r>
        <w:rPr>
          <w:rStyle w:val="normaltextrun"/>
          <w:rFonts w:ascii="Arial" w:hAnsi="Arial" w:cs="Arial"/>
        </w:rPr>
        <w:t>To identify and contract a </w:t>
      </w:r>
      <w:r w:rsidRPr="00657396">
        <w:rPr>
          <w:rStyle w:val="normaltextrun"/>
          <w:rFonts w:ascii="Arial" w:hAnsi="Arial" w:cs="Arial"/>
          <w:b/>
        </w:rPr>
        <w:t>‘</w:t>
      </w:r>
      <w:r w:rsidRPr="00657396">
        <w:rPr>
          <w:rStyle w:val="normaltextrun"/>
          <w:rFonts w:ascii="Arial" w:hAnsi="Arial" w:cs="Arial"/>
          <w:b/>
          <w:bCs/>
        </w:rPr>
        <w:t>Centre of Excellence</w:t>
      </w:r>
      <w:r w:rsidRPr="00657396">
        <w:rPr>
          <w:rStyle w:val="normaltextrun"/>
          <w:rFonts w:ascii="Arial" w:hAnsi="Arial" w:cs="Arial"/>
          <w:b/>
        </w:rPr>
        <w:t> for French’</w:t>
      </w:r>
      <w:r>
        <w:rPr>
          <w:rStyle w:val="normaltextrun"/>
          <w:rFonts w:ascii="Arial" w:hAnsi="Arial" w:cs="Arial"/>
        </w:rPr>
        <w:t> to deliver a managed, professional language training service including (but not limited to) the following requirements:</w:t>
      </w:r>
    </w:p>
    <w:p w14:paraId="3949A30E" w14:textId="77777777" w:rsidR="0073368A" w:rsidRDefault="0073368A" w:rsidP="0073368A">
      <w:pPr>
        <w:pStyle w:val="paragraph"/>
        <w:spacing w:before="0" w:beforeAutospacing="0" w:after="0" w:afterAutospacing="0"/>
        <w:ind w:left="567"/>
        <w:jc w:val="both"/>
        <w:textAlignment w:val="baseline"/>
        <w:rPr>
          <w:rStyle w:val="normaltextrun"/>
          <w:rFonts w:ascii="Arial" w:hAnsi="Arial" w:cs="Arial"/>
        </w:rPr>
      </w:pPr>
    </w:p>
    <w:p w14:paraId="59010FD9" w14:textId="77777777" w:rsidR="00657396" w:rsidRDefault="00657396" w:rsidP="0073368A">
      <w:pPr>
        <w:pStyle w:val="paragraph"/>
        <w:numPr>
          <w:ilvl w:val="0"/>
          <w:numId w:val="8"/>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UK-based French language training mapped against the Common European Framework for Languages: </w:t>
      </w:r>
      <w:hyperlink r:id="rId10" w:tgtFrame="_blank" w:history="1">
        <w:r>
          <w:rPr>
            <w:rStyle w:val="normaltextrun"/>
            <w:rFonts w:ascii="Arial" w:hAnsi="Arial" w:cs="Arial"/>
            <w:color w:val="0563C1"/>
            <w:u w:val="single"/>
          </w:rPr>
          <w:t>https://www.coe.int/en/web/common-european-framework-reference-languages</w:t>
        </w:r>
        <w:r>
          <w:rPr>
            <w:rStyle w:val="tabchar"/>
            <w:rFonts w:ascii="Calibri" w:hAnsi="Calibri" w:cs="Calibri"/>
            <w:color w:val="0563C1"/>
          </w:rPr>
          <w:t xml:space="preserve"> </w:t>
        </w:r>
      </w:hyperlink>
      <w:r>
        <w:rPr>
          <w:rStyle w:val="normaltextrun"/>
          <w:rFonts w:ascii="Arial" w:hAnsi="Arial" w:cs="Arial"/>
        </w:rPr>
        <w:t>.</w:t>
      </w:r>
      <w:r>
        <w:rPr>
          <w:rStyle w:val="eop"/>
          <w:rFonts w:ascii="Arial" w:hAnsi="Arial" w:cs="Arial"/>
        </w:rPr>
        <w:t> </w:t>
      </w:r>
    </w:p>
    <w:p w14:paraId="18C9E7C7" w14:textId="77777777" w:rsidR="00657396" w:rsidRDefault="00657396" w:rsidP="0073368A">
      <w:pPr>
        <w:pStyle w:val="paragraph"/>
        <w:numPr>
          <w:ilvl w:val="0"/>
          <w:numId w:val="8"/>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w:t>
      </w:r>
      <w:proofErr w:type="gramStart"/>
      <w:r>
        <w:rPr>
          <w:rStyle w:val="normaltextrun"/>
          <w:rFonts w:ascii="Arial" w:hAnsi="Arial" w:cs="Arial"/>
        </w:rPr>
        <w:t>2</w:t>
      </w:r>
      <w:proofErr w:type="gramEnd"/>
      <w:r>
        <w:rPr>
          <w:rStyle w:val="normaltextrun"/>
          <w:rFonts w:ascii="Arial" w:hAnsi="Arial" w:cs="Arial"/>
        </w:rPr>
        <w:t> types of French language assessments, both mapped against the Common European Framework for Languages: </w:t>
      </w:r>
      <w:hyperlink r:id="rId11" w:tgtFrame="_blank" w:history="1">
        <w:r>
          <w:rPr>
            <w:rStyle w:val="normaltextrun"/>
            <w:rFonts w:ascii="Arial" w:hAnsi="Arial" w:cs="Arial"/>
            <w:color w:val="0563C1"/>
            <w:u w:val="single"/>
          </w:rPr>
          <w:t>https://www.coe.int/en/web/common-european-framework-reference-languages</w:t>
        </w:r>
        <w:r>
          <w:rPr>
            <w:rStyle w:val="tabchar"/>
            <w:rFonts w:ascii="Calibri" w:hAnsi="Calibri" w:cs="Calibri"/>
            <w:color w:val="0563C1"/>
          </w:rPr>
          <w:t xml:space="preserve"> </w:t>
        </w:r>
      </w:hyperlink>
      <w:r>
        <w:rPr>
          <w:rStyle w:val="normaltextrun"/>
          <w:rFonts w:ascii="Arial" w:hAnsi="Arial" w:cs="Arial"/>
        </w:rPr>
        <w:t>.</w:t>
      </w:r>
      <w:r>
        <w:rPr>
          <w:rStyle w:val="eop"/>
          <w:rFonts w:ascii="Arial" w:hAnsi="Arial" w:cs="Arial"/>
        </w:rPr>
        <w:t> </w:t>
      </w:r>
    </w:p>
    <w:p w14:paraId="14CD7F02" w14:textId="77777777" w:rsidR="00657396" w:rsidRDefault="00657396" w:rsidP="0073368A">
      <w:pPr>
        <w:pStyle w:val="paragraph"/>
        <w:numPr>
          <w:ilvl w:val="0"/>
          <w:numId w:val="8"/>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administration services.</w:t>
      </w:r>
      <w:r>
        <w:rPr>
          <w:rStyle w:val="eop"/>
          <w:rFonts w:ascii="Arial" w:hAnsi="Arial" w:cs="Arial"/>
        </w:rPr>
        <w:t> </w:t>
      </w:r>
    </w:p>
    <w:p w14:paraId="2A8E2EAB" w14:textId="77777777" w:rsidR="00657396" w:rsidRDefault="00657396" w:rsidP="00657396">
      <w:pPr>
        <w:pStyle w:val="paragraph"/>
        <w:spacing w:before="0" w:beforeAutospacing="0" w:after="0" w:afterAutospacing="0"/>
        <w:ind w:left="720"/>
        <w:jc w:val="both"/>
        <w:textAlignment w:val="baseline"/>
        <w:rPr>
          <w:rFonts w:ascii="Arial" w:hAnsi="Arial" w:cs="Arial"/>
        </w:rPr>
      </w:pPr>
      <w:r>
        <w:rPr>
          <w:rStyle w:val="eop"/>
          <w:rFonts w:ascii="Arial" w:hAnsi="Arial" w:cs="Arial"/>
        </w:rPr>
        <w:t> </w:t>
      </w:r>
    </w:p>
    <w:p w14:paraId="2BA11FC7" w14:textId="77777777" w:rsidR="00657396" w:rsidRDefault="00657396" w:rsidP="0073368A">
      <w:pPr>
        <w:pStyle w:val="paragraph"/>
        <w:numPr>
          <w:ilvl w:val="1"/>
          <w:numId w:val="5"/>
        </w:numPr>
        <w:spacing w:before="0" w:beforeAutospacing="0" w:after="0" w:afterAutospacing="0"/>
        <w:ind w:left="567" w:hanging="567"/>
        <w:jc w:val="both"/>
        <w:textAlignment w:val="baseline"/>
        <w:rPr>
          <w:rStyle w:val="normaltextrun"/>
          <w:rFonts w:ascii="Arial" w:hAnsi="Arial" w:cs="Arial"/>
        </w:rPr>
      </w:pPr>
      <w:r>
        <w:rPr>
          <w:rStyle w:val="normaltextrun"/>
          <w:rFonts w:ascii="Arial" w:hAnsi="Arial" w:cs="Arial"/>
        </w:rPr>
        <w:t>The appointed Centre of Excellence for French will have full responsibility for delivering the requirements described within this Specification. The Centre of Excellence for French </w:t>
      </w:r>
      <w:proofErr w:type="gramStart"/>
      <w:r>
        <w:rPr>
          <w:rStyle w:val="normaltextrun"/>
          <w:rFonts w:ascii="Arial" w:hAnsi="Arial" w:cs="Arial"/>
        </w:rPr>
        <w:t>will be expected</w:t>
      </w:r>
      <w:proofErr w:type="gramEnd"/>
      <w:r>
        <w:rPr>
          <w:rStyle w:val="normaltextrun"/>
          <w:rFonts w:ascii="Arial" w:hAnsi="Arial" w:cs="Arial"/>
        </w:rPr>
        <w:t xml:space="preserve"> to support HMG’s objective of delivering excellence in language training within a culture of continuous improvement, innovation, and value for money.</w:t>
      </w:r>
    </w:p>
    <w:p w14:paraId="5F4CDDF9"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p>
    <w:p w14:paraId="22EC7AA4"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Further information is available via tender documents</w:t>
      </w:r>
    </w:p>
    <w:p w14:paraId="6529AF9B" w14:textId="77777777" w:rsidR="00657396" w:rsidRDefault="00657396">
      <w:pPr>
        <w:rPr>
          <w:rFonts w:cs="Arial"/>
        </w:rPr>
      </w:pPr>
    </w:p>
    <w:p w14:paraId="0B42B8D6" w14:textId="77777777" w:rsidR="00657396" w:rsidRPr="0073368A" w:rsidRDefault="00657396" w:rsidP="0073368A">
      <w:pPr>
        <w:jc w:val="center"/>
        <w:rPr>
          <w:rStyle w:val="normaltextrun"/>
          <w:rFonts w:cs="Arial"/>
          <w:b/>
          <w:bCs/>
          <w:color w:val="000000"/>
          <w:sz w:val="28"/>
          <w:szCs w:val="28"/>
          <w:bdr w:val="none" w:sz="0" w:space="0" w:color="auto" w:frame="1"/>
        </w:rPr>
      </w:pPr>
      <w:r w:rsidRPr="0073368A">
        <w:rPr>
          <w:rStyle w:val="normaltextrun"/>
          <w:rFonts w:cs="Arial"/>
          <w:b/>
          <w:bCs/>
          <w:color w:val="000000"/>
          <w:sz w:val="28"/>
          <w:szCs w:val="28"/>
          <w:bdr w:val="none" w:sz="0" w:space="0" w:color="auto" w:frame="1"/>
        </w:rPr>
        <w:t>UK GOVERNMENT (HMG) PROVISION OF UK-BASED SPANISH LANGUAGE TRAINING SPECIFICATION – LOT 3 – CENTRE OF EXCELLENCE FOR SPANISH</w:t>
      </w:r>
    </w:p>
    <w:p w14:paraId="19B98FF5" w14:textId="77777777" w:rsidR="00657396" w:rsidRDefault="00657396" w:rsidP="00657396">
      <w:pPr>
        <w:pStyle w:val="paragraph"/>
        <w:spacing w:before="0" w:beforeAutospacing="0" w:after="0" w:afterAutospacing="0"/>
        <w:jc w:val="both"/>
        <w:textAlignment w:val="baseline"/>
        <w:rPr>
          <w:rStyle w:val="eop"/>
          <w:rFonts w:ascii="Arial" w:hAnsi="Arial" w:cs="Arial"/>
          <w:sz w:val="28"/>
          <w:szCs w:val="28"/>
        </w:rPr>
      </w:pPr>
      <w:r>
        <w:rPr>
          <w:rStyle w:val="normaltextrun"/>
          <w:rFonts w:ascii="Arial" w:hAnsi="Arial" w:cs="Arial"/>
          <w:b/>
          <w:bCs/>
          <w:sz w:val="28"/>
          <w:szCs w:val="28"/>
        </w:rPr>
        <w:t>Aim</w:t>
      </w:r>
    </w:p>
    <w:p w14:paraId="7ED475E7" w14:textId="77777777" w:rsidR="0073368A" w:rsidRDefault="0073368A" w:rsidP="00657396">
      <w:pPr>
        <w:pStyle w:val="paragraph"/>
        <w:spacing w:before="0" w:beforeAutospacing="0" w:after="0" w:afterAutospacing="0"/>
        <w:jc w:val="both"/>
        <w:textAlignment w:val="baseline"/>
        <w:rPr>
          <w:rFonts w:ascii="Arial" w:hAnsi="Arial" w:cs="Arial"/>
        </w:rPr>
      </w:pPr>
    </w:p>
    <w:p w14:paraId="37BC1F32" w14:textId="77777777" w:rsidR="00657396" w:rsidRDefault="00657396" w:rsidP="0073368A">
      <w:pPr>
        <w:pStyle w:val="paragraph"/>
        <w:numPr>
          <w:ilvl w:val="1"/>
          <w:numId w:val="8"/>
        </w:numPr>
        <w:spacing w:before="0" w:beforeAutospacing="0" w:after="0" w:afterAutospacing="0"/>
        <w:ind w:left="567" w:hanging="567"/>
        <w:jc w:val="both"/>
        <w:textAlignment w:val="baseline"/>
        <w:rPr>
          <w:rStyle w:val="eop"/>
          <w:rFonts w:ascii="Arial" w:hAnsi="Arial" w:cs="Arial"/>
        </w:rPr>
      </w:pPr>
      <w:r>
        <w:rPr>
          <w:rStyle w:val="normaltextrun"/>
          <w:rFonts w:ascii="Arial" w:hAnsi="Arial" w:cs="Arial"/>
        </w:rPr>
        <w:t>To identify and contract a ‘</w:t>
      </w:r>
      <w:r>
        <w:rPr>
          <w:rStyle w:val="normaltextrun"/>
          <w:rFonts w:ascii="Arial" w:hAnsi="Arial" w:cs="Arial"/>
          <w:b/>
          <w:bCs/>
        </w:rPr>
        <w:t>Centre of Excellence</w:t>
      </w:r>
      <w:r>
        <w:rPr>
          <w:rStyle w:val="normaltextrun"/>
          <w:rFonts w:ascii="Arial" w:hAnsi="Arial" w:cs="Arial"/>
        </w:rPr>
        <w:t> for Spanish to deliver a managed, professional language training service including (but not limited to) the following requirements:</w:t>
      </w:r>
    </w:p>
    <w:p w14:paraId="470599CE" w14:textId="77777777" w:rsidR="0073368A" w:rsidRDefault="0073368A" w:rsidP="0073368A">
      <w:pPr>
        <w:pStyle w:val="paragraph"/>
        <w:spacing w:before="0" w:beforeAutospacing="0" w:after="0" w:afterAutospacing="0"/>
        <w:ind w:left="567"/>
        <w:jc w:val="both"/>
        <w:textAlignment w:val="baseline"/>
        <w:rPr>
          <w:rFonts w:ascii="Arial" w:hAnsi="Arial" w:cs="Arial"/>
        </w:rPr>
      </w:pPr>
    </w:p>
    <w:p w14:paraId="3CEA491B" w14:textId="77777777" w:rsidR="00657396" w:rsidRDefault="00657396" w:rsidP="0073368A">
      <w:pPr>
        <w:pStyle w:val="paragraph"/>
        <w:numPr>
          <w:ilvl w:val="0"/>
          <w:numId w:val="13"/>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UK-based Spanish language training mapped against the Common European Framework for Languages: </w:t>
      </w:r>
      <w:hyperlink r:id="rId12" w:tgtFrame="_blank" w:history="1">
        <w:r>
          <w:rPr>
            <w:rStyle w:val="normaltextrun"/>
            <w:rFonts w:ascii="Arial" w:hAnsi="Arial" w:cs="Arial"/>
            <w:color w:val="0563C1"/>
            <w:u w:val="single"/>
          </w:rPr>
          <w:t>https://www.coe.int/en/web/common-european-framework-reference-languages</w:t>
        </w:r>
        <w:r>
          <w:rPr>
            <w:rStyle w:val="tabchar"/>
            <w:rFonts w:ascii="Calibri" w:hAnsi="Calibri" w:cs="Calibri"/>
            <w:color w:val="0563C1"/>
          </w:rPr>
          <w:t xml:space="preserve"> </w:t>
        </w:r>
      </w:hyperlink>
      <w:r>
        <w:rPr>
          <w:rStyle w:val="normaltextrun"/>
          <w:rFonts w:ascii="Arial" w:hAnsi="Arial" w:cs="Arial"/>
        </w:rPr>
        <w:t>.</w:t>
      </w:r>
      <w:r>
        <w:rPr>
          <w:rStyle w:val="eop"/>
          <w:rFonts w:ascii="Arial" w:hAnsi="Arial" w:cs="Arial"/>
        </w:rPr>
        <w:t> </w:t>
      </w:r>
    </w:p>
    <w:p w14:paraId="03035F6A" w14:textId="77777777" w:rsidR="00657396" w:rsidRDefault="00657396" w:rsidP="0073368A">
      <w:pPr>
        <w:pStyle w:val="paragraph"/>
        <w:numPr>
          <w:ilvl w:val="0"/>
          <w:numId w:val="13"/>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w:t>
      </w:r>
      <w:proofErr w:type="gramStart"/>
      <w:r>
        <w:rPr>
          <w:rStyle w:val="normaltextrun"/>
          <w:rFonts w:ascii="Arial" w:hAnsi="Arial" w:cs="Arial"/>
        </w:rPr>
        <w:t>2</w:t>
      </w:r>
      <w:proofErr w:type="gramEnd"/>
      <w:r>
        <w:rPr>
          <w:rStyle w:val="normaltextrun"/>
          <w:rFonts w:ascii="Arial" w:hAnsi="Arial" w:cs="Arial"/>
        </w:rPr>
        <w:t> types of Spanish language assessments, both mapped against the Common European Framework for Languages: </w:t>
      </w:r>
      <w:hyperlink r:id="rId13" w:tgtFrame="_blank" w:history="1">
        <w:r>
          <w:rPr>
            <w:rStyle w:val="normaltextrun"/>
            <w:rFonts w:ascii="Arial" w:hAnsi="Arial" w:cs="Arial"/>
            <w:color w:val="0563C1"/>
            <w:u w:val="single"/>
          </w:rPr>
          <w:t>https://www.coe.int/en/web/common-european-framework-reference-languages</w:t>
        </w:r>
        <w:r>
          <w:rPr>
            <w:rStyle w:val="tabchar"/>
            <w:rFonts w:ascii="Calibri" w:hAnsi="Calibri" w:cs="Calibri"/>
            <w:color w:val="0563C1"/>
          </w:rPr>
          <w:t xml:space="preserve"> </w:t>
        </w:r>
      </w:hyperlink>
      <w:r>
        <w:rPr>
          <w:rStyle w:val="normaltextrun"/>
          <w:rFonts w:ascii="Arial" w:hAnsi="Arial" w:cs="Arial"/>
        </w:rPr>
        <w:t>.</w:t>
      </w:r>
      <w:r>
        <w:rPr>
          <w:rStyle w:val="eop"/>
          <w:rFonts w:ascii="Arial" w:hAnsi="Arial" w:cs="Arial"/>
        </w:rPr>
        <w:t> </w:t>
      </w:r>
    </w:p>
    <w:p w14:paraId="33700760" w14:textId="77777777" w:rsidR="00657396" w:rsidRDefault="00657396" w:rsidP="0073368A">
      <w:pPr>
        <w:pStyle w:val="paragraph"/>
        <w:numPr>
          <w:ilvl w:val="0"/>
          <w:numId w:val="13"/>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administration services.</w:t>
      </w:r>
      <w:r>
        <w:rPr>
          <w:rStyle w:val="eop"/>
          <w:rFonts w:ascii="Arial" w:hAnsi="Arial" w:cs="Arial"/>
        </w:rPr>
        <w:t> </w:t>
      </w:r>
    </w:p>
    <w:p w14:paraId="6BD7CB9C" w14:textId="77777777" w:rsidR="00657396" w:rsidRDefault="00657396" w:rsidP="0073368A">
      <w:pPr>
        <w:pStyle w:val="paragraph"/>
        <w:spacing w:before="0" w:beforeAutospacing="0" w:after="0" w:afterAutospacing="0"/>
        <w:ind w:left="567" w:hanging="567"/>
        <w:jc w:val="both"/>
        <w:textAlignment w:val="baseline"/>
        <w:rPr>
          <w:rFonts w:ascii="Arial" w:hAnsi="Arial" w:cs="Arial"/>
        </w:rPr>
      </w:pPr>
      <w:r>
        <w:rPr>
          <w:rStyle w:val="eop"/>
          <w:rFonts w:ascii="Arial" w:hAnsi="Arial" w:cs="Arial"/>
        </w:rPr>
        <w:t> </w:t>
      </w:r>
    </w:p>
    <w:p w14:paraId="50AB196E" w14:textId="77777777" w:rsidR="00657396" w:rsidRDefault="00657396" w:rsidP="0073368A">
      <w:pPr>
        <w:pStyle w:val="paragraph"/>
        <w:numPr>
          <w:ilvl w:val="1"/>
          <w:numId w:val="8"/>
        </w:numPr>
        <w:spacing w:before="0" w:beforeAutospacing="0" w:after="0" w:afterAutospacing="0"/>
        <w:ind w:left="567" w:hanging="567"/>
        <w:jc w:val="both"/>
        <w:textAlignment w:val="baseline"/>
        <w:rPr>
          <w:rFonts w:ascii="Arial" w:hAnsi="Arial" w:cs="Arial"/>
        </w:rPr>
      </w:pPr>
      <w:r>
        <w:rPr>
          <w:rStyle w:val="normaltextrun"/>
          <w:rFonts w:ascii="Arial" w:hAnsi="Arial" w:cs="Arial"/>
        </w:rPr>
        <w:lastRenderedPageBreak/>
        <w:t>The appointed Centre of Excellence for Spanish will have full responsibility for delivering the requirements described within this Specification. The Centre of Excellence for Spanish </w:t>
      </w:r>
      <w:proofErr w:type="gramStart"/>
      <w:r>
        <w:rPr>
          <w:rStyle w:val="normaltextrun"/>
          <w:rFonts w:ascii="Arial" w:hAnsi="Arial" w:cs="Arial"/>
        </w:rPr>
        <w:t>will be expected</w:t>
      </w:r>
      <w:proofErr w:type="gramEnd"/>
      <w:r>
        <w:rPr>
          <w:rStyle w:val="normaltextrun"/>
          <w:rFonts w:ascii="Arial" w:hAnsi="Arial" w:cs="Arial"/>
        </w:rPr>
        <w:t xml:space="preserve"> to support HMG’s objective of delivering excellence in language training within a culture of continuous improvement, innovation, and value for money.</w:t>
      </w:r>
    </w:p>
    <w:p w14:paraId="4EFB713E" w14:textId="77777777" w:rsidR="0073368A" w:rsidRDefault="0073368A" w:rsidP="00657396">
      <w:pPr>
        <w:pStyle w:val="paragraph"/>
        <w:spacing w:before="0" w:beforeAutospacing="0" w:after="0" w:afterAutospacing="0"/>
        <w:jc w:val="both"/>
        <w:textAlignment w:val="baseline"/>
        <w:rPr>
          <w:rStyle w:val="normaltextrun"/>
          <w:rFonts w:ascii="Arial" w:hAnsi="Arial" w:cs="Arial"/>
        </w:rPr>
      </w:pPr>
    </w:p>
    <w:p w14:paraId="1F344106"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Further information is available via tender documents</w:t>
      </w:r>
    </w:p>
    <w:p w14:paraId="32AF536E" w14:textId="77777777" w:rsidR="00657396" w:rsidRDefault="00657396">
      <w:pPr>
        <w:rPr>
          <w:rFonts w:cs="Arial"/>
        </w:rPr>
      </w:pPr>
    </w:p>
    <w:p w14:paraId="0B206B0C" w14:textId="77777777" w:rsidR="00657396" w:rsidRPr="0073368A" w:rsidRDefault="00657396" w:rsidP="0073368A">
      <w:pPr>
        <w:jc w:val="center"/>
        <w:rPr>
          <w:rStyle w:val="eop"/>
          <w:rFonts w:cs="Arial"/>
          <w:color w:val="000000"/>
          <w:sz w:val="28"/>
          <w:szCs w:val="28"/>
          <w:shd w:val="clear" w:color="auto" w:fill="FFFFFF"/>
        </w:rPr>
      </w:pPr>
      <w:r w:rsidRPr="0073368A">
        <w:rPr>
          <w:rStyle w:val="normaltextrun"/>
          <w:rFonts w:cs="Arial"/>
          <w:b/>
          <w:bCs/>
          <w:color w:val="000000"/>
          <w:sz w:val="28"/>
          <w:szCs w:val="28"/>
          <w:shd w:val="clear" w:color="auto" w:fill="FFFFFF"/>
        </w:rPr>
        <w:t>UK GOVERNMENT (HMG) PROVISION OF UK-BASED ARABIC LANGUAGE TRAINING SPECIFICATION – LOT 4 – CENTRE OF EXCELLENCE FOR ARABIC</w:t>
      </w:r>
    </w:p>
    <w:p w14:paraId="75B754CB" w14:textId="77777777" w:rsidR="0073368A" w:rsidRDefault="0073368A" w:rsidP="00657396">
      <w:pPr>
        <w:pStyle w:val="paragraph"/>
        <w:spacing w:before="0" w:beforeAutospacing="0" w:after="0" w:afterAutospacing="0"/>
        <w:jc w:val="both"/>
        <w:textAlignment w:val="baseline"/>
        <w:rPr>
          <w:rStyle w:val="normaltextrun"/>
          <w:rFonts w:ascii="Arial" w:hAnsi="Arial" w:cs="Arial"/>
          <w:b/>
          <w:bCs/>
          <w:sz w:val="28"/>
          <w:szCs w:val="28"/>
        </w:rPr>
      </w:pPr>
    </w:p>
    <w:p w14:paraId="153CDABF" w14:textId="77777777" w:rsidR="00657396" w:rsidRDefault="00657396" w:rsidP="00657396">
      <w:pPr>
        <w:pStyle w:val="paragraph"/>
        <w:spacing w:before="0" w:beforeAutospacing="0" w:after="0" w:afterAutospacing="0"/>
        <w:jc w:val="both"/>
        <w:textAlignment w:val="baseline"/>
        <w:rPr>
          <w:rStyle w:val="eop"/>
          <w:rFonts w:ascii="Arial" w:hAnsi="Arial" w:cs="Arial"/>
          <w:sz w:val="28"/>
          <w:szCs w:val="28"/>
        </w:rPr>
      </w:pPr>
      <w:r>
        <w:rPr>
          <w:rStyle w:val="normaltextrun"/>
          <w:rFonts w:ascii="Arial" w:hAnsi="Arial" w:cs="Arial"/>
          <w:b/>
          <w:bCs/>
          <w:sz w:val="28"/>
          <w:szCs w:val="28"/>
        </w:rPr>
        <w:t>Aim</w:t>
      </w:r>
      <w:r>
        <w:rPr>
          <w:rStyle w:val="eop"/>
          <w:rFonts w:ascii="Arial" w:hAnsi="Arial" w:cs="Arial"/>
          <w:sz w:val="28"/>
          <w:szCs w:val="28"/>
        </w:rPr>
        <w:t> </w:t>
      </w:r>
    </w:p>
    <w:p w14:paraId="5AA0938C" w14:textId="77777777" w:rsidR="0073368A" w:rsidRDefault="0073368A" w:rsidP="00657396">
      <w:pPr>
        <w:pStyle w:val="paragraph"/>
        <w:spacing w:before="0" w:beforeAutospacing="0" w:after="0" w:afterAutospacing="0"/>
        <w:jc w:val="both"/>
        <w:textAlignment w:val="baseline"/>
        <w:rPr>
          <w:rFonts w:ascii="Arial" w:hAnsi="Arial" w:cs="Arial"/>
        </w:rPr>
      </w:pPr>
    </w:p>
    <w:p w14:paraId="5D494A9C" w14:textId="77777777" w:rsidR="00657396" w:rsidRDefault="00657396" w:rsidP="0073368A">
      <w:pPr>
        <w:pStyle w:val="paragraph"/>
        <w:numPr>
          <w:ilvl w:val="1"/>
          <w:numId w:val="13"/>
        </w:numPr>
        <w:spacing w:before="0" w:beforeAutospacing="0" w:after="0" w:afterAutospacing="0"/>
        <w:ind w:left="567" w:hanging="567"/>
        <w:jc w:val="both"/>
        <w:textAlignment w:val="baseline"/>
        <w:rPr>
          <w:rStyle w:val="eop"/>
          <w:rFonts w:ascii="Arial" w:hAnsi="Arial" w:cs="Arial"/>
        </w:rPr>
      </w:pPr>
      <w:r>
        <w:rPr>
          <w:rStyle w:val="normaltextrun"/>
          <w:rFonts w:ascii="Arial" w:hAnsi="Arial" w:cs="Arial"/>
        </w:rPr>
        <w:t>To identify and contract a ‘</w:t>
      </w:r>
      <w:r>
        <w:rPr>
          <w:rStyle w:val="normaltextrun"/>
          <w:rFonts w:ascii="Arial" w:hAnsi="Arial" w:cs="Arial"/>
          <w:b/>
          <w:bCs/>
        </w:rPr>
        <w:t>Centre of Excellence</w:t>
      </w:r>
      <w:r>
        <w:rPr>
          <w:rStyle w:val="normaltextrun"/>
          <w:rFonts w:ascii="Arial" w:hAnsi="Arial" w:cs="Arial"/>
        </w:rPr>
        <w:t> for Arabic’ to deliver a managed, professional language training service including (but not limited to) the following requirements:</w:t>
      </w:r>
    </w:p>
    <w:p w14:paraId="5FC019F6" w14:textId="77777777" w:rsidR="0073368A" w:rsidRDefault="0073368A" w:rsidP="0073368A">
      <w:pPr>
        <w:pStyle w:val="paragraph"/>
        <w:spacing w:before="0" w:beforeAutospacing="0" w:after="0" w:afterAutospacing="0"/>
        <w:ind w:left="567" w:hanging="567"/>
        <w:jc w:val="both"/>
        <w:textAlignment w:val="baseline"/>
        <w:rPr>
          <w:rFonts w:ascii="Arial" w:hAnsi="Arial" w:cs="Arial"/>
        </w:rPr>
      </w:pPr>
    </w:p>
    <w:p w14:paraId="67B0E3A8" w14:textId="77777777" w:rsidR="00657396" w:rsidRDefault="00657396" w:rsidP="0073368A">
      <w:pPr>
        <w:pStyle w:val="paragraph"/>
        <w:numPr>
          <w:ilvl w:val="0"/>
          <w:numId w:val="16"/>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UK-based Arabic language training mapped against the Common European Framework for Languages: </w:t>
      </w:r>
      <w:hyperlink r:id="rId14" w:tgtFrame="_blank" w:history="1">
        <w:r>
          <w:rPr>
            <w:rStyle w:val="normaltextrun"/>
            <w:rFonts w:ascii="Arial" w:hAnsi="Arial" w:cs="Arial"/>
            <w:color w:val="0563C1"/>
            <w:u w:val="single"/>
          </w:rPr>
          <w:t>https://www.coe.int/en/web/common-european-framework-reference-languages</w:t>
        </w:r>
        <w:r>
          <w:rPr>
            <w:rStyle w:val="tabchar"/>
            <w:rFonts w:ascii="Calibri" w:hAnsi="Calibri" w:cs="Calibri"/>
            <w:color w:val="0563C1"/>
          </w:rPr>
          <w:t xml:space="preserve"> </w:t>
        </w:r>
      </w:hyperlink>
      <w:r>
        <w:rPr>
          <w:rStyle w:val="normaltextrun"/>
          <w:rFonts w:ascii="Arial" w:hAnsi="Arial" w:cs="Arial"/>
        </w:rPr>
        <w:t>.</w:t>
      </w:r>
      <w:r>
        <w:rPr>
          <w:rStyle w:val="eop"/>
          <w:rFonts w:ascii="Arial" w:hAnsi="Arial" w:cs="Arial"/>
        </w:rPr>
        <w:t> </w:t>
      </w:r>
    </w:p>
    <w:p w14:paraId="081A9673" w14:textId="77777777" w:rsidR="00657396" w:rsidRDefault="00657396" w:rsidP="0073368A">
      <w:pPr>
        <w:pStyle w:val="paragraph"/>
        <w:numPr>
          <w:ilvl w:val="0"/>
          <w:numId w:val="16"/>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w:t>
      </w:r>
      <w:proofErr w:type="gramStart"/>
      <w:r>
        <w:rPr>
          <w:rStyle w:val="normaltextrun"/>
          <w:rFonts w:ascii="Arial" w:hAnsi="Arial" w:cs="Arial"/>
        </w:rPr>
        <w:t>2</w:t>
      </w:r>
      <w:proofErr w:type="gramEnd"/>
      <w:r>
        <w:rPr>
          <w:rStyle w:val="normaltextrun"/>
          <w:rFonts w:ascii="Arial" w:hAnsi="Arial" w:cs="Arial"/>
        </w:rPr>
        <w:t> types of Arabic language assessments, both mapped against the Common European Framework for Languages: </w:t>
      </w:r>
      <w:hyperlink r:id="rId15" w:tgtFrame="_blank" w:history="1">
        <w:r>
          <w:rPr>
            <w:rStyle w:val="normaltextrun"/>
            <w:rFonts w:ascii="Arial" w:hAnsi="Arial" w:cs="Arial"/>
            <w:color w:val="0563C1"/>
            <w:u w:val="single"/>
          </w:rPr>
          <w:t>https://www.coe.int/en/web/common-european-framework-reference-languages</w:t>
        </w:r>
        <w:r>
          <w:rPr>
            <w:rStyle w:val="tabchar"/>
            <w:rFonts w:ascii="Calibri" w:hAnsi="Calibri" w:cs="Calibri"/>
            <w:color w:val="0563C1"/>
          </w:rPr>
          <w:t xml:space="preserve"> </w:t>
        </w:r>
      </w:hyperlink>
      <w:r>
        <w:rPr>
          <w:rStyle w:val="normaltextrun"/>
          <w:rFonts w:ascii="Arial" w:hAnsi="Arial" w:cs="Arial"/>
        </w:rPr>
        <w:t>.</w:t>
      </w:r>
      <w:r>
        <w:rPr>
          <w:rStyle w:val="eop"/>
          <w:rFonts w:ascii="Arial" w:hAnsi="Arial" w:cs="Arial"/>
        </w:rPr>
        <w:t> </w:t>
      </w:r>
    </w:p>
    <w:p w14:paraId="7F0A7B43" w14:textId="77777777" w:rsidR="00657396" w:rsidRDefault="00657396" w:rsidP="0073368A">
      <w:pPr>
        <w:pStyle w:val="paragraph"/>
        <w:numPr>
          <w:ilvl w:val="0"/>
          <w:numId w:val="16"/>
        </w:numPr>
        <w:tabs>
          <w:tab w:val="clear" w:pos="720"/>
        </w:tabs>
        <w:spacing w:before="0" w:beforeAutospacing="0" w:after="0" w:afterAutospacing="0"/>
        <w:ind w:left="1134" w:hanging="567"/>
        <w:textAlignment w:val="baseline"/>
        <w:rPr>
          <w:rFonts w:ascii="Arial" w:hAnsi="Arial" w:cs="Arial"/>
        </w:rPr>
      </w:pPr>
      <w:r>
        <w:rPr>
          <w:rStyle w:val="normaltextrun"/>
          <w:rFonts w:ascii="Arial" w:hAnsi="Arial" w:cs="Arial"/>
        </w:rPr>
        <w:t>Deliver administration services.</w:t>
      </w:r>
      <w:r>
        <w:rPr>
          <w:rStyle w:val="eop"/>
          <w:rFonts w:ascii="Arial" w:hAnsi="Arial" w:cs="Arial"/>
        </w:rPr>
        <w:t> </w:t>
      </w:r>
    </w:p>
    <w:p w14:paraId="5027B01A" w14:textId="77777777" w:rsidR="00657396" w:rsidRDefault="00657396" w:rsidP="0073368A">
      <w:pPr>
        <w:pStyle w:val="paragraph"/>
        <w:spacing w:before="0" w:beforeAutospacing="0" w:after="0" w:afterAutospacing="0"/>
        <w:ind w:left="567" w:hanging="567"/>
        <w:jc w:val="both"/>
        <w:textAlignment w:val="baseline"/>
        <w:rPr>
          <w:rFonts w:ascii="Arial" w:hAnsi="Arial" w:cs="Arial"/>
        </w:rPr>
      </w:pPr>
      <w:r>
        <w:rPr>
          <w:rStyle w:val="eop"/>
          <w:rFonts w:ascii="Arial" w:hAnsi="Arial" w:cs="Arial"/>
        </w:rPr>
        <w:t> </w:t>
      </w:r>
    </w:p>
    <w:p w14:paraId="1D9BAB8A" w14:textId="77777777" w:rsidR="00657396" w:rsidRDefault="00657396" w:rsidP="0073368A">
      <w:pPr>
        <w:pStyle w:val="paragraph"/>
        <w:numPr>
          <w:ilvl w:val="1"/>
          <w:numId w:val="13"/>
        </w:numPr>
        <w:spacing w:before="0" w:beforeAutospacing="0" w:after="0" w:afterAutospacing="0"/>
        <w:ind w:left="567" w:hanging="567"/>
        <w:jc w:val="both"/>
        <w:textAlignment w:val="baseline"/>
        <w:rPr>
          <w:rFonts w:ascii="Arial" w:hAnsi="Arial" w:cs="Arial"/>
        </w:rPr>
      </w:pPr>
      <w:r>
        <w:rPr>
          <w:rStyle w:val="normaltextrun"/>
          <w:rFonts w:ascii="Arial" w:hAnsi="Arial" w:cs="Arial"/>
        </w:rPr>
        <w:t>The appointed Centre of Excellence for Arabic will have full responsibility for delivering the requirements described within this Specification. The Centre of Excellence for Arabic </w:t>
      </w:r>
      <w:proofErr w:type="gramStart"/>
      <w:r>
        <w:rPr>
          <w:rStyle w:val="normaltextrun"/>
          <w:rFonts w:ascii="Arial" w:hAnsi="Arial" w:cs="Arial"/>
        </w:rPr>
        <w:t>will be expected</w:t>
      </w:r>
      <w:proofErr w:type="gramEnd"/>
      <w:r>
        <w:rPr>
          <w:rStyle w:val="normaltextrun"/>
          <w:rFonts w:ascii="Arial" w:hAnsi="Arial" w:cs="Arial"/>
        </w:rPr>
        <w:t xml:space="preserve"> to support HMG’s objective of delivering excellence in language training within a culture of continuous improvement, innovation, and value for money.</w:t>
      </w:r>
    </w:p>
    <w:p w14:paraId="78109BA8"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p>
    <w:p w14:paraId="303063A9"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Further information is available via tender documents</w:t>
      </w:r>
    </w:p>
    <w:p w14:paraId="4B6C05F6" w14:textId="77777777" w:rsidR="00657396" w:rsidRDefault="00657396">
      <w:pPr>
        <w:rPr>
          <w:rFonts w:cs="Arial"/>
        </w:rPr>
      </w:pPr>
    </w:p>
    <w:p w14:paraId="0A2D97B8" w14:textId="77777777" w:rsidR="00657396" w:rsidRPr="0073368A" w:rsidRDefault="00657396" w:rsidP="0073368A">
      <w:pPr>
        <w:jc w:val="center"/>
        <w:rPr>
          <w:rFonts w:cs="Arial"/>
          <w:sz w:val="28"/>
          <w:szCs w:val="28"/>
        </w:rPr>
      </w:pPr>
      <w:r w:rsidRPr="0073368A">
        <w:rPr>
          <w:rStyle w:val="normaltextrun"/>
          <w:rFonts w:cs="Arial"/>
          <w:b/>
          <w:bCs/>
          <w:color w:val="000000"/>
          <w:sz w:val="28"/>
          <w:szCs w:val="28"/>
          <w:shd w:val="clear" w:color="auto" w:fill="FFFFFF"/>
        </w:rPr>
        <w:t>UK GOVERNMENT (HMG) PROVISION OF ONLINE LANGUAGE EXAMINATIONS SPECIFICATION – LOT 5 – EXAMINATIONS PROVIDER</w:t>
      </w:r>
    </w:p>
    <w:p w14:paraId="12223029" w14:textId="77777777" w:rsidR="0073368A" w:rsidRDefault="0073368A" w:rsidP="00657396">
      <w:pPr>
        <w:pStyle w:val="paragraph"/>
        <w:spacing w:before="0" w:beforeAutospacing="0" w:after="0" w:afterAutospacing="0"/>
        <w:jc w:val="both"/>
        <w:textAlignment w:val="baseline"/>
        <w:rPr>
          <w:rStyle w:val="normaltextrun"/>
          <w:rFonts w:ascii="Arial" w:hAnsi="Arial" w:cs="Arial"/>
          <w:b/>
          <w:bCs/>
        </w:rPr>
      </w:pPr>
    </w:p>
    <w:p w14:paraId="449E3EDB" w14:textId="77777777" w:rsidR="0073368A" w:rsidRDefault="00657396" w:rsidP="00657396">
      <w:pPr>
        <w:pStyle w:val="paragraph"/>
        <w:spacing w:before="0" w:beforeAutospacing="0" w:after="0" w:afterAutospacing="0"/>
        <w:jc w:val="both"/>
        <w:textAlignment w:val="baseline"/>
        <w:rPr>
          <w:rStyle w:val="normaltextrun"/>
          <w:rFonts w:ascii="Arial" w:hAnsi="Arial" w:cs="Arial"/>
          <w:b/>
          <w:bCs/>
        </w:rPr>
      </w:pPr>
      <w:r>
        <w:rPr>
          <w:rStyle w:val="normaltextrun"/>
          <w:rFonts w:ascii="Arial" w:hAnsi="Arial" w:cs="Arial"/>
          <w:b/>
          <w:bCs/>
        </w:rPr>
        <w:t>Aim</w:t>
      </w:r>
    </w:p>
    <w:p w14:paraId="05DE269D" w14:textId="77777777" w:rsidR="00657396" w:rsidRDefault="00657396" w:rsidP="00657396">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367BFA5A" w14:textId="77777777" w:rsidR="00657396" w:rsidRDefault="00657396" w:rsidP="0073368A">
      <w:pPr>
        <w:pStyle w:val="paragraph"/>
        <w:numPr>
          <w:ilvl w:val="1"/>
          <w:numId w:val="16"/>
        </w:numPr>
        <w:spacing w:before="0" w:beforeAutospacing="0" w:after="0" w:afterAutospacing="0"/>
        <w:ind w:left="567" w:hanging="567"/>
        <w:jc w:val="both"/>
        <w:textAlignment w:val="baseline"/>
        <w:rPr>
          <w:rFonts w:ascii="Arial" w:hAnsi="Arial" w:cs="Arial"/>
        </w:rPr>
      </w:pPr>
      <w:r>
        <w:rPr>
          <w:rStyle w:val="normaltextrun"/>
          <w:rFonts w:ascii="Arial" w:hAnsi="Arial" w:cs="Arial"/>
        </w:rPr>
        <w:t>To identify and contract an ‘Examinations Provider’ to deliver a managed, professional examination provision including (but not limited to) the following requirements:</w:t>
      </w:r>
      <w:r>
        <w:rPr>
          <w:rStyle w:val="eop"/>
          <w:rFonts w:ascii="Arial" w:hAnsi="Arial" w:cs="Arial"/>
        </w:rPr>
        <w:t> </w:t>
      </w:r>
    </w:p>
    <w:p w14:paraId="4D4013B4" w14:textId="77777777" w:rsidR="00657396" w:rsidRDefault="00657396" w:rsidP="0073368A">
      <w:pPr>
        <w:pStyle w:val="paragraph"/>
        <w:numPr>
          <w:ilvl w:val="0"/>
          <w:numId w:val="19"/>
        </w:numPr>
        <w:tabs>
          <w:tab w:val="clear" w:pos="720"/>
        </w:tabs>
        <w:spacing w:before="0" w:beforeAutospacing="0" w:after="0" w:afterAutospacing="0"/>
        <w:ind w:left="1134" w:hanging="567"/>
        <w:jc w:val="both"/>
        <w:textAlignment w:val="baseline"/>
        <w:rPr>
          <w:rFonts w:ascii="Arial" w:hAnsi="Arial" w:cs="Arial"/>
        </w:rPr>
      </w:pPr>
      <w:r>
        <w:rPr>
          <w:rStyle w:val="normaltextrun"/>
          <w:rFonts w:ascii="Arial" w:hAnsi="Arial" w:cs="Arial"/>
        </w:rPr>
        <w:lastRenderedPageBreak/>
        <w:t>Deliver formal online language examinations mapped against the Common European Framework for Languages (CEFR): </w:t>
      </w:r>
      <w:hyperlink r:id="rId16" w:tgtFrame="_blank" w:history="1">
        <w:r>
          <w:rPr>
            <w:rStyle w:val="normaltextrun"/>
            <w:rFonts w:ascii="Arial" w:hAnsi="Arial" w:cs="Arial"/>
            <w:color w:val="0563C1"/>
            <w:u w:val="single"/>
          </w:rPr>
          <w:t>https://www.coe.int/en/web/common-european-framework-reference-languages</w:t>
        </w:r>
      </w:hyperlink>
      <w:r>
        <w:rPr>
          <w:rStyle w:val="normaltextrun"/>
          <w:rFonts w:ascii="Arial" w:hAnsi="Arial" w:cs="Arial"/>
        </w:rPr>
        <w:t> . </w:t>
      </w:r>
      <w:r>
        <w:rPr>
          <w:rStyle w:val="eop"/>
          <w:rFonts w:ascii="Arial" w:hAnsi="Arial" w:cs="Arial"/>
        </w:rPr>
        <w:t> </w:t>
      </w:r>
    </w:p>
    <w:p w14:paraId="2E40C565" w14:textId="77777777" w:rsidR="00657396" w:rsidRDefault="00657396" w:rsidP="0073368A">
      <w:pPr>
        <w:pStyle w:val="paragraph"/>
        <w:numPr>
          <w:ilvl w:val="0"/>
          <w:numId w:val="19"/>
        </w:numPr>
        <w:tabs>
          <w:tab w:val="clear" w:pos="720"/>
        </w:tabs>
        <w:spacing w:before="0" w:beforeAutospacing="0" w:after="0" w:afterAutospacing="0"/>
        <w:ind w:left="1134" w:hanging="567"/>
        <w:jc w:val="both"/>
        <w:textAlignment w:val="baseline"/>
        <w:rPr>
          <w:rFonts w:ascii="Arial" w:hAnsi="Arial" w:cs="Arial"/>
        </w:rPr>
      </w:pPr>
      <w:r>
        <w:rPr>
          <w:rStyle w:val="normaltextrun"/>
          <w:rFonts w:ascii="Arial" w:hAnsi="Arial" w:cs="Arial"/>
        </w:rPr>
        <w:t>Deliver application, marking, moderation, and appeals services.</w:t>
      </w:r>
      <w:r>
        <w:rPr>
          <w:rStyle w:val="eop"/>
          <w:rFonts w:ascii="Arial" w:hAnsi="Arial" w:cs="Arial"/>
        </w:rPr>
        <w:t> </w:t>
      </w:r>
    </w:p>
    <w:p w14:paraId="05E187D7" w14:textId="77777777" w:rsidR="00657396" w:rsidRDefault="00657396" w:rsidP="0073368A">
      <w:pPr>
        <w:pStyle w:val="paragraph"/>
        <w:numPr>
          <w:ilvl w:val="0"/>
          <w:numId w:val="19"/>
        </w:numPr>
        <w:tabs>
          <w:tab w:val="clear" w:pos="720"/>
        </w:tabs>
        <w:spacing w:before="0" w:beforeAutospacing="0" w:after="0" w:afterAutospacing="0"/>
        <w:ind w:left="1134" w:hanging="567"/>
        <w:jc w:val="both"/>
        <w:textAlignment w:val="baseline"/>
        <w:rPr>
          <w:rFonts w:ascii="Arial" w:hAnsi="Arial" w:cs="Arial"/>
        </w:rPr>
      </w:pPr>
      <w:r>
        <w:rPr>
          <w:rStyle w:val="normaltextrun"/>
          <w:rFonts w:ascii="Arial" w:hAnsi="Arial" w:cs="Arial"/>
        </w:rPr>
        <w:t>Deliver administration services, including (but not limited to): staffing; examiner selection, training, and monitoring</w:t>
      </w:r>
      <w:proofErr w:type="gramStart"/>
      <w:r>
        <w:rPr>
          <w:rStyle w:val="normaltextrun"/>
          <w:rFonts w:ascii="Arial" w:hAnsi="Arial" w:cs="Arial"/>
        </w:rPr>
        <w:t>;</w:t>
      </w:r>
      <w:proofErr w:type="gramEnd"/>
      <w:r>
        <w:rPr>
          <w:rStyle w:val="normaltextrun"/>
          <w:rFonts w:ascii="Arial" w:hAnsi="Arial" w:cs="Arial"/>
        </w:rPr>
        <w:t> full service reporting and evaluation.</w:t>
      </w:r>
      <w:r>
        <w:rPr>
          <w:rStyle w:val="eop"/>
          <w:rFonts w:ascii="Arial" w:hAnsi="Arial" w:cs="Arial"/>
        </w:rPr>
        <w:t> </w:t>
      </w:r>
    </w:p>
    <w:p w14:paraId="3824F5E8" w14:textId="77777777" w:rsidR="00657396" w:rsidRDefault="00657396" w:rsidP="00657396">
      <w:pPr>
        <w:pStyle w:val="paragraph"/>
        <w:spacing w:before="0" w:beforeAutospacing="0" w:after="0" w:afterAutospacing="0"/>
        <w:ind w:left="1080"/>
        <w:jc w:val="both"/>
        <w:textAlignment w:val="baseline"/>
        <w:rPr>
          <w:rFonts w:ascii="Arial" w:hAnsi="Arial" w:cs="Arial"/>
        </w:rPr>
      </w:pPr>
      <w:r>
        <w:rPr>
          <w:rStyle w:val="eop"/>
          <w:rFonts w:ascii="Arial" w:hAnsi="Arial" w:cs="Arial"/>
        </w:rPr>
        <w:t> </w:t>
      </w:r>
    </w:p>
    <w:p w14:paraId="7CFAA4F6" w14:textId="77777777" w:rsidR="00657396" w:rsidRDefault="00657396" w:rsidP="0073368A">
      <w:pPr>
        <w:pStyle w:val="paragraph"/>
        <w:numPr>
          <w:ilvl w:val="1"/>
          <w:numId w:val="16"/>
        </w:numPr>
        <w:spacing w:before="0" w:beforeAutospacing="0" w:after="0" w:afterAutospacing="0"/>
        <w:ind w:left="567" w:hanging="567"/>
        <w:jc w:val="both"/>
        <w:textAlignment w:val="baseline"/>
        <w:rPr>
          <w:rFonts w:ascii="Arial" w:hAnsi="Arial" w:cs="Arial"/>
        </w:rPr>
      </w:pPr>
      <w:r>
        <w:rPr>
          <w:rStyle w:val="normaltextrun"/>
          <w:rFonts w:ascii="Arial" w:hAnsi="Arial" w:cs="Arial"/>
        </w:rPr>
        <w:t xml:space="preserve">The appointed Examinations Provider will have full responsibility for delivering the requirements described within this Specification. The Examinations Provider </w:t>
      </w:r>
      <w:proofErr w:type="gramStart"/>
      <w:r>
        <w:rPr>
          <w:rStyle w:val="normaltextrun"/>
          <w:rFonts w:ascii="Arial" w:hAnsi="Arial" w:cs="Arial"/>
        </w:rPr>
        <w:t>will be expected</w:t>
      </w:r>
      <w:proofErr w:type="gramEnd"/>
      <w:r>
        <w:rPr>
          <w:rStyle w:val="normaltextrun"/>
          <w:rFonts w:ascii="Arial" w:hAnsi="Arial" w:cs="Arial"/>
        </w:rPr>
        <w:t xml:space="preserve"> to support HMG’s objective of delivering excellence in language examinations within a culture of continuous improvement, innovation, and value for money. </w:t>
      </w:r>
    </w:p>
    <w:p w14:paraId="36976FD9"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p>
    <w:p w14:paraId="6AAAA2AF" w14:textId="77777777" w:rsidR="00657396" w:rsidRDefault="00657396" w:rsidP="00657396">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Further information is available via tender documents</w:t>
      </w:r>
    </w:p>
    <w:p w14:paraId="2F2FFF06" w14:textId="77777777" w:rsidR="00657396" w:rsidRDefault="00657396">
      <w:pPr>
        <w:rPr>
          <w:rFonts w:cs="Arial"/>
        </w:rPr>
      </w:pPr>
    </w:p>
    <w:p w14:paraId="5F574EC9" w14:textId="77777777" w:rsidR="00657396" w:rsidRDefault="00657396">
      <w:pPr>
        <w:rPr>
          <w:rFonts w:eastAsia="Times New Roman" w:cs="Arial"/>
          <w:szCs w:val="24"/>
          <w:lang w:eastAsia="en-GB"/>
        </w:rPr>
      </w:pPr>
      <w:r>
        <w:rPr>
          <w:rFonts w:cs="Arial"/>
        </w:rPr>
        <w:br w:type="page"/>
      </w:r>
    </w:p>
    <w:p w14:paraId="33766B68" w14:textId="6EB8861A" w:rsidR="00657396" w:rsidRPr="00657396" w:rsidRDefault="00714C92" w:rsidP="00714C92">
      <w:pPr>
        <w:spacing w:after="0" w:line="240" w:lineRule="auto"/>
        <w:jc w:val="center"/>
        <w:textAlignment w:val="baseline"/>
        <w:rPr>
          <w:rFonts w:ascii="Segoe UI" w:eastAsia="Times New Roman" w:hAnsi="Segoe UI" w:cs="Segoe UI"/>
          <w:b/>
          <w:sz w:val="18"/>
          <w:szCs w:val="18"/>
          <w:lang w:eastAsia="en-GB"/>
        </w:rPr>
      </w:pPr>
      <w:r w:rsidRPr="00657396">
        <w:rPr>
          <w:rFonts w:eastAsia="Times New Roman" w:cs="Arial"/>
          <w:b/>
          <w:sz w:val="28"/>
          <w:szCs w:val="28"/>
          <w:lang w:eastAsia="en-GB"/>
        </w:rPr>
        <w:lastRenderedPageBreak/>
        <w:t>OTHER DEPARTMENTS, AGENCIES AND PUBLIC BODIES WITH ACCESS TO CONTRACT</w:t>
      </w:r>
    </w:p>
    <w:p w14:paraId="61034E52" w14:textId="77777777" w:rsidR="00657396" w:rsidRDefault="00657396" w:rsidP="00714C92">
      <w:pPr>
        <w:spacing w:after="0" w:line="240" w:lineRule="auto"/>
        <w:textAlignment w:val="baseline"/>
        <w:rPr>
          <w:rFonts w:eastAsia="Times New Roman" w:cs="Arial"/>
          <w:szCs w:val="24"/>
          <w:lang w:eastAsia="en-GB"/>
        </w:rPr>
      </w:pPr>
    </w:p>
    <w:p w14:paraId="56E07BF3" w14:textId="77777777" w:rsidR="00657396" w:rsidRDefault="00657396" w:rsidP="00714C92">
      <w:pPr>
        <w:spacing w:after="0" w:line="240" w:lineRule="auto"/>
        <w:jc w:val="both"/>
        <w:textAlignment w:val="baseline"/>
        <w:rPr>
          <w:rFonts w:eastAsia="Times New Roman" w:cs="Arial"/>
          <w:szCs w:val="24"/>
          <w:lang w:eastAsia="en-GB"/>
        </w:rPr>
      </w:pPr>
      <w:r w:rsidRPr="00657396">
        <w:rPr>
          <w:rFonts w:eastAsia="Times New Roman" w:cs="Arial"/>
          <w:szCs w:val="24"/>
          <w:lang w:eastAsia="en-GB"/>
        </w:rPr>
        <w:t>The service provision will be available to Central Government Departments, their Executive Agencies and their Non Departmental Public Bodies (NDPBs), and any successors (hereafter Her Majesty’s Government/HMG). </w:t>
      </w:r>
    </w:p>
    <w:p w14:paraId="7D000326"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 </w:t>
      </w:r>
    </w:p>
    <w:p w14:paraId="0485BBE6"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color w:val="000000"/>
          <w:szCs w:val="24"/>
          <w:lang w:eastAsia="en-GB"/>
        </w:rPr>
        <w:t xml:space="preserve">Without limiting the forgoing, the following is an indicative list of the Central Government </w:t>
      </w:r>
      <w:proofErr w:type="gramStart"/>
      <w:r w:rsidRPr="00657396">
        <w:rPr>
          <w:rFonts w:eastAsia="Times New Roman" w:cs="Arial"/>
          <w:color w:val="000000"/>
          <w:szCs w:val="24"/>
          <w:lang w:eastAsia="en-GB"/>
        </w:rPr>
        <w:t>bodies which</w:t>
      </w:r>
      <w:proofErr w:type="gramEnd"/>
      <w:r w:rsidRPr="00657396">
        <w:rPr>
          <w:rFonts w:eastAsia="Times New Roman" w:cs="Arial"/>
          <w:color w:val="000000"/>
          <w:szCs w:val="24"/>
          <w:lang w:eastAsia="en-GB"/>
        </w:rPr>
        <w:t xml:space="preserve"> will have access to use the contract resulting from this procurement. These contracts will not preclude HMG from sourcing alternative language training and examinations, with the exception of the Authority unless otherwise stated in the Specification: </w:t>
      </w:r>
    </w:p>
    <w:p w14:paraId="19861A08" w14:textId="77777777" w:rsidR="00657396" w:rsidRDefault="00657396" w:rsidP="00657396">
      <w:pPr>
        <w:pStyle w:val="paragraph"/>
        <w:spacing w:before="0" w:beforeAutospacing="0" w:after="0" w:afterAutospacing="0"/>
        <w:jc w:val="both"/>
        <w:textAlignment w:val="baseline"/>
        <w:rPr>
          <w:rFonts w:ascii="Arial" w:hAnsi="Arial" w:cs="Arial"/>
        </w:rPr>
      </w:pPr>
    </w:p>
    <w:p w14:paraId="48A17694"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Prime Minister's Office, 10 Downing Street </w:t>
      </w:r>
    </w:p>
    <w:p w14:paraId="754EE527"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Attorney General's Office </w:t>
      </w:r>
    </w:p>
    <w:p w14:paraId="6EB9FDC1"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Cabinet Office </w:t>
      </w:r>
    </w:p>
    <w:p w14:paraId="7048C73A"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Department for Business, Energy &amp; Industrial Strategy </w:t>
      </w:r>
    </w:p>
    <w:p w14:paraId="330FEE7D"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Department for Digital, Culture, Media &amp; Sport </w:t>
      </w:r>
    </w:p>
    <w:p w14:paraId="053CF2FA"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Department for Education </w:t>
      </w:r>
    </w:p>
    <w:p w14:paraId="0E4211D4"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Department for Environment Food &amp; Rural Affairs </w:t>
      </w:r>
    </w:p>
    <w:p w14:paraId="17B29D8D"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Department for International Trade </w:t>
      </w:r>
    </w:p>
    <w:p w14:paraId="3A52F228"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Department for Transport </w:t>
      </w:r>
    </w:p>
    <w:p w14:paraId="1B20AA65"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Department for Work &amp; Pensions </w:t>
      </w:r>
    </w:p>
    <w:p w14:paraId="4F35B191"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Department of Health &amp; Social Care </w:t>
      </w:r>
    </w:p>
    <w:p w14:paraId="59E9EF73"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HM Treasury </w:t>
      </w:r>
    </w:p>
    <w:p w14:paraId="7E93FE91"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Home Office </w:t>
      </w:r>
    </w:p>
    <w:p w14:paraId="0E9A012E"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Ministry of Defence </w:t>
      </w:r>
    </w:p>
    <w:p w14:paraId="452C08F8"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Ministry of Housing, Communities &amp; Local Government </w:t>
      </w:r>
    </w:p>
    <w:p w14:paraId="4560E1F8"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Ministry of Justice </w:t>
      </w:r>
    </w:p>
    <w:p w14:paraId="30C9B2B3"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Northern Ireland Office </w:t>
      </w:r>
    </w:p>
    <w:p w14:paraId="44D93B11"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Office of the Advocate General for Scotland </w:t>
      </w:r>
    </w:p>
    <w:p w14:paraId="5CBBE44C"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Office of the Leader of the House of Commons </w:t>
      </w:r>
    </w:p>
    <w:p w14:paraId="2F3231BE"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Office of the Leader of the House of Lords </w:t>
      </w:r>
    </w:p>
    <w:p w14:paraId="33AB22B6"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Office of the Secretary of State for Scotland </w:t>
      </w:r>
    </w:p>
    <w:p w14:paraId="475F6E0B"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Office of the Secretary of State for Wales </w:t>
      </w:r>
    </w:p>
    <w:p w14:paraId="330D723D" w14:textId="77777777" w:rsidR="00657396" w:rsidRPr="00657396" w:rsidRDefault="00657396" w:rsidP="00657396">
      <w:pPr>
        <w:spacing w:after="0" w:line="240" w:lineRule="auto"/>
        <w:jc w:val="both"/>
        <w:textAlignment w:val="baseline"/>
        <w:rPr>
          <w:rFonts w:ascii="Segoe UI" w:eastAsia="Times New Roman" w:hAnsi="Segoe UI" w:cs="Segoe UI"/>
          <w:sz w:val="18"/>
          <w:szCs w:val="18"/>
          <w:lang w:eastAsia="en-GB"/>
        </w:rPr>
      </w:pPr>
      <w:r w:rsidRPr="00657396">
        <w:rPr>
          <w:rFonts w:eastAsia="Times New Roman" w:cs="Arial"/>
          <w:szCs w:val="24"/>
          <w:lang w:eastAsia="en-GB"/>
        </w:rPr>
        <w:t>UK Export Finance </w:t>
      </w:r>
    </w:p>
    <w:p w14:paraId="25E46AA0" w14:textId="256EA471" w:rsidR="00657396" w:rsidRDefault="00657396" w:rsidP="00657396">
      <w:pPr>
        <w:pStyle w:val="paragraph"/>
        <w:spacing w:before="0" w:beforeAutospacing="0" w:after="0" w:afterAutospacing="0"/>
        <w:jc w:val="both"/>
        <w:textAlignment w:val="baseline"/>
        <w:rPr>
          <w:rFonts w:ascii="Arial" w:hAnsi="Arial" w:cs="Arial"/>
        </w:rPr>
      </w:pPr>
    </w:p>
    <w:p w14:paraId="47CCC952" w14:textId="77777777" w:rsidR="00087FEF" w:rsidRDefault="00087FEF" w:rsidP="003B05E2">
      <w:pPr>
        <w:pStyle w:val="Default"/>
        <w:spacing w:before="60" w:after="60"/>
        <w:jc w:val="both"/>
        <w:rPr>
          <w:sz w:val="20"/>
          <w:szCs w:val="20"/>
          <w:u w:val="single"/>
        </w:rPr>
      </w:pPr>
    </w:p>
    <w:p w14:paraId="377EE4F4" w14:textId="77777777" w:rsidR="00087FEF" w:rsidRDefault="00087FEF" w:rsidP="003B05E2">
      <w:pPr>
        <w:pStyle w:val="Default"/>
        <w:spacing w:before="60" w:after="60"/>
        <w:jc w:val="both"/>
        <w:rPr>
          <w:sz w:val="20"/>
          <w:szCs w:val="20"/>
          <w:u w:val="single"/>
        </w:rPr>
      </w:pPr>
    </w:p>
    <w:p w14:paraId="2B263000" w14:textId="77777777" w:rsidR="00087FEF" w:rsidRDefault="00087FEF" w:rsidP="003B05E2">
      <w:pPr>
        <w:pStyle w:val="Default"/>
        <w:spacing w:before="60" w:after="60"/>
        <w:jc w:val="both"/>
        <w:rPr>
          <w:sz w:val="20"/>
          <w:szCs w:val="20"/>
          <w:u w:val="single"/>
        </w:rPr>
      </w:pPr>
    </w:p>
    <w:p w14:paraId="370CAAB6" w14:textId="77777777" w:rsidR="00087FEF" w:rsidRDefault="00087FEF" w:rsidP="003B05E2">
      <w:pPr>
        <w:pStyle w:val="Default"/>
        <w:spacing w:before="60" w:after="60"/>
        <w:jc w:val="both"/>
        <w:rPr>
          <w:sz w:val="20"/>
          <w:szCs w:val="20"/>
          <w:u w:val="single"/>
        </w:rPr>
      </w:pPr>
    </w:p>
    <w:p w14:paraId="56F1B8BE" w14:textId="77777777" w:rsidR="00087FEF" w:rsidRDefault="00087FEF" w:rsidP="003B05E2">
      <w:pPr>
        <w:pStyle w:val="Default"/>
        <w:spacing w:before="60" w:after="60"/>
        <w:jc w:val="both"/>
        <w:rPr>
          <w:sz w:val="20"/>
          <w:szCs w:val="20"/>
          <w:u w:val="single"/>
        </w:rPr>
      </w:pPr>
    </w:p>
    <w:p w14:paraId="1D6E2168" w14:textId="77777777" w:rsidR="00087FEF" w:rsidRDefault="00087FEF" w:rsidP="003B05E2">
      <w:pPr>
        <w:pStyle w:val="Default"/>
        <w:spacing w:before="60" w:after="60"/>
        <w:jc w:val="both"/>
        <w:rPr>
          <w:sz w:val="20"/>
          <w:szCs w:val="20"/>
          <w:u w:val="single"/>
        </w:rPr>
      </w:pPr>
    </w:p>
    <w:p w14:paraId="3166D3DF" w14:textId="77777777" w:rsidR="00087FEF" w:rsidRDefault="00087FEF" w:rsidP="003B05E2">
      <w:pPr>
        <w:pStyle w:val="Default"/>
        <w:spacing w:before="60" w:after="60"/>
        <w:jc w:val="both"/>
        <w:rPr>
          <w:sz w:val="20"/>
          <w:szCs w:val="20"/>
          <w:u w:val="single"/>
        </w:rPr>
      </w:pPr>
    </w:p>
    <w:p w14:paraId="78EA63A0" w14:textId="77777777" w:rsidR="00087FEF" w:rsidRDefault="00087FEF" w:rsidP="003B05E2">
      <w:pPr>
        <w:pStyle w:val="Default"/>
        <w:spacing w:before="60" w:after="60"/>
        <w:jc w:val="both"/>
        <w:rPr>
          <w:sz w:val="20"/>
          <w:szCs w:val="20"/>
          <w:u w:val="single"/>
        </w:rPr>
      </w:pPr>
    </w:p>
    <w:p w14:paraId="49815AC4" w14:textId="77777777" w:rsidR="00087FEF" w:rsidRDefault="00087FEF" w:rsidP="003B05E2">
      <w:pPr>
        <w:pStyle w:val="Default"/>
        <w:spacing w:before="60" w:after="60"/>
        <w:jc w:val="both"/>
        <w:rPr>
          <w:sz w:val="20"/>
          <w:szCs w:val="20"/>
          <w:u w:val="single"/>
        </w:rPr>
      </w:pPr>
    </w:p>
    <w:p w14:paraId="1BB72155" w14:textId="77777777" w:rsidR="00087FEF" w:rsidRDefault="00087FEF" w:rsidP="003B05E2">
      <w:pPr>
        <w:pStyle w:val="Default"/>
        <w:spacing w:before="60" w:after="60"/>
        <w:jc w:val="both"/>
        <w:rPr>
          <w:sz w:val="20"/>
          <w:szCs w:val="20"/>
          <w:u w:val="single"/>
        </w:rPr>
      </w:pPr>
    </w:p>
    <w:p w14:paraId="50A23346" w14:textId="77777777" w:rsidR="00087FEF" w:rsidRDefault="00087FEF" w:rsidP="003B05E2">
      <w:pPr>
        <w:pStyle w:val="Default"/>
        <w:spacing w:before="60" w:after="60"/>
        <w:jc w:val="both"/>
        <w:rPr>
          <w:sz w:val="20"/>
          <w:szCs w:val="20"/>
          <w:u w:val="single"/>
        </w:rPr>
      </w:pPr>
    </w:p>
    <w:p w14:paraId="06ECBE30" w14:textId="77777777" w:rsidR="00087FEF" w:rsidRDefault="00087FEF" w:rsidP="003B05E2">
      <w:pPr>
        <w:pStyle w:val="Default"/>
        <w:spacing w:before="60" w:after="60"/>
        <w:jc w:val="both"/>
        <w:rPr>
          <w:sz w:val="20"/>
          <w:szCs w:val="20"/>
          <w:u w:val="single"/>
        </w:rPr>
      </w:pPr>
    </w:p>
    <w:p w14:paraId="4B1FDC7D" w14:textId="40350B0B" w:rsidR="003B05E2" w:rsidRPr="007F0CFC" w:rsidRDefault="003B05E2" w:rsidP="003B05E2">
      <w:pPr>
        <w:pStyle w:val="Default"/>
        <w:spacing w:before="60" w:after="60"/>
        <w:jc w:val="both"/>
        <w:rPr>
          <w:b/>
          <w:u w:val="single"/>
        </w:rPr>
      </w:pPr>
      <w:r w:rsidRPr="007F0CFC">
        <w:rPr>
          <w:b/>
          <w:u w:val="single"/>
        </w:rPr>
        <w:lastRenderedPageBreak/>
        <w:t>Separation of training and examination responsibilities - conflict of interest.</w:t>
      </w:r>
    </w:p>
    <w:p w14:paraId="4DF57B50" w14:textId="77777777" w:rsidR="00087FEF" w:rsidRPr="007F0CFC" w:rsidRDefault="00087FEF" w:rsidP="003B05E2">
      <w:pPr>
        <w:pStyle w:val="Default"/>
        <w:spacing w:before="60" w:after="60"/>
        <w:jc w:val="both"/>
        <w:rPr>
          <w:u w:val="single"/>
        </w:rPr>
      </w:pPr>
    </w:p>
    <w:p w14:paraId="205A87D8" w14:textId="77777777" w:rsidR="003B05E2" w:rsidRPr="007F0CFC" w:rsidRDefault="003B05E2" w:rsidP="003B05E2">
      <w:pPr>
        <w:pStyle w:val="Default"/>
        <w:spacing w:before="60" w:after="60"/>
        <w:jc w:val="both"/>
      </w:pPr>
      <w:r w:rsidRPr="007F0CFC">
        <w:t xml:space="preserve">The Authority is tendering for five different opportunities. Each </w:t>
      </w:r>
      <w:proofErr w:type="spellStart"/>
      <w:r w:rsidRPr="007F0CFC">
        <w:t>Lotted</w:t>
      </w:r>
      <w:proofErr w:type="spellEnd"/>
      <w:r w:rsidRPr="007F0CFC">
        <w:t xml:space="preserve"> tender is a separate </w:t>
      </w:r>
      <w:proofErr w:type="gramStart"/>
      <w:r w:rsidRPr="007F0CFC">
        <w:t>opportunity  which</w:t>
      </w:r>
      <w:proofErr w:type="gramEnd"/>
      <w:r w:rsidRPr="007F0CFC">
        <w:t xml:space="preserve"> will be evaluated in line with the MEAT (Most Economically Advantageous Tender) criteria as set out for that Lot. </w:t>
      </w:r>
    </w:p>
    <w:p w14:paraId="4C1A3A8A" w14:textId="77777777" w:rsidR="003B05E2" w:rsidRPr="007F0CFC" w:rsidRDefault="003B05E2" w:rsidP="003B05E2">
      <w:pPr>
        <w:pStyle w:val="Default"/>
        <w:spacing w:before="60" w:after="60"/>
        <w:jc w:val="both"/>
      </w:pPr>
      <w:proofErr w:type="gramStart"/>
      <w:r w:rsidRPr="007F0CFC">
        <w:t>However the Authority does stress that, while bidders are welcome to bid for any of our five opportunities, we have identified a conflict of interest risk as follows: In the event that a single supplier bids for, and wins, any of our Language training contracts (Lots 1, 2, 3 or 4) and bids for, and wins, our Examinations Contract (Lot 5) there is a potential conflict of interest in the provision of service, since the Examin</w:t>
      </w:r>
      <w:bookmarkStart w:id="0" w:name="_GoBack"/>
      <w:bookmarkEnd w:id="0"/>
      <w:r w:rsidRPr="007F0CFC">
        <w:t>ations Supplier will be required to work with the Authority on language performance and reporting.</w:t>
      </w:r>
      <w:proofErr w:type="gramEnd"/>
      <w:r w:rsidRPr="007F0CFC">
        <w:t xml:space="preserve"> This links to directly service delivery and performance of the Language contract(s). We are therefore clear that while all contracts are separate opportunities to provide services for the Authority, we must maintain an ethical and operational division between our Language and Examinations services.  </w:t>
      </w:r>
    </w:p>
    <w:p w14:paraId="2544AE81" w14:textId="77777777" w:rsidR="003B05E2" w:rsidRPr="007F0CFC" w:rsidRDefault="003B05E2" w:rsidP="003B05E2">
      <w:pPr>
        <w:pStyle w:val="Default"/>
        <w:spacing w:before="60" w:after="60"/>
        <w:jc w:val="both"/>
      </w:pPr>
      <w:r w:rsidRPr="007F0CFC">
        <w:t xml:space="preserve">In order to handle the potential conflict of interest, no single supplier may be: </w:t>
      </w:r>
    </w:p>
    <w:p w14:paraId="56E753B1" w14:textId="77777777" w:rsidR="003B05E2" w:rsidRPr="007F0CFC" w:rsidRDefault="003B05E2" w:rsidP="003B05E2">
      <w:pPr>
        <w:pStyle w:val="Default"/>
        <w:spacing w:before="60" w:after="60"/>
        <w:jc w:val="both"/>
      </w:pPr>
      <w:r w:rsidRPr="007F0CFC">
        <w:t xml:space="preserve">Awarded the contract for Lot 1 as well as Lot 5. </w:t>
      </w:r>
    </w:p>
    <w:p w14:paraId="03829C6C" w14:textId="77777777" w:rsidR="003B05E2" w:rsidRPr="007F0CFC" w:rsidRDefault="003B05E2" w:rsidP="003B05E2">
      <w:pPr>
        <w:pStyle w:val="Default"/>
        <w:spacing w:before="60" w:after="60"/>
        <w:jc w:val="both"/>
      </w:pPr>
      <w:r w:rsidRPr="007F0CFC">
        <w:t xml:space="preserve">Awarded the contract for Lot 2 as well as Lot 5. </w:t>
      </w:r>
    </w:p>
    <w:p w14:paraId="44B79D05" w14:textId="77777777" w:rsidR="003B05E2" w:rsidRPr="007F0CFC" w:rsidRDefault="003B05E2" w:rsidP="003B05E2">
      <w:pPr>
        <w:pStyle w:val="Default"/>
        <w:spacing w:before="60" w:after="60"/>
        <w:jc w:val="both"/>
      </w:pPr>
      <w:r w:rsidRPr="007F0CFC">
        <w:t>Awarded the contract for Lot 3 as well as Lot 5</w:t>
      </w:r>
    </w:p>
    <w:p w14:paraId="530FB516" w14:textId="77777777" w:rsidR="003B05E2" w:rsidRPr="007F0CFC" w:rsidRDefault="003B05E2" w:rsidP="003B05E2">
      <w:pPr>
        <w:pStyle w:val="Default"/>
        <w:spacing w:before="60" w:after="60"/>
        <w:jc w:val="both"/>
      </w:pPr>
      <w:r w:rsidRPr="007F0CFC">
        <w:t xml:space="preserve">Awarded the contract for Lot 4 as well as Lot 5. </w:t>
      </w:r>
    </w:p>
    <w:p w14:paraId="20A73EC5" w14:textId="1CA2F8E4" w:rsidR="003B05E2" w:rsidRPr="007F0CFC" w:rsidRDefault="003B05E2" w:rsidP="003B05E2">
      <w:pPr>
        <w:pStyle w:val="paragraph"/>
        <w:spacing w:before="0" w:beforeAutospacing="0" w:after="0" w:afterAutospacing="0"/>
        <w:jc w:val="both"/>
        <w:textAlignment w:val="baseline"/>
        <w:rPr>
          <w:rFonts w:ascii="Arial" w:hAnsi="Arial" w:cs="Arial"/>
        </w:rPr>
      </w:pPr>
      <w:r w:rsidRPr="007F0CFC">
        <w:t>Awarded any combination of Lots 1-4 as well as Lot 5.</w:t>
      </w:r>
    </w:p>
    <w:p w14:paraId="46DB3525" w14:textId="77777777" w:rsidR="00657396" w:rsidRDefault="00657396"/>
    <w:sectPr w:rsidR="00657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B38"/>
    <w:multiLevelType w:val="multilevel"/>
    <w:tmpl w:val="2F486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32A11"/>
    <w:multiLevelType w:val="multilevel"/>
    <w:tmpl w:val="2DC4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A2D50"/>
    <w:multiLevelType w:val="multilevel"/>
    <w:tmpl w:val="03ECEA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93D2C"/>
    <w:multiLevelType w:val="multilevel"/>
    <w:tmpl w:val="EE20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7B6D62"/>
    <w:multiLevelType w:val="multilevel"/>
    <w:tmpl w:val="121C1D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E141F"/>
    <w:multiLevelType w:val="multilevel"/>
    <w:tmpl w:val="2A0E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107AA3"/>
    <w:multiLevelType w:val="multilevel"/>
    <w:tmpl w:val="18F4C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787D56"/>
    <w:multiLevelType w:val="multilevel"/>
    <w:tmpl w:val="4B4AC1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D56070"/>
    <w:multiLevelType w:val="multilevel"/>
    <w:tmpl w:val="E6C47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EC49DF"/>
    <w:multiLevelType w:val="multilevel"/>
    <w:tmpl w:val="4ED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882342"/>
    <w:multiLevelType w:val="multilevel"/>
    <w:tmpl w:val="086A2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F5658D"/>
    <w:multiLevelType w:val="multilevel"/>
    <w:tmpl w:val="265E3B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CE7A85"/>
    <w:multiLevelType w:val="multilevel"/>
    <w:tmpl w:val="3B1E3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271429"/>
    <w:multiLevelType w:val="multilevel"/>
    <w:tmpl w:val="9544F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5511DA"/>
    <w:multiLevelType w:val="multilevel"/>
    <w:tmpl w:val="27962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B712C0"/>
    <w:multiLevelType w:val="multilevel"/>
    <w:tmpl w:val="0378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5603E2"/>
    <w:multiLevelType w:val="multilevel"/>
    <w:tmpl w:val="280A9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339C1"/>
    <w:multiLevelType w:val="hybridMultilevel"/>
    <w:tmpl w:val="34309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4531F"/>
    <w:multiLevelType w:val="multilevel"/>
    <w:tmpl w:val="4CF82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0E4684"/>
    <w:multiLevelType w:val="multilevel"/>
    <w:tmpl w:val="ED9E6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612987"/>
    <w:multiLevelType w:val="multilevel"/>
    <w:tmpl w:val="D99CC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8"/>
  </w:num>
  <w:num w:numId="4">
    <w:abstractNumId w:val="3"/>
  </w:num>
  <w:num w:numId="5">
    <w:abstractNumId w:val="12"/>
  </w:num>
  <w:num w:numId="6">
    <w:abstractNumId w:val="7"/>
  </w:num>
  <w:num w:numId="7">
    <w:abstractNumId w:val="20"/>
  </w:num>
  <w:num w:numId="8">
    <w:abstractNumId w:val="16"/>
  </w:num>
  <w:num w:numId="9">
    <w:abstractNumId w:val="2"/>
  </w:num>
  <w:num w:numId="10">
    <w:abstractNumId w:val="15"/>
  </w:num>
  <w:num w:numId="11">
    <w:abstractNumId w:val="5"/>
  </w:num>
  <w:num w:numId="12">
    <w:abstractNumId w:val="8"/>
  </w:num>
  <w:num w:numId="13">
    <w:abstractNumId w:val="13"/>
  </w:num>
  <w:num w:numId="14">
    <w:abstractNumId w:val="11"/>
  </w:num>
  <w:num w:numId="15">
    <w:abstractNumId w:val="6"/>
  </w:num>
  <w:num w:numId="16">
    <w:abstractNumId w:val="10"/>
  </w:num>
  <w:num w:numId="17">
    <w:abstractNumId w:val="14"/>
  </w:num>
  <w:num w:numId="18">
    <w:abstractNumId w:val="19"/>
  </w:num>
  <w:num w:numId="19">
    <w:abstractNumId w:val="9"/>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96"/>
    <w:rsid w:val="00087FEF"/>
    <w:rsid w:val="003B05E2"/>
    <w:rsid w:val="00657396"/>
    <w:rsid w:val="00714C92"/>
    <w:rsid w:val="0073368A"/>
    <w:rsid w:val="007F0CFC"/>
    <w:rsid w:val="00BC261E"/>
    <w:rsid w:val="00BE7942"/>
    <w:rsid w:val="00CB26A3"/>
    <w:rsid w:val="00E2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0DC"/>
  <w15:chartTrackingRefBased/>
  <w15:docId w15:val="{FF976153-CE06-4FEA-A907-DCE155A0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739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57396"/>
  </w:style>
  <w:style w:type="character" w:customStyle="1" w:styleId="eop">
    <w:name w:val="eop"/>
    <w:basedOn w:val="DefaultParagraphFont"/>
    <w:rsid w:val="00657396"/>
  </w:style>
  <w:style w:type="character" w:customStyle="1" w:styleId="tabchar">
    <w:name w:val="tabchar"/>
    <w:basedOn w:val="DefaultParagraphFont"/>
    <w:rsid w:val="00657396"/>
  </w:style>
  <w:style w:type="paragraph" w:customStyle="1" w:styleId="Default">
    <w:name w:val="Default"/>
    <w:rsid w:val="003B05E2"/>
    <w:pPr>
      <w:autoSpaceDE w:val="0"/>
      <w:autoSpaceDN w:val="0"/>
      <w:adjustRightInd w:val="0"/>
      <w:spacing w:after="0" w:line="240" w:lineRule="auto"/>
    </w:pPr>
    <w:rPr>
      <w:rFonts w:eastAsia="Times New Roman"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14979">
      <w:bodyDiv w:val="1"/>
      <w:marLeft w:val="0"/>
      <w:marRight w:val="0"/>
      <w:marTop w:val="0"/>
      <w:marBottom w:val="0"/>
      <w:divBdr>
        <w:top w:val="none" w:sz="0" w:space="0" w:color="auto"/>
        <w:left w:val="none" w:sz="0" w:space="0" w:color="auto"/>
        <w:bottom w:val="none" w:sz="0" w:space="0" w:color="auto"/>
        <w:right w:val="none" w:sz="0" w:space="0" w:color="auto"/>
      </w:divBdr>
      <w:divsChild>
        <w:div w:id="1572543630">
          <w:marLeft w:val="0"/>
          <w:marRight w:val="0"/>
          <w:marTop w:val="0"/>
          <w:marBottom w:val="0"/>
          <w:divBdr>
            <w:top w:val="none" w:sz="0" w:space="0" w:color="auto"/>
            <w:left w:val="none" w:sz="0" w:space="0" w:color="auto"/>
            <w:bottom w:val="none" w:sz="0" w:space="0" w:color="auto"/>
            <w:right w:val="none" w:sz="0" w:space="0" w:color="auto"/>
          </w:divBdr>
        </w:div>
        <w:div w:id="45566102">
          <w:marLeft w:val="0"/>
          <w:marRight w:val="0"/>
          <w:marTop w:val="0"/>
          <w:marBottom w:val="0"/>
          <w:divBdr>
            <w:top w:val="none" w:sz="0" w:space="0" w:color="auto"/>
            <w:left w:val="none" w:sz="0" w:space="0" w:color="auto"/>
            <w:bottom w:val="none" w:sz="0" w:space="0" w:color="auto"/>
            <w:right w:val="none" w:sz="0" w:space="0" w:color="auto"/>
          </w:divBdr>
        </w:div>
        <w:div w:id="2082174727">
          <w:marLeft w:val="0"/>
          <w:marRight w:val="0"/>
          <w:marTop w:val="0"/>
          <w:marBottom w:val="0"/>
          <w:divBdr>
            <w:top w:val="none" w:sz="0" w:space="0" w:color="auto"/>
            <w:left w:val="none" w:sz="0" w:space="0" w:color="auto"/>
            <w:bottom w:val="none" w:sz="0" w:space="0" w:color="auto"/>
            <w:right w:val="none" w:sz="0" w:space="0" w:color="auto"/>
          </w:divBdr>
        </w:div>
        <w:div w:id="1723752132">
          <w:marLeft w:val="0"/>
          <w:marRight w:val="0"/>
          <w:marTop w:val="0"/>
          <w:marBottom w:val="0"/>
          <w:divBdr>
            <w:top w:val="none" w:sz="0" w:space="0" w:color="auto"/>
            <w:left w:val="none" w:sz="0" w:space="0" w:color="auto"/>
            <w:bottom w:val="none" w:sz="0" w:space="0" w:color="auto"/>
            <w:right w:val="none" w:sz="0" w:space="0" w:color="auto"/>
          </w:divBdr>
        </w:div>
        <w:div w:id="1810703773">
          <w:marLeft w:val="0"/>
          <w:marRight w:val="0"/>
          <w:marTop w:val="0"/>
          <w:marBottom w:val="0"/>
          <w:divBdr>
            <w:top w:val="none" w:sz="0" w:space="0" w:color="auto"/>
            <w:left w:val="none" w:sz="0" w:space="0" w:color="auto"/>
            <w:bottom w:val="none" w:sz="0" w:space="0" w:color="auto"/>
            <w:right w:val="none" w:sz="0" w:space="0" w:color="auto"/>
          </w:divBdr>
        </w:div>
      </w:divsChild>
    </w:div>
    <w:div w:id="323819303">
      <w:bodyDiv w:val="1"/>
      <w:marLeft w:val="0"/>
      <w:marRight w:val="0"/>
      <w:marTop w:val="0"/>
      <w:marBottom w:val="0"/>
      <w:divBdr>
        <w:top w:val="none" w:sz="0" w:space="0" w:color="auto"/>
        <w:left w:val="none" w:sz="0" w:space="0" w:color="auto"/>
        <w:bottom w:val="none" w:sz="0" w:space="0" w:color="auto"/>
        <w:right w:val="none" w:sz="0" w:space="0" w:color="auto"/>
      </w:divBdr>
      <w:divsChild>
        <w:div w:id="1779131380">
          <w:marLeft w:val="0"/>
          <w:marRight w:val="0"/>
          <w:marTop w:val="0"/>
          <w:marBottom w:val="0"/>
          <w:divBdr>
            <w:top w:val="none" w:sz="0" w:space="0" w:color="auto"/>
            <w:left w:val="none" w:sz="0" w:space="0" w:color="auto"/>
            <w:bottom w:val="none" w:sz="0" w:space="0" w:color="auto"/>
            <w:right w:val="none" w:sz="0" w:space="0" w:color="auto"/>
          </w:divBdr>
        </w:div>
        <w:div w:id="567154737">
          <w:marLeft w:val="0"/>
          <w:marRight w:val="0"/>
          <w:marTop w:val="0"/>
          <w:marBottom w:val="0"/>
          <w:divBdr>
            <w:top w:val="none" w:sz="0" w:space="0" w:color="auto"/>
            <w:left w:val="none" w:sz="0" w:space="0" w:color="auto"/>
            <w:bottom w:val="none" w:sz="0" w:space="0" w:color="auto"/>
            <w:right w:val="none" w:sz="0" w:space="0" w:color="auto"/>
          </w:divBdr>
        </w:div>
        <w:div w:id="423184136">
          <w:marLeft w:val="0"/>
          <w:marRight w:val="0"/>
          <w:marTop w:val="0"/>
          <w:marBottom w:val="0"/>
          <w:divBdr>
            <w:top w:val="none" w:sz="0" w:space="0" w:color="auto"/>
            <w:left w:val="none" w:sz="0" w:space="0" w:color="auto"/>
            <w:bottom w:val="none" w:sz="0" w:space="0" w:color="auto"/>
            <w:right w:val="none" w:sz="0" w:space="0" w:color="auto"/>
          </w:divBdr>
        </w:div>
      </w:divsChild>
    </w:div>
    <w:div w:id="616377276">
      <w:bodyDiv w:val="1"/>
      <w:marLeft w:val="0"/>
      <w:marRight w:val="0"/>
      <w:marTop w:val="0"/>
      <w:marBottom w:val="0"/>
      <w:divBdr>
        <w:top w:val="none" w:sz="0" w:space="0" w:color="auto"/>
        <w:left w:val="none" w:sz="0" w:space="0" w:color="auto"/>
        <w:bottom w:val="none" w:sz="0" w:space="0" w:color="auto"/>
        <w:right w:val="none" w:sz="0" w:space="0" w:color="auto"/>
      </w:divBdr>
      <w:divsChild>
        <w:div w:id="1493528035">
          <w:marLeft w:val="0"/>
          <w:marRight w:val="0"/>
          <w:marTop w:val="0"/>
          <w:marBottom w:val="0"/>
          <w:divBdr>
            <w:top w:val="none" w:sz="0" w:space="0" w:color="auto"/>
            <w:left w:val="none" w:sz="0" w:space="0" w:color="auto"/>
            <w:bottom w:val="none" w:sz="0" w:space="0" w:color="auto"/>
            <w:right w:val="none" w:sz="0" w:space="0" w:color="auto"/>
          </w:divBdr>
        </w:div>
        <w:div w:id="644898624">
          <w:marLeft w:val="0"/>
          <w:marRight w:val="0"/>
          <w:marTop w:val="0"/>
          <w:marBottom w:val="0"/>
          <w:divBdr>
            <w:top w:val="none" w:sz="0" w:space="0" w:color="auto"/>
            <w:left w:val="none" w:sz="0" w:space="0" w:color="auto"/>
            <w:bottom w:val="none" w:sz="0" w:space="0" w:color="auto"/>
            <w:right w:val="none" w:sz="0" w:space="0" w:color="auto"/>
          </w:divBdr>
        </w:div>
        <w:div w:id="1491945658">
          <w:marLeft w:val="0"/>
          <w:marRight w:val="0"/>
          <w:marTop w:val="0"/>
          <w:marBottom w:val="0"/>
          <w:divBdr>
            <w:top w:val="none" w:sz="0" w:space="0" w:color="auto"/>
            <w:left w:val="none" w:sz="0" w:space="0" w:color="auto"/>
            <w:bottom w:val="none" w:sz="0" w:space="0" w:color="auto"/>
            <w:right w:val="none" w:sz="0" w:space="0" w:color="auto"/>
          </w:divBdr>
        </w:div>
        <w:div w:id="740370878">
          <w:marLeft w:val="0"/>
          <w:marRight w:val="0"/>
          <w:marTop w:val="0"/>
          <w:marBottom w:val="0"/>
          <w:divBdr>
            <w:top w:val="none" w:sz="0" w:space="0" w:color="auto"/>
            <w:left w:val="none" w:sz="0" w:space="0" w:color="auto"/>
            <w:bottom w:val="none" w:sz="0" w:space="0" w:color="auto"/>
            <w:right w:val="none" w:sz="0" w:space="0" w:color="auto"/>
          </w:divBdr>
        </w:div>
        <w:div w:id="1786191625">
          <w:marLeft w:val="0"/>
          <w:marRight w:val="0"/>
          <w:marTop w:val="0"/>
          <w:marBottom w:val="0"/>
          <w:divBdr>
            <w:top w:val="none" w:sz="0" w:space="0" w:color="auto"/>
            <w:left w:val="none" w:sz="0" w:space="0" w:color="auto"/>
            <w:bottom w:val="none" w:sz="0" w:space="0" w:color="auto"/>
            <w:right w:val="none" w:sz="0" w:space="0" w:color="auto"/>
          </w:divBdr>
        </w:div>
      </w:divsChild>
    </w:div>
    <w:div w:id="727607697">
      <w:bodyDiv w:val="1"/>
      <w:marLeft w:val="0"/>
      <w:marRight w:val="0"/>
      <w:marTop w:val="0"/>
      <w:marBottom w:val="0"/>
      <w:divBdr>
        <w:top w:val="none" w:sz="0" w:space="0" w:color="auto"/>
        <w:left w:val="none" w:sz="0" w:space="0" w:color="auto"/>
        <w:bottom w:val="none" w:sz="0" w:space="0" w:color="auto"/>
        <w:right w:val="none" w:sz="0" w:space="0" w:color="auto"/>
      </w:divBdr>
      <w:divsChild>
        <w:div w:id="116030603">
          <w:marLeft w:val="0"/>
          <w:marRight w:val="0"/>
          <w:marTop w:val="0"/>
          <w:marBottom w:val="0"/>
          <w:divBdr>
            <w:top w:val="none" w:sz="0" w:space="0" w:color="auto"/>
            <w:left w:val="none" w:sz="0" w:space="0" w:color="auto"/>
            <w:bottom w:val="none" w:sz="0" w:space="0" w:color="auto"/>
            <w:right w:val="none" w:sz="0" w:space="0" w:color="auto"/>
          </w:divBdr>
        </w:div>
        <w:div w:id="1188059699">
          <w:marLeft w:val="0"/>
          <w:marRight w:val="0"/>
          <w:marTop w:val="0"/>
          <w:marBottom w:val="0"/>
          <w:divBdr>
            <w:top w:val="none" w:sz="0" w:space="0" w:color="auto"/>
            <w:left w:val="none" w:sz="0" w:space="0" w:color="auto"/>
            <w:bottom w:val="none" w:sz="0" w:space="0" w:color="auto"/>
            <w:right w:val="none" w:sz="0" w:space="0" w:color="auto"/>
          </w:divBdr>
        </w:div>
        <w:div w:id="1926649849">
          <w:marLeft w:val="0"/>
          <w:marRight w:val="0"/>
          <w:marTop w:val="0"/>
          <w:marBottom w:val="0"/>
          <w:divBdr>
            <w:top w:val="none" w:sz="0" w:space="0" w:color="auto"/>
            <w:left w:val="none" w:sz="0" w:space="0" w:color="auto"/>
            <w:bottom w:val="none" w:sz="0" w:space="0" w:color="auto"/>
            <w:right w:val="none" w:sz="0" w:space="0" w:color="auto"/>
          </w:divBdr>
        </w:div>
        <w:div w:id="383872825">
          <w:marLeft w:val="0"/>
          <w:marRight w:val="0"/>
          <w:marTop w:val="0"/>
          <w:marBottom w:val="0"/>
          <w:divBdr>
            <w:top w:val="none" w:sz="0" w:space="0" w:color="auto"/>
            <w:left w:val="none" w:sz="0" w:space="0" w:color="auto"/>
            <w:bottom w:val="none" w:sz="0" w:space="0" w:color="auto"/>
            <w:right w:val="none" w:sz="0" w:space="0" w:color="auto"/>
          </w:divBdr>
        </w:div>
        <w:div w:id="1443576672">
          <w:marLeft w:val="0"/>
          <w:marRight w:val="0"/>
          <w:marTop w:val="0"/>
          <w:marBottom w:val="0"/>
          <w:divBdr>
            <w:top w:val="none" w:sz="0" w:space="0" w:color="auto"/>
            <w:left w:val="none" w:sz="0" w:space="0" w:color="auto"/>
            <w:bottom w:val="none" w:sz="0" w:space="0" w:color="auto"/>
            <w:right w:val="none" w:sz="0" w:space="0" w:color="auto"/>
          </w:divBdr>
        </w:div>
        <w:div w:id="410087032">
          <w:marLeft w:val="0"/>
          <w:marRight w:val="0"/>
          <w:marTop w:val="0"/>
          <w:marBottom w:val="0"/>
          <w:divBdr>
            <w:top w:val="none" w:sz="0" w:space="0" w:color="auto"/>
            <w:left w:val="none" w:sz="0" w:space="0" w:color="auto"/>
            <w:bottom w:val="none" w:sz="0" w:space="0" w:color="auto"/>
            <w:right w:val="none" w:sz="0" w:space="0" w:color="auto"/>
          </w:divBdr>
        </w:div>
        <w:div w:id="973947403">
          <w:marLeft w:val="0"/>
          <w:marRight w:val="0"/>
          <w:marTop w:val="0"/>
          <w:marBottom w:val="0"/>
          <w:divBdr>
            <w:top w:val="none" w:sz="0" w:space="0" w:color="auto"/>
            <w:left w:val="none" w:sz="0" w:space="0" w:color="auto"/>
            <w:bottom w:val="none" w:sz="0" w:space="0" w:color="auto"/>
            <w:right w:val="none" w:sz="0" w:space="0" w:color="auto"/>
          </w:divBdr>
        </w:div>
      </w:divsChild>
    </w:div>
    <w:div w:id="781151913">
      <w:bodyDiv w:val="1"/>
      <w:marLeft w:val="0"/>
      <w:marRight w:val="0"/>
      <w:marTop w:val="0"/>
      <w:marBottom w:val="0"/>
      <w:divBdr>
        <w:top w:val="none" w:sz="0" w:space="0" w:color="auto"/>
        <w:left w:val="none" w:sz="0" w:space="0" w:color="auto"/>
        <w:bottom w:val="none" w:sz="0" w:space="0" w:color="auto"/>
        <w:right w:val="none" w:sz="0" w:space="0" w:color="auto"/>
      </w:divBdr>
      <w:divsChild>
        <w:div w:id="341904565">
          <w:marLeft w:val="0"/>
          <w:marRight w:val="0"/>
          <w:marTop w:val="0"/>
          <w:marBottom w:val="0"/>
          <w:divBdr>
            <w:top w:val="none" w:sz="0" w:space="0" w:color="auto"/>
            <w:left w:val="none" w:sz="0" w:space="0" w:color="auto"/>
            <w:bottom w:val="none" w:sz="0" w:space="0" w:color="auto"/>
            <w:right w:val="none" w:sz="0" w:space="0" w:color="auto"/>
          </w:divBdr>
        </w:div>
        <w:div w:id="1655990066">
          <w:marLeft w:val="0"/>
          <w:marRight w:val="0"/>
          <w:marTop w:val="0"/>
          <w:marBottom w:val="0"/>
          <w:divBdr>
            <w:top w:val="none" w:sz="0" w:space="0" w:color="auto"/>
            <w:left w:val="none" w:sz="0" w:space="0" w:color="auto"/>
            <w:bottom w:val="none" w:sz="0" w:space="0" w:color="auto"/>
            <w:right w:val="none" w:sz="0" w:space="0" w:color="auto"/>
          </w:divBdr>
        </w:div>
        <w:div w:id="6642463">
          <w:marLeft w:val="0"/>
          <w:marRight w:val="0"/>
          <w:marTop w:val="0"/>
          <w:marBottom w:val="0"/>
          <w:divBdr>
            <w:top w:val="none" w:sz="0" w:space="0" w:color="auto"/>
            <w:left w:val="none" w:sz="0" w:space="0" w:color="auto"/>
            <w:bottom w:val="none" w:sz="0" w:space="0" w:color="auto"/>
            <w:right w:val="none" w:sz="0" w:space="0" w:color="auto"/>
          </w:divBdr>
        </w:div>
        <w:div w:id="2047096139">
          <w:marLeft w:val="0"/>
          <w:marRight w:val="0"/>
          <w:marTop w:val="0"/>
          <w:marBottom w:val="0"/>
          <w:divBdr>
            <w:top w:val="none" w:sz="0" w:space="0" w:color="auto"/>
            <w:left w:val="none" w:sz="0" w:space="0" w:color="auto"/>
            <w:bottom w:val="none" w:sz="0" w:space="0" w:color="auto"/>
            <w:right w:val="none" w:sz="0" w:space="0" w:color="auto"/>
          </w:divBdr>
        </w:div>
        <w:div w:id="446196385">
          <w:marLeft w:val="0"/>
          <w:marRight w:val="0"/>
          <w:marTop w:val="0"/>
          <w:marBottom w:val="0"/>
          <w:divBdr>
            <w:top w:val="none" w:sz="0" w:space="0" w:color="auto"/>
            <w:left w:val="none" w:sz="0" w:space="0" w:color="auto"/>
            <w:bottom w:val="none" w:sz="0" w:space="0" w:color="auto"/>
            <w:right w:val="none" w:sz="0" w:space="0" w:color="auto"/>
          </w:divBdr>
        </w:div>
        <w:div w:id="1552837587">
          <w:marLeft w:val="0"/>
          <w:marRight w:val="0"/>
          <w:marTop w:val="0"/>
          <w:marBottom w:val="0"/>
          <w:divBdr>
            <w:top w:val="none" w:sz="0" w:space="0" w:color="auto"/>
            <w:left w:val="none" w:sz="0" w:space="0" w:color="auto"/>
            <w:bottom w:val="none" w:sz="0" w:space="0" w:color="auto"/>
            <w:right w:val="none" w:sz="0" w:space="0" w:color="auto"/>
          </w:divBdr>
        </w:div>
      </w:divsChild>
    </w:div>
    <w:div w:id="1244147253">
      <w:bodyDiv w:val="1"/>
      <w:marLeft w:val="0"/>
      <w:marRight w:val="0"/>
      <w:marTop w:val="0"/>
      <w:marBottom w:val="0"/>
      <w:divBdr>
        <w:top w:val="none" w:sz="0" w:space="0" w:color="auto"/>
        <w:left w:val="none" w:sz="0" w:space="0" w:color="auto"/>
        <w:bottom w:val="none" w:sz="0" w:space="0" w:color="auto"/>
        <w:right w:val="none" w:sz="0" w:space="0" w:color="auto"/>
      </w:divBdr>
    </w:div>
    <w:div w:id="1517649866">
      <w:bodyDiv w:val="1"/>
      <w:marLeft w:val="0"/>
      <w:marRight w:val="0"/>
      <w:marTop w:val="0"/>
      <w:marBottom w:val="0"/>
      <w:divBdr>
        <w:top w:val="none" w:sz="0" w:space="0" w:color="auto"/>
        <w:left w:val="none" w:sz="0" w:space="0" w:color="auto"/>
        <w:bottom w:val="none" w:sz="0" w:space="0" w:color="auto"/>
        <w:right w:val="none" w:sz="0" w:space="0" w:color="auto"/>
      </w:divBdr>
      <w:divsChild>
        <w:div w:id="1422264088">
          <w:marLeft w:val="0"/>
          <w:marRight w:val="0"/>
          <w:marTop w:val="0"/>
          <w:marBottom w:val="0"/>
          <w:divBdr>
            <w:top w:val="none" w:sz="0" w:space="0" w:color="auto"/>
            <w:left w:val="none" w:sz="0" w:space="0" w:color="auto"/>
            <w:bottom w:val="none" w:sz="0" w:space="0" w:color="auto"/>
            <w:right w:val="none" w:sz="0" w:space="0" w:color="auto"/>
          </w:divBdr>
        </w:div>
        <w:div w:id="1493791381">
          <w:marLeft w:val="0"/>
          <w:marRight w:val="0"/>
          <w:marTop w:val="0"/>
          <w:marBottom w:val="0"/>
          <w:divBdr>
            <w:top w:val="none" w:sz="0" w:space="0" w:color="auto"/>
            <w:left w:val="none" w:sz="0" w:space="0" w:color="auto"/>
            <w:bottom w:val="none" w:sz="0" w:space="0" w:color="auto"/>
            <w:right w:val="none" w:sz="0" w:space="0" w:color="auto"/>
          </w:divBdr>
        </w:div>
        <w:div w:id="1856919238">
          <w:marLeft w:val="0"/>
          <w:marRight w:val="0"/>
          <w:marTop w:val="0"/>
          <w:marBottom w:val="0"/>
          <w:divBdr>
            <w:top w:val="none" w:sz="0" w:space="0" w:color="auto"/>
            <w:left w:val="none" w:sz="0" w:space="0" w:color="auto"/>
            <w:bottom w:val="none" w:sz="0" w:space="0" w:color="auto"/>
            <w:right w:val="none" w:sz="0" w:space="0" w:color="auto"/>
          </w:divBdr>
        </w:div>
        <w:div w:id="258292792">
          <w:marLeft w:val="0"/>
          <w:marRight w:val="0"/>
          <w:marTop w:val="0"/>
          <w:marBottom w:val="0"/>
          <w:divBdr>
            <w:top w:val="none" w:sz="0" w:space="0" w:color="auto"/>
            <w:left w:val="none" w:sz="0" w:space="0" w:color="auto"/>
            <w:bottom w:val="none" w:sz="0" w:space="0" w:color="auto"/>
            <w:right w:val="none" w:sz="0" w:space="0" w:color="auto"/>
          </w:divBdr>
        </w:div>
        <w:div w:id="720205935">
          <w:marLeft w:val="0"/>
          <w:marRight w:val="0"/>
          <w:marTop w:val="0"/>
          <w:marBottom w:val="0"/>
          <w:divBdr>
            <w:top w:val="none" w:sz="0" w:space="0" w:color="auto"/>
            <w:left w:val="none" w:sz="0" w:space="0" w:color="auto"/>
            <w:bottom w:val="none" w:sz="0" w:space="0" w:color="auto"/>
            <w:right w:val="none" w:sz="0" w:space="0" w:color="auto"/>
          </w:divBdr>
        </w:div>
      </w:divsChild>
    </w:div>
    <w:div w:id="1614020636">
      <w:bodyDiv w:val="1"/>
      <w:marLeft w:val="0"/>
      <w:marRight w:val="0"/>
      <w:marTop w:val="0"/>
      <w:marBottom w:val="0"/>
      <w:divBdr>
        <w:top w:val="none" w:sz="0" w:space="0" w:color="auto"/>
        <w:left w:val="none" w:sz="0" w:space="0" w:color="auto"/>
        <w:bottom w:val="none" w:sz="0" w:space="0" w:color="auto"/>
        <w:right w:val="none" w:sz="0" w:space="0" w:color="auto"/>
      </w:divBdr>
      <w:divsChild>
        <w:div w:id="1973946479">
          <w:marLeft w:val="0"/>
          <w:marRight w:val="0"/>
          <w:marTop w:val="0"/>
          <w:marBottom w:val="0"/>
          <w:divBdr>
            <w:top w:val="none" w:sz="0" w:space="0" w:color="auto"/>
            <w:left w:val="none" w:sz="0" w:space="0" w:color="auto"/>
            <w:bottom w:val="none" w:sz="0" w:space="0" w:color="auto"/>
            <w:right w:val="none" w:sz="0" w:space="0" w:color="auto"/>
          </w:divBdr>
        </w:div>
        <w:div w:id="236940555">
          <w:marLeft w:val="0"/>
          <w:marRight w:val="0"/>
          <w:marTop w:val="0"/>
          <w:marBottom w:val="0"/>
          <w:divBdr>
            <w:top w:val="none" w:sz="0" w:space="0" w:color="auto"/>
            <w:left w:val="none" w:sz="0" w:space="0" w:color="auto"/>
            <w:bottom w:val="none" w:sz="0" w:space="0" w:color="auto"/>
            <w:right w:val="none" w:sz="0" w:space="0" w:color="auto"/>
          </w:divBdr>
        </w:div>
        <w:div w:id="1794052310">
          <w:marLeft w:val="0"/>
          <w:marRight w:val="0"/>
          <w:marTop w:val="0"/>
          <w:marBottom w:val="0"/>
          <w:divBdr>
            <w:top w:val="none" w:sz="0" w:space="0" w:color="auto"/>
            <w:left w:val="none" w:sz="0" w:space="0" w:color="auto"/>
            <w:bottom w:val="none" w:sz="0" w:space="0" w:color="auto"/>
            <w:right w:val="none" w:sz="0" w:space="0" w:color="auto"/>
          </w:divBdr>
        </w:div>
        <w:div w:id="1651209037">
          <w:marLeft w:val="0"/>
          <w:marRight w:val="0"/>
          <w:marTop w:val="0"/>
          <w:marBottom w:val="0"/>
          <w:divBdr>
            <w:top w:val="none" w:sz="0" w:space="0" w:color="auto"/>
            <w:left w:val="none" w:sz="0" w:space="0" w:color="auto"/>
            <w:bottom w:val="none" w:sz="0" w:space="0" w:color="auto"/>
            <w:right w:val="none" w:sz="0" w:space="0" w:color="auto"/>
          </w:divBdr>
        </w:div>
        <w:div w:id="232204431">
          <w:marLeft w:val="0"/>
          <w:marRight w:val="0"/>
          <w:marTop w:val="0"/>
          <w:marBottom w:val="0"/>
          <w:divBdr>
            <w:top w:val="none" w:sz="0" w:space="0" w:color="auto"/>
            <w:left w:val="none" w:sz="0" w:space="0" w:color="auto"/>
            <w:bottom w:val="none" w:sz="0" w:space="0" w:color="auto"/>
            <w:right w:val="none" w:sz="0" w:space="0" w:color="auto"/>
          </w:divBdr>
        </w:div>
        <w:div w:id="216868029">
          <w:marLeft w:val="0"/>
          <w:marRight w:val="0"/>
          <w:marTop w:val="0"/>
          <w:marBottom w:val="0"/>
          <w:divBdr>
            <w:top w:val="none" w:sz="0" w:space="0" w:color="auto"/>
            <w:left w:val="none" w:sz="0" w:space="0" w:color="auto"/>
            <w:bottom w:val="none" w:sz="0" w:space="0" w:color="auto"/>
            <w:right w:val="none" w:sz="0" w:space="0" w:color="auto"/>
          </w:divBdr>
        </w:div>
        <w:div w:id="1905753912">
          <w:marLeft w:val="0"/>
          <w:marRight w:val="0"/>
          <w:marTop w:val="0"/>
          <w:marBottom w:val="0"/>
          <w:divBdr>
            <w:top w:val="none" w:sz="0" w:space="0" w:color="auto"/>
            <w:left w:val="none" w:sz="0" w:space="0" w:color="auto"/>
            <w:bottom w:val="none" w:sz="0" w:space="0" w:color="auto"/>
            <w:right w:val="none" w:sz="0" w:space="0" w:color="auto"/>
          </w:divBdr>
        </w:div>
        <w:div w:id="1044864158">
          <w:marLeft w:val="0"/>
          <w:marRight w:val="0"/>
          <w:marTop w:val="0"/>
          <w:marBottom w:val="0"/>
          <w:divBdr>
            <w:top w:val="none" w:sz="0" w:space="0" w:color="auto"/>
            <w:left w:val="none" w:sz="0" w:space="0" w:color="auto"/>
            <w:bottom w:val="none" w:sz="0" w:space="0" w:color="auto"/>
            <w:right w:val="none" w:sz="0" w:space="0" w:color="auto"/>
          </w:divBdr>
        </w:div>
        <w:div w:id="1130246111">
          <w:marLeft w:val="0"/>
          <w:marRight w:val="0"/>
          <w:marTop w:val="0"/>
          <w:marBottom w:val="0"/>
          <w:divBdr>
            <w:top w:val="none" w:sz="0" w:space="0" w:color="auto"/>
            <w:left w:val="none" w:sz="0" w:space="0" w:color="auto"/>
            <w:bottom w:val="none" w:sz="0" w:space="0" w:color="auto"/>
            <w:right w:val="none" w:sz="0" w:space="0" w:color="auto"/>
          </w:divBdr>
        </w:div>
        <w:div w:id="19478769">
          <w:marLeft w:val="0"/>
          <w:marRight w:val="0"/>
          <w:marTop w:val="0"/>
          <w:marBottom w:val="0"/>
          <w:divBdr>
            <w:top w:val="none" w:sz="0" w:space="0" w:color="auto"/>
            <w:left w:val="none" w:sz="0" w:space="0" w:color="auto"/>
            <w:bottom w:val="none" w:sz="0" w:space="0" w:color="auto"/>
            <w:right w:val="none" w:sz="0" w:space="0" w:color="auto"/>
          </w:divBdr>
        </w:div>
        <w:div w:id="17044879">
          <w:marLeft w:val="0"/>
          <w:marRight w:val="0"/>
          <w:marTop w:val="0"/>
          <w:marBottom w:val="0"/>
          <w:divBdr>
            <w:top w:val="none" w:sz="0" w:space="0" w:color="auto"/>
            <w:left w:val="none" w:sz="0" w:space="0" w:color="auto"/>
            <w:bottom w:val="none" w:sz="0" w:space="0" w:color="auto"/>
            <w:right w:val="none" w:sz="0" w:space="0" w:color="auto"/>
          </w:divBdr>
        </w:div>
        <w:div w:id="589778726">
          <w:marLeft w:val="0"/>
          <w:marRight w:val="0"/>
          <w:marTop w:val="0"/>
          <w:marBottom w:val="0"/>
          <w:divBdr>
            <w:top w:val="none" w:sz="0" w:space="0" w:color="auto"/>
            <w:left w:val="none" w:sz="0" w:space="0" w:color="auto"/>
            <w:bottom w:val="none" w:sz="0" w:space="0" w:color="auto"/>
            <w:right w:val="none" w:sz="0" w:space="0" w:color="auto"/>
          </w:divBdr>
        </w:div>
        <w:div w:id="265314519">
          <w:marLeft w:val="0"/>
          <w:marRight w:val="0"/>
          <w:marTop w:val="0"/>
          <w:marBottom w:val="0"/>
          <w:divBdr>
            <w:top w:val="none" w:sz="0" w:space="0" w:color="auto"/>
            <w:left w:val="none" w:sz="0" w:space="0" w:color="auto"/>
            <w:bottom w:val="none" w:sz="0" w:space="0" w:color="auto"/>
            <w:right w:val="none" w:sz="0" w:space="0" w:color="auto"/>
          </w:divBdr>
        </w:div>
        <w:div w:id="1321425866">
          <w:marLeft w:val="0"/>
          <w:marRight w:val="0"/>
          <w:marTop w:val="0"/>
          <w:marBottom w:val="0"/>
          <w:divBdr>
            <w:top w:val="none" w:sz="0" w:space="0" w:color="auto"/>
            <w:left w:val="none" w:sz="0" w:space="0" w:color="auto"/>
            <w:bottom w:val="none" w:sz="0" w:space="0" w:color="auto"/>
            <w:right w:val="none" w:sz="0" w:space="0" w:color="auto"/>
          </w:divBdr>
        </w:div>
        <w:div w:id="2036151954">
          <w:marLeft w:val="0"/>
          <w:marRight w:val="0"/>
          <w:marTop w:val="0"/>
          <w:marBottom w:val="0"/>
          <w:divBdr>
            <w:top w:val="none" w:sz="0" w:space="0" w:color="auto"/>
            <w:left w:val="none" w:sz="0" w:space="0" w:color="auto"/>
            <w:bottom w:val="none" w:sz="0" w:space="0" w:color="auto"/>
            <w:right w:val="none" w:sz="0" w:space="0" w:color="auto"/>
          </w:divBdr>
        </w:div>
        <w:div w:id="386345000">
          <w:marLeft w:val="0"/>
          <w:marRight w:val="0"/>
          <w:marTop w:val="0"/>
          <w:marBottom w:val="0"/>
          <w:divBdr>
            <w:top w:val="none" w:sz="0" w:space="0" w:color="auto"/>
            <w:left w:val="none" w:sz="0" w:space="0" w:color="auto"/>
            <w:bottom w:val="none" w:sz="0" w:space="0" w:color="auto"/>
            <w:right w:val="none" w:sz="0" w:space="0" w:color="auto"/>
          </w:divBdr>
        </w:div>
        <w:div w:id="629824583">
          <w:marLeft w:val="0"/>
          <w:marRight w:val="0"/>
          <w:marTop w:val="0"/>
          <w:marBottom w:val="0"/>
          <w:divBdr>
            <w:top w:val="none" w:sz="0" w:space="0" w:color="auto"/>
            <w:left w:val="none" w:sz="0" w:space="0" w:color="auto"/>
            <w:bottom w:val="none" w:sz="0" w:space="0" w:color="auto"/>
            <w:right w:val="none" w:sz="0" w:space="0" w:color="auto"/>
          </w:divBdr>
        </w:div>
        <w:div w:id="973409343">
          <w:marLeft w:val="0"/>
          <w:marRight w:val="0"/>
          <w:marTop w:val="0"/>
          <w:marBottom w:val="0"/>
          <w:divBdr>
            <w:top w:val="none" w:sz="0" w:space="0" w:color="auto"/>
            <w:left w:val="none" w:sz="0" w:space="0" w:color="auto"/>
            <w:bottom w:val="none" w:sz="0" w:space="0" w:color="auto"/>
            <w:right w:val="none" w:sz="0" w:space="0" w:color="auto"/>
          </w:divBdr>
        </w:div>
        <w:div w:id="1234896821">
          <w:marLeft w:val="0"/>
          <w:marRight w:val="0"/>
          <w:marTop w:val="0"/>
          <w:marBottom w:val="0"/>
          <w:divBdr>
            <w:top w:val="none" w:sz="0" w:space="0" w:color="auto"/>
            <w:left w:val="none" w:sz="0" w:space="0" w:color="auto"/>
            <w:bottom w:val="none" w:sz="0" w:space="0" w:color="auto"/>
            <w:right w:val="none" w:sz="0" w:space="0" w:color="auto"/>
          </w:divBdr>
        </w:div>
        <w:div w:id="641038882">
          <w:marLeft w:val="0"/>
          <w:marRight w:val="0"/>
          <w:marTop w:val="0"/>
          <w:marBottom w:val="0"/>
          <w:divBdr>
            <w:top w:val="none" w:sz="0" w:space="0" w:color="auto"/>
            <w:left w:val="none" w:sz="0" w:space="0" w:color="auto"/>
            <w:bottom w:val="none" w:sz="0" w:space="0" w:color="auto"/>
            <w:right w:val="none" w:sz="0" w:space="0" w:color="auto"/>
          </w:divBdr>
        </w:div>
        <w:div w:id="577786304">
          <w:marLeft w:val="0"/>
          <w:marRight w:val="0"/>
          <w:marTop w:val="0"/>
          <w:marBottom w:val="0"/>
          <w:divBdr>
            <w:top w:val="none" w:sz="0" w:space="0" w:color="auto"/>
            <w:left w:val="none" w:sz="0" w:space="0" w:color="auto"/>
            <w:bottom w:val="none" w:sz="0" w:space="0" w:color="auto"/>
            <w:right w:val="none" w:sz="0" w:space="0" w:color="auto"/>
          </w:divBdr>
        </w:div>
        <w:div w:id="1395084781">
          <w:marLeft w:val="0"/>
          <w:marRight w:val="0"/>
          <w:marTop w:val="0"/>
          <w:marBottom w:val="0"/>
          <w:divBdr>
            <w:top w:val="none" w:sz="0" w:space="0" w:color="auto"/>
            <w:left w:val="none" w:sz="0" w:space="0" w:color="auto"/>
            <w:bottom w:val="none" w:sz="0" w:space="0" w:color="auto"/>
            <w:right w:val="none" w:sz="0" w:space="0" w:color="auto"/>
          </w:divBdr>
        </w:div>
        <w:div w:id="757749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mmon-european-framework-reference-languages" TargetMode="External"/><Relationship Id="rId13" Type="http://schemas.openxmlformats.org/officeDocument/2006/relationships/hyperlink" Target="https://www.coe.int/en/web/common-european-framework-reference-languag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e.int/en/web/common-european-framework-reference-languag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e.int/en/web/common-european-framework-reference-languag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e.int/en/web/common-european-framework-reference-languages" TargetMode="External"/><Relationship Id="rId5" Type="http://schemas.openxmlformats.org/officeDocument/2006/relationships/styles" Target="styles.xml"/><Relationship Id="rId15" Type="http://schemas.openxmlformats.org/officeDocument/2006/relationships/hyperlink" Target="https://www.coe.int/en/web/common-european-framework-reference-languages" TargetMode="External"/><Relationship Id="rId10" Type="http://schemas.openxmlformats.org/officeDocument/2006/relationships/hyperlink" Target="https://www.coe.int/en/web/common-european-framework-reference-languages" TargetMode="External"/><Relationship Id="rId4" Type="http://schemas.openxmlformats.org/officeDocument/2006/relationships/numbering" Target="numbering.xml"/><Relationship Id="rId9" Type="http://schemas.openxmlformats.org/officeDocument/2006/relationships/hyperlink" Target="https://www.coe.int/en/web/common-european-framework-reference-languages" TargetMode="External"/><Relationship Id="rId14" Type="http://schemas.openxmlformats.org/officeDocument/2006/relationships/hyperlink" Target="https://www.coe.int/en/web/common-european-framework-reference-langu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4" ma:contentTypeDescription="Create a new document." ma:contentTypeScope="" ma:versionID="a3c942a5db3c572be7747e5c8425a123">
  <xsd:schema xmlns:xsd="http://www.w3.org/2001/XMLSchema" xmlns:xs="http://www.w3.org/2001/XMLSchema" xmlns:p="http://schemas.microsoft.com/office/2006/metadata/properties" xmlns:ns1="http://schemas.microsoft.com/sharepoint/v3" xmlns:ns3="b5940cda-3ecc-4387-a6b1-c6c0ae385aca" xmlns:ns4="b3a73f4f-6fc5-4ea0-a73d-1bfd3d3c4506" targetNamespace="http://schemas.microsoft.com/office/2006/metadata/properties" ma:root="true" ma:fieldsID="9e7031b9549243ee8d9cb96e31500aec" ns1:_="" ns3:_="" ns4:_="">
    <xsd:import namespace="http://schemas.microsoft.com/sharepoint/v3"/>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56CBDF-D6A7-478B-BB3A-8053FA1A7FAC}">
  <ds:schemaRefs>
    <ds:schemaRef ds:uri="http://schemas.microsoft.com/sharepoint/v3/contenttype/forms"/>
  </ds:schemaRefs>
</ds:datastoreItem>
</file>

<file path=customXml/itemProps2.xml><?xml version="1.0" encoding="utf-8"?>
<ds:datastoreItem xmlns:ds="http://schemas.openxmlformats.org/officeDocument/2006/customXml" ds:itemID="{7A0F3BFE-2FA5-4B8C-ADFC-FA7DB28F7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3D911-CC0C-4F2D-802A-5AF578A89EF7}">
  <ds:schemaRefs>
    <ds:schemaRef ds:uri="http://schemas.openxmlformats.org/package/2006/metadata/core-properties"/>
    <ds:schemaRef ds:uri="http://purl.org/dc/terms/"/>
    <ds:schemaRef ds:uri="b5940cda-3ecc-4387-a6b1-c6c0ae385aca"/>
    <ds:schemaRef ds:uri="http://schemas.microsoft.com/office/2006/documentManagement/types"/>
    <ds:schemaRef ds:uri="http://purl.org/dc/dcmitype/"/>
    <ds:schemaRef ds:uri="http://schemas.microsoft.com/office/2006/metadata/properties"/>
    <ds:schemaRef ds:uri="http://purl.org/dc/elements/1.1/"/>
    <ds:schemaRef ds:uri="http://schemas.microsoft.com/sharepoint/v3"/>
    <ds:schemaRef ds:uri="http://schemas.microsoft.com/office/infopath/2007/PartnerControls"/>
    <ds:schemaRef ds:uri="b3a73f4f-6fc5-4ea0-a73d-1bfd3d3c450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Wormleighton (Sensitive)</dc:creator>
  <cp:keywords/>
  <dc:description/>
  <cp:lastModifiedBy>Craig Wormleighton (Sensitive)</cp:lastModifiedBy>
  <cp:revision>4</cp:revision>
  <dcterms:created xsi:type="dcterms:W3CDTF">2021-04-08T09:06:00Z</dcterms:created>
  <dcterms:modified xsi:type="dcterms:W3CDTF">2021-04-12T13:44:00Z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0x010100E1DEF18272EA81438ED8B36F9E46A153</vt:lpwstr>
  </property>
</Properties>
</file>