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14F9" w:rsidRPr="007214F9" w:rsidRDefault="007214F9" w:rsidP="009F3B95">
      <w:pPr>
        <w:autoSpaceDE w:val="0"/>
        <w:autoSpaceDN w:val="0"/>
        <w:adjustRightInd w:val="0"/>
        <w:rPr>
          <w:rFonts w:ascii="Arial" w:hAnsi="Arial" w:cs="Arial"/>
          <w:b/>
          <w:bCs/>
          <w:sz w:val="28"/>
          <w:szCs w:val="28"/>
          <w:u w:val="single"/>
        </w:rPr>
      </w:pPr>
      <w:r w:rsidRPr="007214F9">
        <w:rPr>
          <w:rFonts w:ascii="Arial" w:hAnsi="Arial" w:cs="Arial"/>
          <w:b/>
          <w:bCs/>
          <w:sz w:val="28"/>
          <w:szCs w:val="28"/>
          <w:u w:val="single"/>
        </w:rPr>
        <w:t>SPECIFICATION</w:t>
      </w:r>
    </w:p>
    <w:p w:rsidR="007214F9" w:rsidRDefault="007214F9" w:rsidP="009F3B95">
      <w:pPr>
        <w:autoSpaceDE w:val="0"/>
        <w:autoSpaceDN w:val="0"/>
        <w:adjustRightInd w:val="0"/>
        <w:rPr>
          <w:rFonts w:ascii="Arial" w:hAnsi="Arial" w:cs="Arial"/>
          <w:b/>
          <w:bCs/>
        </w:rPr>
      </w:pPr>
    </w:p>
    <w:p w:rsidR="009F3B95" w:rsidRPr="009F3B95" w:rsidRDefault="00C5173E" w:rsidP="009F3B95">
      <w:pPr>
        <w:autoSpaceDE w:val="0"/>
        <w:autoSpaceDN w:val="0"/>
        <w:adjustRightInd w:val="0"/>
        <w:rPr>
          <w:rFonts w:ascii="Arial" w:hAnsi="Arial" w:cs="Arial"/>
          <w:b/>
          <w:bCs/>
        </w:rPr>
      </w:pPr>
      <w:r>
        <w:rPr>
          <w:rFonts w:ascii="Arial" w:hAnsi="Arial" w:cs="Arial"/>
          <w:b/>
          <w:bCs/>
        </w:rPr>
        <w:t>Survey to measure</w:t>
      </w:r>
      <w:r w:rsidR="00ED5C18">
        <w:rPr>
          <w:rFonts w:ascii="Arial" w:hAnsi="Arial" w:cs="Arial"/>
          <w:b/>
          <w:bCs/>
        </w:rPr>
        <w:t xml:space="preserve"> the</w:t>
      </w:r>
      <w:r w:rsidR="00136562">
        <w:rPr>
          <w:rFonts w:ascii="Arial" w:hAnsi="Arial" w:cs="Arial"/>
          <w:b/>
          <w:bCs/>
        </w:rPr>
        <w:t xml:space="preserve"> impact of Problem Oriented Policing</w:t>
      </w:r>
      <w:r w:rsidR="00ED5C18">
        <w:rPr>
          <w:rFonts w:ascii="Arial" w:hAnsi="Arial" w:cs="Arial"/>
          <w:b/>
          <w:bCs/>
        </w:rPr>
        <w:t xml:space="preserve"> on public </w:t>
      </w:r>
      <w:r>
        <w:rPr>
          <w:rFonts w:ascii="Arial" w:hAnsi="Arial" w:cs="Arial"/>
          <w:b/>
          <w:bCs/>
        </w:rPr>
        <w:t>confidence</w:t>
      </w:r>
    </w:p>
    <w:p w:rsidR="00B12674" w:rsidRDefault="00B12674" w:rsidP="009F3B95">
      <w:pPr>
        <w:autoSpaceDE w:val="0"/>
        <w:autoSpaceDN w:val="0"/>
        <w:adjustRightInd w:val="0"/>
        <w:rPr>
          <w:rFonts w:ascii="Arial" w:hAnsi="Arial" w:cs="Arial"/>
        </w:rPr>
      </w:pPr>
    </w:p>
    <w:p w:rsidR="009D4E1C" w:rsidRDefault="009D4E1C" w:rsidP="009F3B95">
      <w:pPr>
        <w:autoSpaceDE w:val="0"/>
        <w:autoSpaceDN w:val="0"/>
        <w:adjustRightInd w:val="0"/>
        <w:rPr>
          <w:rFonts w:ascii="Arial" w:hAnsi="Arial" w:cs="Arial"/>
          <w:b/>
          <w:bCs/>
        </w:rPr>
      </w:pPr>
      <w:r>
        <w:rPr>
          <w:rFonts w:ascii="Arial" w:hAnsi="Arial" w:cs="Arial"/>
          <w:b/>
          <w:bCs/>
        </w:rPr>
        <w:t>Research aims</w:t>
      </w:r>
      <w:bookmarkStart w:id="0" w:name="_GoBack"/>
      <w:bookmarkEnd w:id="0"/>
    </w:p>
    <w:p w:rsidR="009D4E1C" w:rsidRDefault="00366325" w:rsidP="00290835">
      <w:pPr>
        <w:autoSpaceDE w:val="0"/>
        <w:autoSpaceDN w:val="0"/>
        <w:adjustRightInd w:val="0"/>
        <w:ind w:left="720"/>
        <w:rPr>
          <w:rFonts w:ascii="Arial" w:hAnsi="Arial" w:cs="Arial"/>
        </w:rPr>
      </w:pPr>
      <w:r>
        <w:rPr>
          <w:rFonts w:ascii="Arial" w:hAnsi="Arial" w:cs="Arial"/>
        </w:rPr>
        <w:t xml:space="preserve">To </w:t>
      </w:r>
      <w:r w:rsidR="00C734C0">
        <w:rPr>
          <w:rFonts w:ascii="Arial" w:hAnsi="Arial" w:cs="Arial"/>
        </w:rPr>
        <w:t>investigate</w:t>
      </w:r>
      <w:r>
        <w:rPr>
          <w:rFonts w:ascii="Arial" w:hAnsi="Arial" w:cs="Arial"/>
        </w:rPr>
        <w:t xml:space="preserve"> whether a Problem Oriented Policing (POP) intervention has an effect on public trust and confidence</w:t>
      </w:r>
      <w:r w:rsidR="00CB1D1D">
        <w:rPr>
          <w:rFonts w:ascii="Arial" w:hAnsi="Arial" w:cs="Arial"/>
        </w:rPr>
        <w:t xml:space="preserve"> in the targeted areas</w:t>
      </w:r>
      <w:r>
        <w:rPr>
          <w:rFonts w:ascii="Arial" w:hAnsi="Arial" w:cs="Arial"/>
        </w:rPr>
        <w:t xml:space="preserve">. </w:t>
      </w:r>
    </w:p>
    <w:p w:rsidR="00CB1D1D" w:rsidRDefault="00CB1D1D" w:rsidP="009F3B95">
      <w:pPr>
        <w:autoSpaceDE w:val="0"/>
        <w:autoSpaceDN w:val="0"/>
        <w:adjustRightInd w:val="0"/>
        <w:rPr>
          <w:rFonts w:ascii="Arial" w:hAnsi="Arial" w:cs="Arial"/>
        </w:rPr>
      </w:pPr>
    </w:p>
    <w:p w:rsidR="00CB1D1D" w:rsidRPr="00CB1D1D" w:rsidRDefault="00CB1D1D" w:rsidP="009F3B95">
      <w:pPr>
        <w:autoSpaceDE w:val="0"/>
        <w:autoSpaceDN w:val="0"/>
        <w:adjustRightInd w:val="0"/>
        <w:rPr>
          <w:rFonts w:ascii="Arial" w:hAnsi="Arial" w:cs="Arial"/>
          <w:b/>
          <w:bCs/>
        </w:rPr>
      </w:pPr>
      <w:r w:rsidRPr="00CB1D1D">
        <w:rPr>
          <w:rFonts w:ascii="Arial" w:hAnsi="Arial" w:cs="Arial"/>
          <w:b/>
          <w:bCs/>
        </w:rPr>
        <w:t>Background</w:t>
      </w:r>
    </w:p>
    <w:p w:rsidR="00CB1D1D" w:rsidRDefault="00CB1D1D" w:rsidP="00290835">
      <w:pPr>
        <w:autoSpaceDE w:val="0"/>
        <w:autoSpaceDN w:val="0"/>
        <w:adjustRightInd w:val="0"/>
        <w:ind w:left="720"/>
        <w:rPr>
          <w:rFonts w:ascii="Arial" w:hAnsi="Arial" w:cs="Arial"/>
        </w:rPr>
      </w:pPr>
      <w:r>
        <w:rPr>
          <w:rFonts w:ascii="Arial" w:hAnsi="Arial" w:cs="Arial"/>
        </w:rPr>
        <w:t xml:space="preserve">The MPS is currently running a large-scale trial of Problem Oriented Policing (POP) in London. Along with crime-related outcomes, there is interest in investigating whether POP activities have an effect on public trust in the targeted areas. </w:t>
      </w:r>
    </w:p>
    <w:p w:rsidR="00CB1D1D" w:rsidRDefault="00CB1D1D" w:rsidP="00CB1D1D">
      <w:pPr>
        <w:autoSpaceDE w:val="0"/>
        <w:autoSpaceDN w:val="0"/>
        <w:adjustRightInd w:val="0"/>
        <w:rPr>
          <w:rFonts w:ascii="Arial" w:hAnsi="Arial" w:cs="Arial"/>
        </w:rPr>
      </w:pPr>
    </w:p>
    <w:p w:rsidR="00CB1D1D" w:rsidRDefault="00CB1D1D" w:rsidP="00290835">
      <w:pPr>
        <w:autoSpaceDE w:val="0"/>
        <w:autoSpaceDN w:val="0"/>
        <w:adjustRightInd w:val="0"/>
        <w:ind w:left="720"/>
        <w:rPr>
          <w:rFonts w:ascii="Arial" w:hAnsi="Arial" w:cs="Arial"/>
        </w:rPr>
      </w:pPr>
      <w:r>
        <w:rPr>
          <w:rFonts w:ascii="Arial" w:hAnsi="Arial" w:cs="Arial"/>
        </w:rPr>
        <w:t xml:space="preserve">The project involves 144 ‘high violence hotspots’ across the capital. These areas average </w:t>
      </w:r>
      <w:r w:rsidR="004C144C">
        <w:rPr>
          <w:rFonts w:ascii="Arial" w:hAnsi="Arial" w:cs="Arial"/>
        </w:rPr>
        <w:t>100,000</w:t>
      </w:r>
      <w:r>
        <w:rPr>
          <w:rFonts w:ascii="Arial" w:hAnsi="Arial" w:cs="Arial"/>
        </w:rPr>
        <w:t>m</w:t>
      </w:r>
      <w:r w:rsidRPr="00136562">
        <w:rPr>
          <w:rFonts w:ascii="Arial" w:hAnsi="Arial" w:cs="Arial"/>
          <w:vertAlign w:val="superscript"/>
        </w:rPr>
        <w:t>2</w:t>
      </w:r>
      <w:r>
        <w:rPr>
          <w:rFonts w:ascii="Arial" w:hAnsi="Arial" w:cs="Arial"/>
        </w:rPr>
        <w:t xml:space="preserve">, larger than standard hotspots. About 75 of these areas have been randomised into the POP treatment, resulting in a set of broadly matched test and control sites. Each area in the test group will be </w:t>
      </w:r>
      <w:r w:rsidR="004C144C">
        <w:rPr>
          <w:rFonts w:ascii="Arial" w:hAnsi="Arial" w:cs="Arial"/>
        </w:rPr>
        <w:t>assigned a POP champion, who has been trained and in place</w:t>
      </w:r>
      <w:r>
        <w:rPr>
          <w:rFonts w:ascii="Arial" w:hAnsi="Arial" w:cs="Arial"/>
        </w:rPr>
        <w:t xml:space="preserve"> after </w:t>
      </w:r>
      <w:r w:rsidR="004C144C">
        <w:rPr>
          <w:rFonts w:ascii="Arial" w:hAnsi="Arial" w:cs="Arial"/>
        </w:rPr>
        <w:t>said training. The</w:t>
      </w:r>
      <w:r>
        <w:rPr>
          <w:rFonts w:ascii="Arial" w:hAnsi="Arial" w:cs="Arial"/>
        </w:rPr>
        <w:t xml:space="preserve"> intervention will be ‘embedded’ in each area by January 2023.</w:t>
      </w:r>
    </w:p>
    <w:p w:rsidR="009D4E1C" w:rsidRDefault="009D4E1C" w:rsidP="009F3B95">
      <w:pPr>
        <w:autoSpaceDE w:val="0"/>
        <w:autoSpaceDN w:val="0"/>
        <w:adjustRightInd w:val="0"/>
        <w:rPr>
          <w:rFonts w:ascii="Arial" w:hAnsi="Arial" w:cs="Arial"/>
          <w:b/>
          <w:bCs/>
        </w:rPr>
      </w:pPr>
    </w:p>
    <w:p w:rsidR="009F3B95" w:rsidRDefault="000B3841" w:rsidP="009F3B95">
      <w:pPr>
        <w:autoSpaceDE w:val="0"/>
        <w:autoSpaceDN w:val="0"/>
        <w:adjustRightInd w:val="0"/>
        <w:rPr>
          <w:rFonts w:ascii="Arial" w:hAnsi="Arial" w:cs="Arial"/>
          <w:b/>
          <w:bCs/>
        </w:rPr>
      </w:pPr>
      <w:r>
        <w:rPr>
          <w:rFonts w:ascii="Arial" w:hAnsi="Arial" w:cs="Arial"/>
          <w:b/>
          <w:bCs/>
        </w:rPr>
        <w:t xml:space="preserve">Scope of </w:t>
      </w:r>
      <w:r w:rsidR="00D500D3">
        <w:rPr>
          <w:rFonts w:ascii="Arial" w:hAnsi="Arial" w:cs="Arial"/>
          <w:b/>
          <w:bCs/>
        </w:rPr>
        <w:t>work</w:t>
      </w:r>
    </w:p>
    <w:p w:rsidR="00CE5829" w:rsidRDefault="009D4BB6" w:rsidP="00290835">
      <w:pPr>
        <w:autoSpaceDE w:val="0"/>
        <w:autoSpaceDN w:val="0"/>
        <w:adjustRightInd w:val="0"/>
        <w:ind w:left="720"/>
        <w:rPr>
          <w:rFonts w:ascii="Arial" w:hAnsi="Arial" w:cs="Arial"/>
        </w:rPr>
      </w:pPr>
      <w:r>
        <w:rPr>
          <w:rFonts w:ascii="Arial" w:hAnsi="Arial" w:cs="Arial"/>
        </w:rPr>
        <w:t xml:space="preserve">- Provide a baseline measure of trust and confidence </w:t>
      </w:r>
      <w:r w:rsidR="00933C32">
        <w:rPr>
          <w:rFonts w:ascii="Arial" w:hAnsi="Arial" w:cs="Arial"/>
        </w:rPr>
        <w:t xml:space="preserve">in the police </w:t>
      </w:r>
      <w:r>
        <w:rPr>
          <w:rFonts w:ascii="Arial" w:hAnsi="Arial" w:cs="Arial"/>
        </w:rPr>
        <w:t xml:space="preserve">in the </w:t>
      </w:r>
      <w:r w:rsidR="004F0320">
        <w:rPr>
          <w:rFonts w:ascii="Arial" w:hAnsi="Arial" w:cs="Arial"/>
        </w:rPr>
        <w:t>test and control</w:t>
      </w:r>
      <w:r>
        <w:rPr>
          <w:rFonts w:ascii="Arial" w:hAnsi="Arial" w:cs="Arial"/>
        </w:rPr>
        <w:t xml:space="preserve"> </w:t>
      </w:r>
      <w:r w:rsidR="004F0320">
        <w:rPr>
          <w:rFonts w:ascii="Arial" w:hAnsi="Arial" w:cs="Arial"/>
        </w:rPr>
        <w:t>sites</w:t>
      </w:r>
      <w:r>
        <w:rPr>
          <w:rFonts w:ascii="Arial" w:hAnsi="Arial" w:cs="Arial"/>
        </w:rPr>
        <w:t xml:space="preserve">. This measure can be a </w:t>
      </w:r>
      <w:r w:rsidR="00CB1D1D">
        <w:rPr>
          <w:rFonts w:ascii="Arial" w:hAnsi="Arial" w:cs="Arial"/>
        </w:rPr>
        <w:t>‘</w:t>
      </w:r>
      <w:r>
        <w:rPr>
          <w:rFonts w:ascii="Arial" w:hAnsi="Arial" w:cs="Arial"/>
        </w:rPr>
        <w:t>synthetic</w:t>
      </w:r>
      <w:r w:rsidR="00CB1D1D">
        <w:rPr>
          <w:rFonts w:ascii="Arial" w:hAnsi="Arial" w:cs="Arial"/>
        </w:rPr>
        <w:t>’</w:t>
      </w:r>
      <w:r>
        <w:rPr>
          <w:rFonts w:ascii="Arial" w:hAnsi="Arial" w:cs="Arial"/>
        </w:rPr>
        <w:t xml:space="preserve"> baseline</w:t>
      </w:r>
      <w:r w:rsidR="00CB1D1D">
        <w:rPr>
          <w:rFonts w:ascii="Arial" w:hAnsi="Arial" w:cs="Arial"/>
        </w:rPr>
        <w:t xml:space="preserve"> (e.g created via modelling)</w:t>
      </w:r>
      <w:r>
        <w:rPr>
          <w:rFonts w:ascii="Arial" w:hAnsi="Arial" w:cs="Arial"/>
        </w:rPr>
        <w:t xml:space="preserve"> or actual baseline</w:t>
      </w:r>
      <w:r w:rsidR="00C74429">
        <w:rPr>
          <w:rFonts w:ascii="Arial" w:hAnsi="Arial" w:cs="Arial"/>
        </w:rPr>
        <w:t xml:space="preserve"> using, for example, data from the</w:t>
      </w:r>
      <w:r w:rsidR="00CB1D1D">
        <w:rPr>
          <w:rFonts w:ascii="Arial" w:hAnsi="Arial" w:cs="Arial"/>
        </w:rPr>
        <w:t xml:space="preserve"> MOPAC</w:t>
      </w:r>
      <w:r w:rsidR="00C74429">
        <w:rPr>
          <w:rFonts w:ascii="Arial" w:hAnsi="Arial" w:cs="Arial"/>
        </w:rPr>
        <w:t xml:space="preserve"> Public Attitudes Survey</w:t>
      </w:r>
      <w:r>
        <w:rPr>
          <w:rFonts w:ascii="Arial" w:hAnsi="Arial" w:cs="Arial"/>
        </w:rPr>
        <w:t>.</w:t>
      </w:r>
    </w:p>
    <w:p w:rsidR="00E21432" w:rsidRDefault="00290835" w:rsidP="00290835">
      <w:pPr>
        <w:autoSpaceDE w:val="0"/>
        <w:autoSpaceDN w:val="0"/>
        <w:adjustRightInd w:val="0"/>
        <w:ind w:left="720"/>
        <w:rPr>
          <w:rFonts w:ascii="Arial" w:hAnsi="Arial" w:cs="Arial"/>
        </w:rPr>
      </w:pPr>
      <w:r>
        <w:rPr>
          <w:rFonts w:ascii="Arial" w:hAnsi="Arial" w:cs="Arial"/>
        </w:rPr>
        <w:t>-</w:t>
      </w:r>
      <w:r w:rsidR="005B1A6B">
        <w:rPr>
          <w:rFonts w:ascii="Arial" w:hAnsi="Arial" w:cs="Arial"/>
        </w:rPr>
        <w:t xml:space="preserve"> Carry out a survey of </w:t>
      </w:r>
      <w:r w:rsidR="00077CD1">
        <w:rPr>
          <w:rFonts w:ascii="Arial" w:hAnsi="Arial" w:cs="Arial"/>
        </w:rPr>
        <w:t>local residents</w:t>
      </w:r>
      <w:r w:rsidR="00C74429">
        <w:rPr>
          <w:rFonts w:ascii="Arial" w:hAnsi="Arial" w:cs="Arial"/>
        </w:rPr>
        <w:t xml:space="preserve"> following the POP intervention</w:t>
      </w:r>
      <w:r w:rsidR="00077CD1">
        <w:rPr>
          <w:rFonts w:ascii="Arial" w:hAnsi="Arial" w:cs="Arial"/>
        </w:rPr>
        <w:t xml:space="preserve"> </w:t>
      </w:r>
      <w:r w:rsidR="004F0320">
        <w:rPr>
          <w:rFonts w:ascii="Arial" w:hAnsi="Arial" w:cs="Arial"/>
        </w:rPr>
        <w:t>in the test and control sites</w:t>
      </w:r>
      <w:r w:rsidR="00355953">
        <w:rPr>
          <w:rFonts w:ascii="Arial" w:hAnsi="Arial" w:cs="Arial"/>
        </w:rPr>
        <w:t xml:space="preserve">. </w:t>
      </w:r>
      <w:r w:rsidR="00A93991">
        <w:rPr>
          <w:rFonts w:ascii="Arial" w:hAnsi="Arial" w:cs="Arial"/>
        </w:rPr>
        <w:t>Parameters</w:t>
      </w:r>
      <w:r w:rsidR="00071981">
        <w:rPr>
          <w:rFonts w:ascii="Arial" w:hAnsi="Arial" w:cs="Arial"/>
        </w:rPr>
        <w:t xml:space="preserve"> of the survey are as follows</w:t>
      </w:r>
      <w:r w:rsidR="00A93991">
        <w:rPr>
          <w:rFonts w:ascii="Arial" w:hAnsi="Arial" w:cs="Arial"/>
        </w:rPr>
        <w:t>:</w:t>
      </w:r>
    </w:p>
    <w:p w:rsidR="00E21432" w:rsidRDefault="00355953" w:rsidP="00E21432">
      <w:pPr>
        <w:pStyle w:val="ListParagraph"/>
        <w:numPr>
          <w:ilvl w:val="0"/>
          <w:numId w:val="7"/>
        </w:numPr>
        <w:autoSpaceDE w:val="0"/>
        <w:autoSpaceDN w:val="0"/>
        <w:adjustRightInd w:val="0"/>
        <w:rPr>
          <w:rFonts w:ascii="Arial" w:hAnsi="Arial" w:cs="Arial"/>
        </w:rPr>
      </w:pPr>
      <w:r w:rsidRPr="00E21432">
        <w:rPr>
          <w:rFonts w:ascii="Arial" w:hAnsi="Arial" w:cs="Arial"/>
        </w:rPr>
        <w:t xml:space="preserve">The </w:t>
      </w:r>
      <w:r w:rsidR="00E21432">
        <w:rPr>
          <w:rFonts w:ascii="Arial" w:hAnsi="Arial" w:cs="Arial"/>
        </w:rPr>
        <w:t xml:space="preserve">sample should </w:t>
      </w:r>
      <w:r w:rsidR="00A93991">
        <w:rPr>
          <w:rFonts w:ascii="Arial" w:hAnsi="Arial" w:cs="Arial"/>
        </w:rPr>
        <w:t>comprise</w:t>
      </w:r>
      <w:r w:rsidR="00E21432">
        <w:rPr>
          <w:rFonts w:ascii="Arial" w:hAnsi="Arial" w:cs="Arial"/>
        </w:rPr>
        <w:t xml:space="preserve"> </w:t>
      </w:r>
      <w:r w:rsidR="00A93991">
        <w:rPr>
          <w:rFonts w:ascii="Arial" w:hAnsi="Arial" w:cs="Arial"/>
        </w:rPr>
        <w:t xml:space="preserve">around </w:t>
      </w:r>
      <w:r w:rsidR="00E21432">
        <w:rPr>
          <w:rFonts w:ascii="Arial" w:hAnsi="Arial" w:cs="Arial"/>
        </w:rPr>
        <w:t xml:space="preserve">1500 respondents or </w:t>
      </w:r>
      <w:r w:rsidR="005D45F6">
        <w:rPr>
          <w:rFonts w:ascii="Arial" w:hAnsi="Arial" w:cs="Arial"/>
        </w:rPr>
        <w:t xml:space="preserve">approximately </w:t>
      </w:r>
      <w:r w:rsidR="00E21432">
        <w:rPr>
          <w:rFonts w:ascii="Arial" w:hAnsi="Arial" w:cs="Arial"/>
        </w:rPr>
        <w:t>10 in each of the 144 sites</w:t>
      </w:r>
    </w:p>
    <w:p w:rsidR="005E1908" w:rsidRDefault="005E1908" w:rsidP="005E1908">
      <w:pPr>
        <w:pStyle w:val="ListParagraph"/>
        <w:numPr>
          <w:ilvl w:val="0"/>
          <w:numId w:val="7"/>
        </w:numPr>
        <w:autoSpaceDE w:val="0"/>
        <w:autoSpaceDN w:val="0"/>
        <w:adjustRightInd w:val="0"/>
        <w:rPr>
          <w:rFonts w:ascii="Arial" w:hAnsi="Arial" w:cs="Arial"/>
        </w:rPr>
      </w:pPr>
      <w:r>
        <w:rPr>
          <w:rFonts w:ascii="Arial" w:hAnsi="Arial" w:cs="Arial"/>
        </w:rPr>
        <w:t>The sample should be based on random pre-selected addresses stratified across each of the 144 sites</w:t>
      </w:r>
    </w:p>
    <w:p w:rsidR="00843564" w:rsidRPr="00843564" w:rsidRDefault="00843564" w:rsidP="00843564">
      <w:pPr>
        <w:pStyle w:val="ListParagraph"/>
        <w:numPr>
          <w:ilvl w:val="0"/>
          <w:numId w:val="7"/>
        </w:numPr>
        <w:autoSpaceDE w:val="0"/>
        <w:autoSpaceDN w:val="0"/>
        <w:adjustRightInd w:val="0"/>
        <w:rPr>
          <w:rFonts w:ascii="Arial" w:hAnsi="Arial" w:cs="Arial"/>
        </w:rPr>
      </w:pPr>
      <w:r>
        <w:rPr>
          <w:rFonts w:ascii="Arial" w:hAnsi="Arial" w:cs="Arial"/>
        </w:rPr>
        <w:t>The survey should be administered face-to-face</w:t>
      </w:r>
    </w:p>
    <w:p w:rsidR="005B1A6B" w:rsidRPr="00E21432" w:rsidRDefault="005E1908" w:rsidP="00E21432">
      <w:pPr>
        <w:pStyle w:val="ListParagraph"/>
        <w:numPr>
          <w:ilvl w:val="0"/>
          <w:numId w:val="7"/>
        </w:numPr>
        <w:autoSpaceDE w:val="0"/>
        <w:autoSpaceDN w:val="0"/>
        <w:adjustRightInd w:val="0"/>
        <w:rPr>
          <w:rFonts w:ascii="Arial" w:hAnsi="Arial" w:cs="Arial"/>
        </w:rPr>
      </w:pPr>
      <w:r>
        <w:rPr>
          <w:rFonts w:ascii="Arial" w:hAnsi="Arial" w:cs="Arial"/>
        </w:rPr>
        <w:t xml:space="preserve">The survey should last for </w:t>
      </w:r>
      <w:r w:rsidR="005D45F6">
        <w:rPr>
          <w:rFonts w:ascii="Arial" w:hAnsi="Arial" w:cs="Arial"/>
        </w:rPr>
        <w:t xml:space="preserve">around </w:t>
      </w:r>
      <w:r>
        <w:rPr>
          <w:rFonts w:ascii="Arial" w:hAnsi="Arial" w:cs="Arial"/>
        </w:rPr>
        <w:t>15</w:t>
      </w:r>
      <w:r w:rsidR="005622EF">
        <w:rPr>
          <w:rFonts w:ascii="Arial" w:hAnsi="Arial" w:cs="Arial"/>
        </w:rPr>
        <w:t xml:space="preserve">- 20 </w:t>
      </w:r>
      <w:r>
        <w:rPr>
          <w:rFonts w:ascii="Arial" w:hAnsi="Arial" w:cs="Arial"/>
        </w:rPr>
        <w:t>minutes</w:t>
      </w:r>
      <w:r w:rsidR="00355953" w:rsidRPr="00E21432">
        <w:rPr>
          <w:rFonts w:ascii="Arial" w:hAnsi="Arial" w:cs="Arial"/>
        </w:rPr>
        <w:t xml:space="preserve"> </w:t>
      </w:r>
      <w:r w:rsidR="00843564">
        <w:rPr>
          <w:rFonts w:ascii="Arial" w:hAnsi="Arial" w:cs="Arial"/>
        </w:rPr>
        <w:t xml:space="preserve">and </w:t>
      </w:r>
      <w:r w:rsidR="00355953" w:rsidRPr="00E21432">
        <w:rPr>
          <w:rFonts w:ascii="Arial" w:hAnsi="Arial" w:cs="Arial"/>
        </w:rPr>
        <w:t>draw on established measures cover</w:t>
      </w:r>
      <w:r w:rsidR="00843564">
        <w:rPr>
          <w:rFonts w:ascii="Arial" w:hAnsi="Arial" w:cs="Arial"/>
        </w:rPr>
        <w:t>ing</w:t>
      </w:r>
      <w:r w:rsidR="00355953" w:rsidRPr="00E21432">
        <w:rPr>
          <w:rFonts w:ascii="Arial" w:hAnsi="Arial" w:cs="Arial"/>
        </w:rPr>
        <w:t xml:space="preserve"> the following issues:</w:t>
      </w:r>
    </w:p>
    <w:p w:rsidR="00DA023B" w:rsidRDefault="00DA023B" w:rsidP="00843564">
      <w:pPr>
        <w:pStyle w:val="ListParagraph"/>
        <w:numPr>
          <w:ilvl w:val="1"/>
          <w:numId w:val="7"/>
        </w:numPr>
        <w:autoSpaceDE w:val="0"/>
        <w:autoSpaceDN w:val="0"/>
        <w:adjustRightInd w:val="0"/>
        <w:rPr>
          <w:rFonts w:ascii="Arial" w:hAnsi="Arial" w:cs="Arial"/>
        </w:rPr>
      </w:pPr>
      <w:r>
        <w:rPr>
          <w:rFonts w:ascii="Arial" w:hAnsi="Arial" w:cs="Arial"/>
        </w:rPr>
        <w:t>Overall trust in the police</w:t>
      </w:r>
    </w:p>
    <w:p w:rsidR="00DA023B" w:rsidRDefault="00DA023B" w:rsidP="00843564">
      <w:pPr>
        <w:pStyle w:val="ListParagraph"/>
        <w:numPr>
          <w:ilvl w:val="1"/>
          <w:numId w:val="7"/>
        </w:numPr>
        <w:autoSpaceDE w:val="0"/>
        <w:autoSpaceDN w:val="0"/>
        <w:adjustRightInd w:val="0"/>
        <w:rPr>
          <w:rFonts w:ascii="Arial" w:hAnsi="Arial" w:cs="Arial"/>
        </w:rPr>
      </w:pPr>
      <w:r>
        <w:rPr>
          <w:rFonts w:ascii="Arial" w:hAnsi="Arial" w:cs="Arial"/>
        </w:rPr>
        <w:t>Police visibility</w:t>
      </w:r>
    </w:p>
    <w:p w:rsidR="00DA023B" w:rsidRDefault="00DA023B" w:rsidP="00843564">
      <w:pPr>
        <w:pStyle w:val="ListParagraph"/>
        <w:numPr>
          <w:ilvl w:val="1"/>
          <w:numId w:val="7"/>
        </w:numPr>
        <w:autoSpaceDE w:val="0"/>
        <w:autoSpaceDN w:val="0"/>
        <w:adjustRightInd w:val="0"/>
        <w:rPr>
          <w:rFonts w:ascii="Arial" w:hAnsi="Arial" w:cs="Arial"/>
        </w:rPr>
      </w:pPr>
      <w:r>
        <w:rPr>
          <w:rFonts w:ascii="Arial" w:hAnsi="Arial" w:cs="Arial"/>
        </w:rPr>
        <w:t>Perceptions of police fairness, community engagement, effectiveness, and distributive justice</w:t>
      </w:r>
    </w:p>
    <w:p w:rsidR="00DA023B" w:rsidRDefault="00DA023B" w:rsidP="00843564">
      <w:pPr>
        <w:pStyle w:val="ListParagraph"/>
        <w:numPr>
          <w:ilvl w:val="1"/>
          <w:numId w:val="7"/>
        </w:numPr>
        <w:autoSpaceDE w:val="0"/>
        <w:autoSpaceDN w:val="0"/>
        <w:adjustRightInd w:val="0"/>
        <w:rPr>
          <w:rFonts w:ascii="Arial" w:hAnsi="Arial" w:cs="Arial"/>
        </w:rPr>
      </w:pPr>
      <w:r>
        <w:rPr>
          <w:rFonts w:ascii="Arial" w:hAnsi="Arial" w:cs="Arial"/>
        </w:rPr>
        <w:t>Willingness to cooperate with police</w:t>
      </w:r>
    </w:p>
    <w:p w:rsidR="00DA023B" w:rsidRDefault="00DA023B" w:rsidP="00843564">
      <w:pPr>
        <w:pStyle w:val="ListParagraph"/>
        <w:numPr>
          <w:ilvl w:val="1"/>
          <w:numId w:val="7"/>
        </w:numPr>
        <w:autoSpaceDE w:val="0"/>
        <w:autoSpaceDN w:val="0"/>
        <w:adjustRightInd w:val="0"/>
        <w:rPr>
          <w:rFonts w:ascii="Arial" w:hAnsi="Arial" w:cs="Arial"/>
        </w:rPr>
      </w:pPr>
      <w:r>
        <w:rPr>
          <w:rFonts w:ascii="Arial" w:hAnsi="Arial" w:cs="Arial"/>
        </w:rPr>
        <w:t>Perceptions of collective efficacy</w:t>
      </w:r>
    </w:p>
    <w:p w:rsidR="00843564" w:rsidRDefault="00DA023B" w:rsidP="00611703">
      <w:pPr>
        <w:pStyle w:val="ListParagraph"/>
        <w:numPr>
          <w:ilvl w:val="1"/>
          <w:numId w:val="7"/>
        </w:numPr>
        <w:autoSpaceDE w:val="0"/>
        <w:autoSpaceDN w:val="0"/>
        <w:adjustRightInd w:val="0"/>
        <w:rPr>
          <w:rFonts w:ascii="Arial" w:hAnsi="Arial" w:cs="Arial"/>
        </w:rPr>
      </w:pPr>
      <w:r>
        <w:rPr>
          <w:rFonts w:ascii="Arial" w:hAnsi="Arial" w:cs="Arial"/>
        </w:rPr>
        <w:t>Perceptions of crime and disorder</w:t>
      </w:r>
    </w:p>
    <w:p w:rsidR="000B5BC6" w:rsidRDefault="00FB5109" w:rsidP="000B5BC6">
      <w:pPr>
        <w:pStyle w:val="ListParagraph"/>
        <w:numPr>
          <w:ilvl w:val="0"/>
          <w:numId w:val="7"/>
        </w:numPr>
        <w:autoSpaceDE w:val="0"/>
        <w:autoSpaceDN w:val="0"/>
        <w:adjustRightInd w:val="0"/>
        <w:rPr>
          <w:rFonts w:ascii="Arial" w:hAnsi="Arial" w:cs="Arial"/>
        </w:rPr>
      </w:pPr>
      <w:r w:rsidRPr="00843564">
        <w:rPr>
          <w:rFonts w:ascii="Arial" w:hAnsi="Arial" w:cs="Arial"/>
        </w:rPr>
        <w:t xml:space="preserve">Survey fieldwork </w:t>
      </w:r>
      <w:r w:rsidR="005622EF">
        <w:rPr>
          <w:rFonts w:ascii="Arial" w:hAnsi="Arial" w:cs="Arial"/>
        </w:rPr>
        <w:t>should be completed by the 31</w:t>
      </w:r>
      <w:r w:rsidR="005622EF" w:rsidRPr="005622EF">
        <w:rPr>
          <w:rFonts w:ascii="Arial" w:hAnsi="Arial" w:cs="Arial"/>
          <w:vertAlign w:val="superscript"/>
        </w:rPr>
        <w:t>st</w:t>
      </w:r>
      <w:r w:rsidR="005622EF">
        <w:rPr>
          <w:rFonts w:ascii="Arial" w:hAnsi="Arial" w:cs="Arial"/>
        </w:rPr>
        <w:t xml:space="preserve"> March 2023</w:t>
      </w:r>
    </w:p>
    <w:p w:rsidR="007D6811" w:rsidRPr="005622EF" w:rsidRDefault="007D6811" w:rsidP="005622EF">
      <w:pPr>
        <w:pStyle w:val="ListParagraph"/>
        <w:numPr>
          <w:ilvl w:val="0"/>
          <w:numId w:val="7"/>
        </w:numPr>
        <w:autoSpaceDE w:val="0"/>
        <w:autoSpaceDN w:val="0"/>
        <w:adjustRightInd w:val="0"/>
        <w:rPr>
          <w:rFonts w:ascii="Arial" w:hAnsi="Arial" w:cs="Arial"/>
        </w:rPr>
      </w:pPr>
      <w:r>
        <w:rPr>
          <w:rFonts w:ascii="Arial" w:hAnsi="Arial" w:cs="Arial"/>
        </w:rPr>
        <w:t>The raw data should be provided along with a technical report summarising the main findings</w:t>
      </w:r>
      <w:r w:rsidR="00CB1D1D">
        <w:rPr>
          <w:rFonts w:ascii="Arial" w:hAnsi="Arial" w:cs="Arial"/>
        </w:rPr>
        <w:t xml:space="preserve"> via univariate and bivariate statistics</w:t>
      </w:r>
      <w:r>
        <w:rPr>
          <w:rFonts w:ascii="Arial" w:hAnsi="Arial" w:cs="Arial"/>
        </w:rPr>
        <w:t xml:space="preserve">. The technical report should be received no later than </w:t>
      </w:r>
      <w:r w:rsidR="005622EF">
        <w:rPr>
          <w:rFonts w:ascii="Arial" w:hAnsi="Arial" w:cs="Arial"/>
        </w:rPr>
        <w:t>14th</w:t>
      </w:r>
      <w:r>
        <w:rPr>
          <w:rFonts w:ascii="Arial" w:hAnsi="Arial" w:cs="Arial"/>
        </w:rPr>
        <w:t xml:space="preserve"> </w:t>
      </w:r>
      <w:r w:rsidR="005622EF">
        <w:rPr>
          <w:rFonts w:ascii="Arial" w:hAnsi="Arial" w:cs="Arial"/>
        </w:rPr>
        <w:t>April</w:t>
      </w:r>
      <w:r w:rsidRPr="005622EF">
        <w:rPr>
          <w:rFonts w:ascii="Arial" w:hAnsi="Arial" w:cs="Arial"/>
        </w:rPr>
        <w:t xml:space="preserve"> 2023</w:t>
      </w:r>
    </w:p>
    <w:p w:rsidR="003E6FD4" w:rsidRDefault="003E6FD4" w:rsidP="003E6FD4">
      <w:pPr>
        <w:rPr>
          <w:rFonts w:cstheme="minorHAnsi"/>
          <w:color w:val="000000" w:themeColor="text1"/>
          <w:sz w:val="20"/>
          <w:szCs w:val="20"/>
        </w:rPr>
      </w:pPr>
    </w:p>
    <w:p w:rsidR="00290835" w:rsidRPr="00B30292" w:rsidRDefault="00290835" w:rsidP="00290835">
      <w:pPr>
        <w:jc w:val="both"/>
        <w:rPr>
          <w:rFonts w:ascii="Arial" w:eastAsia="Times New Roman" w:hAnsi="Arial" w:cs="Arial"/>
          <w:b/>
          <w:bCs/>
          <w:lang w:eastAsia="en-GB"/>
        </w:rPr>
      </w:pPr>
      <w:r w:rsidRPr="00B30292">
        <w:rPr>
          <w:rFonts w:ascii="Arial" w:eastAsia="Times New Roman" w:hAnsi="Arial" w:cs="Arial"/>
          <w:b/>
          <w:bCs/>
          <w:lang w:eastAsia="en-GB"/>
        </w:rPr>
        <w:t>Outputs</w:t>
      </w:r>
    </w:p>
    <w:p w:rsidR="00290835" w:rsidRPr="00290835" w:rsidRDefault="00290835" w:rsidP="00290835">
      <w:pPr>
        <w:ind w:firstLine="720"/>
        <w:jc w:val="both"/>
        <w:rPr>
          <w:rFonts w:ascii="Arial" w:hAnsi="Arial" w:cs="Arial"/>
        </w:rPr>
      </w:pPr>
      <w:r w:rsidRPr="00290835">
        <w:rPr>
          <w:rFonts w:ascii="Arial" w:hAnsi="Arial" w:cs="Arial"/>
        </w:rPr>
        <w:t>Insights Report – to include:</w:t>
      </w:r>
    </w:p>
    <w:p w:rsidR="00290835" w:rsidRDefault="00290835" w:rsidP="00290835">
      <w:pPr>
        <w:pStyle w:val="ListParagraph"/>
        <w:numPr>
          <w:ilvl w:val="0"/>
          <w:numId w:val="12"/>
        </w:numPr>
        <w:spacing w:line="259" w:lineRule="auto"/>
        <w:jc w:val="both"/>
        <w:rPr>
          <w:rFonts w:ascii="Arial" w:hAnsi="Arial" w:cs="Arial"/>
        </w:rPr>
      </w:pPr>
      <w:r>
        <w:rPr>
          <w:rFonts w:ascii="Arial" w:hAnsi="Arial" w:cs="Arial"/>
        </w:rPr>
        <w:lastRenderedPageBreak/>
        <w:t>Research summary (areas covered, stakeholders, results, analysis and findings);</w:t>
      </w:r>
    </w:p>
    <w:p w:rsidR="00290835" w:rsidRDefault="00290835" w:rsidP="00290835">
      <w:pPr>
        <w:pStyle w:val="ListParagraph"/>
        <w:numPr>
          <w:ilvl w:val="0"/>
          <w:numId w:val="12"/>
        </w:numPr>
        <w:spacing w:line="259" w:lineRule="auto"/>
        <w:jc w:val="both"/>
        <w:rPr>
          <w:rFonts w:ascii="Arial" w:hAnsi="Arial" w:cs="Arial"/>
        </w:rPr>
      </w:pPr>
      <w:r>
        <w:rPr>
          <w:rFonts w:ascii="Arial" w:hAnsi="Arial" w:cs="Arial"/>
        </w:rPr>
        <w:t>Insight and conclusions; and</w:t>
      </w:r>
    </w:p>
    <w:p w:rsidR="00290835" w:rsidRPr="00A32014" w:rsidRDefault="00290835" w:rsidP="00290835">
      <w:pPr>
        <w:pStyle w:val="ListParagraph"/>
        <w:numPr>
          <w:ilvl w:val="0"/>
          <w:numId w:val="12"/>
        </w:numPr>
        <w:spacing w:line="259" w:lineRule="auto"/>
        <w:jc w:val="both"/>
        <w:rPr>
          <w:rFonts w:ascii="Arial" w:hAnsi="Arial" w:cs="Arial"/>
        </w:rPr>
      </w:pPr>
      <w:r>
        <w:rPr>
          <w:rFonts w:ascii="Arial" w:hAnsi="Arial" w:cs="Arial"/>
        </w:rPr>
        <w:t>Overview of insight, conclusions and recommendations.</w:t>
      </w:r>
    </w:p>
    <w:p w:rsidR="00290835" w:rsidRDefault="00290835" w:rsidP="00290835">
      <w:pPr>
        <w:jc w:val="both"/>
        <w:rPr>
          <w:rFonts w:ascii="Arial" w:hAnsi="Arial" w:cs="Arial"/>
        </w:rPr>
      </w:pPr>
    </w:p>
    <w:p w:rsidR="00290835" w:rsidRPr="00B30292" w:rsidRDefault="00290835" w:rsidP="00290835">
      <w:pPr>
        <w:jc w:val="both"/>
        <w:rPr>
          <w:rFonts w:ascii="Arial" w:eastAsia="Times New Roman" w:hAnsi="Arial" w:cs="Arial"/>
          <w:b/>
          <w:bCs/>
          <w:lang w:eastAsia="en-GB"/>
        </w:rPr>
      </w:pPr>
      <w:r w:rsidRPr="00B30292">
        <w:rPr>
          <w:rFonts w:ascii="Arial" w:eastAsia="Times New Roman" w:hAnsi="Arial" w:cs="Arial"/>
          <w:b/>
          <w:bCs/>
          <w:lang w:eastAsia="en-GB"/>
        </w:rPr>
        <w:t>Timetable</w:t>
      </w:r>
    </w:p>
    <w:p w:rsidR="00290835" w:rsidRDefault="00290835" w:rsidP="00290835">
      <w:pPr>
        <w:ind w:left="720"/>
        <w:rPr>
          <w:rFonts w:ascii="Arial" w:hAnsi="Arial" w:cs="Arial"/>
        </w:rPr>
      </w:pPr>
      <w:r>
        <w:rPr>
          <w:rFonts w:ascii="Arial" w:hAnsi="Arial" w:cs="Arial"/>
        </w:rPr>
        <w:t>This work must be delivered at pace. We therefore ideally require the outputs to be delivered by 14</w:t>
      </w:r>
      <w:r w:rsidRPr="00290835">
        <w:rPr>
          <w:rFonts w:ascii="Arial" w:hAnsi="Arial" w:cs="Arial"/>
          <w:vertAlign w:val="superscript"/>
        </w:rPr>
        <w:t>th</w:t>
      </w:r>
      <w:r>
        <w:rPr>
          <w:rFonts w:ascii="Arial" w:hAnsi="Arial" w:cs="Arial"/>
        </w:rPr>
        <w:t xml:space="preserve"> April 2023. The supplier should indicate their ability to deliver against this indicative timetable (with a proposed start date of 1</w:t>
      </w:r>
      <w:r w:rsidRPr="00290835">
        <w:rPr>
          <w:rFonts w:ascii="Arial" w:hAnsi="Arial" w:cs="Arial"/>
          <w:vertAlign w:val="superscript"/>
        </w:rPr>
        <w:t>st</w:t>
      </w:r>
      <w:r>
        <w:rPr>
          <w:rFonts w:ascii="Arial" w:hAnsi="Arial" w:cs="Arial"/>
        </w:rPr>
        <w:t xml:space="preserve"> March; to be confirmed)</w:t>
      </w:r>
    </w:p>
    <w:p w:rsidR="00290835" w:rsidRDefault="00290835" w:rsidP="00290835">
      <w:pPr>
        <w:rPr>
          <w:rFonts w:ascii="Arial" w:hAnsi="Arial" w:cs="Arial"/>
        </w:rPr>
      </w:pPr>
    </w:p>
    <w:p w:rsidR="00290835" w:rsidRPr="00290835" w:rsidRDefault="00290835" w:rsidP="00290835">
      <w:pPr>
        <w:rPr>
          <w:rFonts w:ascii="Arial" w:hAnsi="Arial" w:cs="Arial"/>
          <w:b/>
        </w:rPr>
      </w:pPr>
      <w:r w:rsidRPr="00290835">
        <w:rPr>
          <w:rFonts w:ascii="Arial" w:hAnsi="Arial" w:cs="Arial"/>
          <w:b/>
        </w:rPr>
        <w:t>Target Budget</w:t>
      </w:r>
    </w:p>
    <w:p w:rsidR="00290835" w:rsidRDefault="00290835" w:rsidP="0060091C">
      <w:pPr>
        <w:ind w:left="720"/>
        <w:rPr>
          <w:rFonts w:ascii="Arial" w:hAnsi="Arial" w:cs="Arial"/>
        </w:rPr>
      </w:pPr>
      <w:r>
        <w:rPr>
          <w:rFonts w:ascii="Arial" w:hAnsi="Arial" w:cs="Arial"/>
        </w:rPr>
        <w:t>The MPS has allocated an indicative budgetary figure to this work of £</w:t>
      </w:r>
      <w:r w:rsidR="0060091C">
        <w:rPr>
          <w:rFonts w:ascii="Arial" w:hAnsi="Arial" w:cs="Arial"/>
        </w:rPr>
        <w:t>107,000.00</w:t>
      </w:r>
    </w:p>
    <w:p w:rsidR="00AE07DD" w:rsidRDefault="00AE07DD" w:rsidP="00AE07DD">
      <w:pPr>
        <w:rPr>
          <w:rFonts w:ascii="Arial" w:hAnsi="Arial" w:cs="Arial"/>
        </w:rPr>
      </w:pPr>
    </w:p>
    <w:p w:rsidR="00AE07DD" w:rsidRDefault="00AE07DD" w:rsidP="00AE07DD">
      <w:pPr>
        <w:rPr>
          <w:rFonts w:ascii="Arial" w:hAnsi="Arial" w:cs="Arial"/>
          <w:b/>
        </w:rPr>
      </w:pPr>
      <w:r>
        <w:rPr>
          <w:rFonts w:ascii="Arial" w:hAnsi="Arial" w:cs="Arial"/>
          <w:b/>
        </w:rPr>
        <w:t>Award Criteria</w:t>
      </w:r>
    </w:p>
    <w:p w:rsidR="00AE07DD" w:rsidRPr="00AE07DD" w:rsidRDefault="00AE07DD" w:rsidP="00AE07DD">
      <w:pPr>
        <w:ind w:left="720"/>
        <w:rPr>
          <w:rFonts w:ascii="Arial" w:hAnsi="Arial" w:cs="Arial"/>
        </w:rPr>
      </w:pPr>
      <w:r>
        <w:rPr>
          <w:rFonts w:ascii="Arial" w:hAnsi="Arial" w:cs="Arial"/>
        </w:rPr>
        <w:t>The winning Tender will be that which can deliver to the timeline; deliver to the price and to the outputs required and will also be the Most Economically Advantageous Tender (MEAT) criterion. This will enable the MPS to take account of criteria that reflect qualitative and technical aspects of the submission as well as price when reaching an award decision.</w:t>
      </w:r>
    </w:p>
    <w:p w:rsidR="00AE07DD" w:rsidRPr="003E6FD4" w:rsidRDefault="00AE07DD" w:rsidP="00AE07DD">
      <w:pPr>
        <w:rPr>
          <w:rFonts w:cstheme="minorHAnsi"/>
          <w:color w:val="000000" w:themeColor="text1"/>
          <w:sz w:val="20"/>
          <w:szCs w:val="20"/>
        </w:rPr>
      </w:pPr>
    </w:p>
    <w:sectPr w:rsidR="00AE07DD" w:rsidRPr="003E6FD4" w:rsidSect="00611703">
      <w:pgSz w:w="11900" w:h="16840"/>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49AE" w:rsidRDefault="007D49AE" w:rsidP="006D0971">
      <w:r>
        <w:separator/>
      </w:r>
    </w:p>
  </w:endnote>
  <w:endnote w:type="continuationSeparator" w:id="0">
    <w:p w:rsidR="007D49AE" w:rsidRDefault="007D49AE" w:rsidP="006D09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49AE" w:rsidRDefault="007D49AE" w:rsidP="006D0971">
      <w:r>
        <w:separator/>
      </w:r>
    </w:p>
  </w:footnote>
  <w:footnote w:type="continuationSeparator" w:id="0">
    <w:p w:rsidR="007D49AE" w:rsidRDefault="007D49AE" w:rsidP="006D09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FFFFFFFF"/>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3D11960"/>
    <w:multiLevelType w:val="multilevel"/>
    <w:tmpl w:val="5CC0B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B610F37"/>
    <w:multiLevelType w:val="hybridMultilevel"/>
    <w:tmpl w:val="28721E3E"/>
    <w:lvl w:ilvl="0" w:tplc="DFA6694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CF9414A"/>
    <w:multiLevelType w:val="hybridMultilevel"/>
    <w:tmpl w:val="B704C626"/>
    <w:lvl w:ilvl="0" w:tplc="4C28EE5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BAB09BE"/>
    <w:multiLevelType w:val="hybridMultilevel"/>
    <w:tmpl w:val="D9121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04C0D0F"/>
    <w:multiLevelType w:val="hybridMultilevel"/>
    <w:tmpl w:val="77AA3E06"/>
    <w:lvl w:ilvl="0" w:tplc="1EBECC7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5996671"/>
    <w:multiLevelType w:val="hybridMultilevel"/>
    <w:tmpl w:val="F38603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8816959"/>
    <w:multiLevelType w:val="hybridMultilevel"/>
    <w:tmpl w:val="971C8372"/>
    <w:lvl w:ilvl="0" w:tplc="238E68B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E1F7351"/>
    <w:multiLevelType w:val="hybridMultilevel"/>
    <w:tmpl w:val="90E66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21901DF"/>
    <w:multiLevelType w:val="hybridMultilevel"/>
    <w:tmpl w:val="00BCAA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9CF50F7"/>
    <w:multiLevelType w:val="hybridMultilevel"/>
    <w:tmpl w:val="56FA1C58"/>
    <w:lvl w:ilvl="0" w:tplc="E0CEE68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11"/>
  </w:num>
  <w:num w:numId="4">
    <w:abstractNumId w:val="8"/>
  </w:num>
  <w:num w:numId="5">
    <w:abstractNumId w:val="4"/>
  </w:num>
  <w:num w:numId="6">
    <w:abstractNumId w:val="6"/>
  </w:num>
  <w:num w:numId="7">
    <w:abstractNumId w:val="7"/>
  </w:num>
  <w:num w:numId="8">
    <w:abstractNumId w:val="5"/>
  </w:num>
  <w:num w:numId="9">
    <w:abstractNumId w:val="3"/>
  </w:num>
  <w:num w:numId="10">
    <w:abstractNumId w:val="9"/>
  </w:num>
  <w:num w:numId="11">
    <w:abstractNumId w:val="2"/>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3B95"/>
    <w:rsid w:val="00071981"/>
    <w:rsid w:val="00072111"/>
    <w:rsid w:val="00077CD1"/>
    <w:rsid w:val="00097C5D"/>
    <w:rsid w:val="000A0BE0"/>
    <w:rsid w:val="000B3841"/>
    <w:rsid w:val="000B5BC6"/>
    <w:rsid w:val="000C5D56"/>
    <w:rsid w:val="000E68B7"/>
    <w:rsid w:val="00114AF1"/>
    <w:rsid w:val="00116D58"/>
    <w:rsid w:val="00126EAE"/>
    <w:rsid w:val="001318B5"/>
    <w:rsid w:val="00136562"/>
    <w:rsid w:val="00190C6F"/>
    <w:rsid w:val="001B6908"/>
    <w:rsid w:val="001C167B"/>
    <w:rsid w:val="001C7032"/>
    <w:rsid w:val="001E7EAB"/>
    <w:rsid w:val="001F3BF2"/>
    <w:rsid w:val="002452FB"/>
    <w:rsid w:val="00246853"/>
    <w:rsid w:val="00246879"/>
    <w:rsid w:val="00290835"/>
    <w:rsid w:val="002C46A8"/>
    <w:rsid w:val="002D73B3"/>
    <w:rsid w:val="002E3AE1"/>
    <w:rsid w:val="002E7F09"/>
    <w:rsid w:val="002F2A45"/>
    <w:rsid w:val="00331C92"/>
    <w:rsid w:val="00345986"/>
    <w:rsid w:val="00345F67"/>
    <w:rsid w:val="00355953"/>
    <w:rsid w:val="00366325"/>
    <w:rsid w:val="00366FC2"/>
    <w:rsid w:val="003C48BB"/>
    <w:rsid w:val="003C7187"/>
    <w:rsid w:val="003E6FD4"/>
    <w:rsid w:val="00401490"/>
    <w:rsid w:val="0042192F"/>
    <w:rsid w:val="0042205A"/>
    <w:rsid w:val="00455503"/>
    <w:rsid w:val="004C144C"/>
    <w:rsid w:val="004C6216"/>
    <w:rsid w:val="004F0320"/>
    <w:rsid w:val="00521926"/>
    <w:rsid w:val="00533CE7"/>
    <w:rsid w:val="005622EF"/>
    <w:rsid w:val="0056431F"/>
    <w:rsid w:val="00565A60"/>
    <w:rsid w:val="005B1A6B"/>
    <w:rsid w:val="005C1335"/>
    <w:rsid w:val="005C4C29"/>
    <w:rsid w:val="005D45F6"/>
    <w:rsid w:val="005D63D5"/>
    <w:rsid w:val="005E1908"/>
    <w:rsid w:val="0060091C"/>
    <w:rsid w:val="00611703"/>
    <w:rsid w:val="00612807"/>
    <w:rsid w:val="00635B47"/>
    <w:rsid w:val="006872DE"/>
    <w:rsid w:val="006A2A18"/>
    <w:rsid w:val="006A4103"/>
    <w:rsid w:val="006D0971"/>
    <w:rsid w:val="006E68B3"/>
    <w:rsid w:val="006F330D"/>
    <w:rsid w:val="006F6528"/>
    <w:rsid w:val="0071389D"/>
    <w:rsid w:val="00716C93"/>
    <w:rsid w:val="007214F9"/>
    <w:rsid w:val="007D4093"/>
    <w:rsid w:val="007D49AE"/>
    <w:rsid w:val="007D56CE"/>
    <w:rsid w:val="007D6811"/>
    <w:rsid w:val="007F1F41"/>
    <w:rsid w:val="00843564"/>
    <w:rsid w:val="008445F5"/>
    <w:rsid w:val="00863275"/>
    <w:rsid w:val="00864655"/>
    <w:rsid w:val="00880F9E"/>
    <w:rsid w:val="00890FFE"/>
    <w:rsid w:val="00894656"/>
    <w:rsid w:val="008C7045"/>
    <w:rsid w:val="008D7057"/>
    <w:rsid w:val="008F5E2F"/>
    <w:rsid w:val="00902858"/>
    <w:rsid w:val="00911516"/>
    <w:rsid w:val="00912FB3"/>
    <w:rsid w:val="00927179"/>
    <w:rsid w:val="00927B67"/>
    <w:rsid w:val="0093099E"/>
    <w:rsid w:val="00933C32"/>
    <w:rsid w:val="00952DB9"/>
    <w:rsid w:val="009666B4"/>
    <w:rsid w:val="009975EA"/>
    <w:rsid w:val="009A2D88"/>
    <w:rsid w:val="009B1511"/>
    <w:rsid w:val="009D4BB6"/>
    <w:rsid w:val="009D4E1C"/>
    <w:rsid w:val="009D5504"/>
    <w:rsid w:val="009E46BC"/>
    <w:rsid w:val="009F3B95"/>
    <w:rsid w:val="00A658B9"/>
    <w:rsid w:val="00A832BA"/>
    <w:rsid w:val="00A85421"/>
    <w:rsid w:val="00A85A84"/>
    <w:rsid w:val="00A93991"/>
    <w:rsid w:val="00AB2BCF"/>
    <w:rsid w:val="00AE07DD"/>
    <w:rsid w:val="00AE1EFC"/>
    <w:rsid w:val="00AF56F9"/>
    <w:rsid w:val="00B01386"/>
    <w:rsid w:val="00B0794C"/>
    <w:rsid w:val="00B12674"/>
    <w:rsid w:val="00B24329"/>
    <w:rsid w:val="00B81AF7"/>
    <w:rsid w:val="00B94DBB"/>
    <w:rsid w:val="00BA63C3"/>
    <w:rsid w:val="00BA75D5"/>
    <w:rsid w:val="00C211FC"/>
    <w:rsid w:val="00C31CD5"/>
    <w:rsid w:val="00C5173E"/>
    <w:rsid w:val="00C533D8"/>
    <w:rsid w:val="00C734C0"/>
    <w:rsid w:val="00C74429"/>
    <w:rsid w:val="00C8736D"/>
    <w:rsid w:val="00C92CB0"/>
    <w:rsid w:val="00CB1B37"/>
    <w:rsid w:val="00CB1D1D"/>
    <w:rsid w:val="00CB4A7B"/>
    <w:rsid w:val="00CE5829"/>
    <w:rsid w:val="00D4207B"/>
    <w:rsid w:val="00D465B7"/>
    <w:rsid w:val="00D500D3"/>
    <w:rsid w:val="00D90ED9"/>
    <w:rsid w:val="00DA023B"/>
    <w:rsid w:val="00DA75F0"/>
    <w:rsid w:val="00DD5D6A"/>
    <w:rsid w:val="00DE51FC"/>
    <w:rsid w:val="00DF69F4"/>
    <w:rsid w:val="00E12129"/>
    <w:rsid w:val="00E1555B"/>
    <w:rsid w:val="00E21432"/>
    <w:rsid w:val="00E63004"/>
    <w:rsid w:val="00E830DD"/>
    <w:rsid w:val="00ED5C18"/>
    <w:rsid w:val="00EE0AEE"/>
    <w:rsid w:val="00EF63C1"/>
    <w:rsid w:val="00EF7836"/>
    <w:rsid w:val="00F030C4"/>
    <w:rsid w:val="00F14FDF"/>
    <w:rsid w:val="00F434CE"/>
    <w:rsid w:val="00F6009E"/>
    <w:rsid w:val="00F81BAA"/>
    <w:rsid w:val="00F936DF"/>
    <w:rsid w:val="00FA210F"/>
    <w:rsid w:val="00FB51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E57C33"/>
  <w15:chartTrackingRefBased/>
  <w15:docId w15:val="{E68F813B-2C92-4A47-9E35-2D7DF30BC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2A45"/>
    <w:rPr>
      <w:rFonts w:eastAsiaTheme="minorEastAsia"/>
    </w:rPr>
  </w:style>
  <w:style w:type="paragraph" w:styleId="Heading1">
    <w:name w:val="heading 1"/>
    <w:basedOn w:val="Normal"/>
    <w:next w:val="Normal"/>
    <w:link w:val="Heading1Char"/>
    <w:uiPriority w:val="9"/>
    <w:qFormat/>
    <w:rsid w:val="005D63D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Heading1"/>
    <w:next w:val="Normal"/>
    <w:link w:val="Heading2Char"/>
    <w:uiPriority w:val="9"/>
    <w:semiHidden/>
    <w:unhideWhenUsed/>
    <w:qFormat/>
    <w:rsid w:val="005D63D5"/>
    <w:pPr>
      <w:spacing w:before="40"/>
      <w:outlineLvl w:val="1"/>
    </w:pPr>
    <w:rPr>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80F9E"/>
    <w:rPr>
      <w:rFonts w:cs="Times New Roman"/>
      <w:sz w:val="18"/>
      <w:szCs w:val="18"/>
    </w:rPr>
  </w:style>
  <w:style w:type="character" w:customStyle="1" w:styleId="BalloonTextChar">
    <w:name w:val="Balloon Text Char"/>
    <w:basedOn w:val="DefaultParagraphFont"/>
    <w:link w:val="BalloonText"/>
    <w:uiPriority w:val="99"/>
    <w:semiHidden/>
    <w:rsid w:val="00880F9E"/>
    <w:rPr>
      <w:rFonts w:ascii="Times New Roman" w:hAnsi="Times New Roman" w:cs="Times New Roman"/>
      <w:sz w:val="18"/>
      <w:szCs w:val="18"/>
    </w:rPr>
  </w:style>
  <w:style w:type="character" w:customStyle="1" w:styleId="Heading2Char">
    <w:name w:val="Heading 2 Char"/>
    <w:basedOn w:val="DefaultParagraphFont"/>
    <w:link w:val="Heading2"/>
    <w:uiPriority w:val="9"/>
    <w:semiHidden/>
    <w:rsid w:val="005D63D5"/>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5D63D5"/>
    <w:rPr>
      <w:rFonts w:asciiTheme="majorHAnsi" w:eastAsiaTheme="majorEastAsia" w:hAnsiTheme="majorHAnsi" w:cstheme="majorBidi"/>
      <w:color w:val="2F5496" w:themeColor="accent1" w:themeShade="BF"/>
      <w:sz w:val="32"/>
      <w:szCs w:val="32"/>
    </w:rPr>
  </w:style>
  <w:style w:type="paragraph" w:styleId="ListParagraph">
    <w:name w:val="List Paragraph"/>
    <w:aliases w:val="Dot pt,F5 List Paragraph,List Paragraph1,Numbered Para 1,No Spacing1,List Paragraph Char Char Char,Indicator Text,Bullet Points,MAIN CONTENT,Bullet 1,Colorful List - Accent 11,List Paragraph11,Párrafo de lista,Recommendation,OBC Bullet,L"/>
    <w:basedOn w:val="Normal"/>
    <w:link w:val="ListParagraphChar"/>
    <w:uiPriority w:val="34"/>
    <w:qFormat/>
    <w:rsid w:val="002F2A45"/>
    <w:pPr>
      <w:ind w:left="720"/>
      <w:contextualSpacing/>
    </w:pPr>
  </w:style>
  <w:style w:type="character" w:customStyle="1" w:styleId="apple-converted-space">
    <w:name w:val="apple-converted-space"/>
    <w:basedOn w:val="DefaultParagraphFont"/>
    <w:rsid w:val="003E6FD4"/>
  </w:style>
  <w:style w:type="paragraph" w:styleId="Header">
    <w:name w:val="header"/>
    <w:basedOn w:val="Normal"/>
    <w:link w:val="HeaderChar"/>
    <w:uiPriority w:val="99"/>
    <w:unhideWhenUsed/>
    <w:rsid w:val="006D0971"/>
    <w:pPr>
      <w:tabs>
        <w:tab w:val="center" w:pos="4513"/>
        <w:tab w:val="right" w:pos="9026"/>
      </w:tabs>
    </w:pPr>
  </w:style>
  <w:style w:type="character" w:customStyle="1" w:styleId="HeaderChar">
    <w:name w:val="Header Char"/>
    <w:basedOn w:val="DefaultParagraphFont"/>
    <w:link w:val="Header"/>
    <w:uiPriority w:val="99"/>
    <w:rsid w:val="006D0971"/>
    <w:rPr>
      <w:rFonts w:eastAsiaTheme="minorEastAsia"/>
    </w:rPr>
  </w:style>
  <w:style w:type="paragraph" w:styleId="Footer">
    <w:name w:val="footer"/>
    <w:basedOn w:val="Normal"/>
    <w:link w:val="FooterChar"/>
    <w:uiPriority w:val="99"/>
    <w:unhideWhenUsed/>
    <w:rsid w:val="006D0971"/>
    <w:pPr>
      <w:tabs>
        <w:tab w:val="center" w:pos="4513"/>
        <w:tab w:val="right" w:pos="9026"/>
      </w:tabs>
    </w:pPr>
  </w:style>
  <w:style w:type="character" w:customStyle="1" w:styleId="FooterChar">
    <w:name w:val="Footer Char"/>
    <w:basedOn w:val="DefaultParagraphFont"/>
    <w:link w:val="Footer"/>
    <w:uiPriority w:val="99"/>
    <w:rsid w:val="006D0971"/>
    <w:rPr>
      <w:rFonts w:eastAsiaTheme="minorEastAsia"/>
    </w:rPr>
  </w:style>
  <w:style w:type="character" w:styleId="CommentReference">
    <w:name w:val="annotation reference"/>
    <w:basedOn w:val="DefaultParagraphFont"/>
    <w:uiPriority w:val="99"/>
    <w:semiHidden/>
    <w:unhideWhenUsed/>
    <w:rsid w:val="00CB1D1D"/>
    <w:rPr>
      <w:sz w:val="16"/>
      <w:szCs w:val="16"/>
    </w:rPr>
  </w:style>
  <w:style w:type="paragraph" w:styleId="CommentText">
    <w:name w:val="annotation text"/>
    <w:basedOn w:val="Normal"/>
    <w:link w:val="CommentTextChar"/>
    <w:uiPriority w:val="99"/>
    <w:semiHidden/>
    <w:unhideWhenUsed/>
    <w:rsid w:val="00CB1D1D"/>
    <w:rPr>
      <w:sz w:val="20"/>
      <w:szCs w:val="20"/>
    </w:rPr>
  </w:style>
  <w:style w:type="character" w:customStyle="1" w:styleId="CommentTextChar">
    <w:name w:val="Comment Text Char"/>
    <w:basedOn w:val="DefaultParagraphFont"/>
    <w:link w:val="CommentText"/>
    <w:uiPriority w:val="99"/>
    <w:semiHidden/>
    <w:rsid w:val="00CB1D1D"/>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CB1D1D"/>
    <w:rPr>
      <w:b/>
      <w:bCs/>
    </w:rPr>
  </w:style>
  <w:style w:type="character" w:customStyle="1" w:styleId="CommentSubjectChar">
    <w:name w:val="Comment Subject Char"/>
    <w:basedOn w:val="CommentTextChar"/>
    <w:link w:val="CommentSubject"/>
    <w:uiPriority w:val="99"/>
    <w:semiHidden/>
    <w:rsid w:val="00CB1D1D"/>
    <w:rPr>
      <w:rFonts w:eastAsiaTheme="minorEastAsia"/>
      <w:b/>
      <w:bCs/>
      <w:sz w:val="20"/>
      <w:szCs w:val="20"/>
    </w:rPr>
  </w:style>
  <w:style w:type="character" w:customStyle="1" w:styleId="ListParagraphChar">
    <w:name w:val="List Paragraph Char"/>
    <w:aliases w:val="Dot pt Char,F5 List Paragraph Char,List Paragraph1 Char,Numbered Para 1 Char,No Spacing1 Char,List Paragraph Char Char Char Char,Indicator Text Char,Bullet Points Char,MAIN CONTENT Char,Bullet 1 Char,Colorful List - Accent 11 Char"/>
    <w:link w:val="ListParagraph"/>
    <w:uiPriority w:val="34"/>
    <w:qFormat/>
    <w:locked/>
    <w:rsid w:val="00290835"/>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95905">
      <w:bodyDiv w:val="1"/>
      <w:marLeft w:val="0"/>
      <w:marRight w:val="0"/>
      <w:marTop w:val="0"/>
      <w:marBottom w:val="0"/>
      <w:divBdr>
        <w:top w:val="none" w:sz="0" w:space="0" w:color="auto"/>
        <w:left w:val="none" w:sz="0" w:space="0" w:color="auto"/>
        <w:bottom w:val="none" w:sz="0" w:space="0" w:color="auto"/>
        <w:right w:val="none" w:sz="0" w:space="0" w:color="auto"/>
      </w:divBdr>
    </w:div>
    <w:div w:id="1806196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473</Words>
  <Characters>2700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Yesberg, Julia</dc:creator>
  <cp:keywords/>
  <dc:description/>
  <cp:lastModifiedBy>Hardy Calvin - HQ Commercial Services</cp:lastModifiedBy>
  <cp:revision>2</cp:revision>
  <dcterms:created xsi:type="dcterms:W3CDTF">2023-02-15T17:56:00Z</dcterms:created>
  <dcterms:modified xsi:type="dcterms:W3CDTF">2023-02-15T17:56:00Z</dcterms:modified>
</cp:coreProperties>
</file>