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C04" w:rsidRDefault="00546A19">
      <w:pPr>
        <w:spacing w:after="117" w:line="259" w:lineRule="auto"/>
        <w:ind w:left="0" w:right="0" w:firstLine="0"/>
        <w:jc w:val="left"/>
      </w:pPr>
      <w:r>
        <w:rPr>
          <w:rFonts w:ascii="Arial" w:eastAsia="Arial" w:hAnsi="Arial" w:cs="Arial"/>
          <w:b/>
          <w:sz w:val="36"/>
        </w:rPr>
        <w:t>Call-Off Schedule 20 (Call-Off Specification)</w:t>
      </w:r>
      <w:r>
        <w:rPr>
          <w:rFonts w:ascii="Arial" w:eastAsia="Arial" w:hAnsi="Arial" w:cs="Arial"/>
          <w:sz w:val="36"/>
        </w:rPr>
        <w:t xml:space="preserve">  </w:t>
      </w:r>
    </w:p>
    <w:p w:rsidR="005E3C04" w:rsidRDefault="00546A19">
      <w:pPr>
        <w:spacing w:after="110"/>
        <w:ind w:left="-5" w:hanging="10"/>
        <w:jc w:val="left"/>
      </w:pPr>
      <w:r>
        <w:rPr>
          <w:rFonts w:ascii="Arial" w:eastAsia="Arial" w:hAnsi="Arial" w:cs="Arial"/>
        </w:rPr>
        <w:t xml:space="preserve">This Schedule sets out the characteristics of the Deliverables that the Supplier will be required to make to the Buyers under this Call-Off Contract </w:t>
      </w:r>
    </w:p>
    <w:p w:rsidR="005E3C04" w:rsidRDefault="00546A19">
      <w:pPr>
        <w:spacing w:after="224" w:line="259" w:lineRule="auto"/>
        <w:ind w:left="0" w:right="0" w:firstLine="0"/>
        <w:jc w:val="left"/>
      </w:pPr>
      <w:r>
        <w:rPr>
          <w:rFonts w:ascii="Arial" w:eastAsia="Arial" w:hAnsi="Arial" w:cs="Arial"/>
        </w:rPr>
        <w:t xml:space="preserve"> </w:t>
      </w:r>
    </w:p>
    <w:p w:rsidR="005E3C04" w:rsidRDefault="00546A19">
      <w:pPr>
        <w:pStyle w:val="Heading1"/>
        <w:tabs>
          <w:tab w:val="center" w:pos="1346"/>
        </w:tabs>
        <w:ind w:left="-15" w:firstLine="0"/>
      </w:pPr>
      <w:r>
        <w:t>1.</w:t>
      </w:r>
      <w:r>
        <w:rPr>
          <w:rFonts w:ascii="Arial" w:eastAsia="Arial" w:hAnsi="Arial" w:cs="Arial"/>
        </w:rPr>
        <w:t xml:space="preserve"> </w:t>
      </w:r>
      <w:r>
        <w:rPr>
          <w:rFonts w:ascii="Arial" w:eastAsia="Arial" w:hAnsi="Arial" w:cs="Arial"/>
        </w:rPr>
        <w:tab/>
      </w:r>
      <w:r>
        <w:t xml:space="preserve">PURPOSE </w:t>
      </w:r>
    </w:p>
    <w:p w:rsidR="005E3C04" w:rsidRDefault="00546A19">
      <w:pPr>
        <w:spacing w:after="236"/>
        <w:ind w:right="0"/>
      </w:pPr>
      <w:r>
        <w:t>1.1</w:t>
      </w:r>
      <w:r>
        <w:rPr>
          <w:rFonts w:ascii="Arial" w:eastAsia="Arial" w:hAnsi="Arial" w:cs="Arial"/>
        </w:rPr>
        <w:t xml:space="preserve"> </w:t>
      </w:r>
      <w:r>
        <w:t xml:space="preserve">To provide linguistic services to support UK Ministry of Defence (MoD) Global Operations. This includes, but is not limited to, face-to-face interpretation and written translation services worldwide on an as required basis. </w:t>
      </w:r>
    </w:p>
    <w:p w:rsidR="005E3C04" w:rsidRDefault="00546A19">
      <w:pPr>
        <w:pStyle w:val="Heading1"/>
        <w:tabs>
          <w:tab w:val="center" w:pos="3028"/>
        </w:tabs>
        <w:ind w:left="-15" w:firstLine="0"/>
      </w:pPr>
      <w:r>
        <w:t>2.</w:t>
      </w:r>
      <w:r>
        <w:rPr>
          <w:rFonts w:ascii="Arial" w:eastAsia="Arial" w:hAnsi="Arial" w:cs="Arial"/>
        </w:rPr>
        <w:t xml:space="preserve"> </w:t>
      </w:r>
      <w:r>
        <w:rPr>
          <w:rFonts w:ascii="Arial" w:eastAsia="Arial" w:hAnsi="Arial" w:cs="Arial"/>
        </w:rPr>
        <w:tab/>
      </w:r>
      <w:r>
        <w:t>BACKGROUND TO THE AUTHORITY</w:t>
      </w:r>
      <w:r>
        <w:t xml:space="preserve"> </w:t>
      </w:r>
    </w:p>
    <w:p w:rsidR="005E3C04" w:rsidRDefault="00546A19">
      <w:pPr>
        <w:spacing w:after="236"/>
        <w:ind w:right="0"/>
      </w:pPr>
      <w:r>
        <w:t>2.1</w:t>
      </w:r>
      <w:r>
        <w:rPr>
          <w:rFonts w:ascii="Arial" w:eastAsia="Arial" w:hAnsi="Arial" w:cs="Arial"/>
        </w:rPr>
        <w:t xml:space="preserve"> </w:t>
      </w:r>
      <w:r>
        <w:t xml:space="preserve">The MoD is responsible for protecting the security, independence and interests of our country at home and abroad. The overall objective of the department is to ensure that the armed forces have the training, equipment and support necessary for their </w:t>
      </w:r>
      <w:r>
        <w:t xml:space="preserve">work, within budget. </w:t>
      </w:r>
    </w:p>
    <w:p w:rsidR="005E3C04" w:rsidRDefault="00546A19">
      <w:pPr>
        <w:pStyle w:val="Heading1"/>
        <w:ind w:left="-5"/>
      </w:pPr>
      <w:r>
        <w:t>3.</w:t>
      </w:r>
      <w:r>
        <w:rPr>
          <w:rFonts w:ascii="Arial" w:eastAsia="Arial" w:hAnsi="Arial" w:cs="Arial"/>
        </w:rPr>
        <w:t xml:space="preserve"> </w:t>
      </w:r>
      <w:r>
        <w:rPr>
          <w:rFonts w:ascii="Arial" w:eastAsia="Arial" w:hAnsi="Arial" w:cs="Arial"/>
        </w:rPr>
        <w:tab/>
      </w:r>
      <w:r>
        <w:t xml:space="preserve">BACKGROUND </w:t>
      </w:r>
      <w:r>
        <w:tab/>
        <w:t xml:space="preserve">TO </w:t>
      </w:r>
      <w:r>
        <w:tab/>
        <w:t xml:space="preserve">REQUIREMENT/OVERVIEW </w:t>
      </w:r>
      <w:r>
        <w:tab/>
        <w:t xml:space="preserve">OF REQUIREMENT </w:t>
      </w:r>
    </w:p>
    <w:p w:rsidR="005E3C04" w:rsidRDefault="00546A19">
      <w:pPr>
        <w:ind w:right="0"/>
      </w:pPr>
      <w:r>
        <w:t>3.1</w:t>
      </w:r>
      <w:r>
        <w:rPr>
          <w:rFonts w:ascii="Arial" w:eastAsia="Arial" w:hAnsi="Arial" w:cs="Arial"/>
        </w:rPr>
        <w:t xml:space="preserve"> </w:t>
      </w:r>
      <w:r>
        <w:t>The Authority is seeking a single supplier to provide linguistic support services to both Permanent Joint Headquarters (PJHQ) and specialist user overseas operations.  This</w:t>
      </w:r>
      <w:r>
        <w:t xml:space="preserve"> service is to include both interpreter and translator services across a wide spectrum of operational environments and interactions. The requirements are set out within Section 5 </w:t>
      </w:r>
      <w:r>
        <w:t>–</w:t>
      </w:r>
      <w:r>
        <w:t xml:space="preserve"> Scope of Requirement in this Call Off Schedule, while the theatre specific </w:t>
      </w:r>
      <w:r>
        <w:t xml:space="preserve">requirements are captured within Call Off Schedule 20  - Appendix 1 </w:t>
      </w:r>
      <w:r>
        <w:t>–</w:t>
      </w:r>
      <w:r>
        <w:t xml:space="preserve"> Linguist Requirement which outlines the broad contractual services required, along with standards, conditions of employment and the specific number and nature of tasks for each theatre. </w:t>
      </w:r>
    </w:p>
    <w:p w:rsidR="005E3C04" w:rsidRDefault="00546A19">
      <w:pPr>
        <w:ind w:right="0"/>
      </w:pPr>
      <w:r>
        <w:t>3.2</w:t>
      </w:r>
      <w:r>
        <w:rPr>
          <w:rFonts w:ascii="Arial" w:eastAsia="Arial" w:hAnsi="Arial" w:cs="Arial"/>
        </w:rPr>
        <w:t xml:space="preserve"> </w:t>
      </w:r>
      <w:r>
        <w:t xml:space="preserve">Although indicative locations and skillsets have been provided at Appendix 1 </w:t>
      </w:r>
      <w:r>
        <w:t>–</w:t>
      </w:r>
      <w:r>
        <w:t xml:space="preserve"> Linguist Requirement, which provides an overview of the requirement, the Authority will define its specific requirements in TOFs issued for each location and/or task, these</w:t>
      </w:r>
      <w:r>
        <w:t xml:space="preserve"> will either be enduring TOFs for regular repeatable activity or one off TOFs for a specific activity. The TOF process is at Call Off Schedule 20 -Appendix 2 - Task Order Form. </w:t>
      </w:r>
    </w:p>
    <w:p w:rsidR="005E3C04" w:rsidRDefault="00546A19">
      <w:pPr>
        <w:spacing w:after="235"/>
        <w:ind w:right="0"/>
      </w:pPr>
      <w:r>
        <w:t>3.3</w:t>
      </w:r>
      <w:r>
        <w:rPr>
          <w:rFonts w:ascii="Arial" w:eastAsia="Arial" w:hAnsi="Arial" w:cs="Arial"/>
        </w:rPr>
        <w:t xml:space="preserve"> </w:t>
      </w:r>
      <w:r>
        <w:rPr>
          <w:rFonts w:ascii="Arial" w:eastAsia="Arial" w:hAnsi="Arial" w:cs="Arial"/>
        </w:rPr>
        <w:tab/>
      </w:r>
      <w:r>
        <w:t xml:space="preserve">The Contractor shall provide all deliverable in accordance with Call Off </w:t>
      </w:r>
      <w:r>
        <w:t xml:space="preserve">Schedule 20 - Appendix 6 - Table of Deliverables. </w:t>
      </w:r>
    </w:p>
    <w:p w:rsidR="005E3C04" w:rsidRDefault="00546A19">
      <w:pPr>
        <w:pStyle w:val="Heading1"/>
        <w:tabs>
          <w:tab w:val="center" w:pos="1573"/>
        </w:tabs>
        <w:spacing w:after="0"/>
        <w:ind w:left="-15" w:firstLine="0"/>
      </w:pPr>
      <w:r>
        <w:t>4.</w:t>
      </w:r>
      <w:r>
        <w:rPr>
          <w:rFonts w:ascii="Arial" w:eastAsia="Arial" w:hAnsi="Arial" w:cs="Arial"/>
        </w:rPr>
        <w:t xml:space="preserve"> </w:t>
      </w:r>
      <w:r>
        <w:rPr>
          <w:rFonts w:ascii="Arial" w:eastAsia="Arial" w:hAnsi="Arial" w:cs="Arial"/>
        </w:rPr>
        <w:tab/>
      </w:r>
      <w:r>
        <w:t xml:space="preserve">DEFINITIONS  </w:t>
      </w:r>
    </w:p>
    <w:tbl>
      <w:tblPr>
        <w:tblStyle w:val="TableGrid"/>
        <w:tblW w:w="8299" w:type="dxa"/>
        <w:tblInd w:w="726" w:type="dxa"/>
        <w:tblCellMar>
          <w:top w:w="173" w:type="dxa"/>
          <w:left w:w="107" w:type="dxa"/>
          <w:bottom w:w="0" w:type="dxa"/>
          <w:right w:w="105" w:type="dxa"/>
        </w:tblCellMar>
        <w:tblLook w:val="04A0" w:firstRow="1" w:lastRow="0" w:firstColumn="1" w:lastColumn="0" w:noHBand="0" w:noVBand="1"/>
      </w:tblPr>
      <w:tblGrid>
        <w:gridCol w:w="1826"/>
        <w:gridCol w:w="6473"/>
      </w:tblGrid>
      <w:tr w:rsidR="005E3C04">
        <w:trPr>
          <w:trHeight w:val="834"/>
        </w:trPr>
        <w:tc>
          <w:tcPr>
            <w:tcW w:w="182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5E3C04" w:rsidRDefault="00546A19">
            <w:pPr>
              <w:spacing w:after="0" w:line="259" w:lineRule="auto"/>
              <w:ind w:left="17" w:right="0" w:hanging="17"/>
              <w:jc w:val="left"/>
            </w:pPr>
            <w:bookmarkStart w:id="0" w:name="_GoBack"/>
            <w:r>
              <w:rPr>
                <w:b/>
              </w:rPr>
              <w:t xml:space="preserve">Expression or Acronym </w:t>
            </w:r>
          </w:p>
        </w:tc>
        <w:tc>
          <w:tcPr>
            <w:tcW w:w="6473" w:type="dxa"/>
            <w:tcBorders>
              <w:top w:val="single" w:sz="4" w:space="0" w:color="000000"/>
              <w:left w:val="single" w:sz="4" w:space="0" w:color="000000"/>
              <w:bottom w:val="single" w:sz="4" w:space="0" w:color="000000"/>
              <w:right w:val="single" w:sz="4" w:space="0" w:color="000000"/>
            </w:tcBorders>
            <w:shd w:val="clear" w:color="auto" w:fill="B8CCE4"/>
          </w:tcPr>
          <w:p w:rsidR="005E3C04" w:rsidRDefault="00546A19">
            <w:pPr>
              <w:spacing w:after="0" w:line="259" w:lineRule="auto"/>
              <w:ind w:left="1" w:right="0" w:firstLine="0"/>
              <w:jc w:val="left"/>
            </w:pPr>
            <w:r>
              <w:rPr>
                <w:b/>
              </w:rPr>
              <w:t xml:space="preserve">Definition </w:t>
            </w:r>
          </w:p>
        </w:tc>
      </w:tr>
      <w:bookmarkEnd w:id="0"/>
      <w:tr w:rsidR="005E3C04">
        <w:trPr>
          <w:trHeight w:val="836"/>
        </w:trPr>
        <w:tc>
          <w:tcPr>
            <w:tcW w:w="182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lastRenderedPageBreak/>
              <w:t xml:space="preserve">BPSS </w:t>
            </w:r>
          </w:p>
        </w:tc>
        <w:tc>
          <w:tcPr>
            <w:tcW w:w="647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1" w:right="0" w:firstLine="0"/>
              <w:jc w:val="left"/>
            </w:pPr>
            <w:r>
              <w:t xml:space="preserve">Baseline Personnel Security Standard.  The lowest level UK Security Clearance. </w:t>
            </w:r>
          </w:p>
        </w:tc>
      </w:tr>
      <w:tr w:rsidR="005E3C04">
        <w:trPr>
          <w:trHeight w:val="545"/>
        </w:trPr>
        <w:tc>
          <w:tcPr>
            <w:tcW w:w="1826"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CCM </w:t>
            </w:r>
          </w:p>
        </w:tc>
        <w:tc>
          <w:tcPr>
            <w:tcW w:w="647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Contractor CONDO Manager.  As defined in DEF STAN 05-129. </w:t>
            </w:r>
          </w:p>
        </w:tc>
      </w:tr>
      <w:tr w:rsidR="005E3C04">
        <w:trPr>
          <w:trHeight w:val="835"/>
        </w:trPr>
        <w:tc>
          <w:tcPr>
            <w:tcW w:w="182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CDCM </w:t>
            </w:r>
          </w:p>
        </w:tc>
        <w:tc>
          <w:tcPr>
            <w:tcW w:w="647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Contractor’s Deployed CONDO Manager. As defined in DEF </w:t>
            </w:r>
            <w:r>
              <w:t xml:space="preserve">STAN 05-129. </w:t>
            </w:r>
          </w:p>
        </w:tc>
      </w:tr>
      <w:tr w:rsidR="005E3C04">
        <w:trPr>
          <w:trHeight w:val="835"/>
        </w:trPr>
        <w:tc>
          <w:tcPr>
            <w:tcW w:w="182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CONDO </w:t>
            </w:r>
          </w:p>
        </w:tc>
        <w:tc>
          <w:tcPr>
            <w:tcW w:w="647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Contractors on Deployed Operations.  As defined in DEF STAN 05-129.  CONDO includes: UKN, TCN and LRW. </w:t>
            </w:r>
          </w:p>
        </w:tc>
      </w:tr>
      <w:tr w:rsidR="005E3C04">
        <w:trPr>
          <w:trHeight w:val="835"/>
        </w:trPr>
        <w:tc>
          <w:tcPr>
            <w:tcW w:w="1826"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720" w:right="0" w:hanging="720"/>
              <w:jc w:val="left"/>
            </w:pPr>
            <w:r>
              <w:t xml:space="preserve">DEF STAN 05129. </w:t>
            </w:r>
          </w:p>
        </w:tc>
        <w:tc>
          <w:tcPr>
            <w:tcW w:w="647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Means Defence Standard 05-</w:t>
            </w:r>
            <w:r>
              <w:t>129 Contractors on Deployed Operations (CONDO), Issue 5, dated 30 Jun 2013.</w:t>
            </w:r>
            <w:r>
              <w:rPr>
                <w:rFonts w:ascii="Times New Roman" w:eastAsia="Times New Roman" w:hAnsi="Times New Roman" w:cs="Times New Roman"/>
                <w:sz w:val="20"/>
                <w:vertAlign w:val="superscript"/>
              </w:rPr>
              <w:t xml:space="preserve"> </w:t>
            </w:r>
            <w:r>
              <w:rPr>
                <w:rFonts w:ascii="Times New Roman" w:eastAsia="Times New Roman" w:hAnsi="Times New Roman" w:cs="Times New Roman"/>
                <w:sz w:val="20"/>
                <w:vertAlign w:val="superscript"/>
              </w:rPr>
              <w:footnoteReference w:id="1"/>
            </w:r>
            <w:r>
              <w:t xml:space="preserve"> </w:t>
            </w:r>
          </w:p>
        </w:tc>
      </w:tr>
      <w:tr w:rsidR="005E3C04">
        <w:trPr>
          <w:trHeight w:val="838"/>
        </w:trPr>
        <w:tc>
          <w:tcPr>
            <w:tcW w:w="182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DOR </w:t>
            </w:r>
          </w:p>
        </w:tc>
        <w:tc>
          <w:tcPr>
            <w:tcW w:w="647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Designated Officer Representative.  As defined in DEF STAND 05-129. </w:t>
            </w:r>
          </w:p>
        </w:tc>
      </w:tr>
      <w:tr w:rsidR="005E3C04">
        <w:trPr>
          <w:trHeight w:val="835"/>
        </w:trPr>
        <w:tc>
          <w:tcPr>
            <w:tcW w:w="182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ISDP </w:t>
            </w:r>
          </w:p>
        </w:tc>
        <w:tc>
          <w:tcPr>
            <w:tcW w:w="647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pPr>
            <w:r>
              <w:t>Intimidation Service Delivery.  The Contractor’s response to the Authority’s ISR.</w:t>
            </w:r>
            <w:r>
              <w:t xml:space="preserve"> </w:t>
            </w:r>
          </w:p>
        </w:tc>
      </w:tr>
      <w:tr w:rsidR="005E3C04">
        <w:trPr>
          <w:trHeight w:val="1128"/>
        </w:trPr>
        <w:tc>
          <w:tcPr>
            <w:tcW w:w="182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ISR </w:t>
            </w:r>
          </w:p>
        </w:tc>
        <w:tc>
          <w:tcPr>
            <w:tcW w:w="647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Intimidation Service Requirement.  Intimidation Service </w:t>
            </w:r>
            <w:r>
              <w:t xml:space="preserve">Requirement.  The Authority’s requirement to provide service </w:t>
            </w:r>
            <w:r>
              <w:t xml:space="preserve">to manage the threat of intimidation. </w:t>
            </w:r>
          </w:p>
        </w:tc>
      </w:tr>
      <w:tr w:rsidR="005E3C04">
        <w:trPr>
          <w:trHeight w:val="545"/>
        </w:trPr>
        <w:tc>
          <w:tcPr>
            <w:tcW w:w="1826"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LRW </w:t>
            </w:r>
          </w:p>
        </w:tc>
        <w:tc>
          <w:tcPr>
            <w:tcW w:w="647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Locally Recruited Worker.  As defined in DEF STAN 05-129. </w:t>
            </w:r>
          </w:p>
        </w:tc>
      </w:tr>
      <w:tr w:rsidR="005E3C04">
        <w:trPr>
          <w:trHeight w:val="543"/>
        </w:trPr>
        <w:tc>
          <w:tcPr>
            <w:tcW w:w="1826"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PCM </w:t>
            </w:r>
          </w:p>
        </w:tc>
        <w:tc>
          <w:tcPr>
            <w:tcW w:w="647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Project CONDO Manager.  As defined in DEF STAN -5-129 </w:t>
            </w:r>
          </w:p>
        </w:tc>
      </w:tr>
      <w:tr w:rsidR="005E3C04">
        <w:trPr>
          <w:trHeight w:val="542"/>
        </w:trPr>
        <w:tc>
          <w:tcPr>
            <w:tcW w:w="1826"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PJHQ </w:t>
            </w:r>
          </w:p>
        </w:tc>
        <w:tc>
          <w:tcPr>
            <w:tcW w:w="647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Permanent Joint Headquarters </w:t>
            </w:r>
          </w:p>
        </w:tc>
      </w:tr>
      <w:tr w:rsidR="005E3C04">
        <w:trPr>
          <w:trHeight w:val="542"/>
        </w:trPr>
        <w:tc>
          <w:tcPr>
            <w:tcW w:w="1826"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RLS </w:t>
            </w:r>
          </w:p>
        </w:tc>
        <w:tc>
          <w:tcPr>
            <w:tcW w:w="647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Means Real-Life-Support </w:t>
            </w:r>
          </w:p>
        </w:tc>
      </w:tr>
      <w:tr w:rsidR="005E3C04">
        <w:trPr>
          <w:trHeight w:val="838"/>
        </w:trPr>
        <w:tc>
          <w:tcPr>
            <w:tcW w:w="182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SC </w:t>
            </w:r>
          </w:p>
        </w:tc>
        <w:tc>
          <w:tcPr>
            <w:tcW w:w="647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Security Check.  A specific level of security clearance provided by UKSV. </w:t>
            </w:r>
          </w:p>
        </w:tc>
      </w:tr>
      <w:tr w:rsidR="005E3C04">
        <w:trPr>
          <w:trHeight w:val="835"/>
        </w:trPr>
        <w:tc>
          <w:tcPr>
            <w:tcW w:w="182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lastRenderedPageBreak/>
              <w:t xml:space="preserve">TCN </w:t>
            </w:r>
          </w:p>
        </w:tc>
        <w:tc>
          <w:tcPr>
            <w:tcW w:w="647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Third Country National CONDO.  As defined in DEF STAN 05-129 Issue 5. </w:t>
            </w:r>
          </w:p>
        </w:tc>
      </w:tr>
      <w:tr w:rsidR="005E3C04">
        <w:trPr>
          <w:trHeight w:val="543"/>
        </w:trPr>
        <w:tc>
          <w:tcPr>
            <w:tcW w:w="1826"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TOF </w:t>
            </w:r>
          </w:p>
        </w:tc>
        <w:tc>
          <w:tcPr>
            <w:tcW w:w="647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Task Order Form </w:t>
            </w:r>
          </w:p>
        </w:tc>
      </w:tr>
      <w:tr w:rsidR="005E3C04">
        <w:trPr>
          <w:trHeight w:val="545"/>
        </w:trPr>
        <w:tc>
          <w:tcPr>
            <w:tcW w:w="1826"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UKN </w:t>
            </w:r>
          </w:p>
        </w:tc>
        <w:tc>
          <w:tcPr>
            <w:tcW w:w="647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UK National CONDO.  As defined in DEF STAN 05-129. </w:t>
            </w:r>
          </w:p>
        </w:tc>
      </w:tr>
      <w:tr w:rsidR="005E3C04">
        <w:trPr>
          <w:trHeight w:val="542"/>
        </w:trPr>
        <w:tc>
          <w:tcPr>
            <w:tcW w:w="1826"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UKSV </w:t>
            </w:r>
          </w:p>
        </w:tc>
        <w:tc>
          <w:tcPr>
            <w:tcW w:w="647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UK Security Vetting </w:t>
            </w:r>
          </w:p>
        </w:tc>
      </w:tr>
    </w:tbl>
    <w:p w:rsidR="005E3C04" w:rsidRDefault="00546A19">
      <w:pPr>
        <w:spacing w:after="299" w:line="259" w:lineRule="auto"/>
        <w:ind w:left="10" w:hanging="10"/>
        <w:jc w:val="center"/>
      </w:pPr>
      <w:r>
        <w:rPr>
          <w:sz w:val="20"/>
        </w:rPr>
        <w:t xml:space="preserve">Table 1: Definitions. </w:t>
      </w:r>
    </w:p>
    <w:p w:rsidR="005E3C04" w:rsidRDefault="00546A19">
      <w:pPr>
        <w:pStyle w:val="Heading1"/>
        <w:tabs>
          <w:tab w:val="center" w:pos="2009"/>
        </w:tabs>
        <w:ind w:left="-15" w:firstLine="0"/>
      </w:pPr>
      <w:r>
        <w:t>5.</w:t>
      </w:r>
      <w:r>
        <w:rPr>
          <w:rFonts w:ascii="Arial" w:eastAsia="Arial" w:hAnsi="Arial" w:cs="Arial"/>
        </w:rPr>
        <w:t xml:space="preserve"> </w:t>
      </w:r>
      <w:r>
        <w:rPr>
          <w:rFonts w:ascii="Arial" w:eastAsia="Arial" w:hAnsi="Arial" w:cs="Arial"/>
        </w:rPr>
        <w:tab/>
      </w:r>
      <w:r>
        <w:t xml:space="preserve">THE REQUIREMENT  </w:t>
      </w:r>
    </w:p>
    <w:p w:rsidR="005E3C04" w:rsidRDefault="00546A19">
      <w:pPr>
        <w:spacing w:after="0"/>
        <w:ind w:right="0"/>
      </w:pPr>
      <w:r>
        <w:t>5.1</w:t>
      </w:r>
      <w:r>
        <w:rPr>
          <w:rFonts w:ascii="Arial" w:eastAsia="Arial" w:hAnsi="Arial" w:cs="Arial"/>
        </w:rPr>
        <w:t xml:space="preserve"> </w:t>
      </w:r>
      <w:r>
        <w:rPr>
          <w:b/>
        </w:rPr>
        <w:t>Introduction</w:t>
      </w:r>
      <w:r>
        <w:t xml:space="preserve">.  The requirements specified in the table below cover the service provisions that are either specific to the specialist linguistic nature of this contract, or </w:t>
      </w:r>
    </w:p>
    <w:p w:rsidR="005E3C04" w:rsidRDefault="00546A19">
      <w:pPr>
        <w:spacing w:after="0" w:line="259" w:lineRule="auto"/>
        <w:ind w:left="0" w:right="0" w:firstLine="0"/>
        <w:jc w:val="left"/>
      </w:pPr>
      <w:r>
        <w:rPr>
          <w:noProof/>
          <w:sz w:val="22"/>
        </w:rPr>
        <mc:AlternateContent>
          <mc:Choice Requires="wpg">
            <w:drawing>
              <wp:inline distT="0" distB="0" distL="0" distR="0">
                <wp:extent cx="1829054" cy="9144"/>
                <wp:effectExtent l="0" t="0" r="0" b="0"/>
                <wp:docPr id="22044" name="Group 22044"/>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7156" name="Shape 2715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44" style="width:144.02pt;height:0.719971pt;mso-position-horizontal-relative:char;mso-position-vertical-relative:line" coordsize="18290,91">
                <v:shape id="Shape 27157"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2"/>
        </w:rPr>
        <w:t xml:space="preserve"> </w:t>
      </w:r>
    </w:p>
    <w:p w:rsidR="005E3C04" w:rsidRDefault="00546A19">
      <w:pPr>
        <w:spacing w:after="10"/>
        <w:ind w:left="705" w:right="0" w:firstLine="0"/>
      </w:pPr>
      <w:r>
        <w:t>service provisions where the standards required for this contract differ from DEF STAN 05 -1</w:t>
      </w:r>
      <w:r>
        <w:t xml:space="preserve">29.  Subject to the TOF process detailed in Call Off Schedule 20 </w:t>
      </w:r>
      <w:r>
        <w:t>–</w:t>
      </w:r>
      <w:r>
        <w:t xml:space="preserve"> Appendix 2 the Contractor shall also provide a translation service for documents that are not able to be translated by existing linguists. </w:t>
      </w:r>
    </w:p>
    <w:tbl>
      <w:tblPr>
        <w:tblStyle w:val="TableGrid"/>
        <w:tblW w:w="9021" w:type="dxa"/>
        <w:tblInd w:w="5" w:type="dxa"/>
        <w:tblCellMar>
          <w:top w:w="45" w:type="dxa"/>
          <w:left w:w="108" w:type="dxa"/>
          <w:bottom w:w="4" w:type="dxa"/>
          <w:right w:w="79" w:type="dxa"/>
        </w:tblCellMar>
        <w:tblLook w:val="04A0" w:firstRow="1" w:lastRow="0" w:firstColumn="1" w:lastColumn="0" w:noHBand="0" w:noVBand="1"/>
      </w:tblPr>
      <w:tblGrid>
        <w:gridCol w:w="1318"/>
        <w:gridCol w:w="4942"/>
        <w:gridCol w:w="2761"/>
      </w:tblGrid>
      <w:tr w:rsidR="005E3C04">
        <w:trPr>
          <w:trHeight w:val="302"/>
        </w:trPr>
        <w:tc>
          <w:tcPr>
            <w:tcW w:w="131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30" w:firstLine="0"/>
              <w:jc w:val="center"/>
            </w:pPr>
            <w:r>
              <w:rPr>
                <w:b/>
              </w:rPr>
              <w:t>Ser</w:t>
            </w:r>
            <w:r>
              <w:rPr>
                <w:sz w:val="20"/>
              </w:rPr>
              <w:t xml:space="preserve"> </w:t>
            </w:r>
          </w:p>
        </w:tc>
        <w:tc>
          <w:tcPr>
            <w:tcW w:w="4943"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26" w:firstLine="0"/>
              <w:jc w:val="center"/>
            </w:pPr>
            <w:r>
              <w:rPr>
                <w:b/>
              </w:rPr>
              <w:t>Requirement</w:t>
            </w: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30" w:firstLine="0"/>
              <w:jc w:val="center"/>
            </w:pPr>
            <w:r>
              <w:rPr>
                <w:b/>
              </w:rPr>
              <w:t>Standard</w:t>
            </w:r>
            <w:r>
              <w:rPr>
                <w:sz w:val="20"/>
              </w:rPr>
              <w:t xml:space="preserve"> </w:t>
            </w:r>
          </w:p>
        </w:tc>
      </w:tr>
      <w:tr w:rsidR="005E3C04">
        <w:trPr>
          <w:trHeight w:val="1474"/>
        </w:trPr>
        <w:tc>
          <w:tcPr>
            <w:tcW w:w="131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5.1.1 </w:t>
            </w:r>
          </w:p>
        </w:tc>
        <w:tc>
          <w:tcPr>
            <w:tcW w:w="4943"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The Contractor shall provide all CONDO predeployment requirements and processes IAW with the specified standard. </w:t>
            </w:r>
          </w:p>
        </w:tc>
        <w:tc>
          <w:tcPr>
            <w:tcW w:w="276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DEF STAN 05-129 Section 6. </w:t>
            </w:r>
          </w:p>
          <w:p w:rsidR="005E3C04" w:rsidRDefault="00546A19">
            <w:pPr>
              <w:spacing w:after="0" w:line="259" w:lineRule="auto"/>
              <w:ind w:left="0" w:right="0" w:firstLine="0"/>
              <w:jc w:val="left"/>
            </w:pPr>
            <w:r>
              <w:rPr>
                <w:sz w:val="20"/>
              </w:rPr>
              <w:t>In accordance with Joint Schedule 11 (Data Processing) the Buyer and the Supplier will be Joint Controller with th</w:t>
            </w:r>
            <w:r>
              <w:rPr>
                <w:sz w:val="20"/>
              </w:rPr>
              <w:t xml:space="preserve">e other party to the Contract. </w:t>
            </w:r>
          </w:p>
        </w:tc>
      </w:tr>
      <w:tr w:rsidR="005E3C04">
        <w:trPr>
          <w:trHeight w:val="891"/>
        </w:trPr>
        <w:tc>
          <w:tcPr>
            <w:tcW w:w="131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5.1.2 </w:t>
            </w:r>
          </w:p>
        </w:tc>
        <w:tc>
          <w:tcPr>
            <w:tcW w:w="4943"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The Contractor shall provide all CONDO in theatre support requirements and processes IAW with the specified standard. </w:t>
            </w:r>
          </w:p>
        </w:tc>
        <w:tc>
          <w:tcPr>
            <w:tcW w:w="276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DEF STAN 05-129 Section 7 </w:t>
            </w:r>
          </w:p>
        </w:tc>
      </w:tr>
      <w:tr w:rsidR="005E3C04">
        <w:trPr>
          <w:trHeight w:val="888"/>
        </w:trPr>
        <w:tc>
          <w:tcPr>
            <w:tcW w:w="131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5.1.3 </w:t>
            </w:r>
          </w:p>
        </w:tc>
        <w:tc>
          <w:tcPr>
            <w:tcW w:w="4943"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The Contractor shall provide all CONDO return from deployment requirements and processes IAW with the specified standard. </w:t>
            </w:r>
          </w:p>
        </w:tc>
        <w:tc>
          <w:tcPr>
            <w:tcW w:w="276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DEF STAN 05-129 Section 8</w:t>
            </w:r>
            <w:r>
              <w:t xml:space="preserve"> </w:t>
            </w:r>
          </w:p>
        </w:tc>
      </w:tr>
      <w:tr w:rsidR="005E3C04">
        <w:trPr>
          <w:trHeight w:val="1183"/>
        </w:trPr>
        <w:tc>
          <w:tcPr>
            <w:tcW w:w="131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5.1.4 </w:t>
            </w:r>
          </w:p>
        </w:tc>
        <w:tc>
          <w:tcPr>
            <w:tcW w:w="4943"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1" w:firstLine="0"/>
              <w:jc w:val="left"/>
            </w:pPr>
            <w:r>
              <w:t>The Contractor shall provide TCN and LRW CONDO linguists at a minimum language proficiency of Level 2, or as specified in the TOF</w:t>
            </w:r>
            <w:r>
              <w:rPr>
                <w:sz w:val="20"/>
                <w:vertAlign w:val="superscript"/>
              </w:rPr>
              <w:footnoteReference w:id="2"/>
            </w: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5E3C04" w:rsidRDefault="00546A19">
            <w:pPr>
              <w:spacing w:after="120" w:line="259" w:lineRule="auto"/>
              <w:ind w:left="0" w:right="0" w:firstLine="0"/>
              <w:jc w:val="left"/>
            </w:pPr>
            <w:r>
              <w:t>NATO STANAG 6001</w:t>
            </w:r>
            <w:r>
              <w:rPr>
                <w:vertAlign w:val="superscript"/>
              </w:rPr>
              <w:footnoteReference w:id="3"/>
            </w:r>
            <w:r>
              <w:t xml:space="preserve">. </w:t>
            </w:r>
          </w:p>
          <w:p w:rsidR="005E3C04" w:rsidRDefault="00546A19">
            <w:pPr>
              <w:spacing w:after="0" w:line="259" w:lineRule="auto"/>
              <w:ind w:left="0" w:right="0" w:firstLine="0"/>
              <w:jc w:val="left"/>
            </w:pPr>
            <w:r>
              <w:t xml:space="preserve"> </w:t>
            </w:r>
          </w:p>
        </w:tc>
      </w:tr>
      <w:tr w:rsidR="005E3C04">
        <w:trPr>
          <w:trHeight w:val="956"/>
        </w:trPr>
        <w:tc>
          <w:tcPr>
            <w:tcW w:w="131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lastRenderedPageBreak/>
              <w:t xml:space="preserve">5.1.5 </w:t>
            </w:r>
          </w:p>
        </w:tc>
        <w:tc>
          <w:tcPr>
            <w:tcW w:w="4943"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The Contractor shall provide UKN CONDO linguists at a minimum language proficiency of Level </w:t>
            </w:r>
            <w:r>
              <w:t>2, or as specified in the TOF</w:t>
            </w:r>
            <w:r>
              <w:rPr>
                <w:sz w:val="20"/>
                <w:vertAlign w:val="superscript"/>
              </w:rPr>
              <w:t>1</w:t>
            </w:r>
            <w:r>
              <w:rPr>
                <w:sz w:val="20"/>
              </w:rPr>
              <w:t>.</w:t>
            </w:r>
            <w:r>
              <w:t xml:space="preserve"> </w:t>
            </w:r>
          </w:p>
        </w:tc>
        <w:tc>
          <w:tcPr>
            <w:tcW w:w="2761"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120" w:line="259" w:lineRule="auto"/>
              <w:ind w:left="0" w:right="0" w:firstLine="0"/>
              <w:jc w:val="left"/>
            </w:pPr>
            <w:r>
              <w:t>NATO STANAG 6001</w:t>
            </w:r>
            <w:r>
              <w:rPr>
                <w:vertAlign w:val="superscript"/>
              </w:rPr>
              <w:footnoteReference w:id="4"/>
            </w:r>
            <w:r>
              <w:t xml:space="preserve">. </w:t>
            </w:r>
          </w:p>
          <w:p w:rsidR="005E3C04" w:rsidRDefault="00546A19">
            <w:pPr>
              <w:spacing w:after="0" w:line="259" w:lineRule="auto"/>
              <w:ind w:left="0" w:right="0" w:firstLine="0"/>
              <w:jc w:val="left"/>
            </w:pPr>
            <w:r>
              <w:t xml:space="preserve"> </w:t>
            </w:r>
          </w:p>
        </w:tc>
      </w:tr>
      <w:tr w:rsidR="005E3C04">
        <w:trPr>
          <w:trHeight w:val="3082"/>
        </w:trPr>
        <w:tc>
          <w:tcPr>
            <w:tcW w:w="131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5.1.6 </w:t>
            </w:r>
          </w:p>
        </w:tc>
        <w:tc>
          <w:tcPr>
            <w:tcW w:w="4943"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The Contractor shall provide and maintain Baseline Personnel Security Standard (BPSS) level security screening for UKN CONDO and the overseas equivalent of BPSS for TCN and LRW CONDO for the duration of respective deployments; and any additional informatio</w:t>
            </w:r>
            <w:r>
              <w:t xml:space="preserve">n required by the Authority to support the </w:t>
            </w:r>
            <w:r>
              <w:t xml:space="preserve">Authority’s application for Security Check (SC) </w:t>
            </w:r>
            <w:r>
              <w:t xml:space="preserve">level clearances or above. </w:t>
            </w:r>
          </w:p>
        </w:tc>
        <w:tc>
          <w:tcPr>
            <w:tcW w:w="2761" w:type="dxa"/>
            <w:tcBorders>
              <w:top w:val="single" w:sz="4" w:space="0" w:color="000000"/>
              <w:left w:val="single" w:sz="4" w:space="0" w:color="000000"/>
              <w:bottom w:val="single" w:sz="4" w:space="0" w:color="000000"/>
              <w:right w:val="single" w:sz="4" w:space="0" w:color="000000"/>
            </w:tcBorders>
            <w:vAlign w:val="bottom"/>
          </w:tcPr>
          <w:p w:rsidR="005E3C04" w:rsidRDefault="00546A19">
            <w:pPr>
              <w:spacing w:after="0" w:line="259" w:lineRule="auto"/>
              <w:ind w:left="0" w:right="0" w:firstLine="0"/>
              <w:jc w:val="left"/>
            </w:pPr>
            <w:r>
              <w:t xml:space="preserve">HMG Baseline Personnel </w:t>
            </w:r>
          </w:p>
          <w:p w:rsidR="005E3C04" w:rsidRDefault="00546A19">
            <w:pPr>
              <w:spacing w:after="125" w:line="229" w:lineRule="auto"/>
              <w:ind w:left="0" w:right="0" w:firstLine="0"/>
              <w:jc w:val="left"/>
            </w:pPr>
            <w:r>
              <w:t>Security Standard May 2018</w:t>
            </w:r>
            <w:r>
              <w:rPr>
                <w:rFonts w:ascii="Times New Roman" w:eastAsia="Times New Roman" w:hAnsi="Times New Roman" w:cs="Times New Roman"/>
                <w:sz w:val="20"/>
                <w:vertAlign w:val="superscript"/>
              </w:rPr>
              <w:footnoteReference w:id="5"/>
            </w:r>
            <w:r>
              <w:t xml:space="preserve">  </w:t>
            </w:r>
          </w:p>
          <w:p w:rsidR="005E3C04" w:rsidRDefault="00546A19">
            <w:pPr>
              <w:spacing w:after="1" w:line="241" w:lineRule="auto"/>
              <w:ind w:left="0" w:right="0" w:firstLine="0"/>
              <w:jc w:val="left"/>
            </w:pPr>
            <w:r>
              <w:rPr>
                <w:sz w:val="20"/>
              </w:rPr>
              <w:t>For the purposes of this contract references in DEF STAN 05-129 requiring Contracto</w:t>
            </w:r>
            <w:r>
              <w:rPr>
                <w:sz w:val="20"/>
              </w:rPr>
              <w:t xml:space="preserve">rs to be List X in order to be able to provide BPSS and equivalent overseas clearances do not apply. </w:t>
            </w:r>
          </w:p>
          <w:p w:rsidR="005E3C04" w:rsidRDefault="00546A19">
            <w:pPr>
              <w:spacing w:after="0" w:line="259" w:lineRule="auto"/>
              <w:ind w:left="0" w:right="0" w:firstLine="0"/>
              <w:jc w:val="left"/>
            </w:pPr>
            <w:r>
              <w:rPr>
                <w:sz w:val="20"/>
              </w:rPr>
              <w:t xml:space="preserve"> </w:t>
            </w:r>
          </w:p>
        </w:tc>
      </w:tr>
      <w:tr w:rsidR="005E3C04">
        <w:trPr>
          <w:trHeight w:val="1183"/>
        </w:trPr>
        <w:tc>
          <w:tcPr>
            <w:tcW w:w="131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5.1.8 </w:t>
            </w:r>
          </w:p>
        </w:tc>
        <w:tc>
          <w:tcPr>
            <w:tcW w:w="4943"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19" w:firstLine="0"/>
              <w:jc w:val="left"/>
            </w:pPr>
            <w:r>
              <w:t xml:space="preserve">The Contractor shall provide an ISDP in </w:t>
            </w:r>
            <w:r>
              <w:t xml:space="preserve">response to the Authority’s ISR and maintain </w:t>
            </w:r>
            <w:r>
              <w:t xml:space="preserve">the document and service throughout the life of the contract.  </w:t>
            </w:r>
          </w:p>
        </w:tc>
        <w:tc>
          <w:tcPr>
            <w:tcW w:w="2761"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rPr>
                <w:sz w:val="20"/>
              </w:rPr>
              <w:t xml:space="preserve">Call Off Schedule 20 -Appendix </w:t>
            </w:r>
          </w:p>
          <w:p w:rsidR="005E3C04" w:rsidRDefault="00546A19">
            <w:pPr>
              <w:spacing w:after="0" w:line="259" w:lineRule="auto"/>
              <w:ind w:left="0" w:right="0" w:firstLine="0"/>
              <w:jc w:val="left"/>
            </w:pPr>
            <w:r>
              <w:rPr>
                <w:sz w:val="20"/>
              </w:rPr>
              <w:t xml:space="preserve">3 - Intimidation Service Requirement. </w:t>
            </w:r>
          </w:p>
        </w:tc>
      </w:tr>
    </w:tbl>
    <w:p w:rsidR="005E3C04" w:rsidRDefault="00546A19">
      <w:pPr>
        <w:spacing w:after="0" w:line="259" w:lineRule="auto"/>
        <w:ind w:left="0" w:right="0" w:firstLine="0"/>
        <w:jc w:val="left"/>
      </w:pPr>
      <w:r>
        <w:rPr>
          <w:noProof/>
          <w:sz w:val="22"/>
        </w:rPr>
        <mc:AlternateContent>
          <mc:Choice Requires="wpg">
            <w:drawing>
              <wp:inline distT="0" distB="0" distL="0" distR="0">
                <wp:extent cx="1829054" cy="9144"/>
                <wp:effectExtent l="0" t="0" r="0" b="0"/>
                <wp:docPr id="23110" name="Group 23110"/>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7158" name="Shape 2715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110" style="width:144.02pt;height:0.720032pt;mso-position-horizontal-relative:char;mso-position-vertical-relative:line" coordsize="18290,91">
                <v:shape id="Shape 27159"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2"/>
        </w:rPr>
        <w:t xml:space="preserve"> </w:t>
      </w:r>
    </w:p>
    <w:tbl>
      <w:tblPr>
        <w:tblStyle w:val="TableGrid"/>
        <w:tblW w:w="9021" w:type="dxa"/>
        <w:tblInd w:w="5" w:type="dxa"/>
        <w:tblCellMar>
          <w:top w:w="45" w:type="dxa"/>
          <w:left w:w="108" w:type="dxa"/>
          <w:bottom w:w="0" w:type="dxa"/>
          <w:right w:w="110" w:type="dxa"/>
        </w:tblCellMar>
        <w:tblLook w:val="04A0" w:firstRow="1" w:lastRow="0" w:firstColumn="1" w:lastColumn="0" w:noHBand="0" w:noVBand="1"/>
      </w:tblPr>
      <w:tblGrid>
        <w:gridCol w:w="1318"/>
        <w:gridCol w:w="4942"/>
        <w:gridCol w:w="2761"/>
      </w:tblGrid>
      <w:tr w:rsidR="005E3C04">
        <w:trPr>
          <w:trHeight w:val="305"/>
        </w:trPr>
        <w:tc>
          <w:tcPr>
            <w:tcW w:w="131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center"/>
            </w:pPr>
            <w:r>
              <w:rPr>
                <w:b/>
              </w:rPr>
              <w:t>Ser</w:t>
            </w:r>
            <w:r>
              <w:rPr>
                <w:sz w:val="20"/>
              </w:rPr>
              <w:t xml:space="preserve"> </w:t>
            </w:r>
          </w:p>
        </w:tc>
        <w:tc>
          <w:tcPr>
            <w:tcW w:w="4943"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5" w:right="0" w:firstLine="0"/>
              <w:jc w:val="center"/>
            </w:pPr>
            <w:r>
              <w:rPr>
                <w:b/>
              </w:rPr>
              <w:t>Requirement</w:t>
            </w: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center"/>
            </w:pPr>
            <w:r>
              <w:rPr>
                <w:b/>
              </w:rPr>
              <w:t>Standard</w:t>
            </w:r>
            <w:r>
              <w:rPr>
                <w:sz w:val="20"/>
              </w:rPr>
              <w:t xml:space="preserve"> </w:t>
            </w:r>
          </w:p>
        </w:tc>
      </w:tr>
      <w:tr w:rsidR="005E3C04">
        <w:trPr>
          <w:trHeight w:val="888"/>
        </w:trPr>
        <w:tc>
          <w:tcPr>
            <w:tcW w:w="131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5.1.9 </w:t>
            </w:r>
          </w:p>
        </w:tc>
        <w:tc>
          <w:tcPr>
            <w:tcW w:w="4943"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The Contractor shall complete transition management in accordance with the Transition Plan at Appendix 5 to this document. </w:t>
            </w:r>
          </w:p>
        </w:tc>
        <w:tc>
          <w:tcPr>
            <w:tcW w:w="2761"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rPr>
                <w:sz w:val="20"/>
              </w:rPr>
              <w:t xml:space="preserve">Call Off Schedule 20- Appendix 5 - Transition Plan. </w:t>
            </w:r>
          </w:p>
        </w:tc>
      </w:tr>
      <w:tr w:rsidR="005E3C04">
        <w:trPr>
          <w:trHeight w:val="1231"/>
        </w:trPr>
        <w:tc>
          <w:tcPr>
            <w:tcW w:w="131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5.1.10 </w:t>
            </w:r>
          </w:p>
        </w:tc>
        <w:tc>
          <w:tcPr>
            <w:tcW w:w="494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The Contractor shall provide an Exit Plan no later than 12 months afte</w:t>
            </w:r>
            <w:r>
              <w:t xml:space="preserve">r the contract start date. </w:t>
            </w:r>
          </w:p>
        </w:tc>
        <w:tc>
          <w:tcPr>
            <w:tcW w:w="276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CCS RM6141 Call-Off Schedule 10 (Exit Management). For the purpose of this contract only section 4 of Schedule 10 shall apply. </w:t>
            </w:r>
          </w:p>
        </w:tc>
      </w:tr>
      <w:tr w:rsidR="005E3C04">
        <w:trPr>
          <w:trHeight w:val="1232"/>
        </w:trPr>
        <w:tc>
          <w:tcPr>
            <w:tcW w:w="131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5.1.11 </w:t>
            </w:r>
          </w:p>
        </w:tc>
        <w:tc>
          <w:tcPr>
            <w:tcW w:w="4943"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t xml:space="preserve">The Contractor shall provide clothing and equipment for REDACTED TEXT for Military Sensitive Technical Information linguists.  </w:t>
            </w:r>
          </w:p>
        </w:tc>
        <w:tc>
          <w:tcPr>
            <w:tcW w:w="276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Call Off Schedule 20 - </w:t>
            </w:r>
          </w:p>
          <w:p w:rsidR="005E3C04" w:rsidRDefault="00546A19">
            <w:pPr>
              <w:spacing w:after="0" w:line="259" w:lineRule="auto"/>
              <w:ind w:left="0" w:right="0" w:firstLine="0"/>
              <w:jc w:val="left"/>
            </w:pPr>
            <w:r>
              <w:rPr>
                <w:sz w:val="20"/>
              </w:rPr>
              <w:t xml:space="preserve">Appendix 8 </w:t>
            </w:r>
            <w:r>
              <w:rPr>
                <w:sz w:val="20"/>
              </w:rPr>
              <w:t>–</w:t>
            </w:r>
            <w:r>
              <w:rPr>
                <w:sz w:val="20"/>
              </w:rPr>
              <w:t xml:space="preserve"> REDACTED TEXT for Military Sensitive Technical Information Clothing And Equipment. </w:t>
            </w:r>
          </w:p>
        </w:tc>
      </w:tr>
    </w:tbl>
    <w:p w:rsidR="005E3C04" w:rsidRDefault="00546A19">
      <w:pPr>
        <w:spacing w:after="299" w:line="259" w:lineRule="auto"/>
        <w:ind w:left="10" w:right="12" w:hanging="10"/>
        <w:jc w:val="center"/>
      </w:pPr>
      <w:r>
        <w:rPr>
          <w:sz w:val="20"/>
        </w:rPr>
        <w:t xml:space="preserve">Table 2: The Requirement. </w:t>
      </w:r>
    </w:p>
    <w:p w:rsidR="005E3C04" w:rsidRDefault="00546A19">
      <w:pPr>
        <w:pStyle w:val="Heading1"/>
        <w:tabs>
          <w:tab w:val="center" w:pos="2174"/>
        </w:tabs>
        <w:ind w:left="-15" w:firstLine="0"/>
      </w:pPr>
      <w:r>
        <w:t>6.</w:t>
      </w:r>
      <w:r>
        <w:rPr>
          <w:rFonts w:ascii="Arial" w:eastAsia="Arial" w:hAnsi="Arial" w:cs="Arial"/>
        </w:rPr>
        <w:t xml:space="preserve"> </w:t>
      </w:r>
      <w:r>
        <w:rPr>
          <w:rFonts w:ascii="Arial" w:eastAsia="Arial" w:hAnsi="Arial" w:cs="Arial"/>
        </w:rPr>
        <w:tab/>
      </w:r>
      <w:r>
        <w:t xml:space="preserve">INCIDENT REPORTING </w:t>
      </w:r>
    </w:p>
    <w:p w:rsidR="005E3C04" w:rsidRDefault="00546A19">
      <w:pPr>
        <w:ind w:left="1287" w:right="0"/>
      </w:pPr>
      <w:r>
        <w:t>6.1</w:t>
      </w:r>
      <w:r>
        <w:rPr>
          <w:rFonts w:ascii="Arial" w:eastAsia="Arial" w:hAnsi="Arial" w:cs="Arial"/>
        </w:rPr>
        <w:t xml:space="preserve"> </w:t>
      </w:r>
      <w:r>
        <w:t>The Contractor shall ensure that the LRW &amp; UKN CONDO personnel report all incidents listed below to the DOR as soon as is practicably possible. This includes only those incidents that occur whilst dire</w:t>
      </w:r>
      <w:r>
        <w:t xml:space="preserve">ctly working for the Authority or whilst present in a MOD establishment.  </w:t>
      </w:r>
    </w:p>
    <w:p w:rsidR="005E3C04" w:rsidRDefault="00546A19">
      <w:pPr>
        <w:tabs>
          <w:tab w:val="center" w:pos="963"/>
          <w:tab w:val="center" w:pos="2666"/>
        </w:tabs>
        <w:spacing w:after="263"/>
        <w:ind w:left="0" w:right="0" w:firstLine="0"/>
        <w:jc w:val="left"/>
      </w:pPr>
      <w:r>
        <w:rPr>
          <w:sz w:val="22"/>
        </w:rPr>
        <w:lastRenderedPageBreak/>
        <w:tab/>
      </w:r>
      <w:r>
        <w:t>6.1.1</w:t>
      </w:r>
      <w:r>
        <w:rPr>
          <w:rFonts w:ascii="Arial" w:eastAsia="Arial" w:hAnsi="Arial" w:cs="Arial"/>
        </w:rPr>
        <w:t xml:space="preserve"> </w:t>
      </w:r>
      <w:r>
        <w:rPr>
          <w:rFonts w:ascii="Arial" w:eastAsia="Arial" w:hAnsi="Arial" w:cs="Arial"/>
        </w:rPr>
        <w:tab/>
      </w:r>
      <w:r>
        <w:t xml:space="preserve">Accident or Injury </w:t>
      </w:r>
    </w:p>
    <w:p w:rsidR="005E3C04" w:rsidRDefault="00546A19">
      <w:pPr>
        <w:tabs>
          <w:tab w:val="center" w:pos="963"/>
          <w:tab w:val="center" w:pos="3531"/>
        </w:tabs>
        <w:spacing w:after="352"/>
        <w:ind w:left="0" w:right="0" w:firstLine="0"/>
        <w:jc w:val="left"/>
      </w:pPr>
      <w:r>
        <w:rPr>
          <w:sz w:val="22"/>
        </w:rPr>
        <w:tab/>
      </w:r>
      <w:r>
        <w:t>6.1.2</w:t>
      </w:r>
      <w:r>
        <w:rPr>
          <w:rFonts w:ascii="Arial" w:eastAsia="Arial" w:hAnsi="Arial" w:cs="Arial"/>
        </w:rPr>
        <w:t xml:space="preserve"> </w:t>
      </w:r>
      <w:r>
        <w:rPr>
          <w:rFonts w:ascii="Arial" w:eastAsia="Arial" w:hAnsi="Arial" w:cs="Arial"/>
        </w:rPr>
        <w:tab/>
      </w:r>
      <w:r>
        <w:t xml:space="preserve">Loss of or damage to Authority GFA </w:t>
      </w:r>
    </w:p>
    <w:p w:rsidR="005E3C04" w:rsidRDefault="00546A19">
      <w:pPr>
        <w:pStyle w:val="Heading1"/>
        <w:tabs>
          <w:tab w:val="center" w:pos="3824"/>
        </w:tabs>
        <w:ind w:left="-15" w:firstLine="0"/>
      </w:pPr>
      <w:r>
        <w:t>7.</w:t>
      </w:r>
      <w:r>
        <w:rPr>
          <w:rFonts w:ascii="Arial" w:eastAsia="Arial" w:hAnsi="Arial" w:cs="Arial"/>
        </w:rPr>
        <w:t xml:space="preserve"> </w:t>
      </w:r>
      <w:r>
        <w:rPr>
          <w:rFonts w:ascii="Arial" w:eastAsia="Arial" w:hAnsi="Arial" w:cs="Arial"/>
        </w:rPr>
        <w:tab/>
      </w:r>
      <w:r>
        <w:t xml:space="preserve">GOVERNANCE AND CONTRACT MANAGEMENT </w:t>
      </w:r>
    </w:p>
    <w:p w:rsidR="005E3C04" w:rsidRDefault="00546A19">
      <w:pPr>
        <w:ind w:left="1287" w:right="0"/>
      </w:pPr>
      <w:r>
        <w:t>7.1</w:t>
      </w:r>
      <w:r>
        <w:rPr>
          <w:rFonts w:ascii="Arial" w:eastAsia="Arial" w:hAnsi="Arial" w:cs="Arial"/>
        </w:rPr>
        <w:t xml:space="preserve"> </w:t>
      </w:r>
      <w:r>
        <w:rPr>
          <w:b/>
        </w:rPr>
        <w:t>Contract Start-up Meeting</w:t>
      </w:r>
      <w:r>
        <w:t>.  The Contractor and its representative</w:t>
      </w:r>
      <w:r>
        <w:t xml:space="preserve">s shall host a Contract Start-up meeting on or before Day 7 of the contract. The meeting will be held remotely in a format to be agreed with the Authority. </w:t>
      </w:r>
    </w:p>
    <w:p w:rsidR="005E3C04" w:rsidRDefault="00546A19">
      <w:pPr>
        <w:ind w:left="1287" w:right="0"/>
      </w:pPr>
      <w:r>
        <w:t>7.2</w:t>
      </w:r>
      <w:r>
        <w:rPr>
          <w:rFonts w:ascii="Arial" w:eastAsia="Arial" w:hAnsi="Arial" w:cs="Arial"/>
        </w:rPr>
        <w:t xml:space="preserve"> </w:t>
      </w:r>
      <w:r>
        <w:rPr>
          <w:b/>
        </w:rPr>
        <w:t>Contract Transition Meeting</w:t>
      </w:r>
      <w:r>
        <w:t>.  The Contractor and its representatives shall host a Transition Me</w:t>
      </w:r>
      <w:r>
        <w:t xml:space="preserve">eting on Day 16 (or the next working day) of the contract. The meeting shall include the Authority and the outgoing supplier. The meeting shall be held remotely in a format to be agreed with the Authority. </w:t>
      </w:r>
    </w:p>
    <w:p w:rsidR="005E3C04" w:rsidRDefault="00546A19">
      <w:pPr>
        <w:tabs>
          <w:tab w:val="center" w:pos="721"/>
          <w:tab w:val="center" w:pos="3089"/>
        </w:tabs>
        <w:ind w:left="0" w:right="0" w:firstLine="0"/>
        <w:jc w:val="left"/>
      </w:pPr>
      <w:r>
        <w:rPr>
          <w:sz w:val="22"/>
        </w:rPr>
        <w:tab/>
      </w:r>
      <w:r>
        <w:t>7.3</w:t>
      </w:r>
      <w:r>
        <w:rPr>
          <w:rFonts w:ascii="Arial" w:eastAsia="Arial" w:hAnsi="Arial" w:cs="Arial"/>
        </w:rPr>
        <w:t xml:space="preserve"> </w:t>
      </w:r>
      <w:r>
        <w:rPr>
          <w:rFonts w:ascii="Arial" w:eastAsia="Arial" w:hAnsi="Arial" w:cs="Arial"/>
        </w:rPr>
        <w:tab/>
      </w:r>
      <w:r>
        <w:t xml:space="preserve">For all meetings the Contractor shall: </w:t>
      </w:r>
    </w:p>
    <w:p w:rsidR="005E3C04" w:rsidRDefault="00546A19">
      <w:pPr>
        <w:ind w:left="705" w:right="0" w:firstLine="0"/>
      </w:pPr>
      <w:r>
        <w:t>7.3.1</w:t>
      </w:r>
      <w:r>
        <w:rPr>
          <w:rFonts w:ascii="Arial" w:eastAsia="Arial" w:hAnsi="Arial" w:cs="Arial"/>
        </w:rPr>
        <w:t xml:space="preserve"> </w:t>
      </w:r>
      <w:r>
        <w:t xml:space="preserve">Update the Record of Decisions (RoDs). </w:t>
      </w:r>
    </w:p>
    <w:p w:rsidR="005E3C04" w:rsidRDefault="00546A19">
      <w:pPr>
        <w:ind w:left="705" w:right="0" w:firstLine="0"/>
      </w:pPr>
      <w:r>
        <w:t>7.3.2</w:t>
      </w:r>
      <w:r>
        <w:rPr>
          <w:rFonts w:ascii="Arial" w:eastAsia="Arial" w:hAnsi="Arial" w:cs="Arial"/>
        </w:rPr>
        <w:t xml:space="preserve"> </w:t>
      </w:r>
      <w:r>
        <w:t xml:space="preserve">Maintain and update the action log. </w:t>
      </w:r>
    </w:p>
    <w:p w:rsidR="005E3C04" w:rsidRDefault="00546A19">
      <w:pPr>
        <w:ind w:left="705" w:right="0" w:firstLine="0"/>
      </w:pPr>
      <w:r>
        <w:t>7.3.3</w:t>
      </w:r>
      <w:r>
        <w:rPr>
          <w:rFonts w:ascii="Arial" w:eastAsia="Arial" w:hAnsi="Arial" w:cs="Arial"/>
        </w:rPr>
        <w:t xml:space="preserve"> </w:t>
      </w:r>
      <w:r>
        <w:t xml:space="preserve">Maintain and update the risk register. </w:t>
      </w:r>
    </w:p>
    <w:p w:rsidR="005E3C04" w:rsidRDefault="00546A19">
      <w:pPr>
        <w:pStyle w:val="Heading2"/>
        <w:tabs>
          <w:tab w:val="center" w:pos="723"/>
          <w:tab w:val="center" w:pos="2754"/>
        </w:tabs>
        <w:ind w:left="0" w:firstLine="0"/>
      </w:pPr>
      <w:r>
        <w:rPr>
          <w:b w:val="0"/>
          <w:sz w:val="22"/>
        </w:rPr>
        <w:tab/>
      </w:r>
      <w:r>
        <w:t>7.4</w:t>
      </w:r>
      <w:r>
        <w:rPr>
          <w:rFonts w:ascii="Arial" w:eastAsia="Arial" w:hAnsi="Arial" w:cs="Arial"/>
        </w:rPr>
        <w:t xml:space="preserve"> </w:t>
      </w:r>
      <w:r>
        <w:rPr>
          <w:rFonts w:ascii="Arial" w:eastAsia="Arial" w:hAnsi="Arial" w:cs="Arial"/>
        </w:rPr>
        <w:tab/>
      </w:r>
      <w:r>
        <w:t xml:space="preserve">Monthly Performance Report </w:t>
      </w:r>
    </w:p>
    <w:p w:rsidR="005E3C04" w:rsidRDefault="00546A19">
      <w:pPr>
        <w:ind w:left="1423" w:right="0"/>
      </w:pPr>
      <w:r>
        <w:t>7.4.1</w:t>
      </w:r>
      <w:r>
        <w:rPr>
          <w:rFonts w:ascii="Arial" w:eastAsia="Arial" w:hAnsi="Arial" w:cs="Arial"/>
        </w:rPr>
        <w:t xml:space="preserve"> </w:t>
      </w:r>
      <w:r>
        <w:t>The Contractor shall provide a monthly performance report to the PCM and designated CO by the Fifth (5</w:t>
      </w:r>
      <w:r>
        <w:rPr>
          <w:vertAlign w:val="superscript"/>
        </w:rPr>
        <w:t>th</w:t>
      </w:r>
      <w:r>
        <w:t xml:space="preserve">) business day of the month. </w:t>
      </w:r>
    </w:p>
    <w:p w:rsidR="005E3C04" w:rsidRDefault="00546A19">
      <w:pPr>
        <w:ind w:left="705" w:right="0" w:firstLine="0"/>
      </w:pPr>
      <w:r>
        <w:t>7.4.2</w:t>
      </w:r>
      <w:r>
        <w:rPr>
          <w:rFonts w:ascii="Arial" w:eastAsia="Arial" w:hAnsi="Arial" w:cs="Arial"/>
        </w:rPr>
        <w:t xml:space="preserve"> </w:t>
      </w:r>
      <w:r>
        <w:t xml:space="preserve">The Monthly Performance Report shall include: </w:t>
      </w:r>
    </w:p>
    <w:p w:rsidR="005E3C04" w:rsidRDefault="00546A19">
      <w:pPr>
        <w:tabs>
          <w:tab w:val="center" w:pos="1774"/>
          <w:tab w:val="center" w:pos="5409"/>
        </w:tabs>
        <w:ind w:left="0" w:right="0" w:firstLine="0"/>
        <w:jc w:val="left"/>
      </w:pPr>
      <w:r>
        <w:rPr>
          <w:sz w:val="22"/>
        </w:rPr>
        <w:tab/>
      </w:r>
      <w:r>
        <w:t>7.4.2.1</w:t>
      </w:r>
      <w:r>
        <w:rPr>
          <w:rFonts w:ascii="Arial" w:eastAsia="Arial" w:hAnsi="Arial" w:cs="Arial"/>
        </w:rPr>
        <w:t xml:space="preserve"> </w:t>
      </w:r>
      <w:r>
        <w:rPr>
          <w:rFonts w:ascii="Arial" w:eastAsia="Arial" w:hAnsi="Arial" w:cs="Arial"/>
        </w:rPr>
        <w:tab/>
      </w:r>
      <w:r>
        <w:t>A summary of the incident reports received for that period.</w:t>
      </w:r>
      <w:r>
        <w:t xml:space="preserve">  </w:t>
      </w:r>
    </w:p>
    <w:p w:rsidR="005E3C04" w:rsidRDefault="00546A19">
      <w:pPr>
        <w:spacing w:after="267"/>
        <w:ind w:left="2518" w:right="0" w:hanging="1078"/>
      </w:pPr>
      <w:r>
        <w:t>7.4.2.2</w:t>
      </w:r>
      <w:r>
        <w:rPr>
          <w:rFonts w:ascii="Arial" w:eastAsia="Arial" w:hAnsi="Arial" w:cs="Arial"/>
        </w:rPr>
        <w:t xml:space="preserve"> </w:t>
      </w:r>
      <w:r>
        <w:t xml:space="preserve">A financial report of the service provided for the previous month, which shall include the following detail: </w:t>
      </w:r>
    </w:p>
    <w:p w:rsidR="005E3C04" w:rsidRDefault="00546A19">
      <w:pPr>
        <w:numPr>
          <w:ilvl w:val="0"/>
          <w:numId w:val="1"/>
        </w:numPr>
        <w:ind w:right="-5"/>
      </w:pPr>
      <w:r>
        <w:t>A line for each named linguist showing the name, location, the units of service delivered and cost for all activity directed in the TOF</w:t>
      </w:r>
      <w:r>
        <w:t xml:space="preserve">. </w:t>
      </w:r>
    </w:p>
    <w:p w:rsidR="005E3C04" w:rsidRDefault="00546A19">
      <w:pPr>
        <w:numPr>
          <w:ilvl w:val="0"/>
          <w:numId w:val="1"/>
        </w:numPr>
        <w:spacing w:after="147"/>
        <w:ind w:right="-5"/>
      </w:pPr>
      <w:r>
        <w:t xml:space="preserve">The Contractor’s recommended Fee recovery for the </w:t>
      </w:r>
      <w:r>
        <w:t xml:space="preserve">previous month. At month 1, it will include the fee recovery for month 1 and a forecast for the remainder of the year.   </w:t>
      </w:r>
    </w:p>
    <w:p w:rsidR="005E3C04" w:rsidRDefault="00546A19">
      <w:pPr>
        <w:spacing w:after="267"/>
        <w:ind w:left="2518" w:right="0" w:hanging="1078"/>
      </w:pPr>
      <w:r>
        <w:t>7.4.2.3</w:t>
      </w:r>
      <w:r>
        <w:rPr>
          <w:rFonts w:ascii="Arial" w:eastAsia="Arial" w:hAnsi="Arial" w:cs="Arial"/>
        </w:rPr>
        <w:t xml:space="preserve"> </w:t>
      </w:r>
      <w:r>
        <w:t>An intimidation report that includes new claims received that month and/o</w:t>
      </w:r>
      <w:r>
        <w:t xml:space="preserve">r a progress update on existing intimidation claims.   </w:t>
      </w:r>
    </w:p>
    <w:p w:rsidR="005E3C04" w:rsidRDefault="00546A19">
      <w:pPr>
        <w:tabs>
          <w:tab w:val="center" w:pos="1774"/>
          <w:tab w:val="center" w:pos="3974"/>
        </w:tabs>
        <w:spacing w:after="263"/>
        <w:ind w:left="0" w:right="0" w:firstLine="0"/>
        <w:jc w:val="left"/>
      </w:pPr>
      <w:r>
        <w:rPr>
          <w:sz w:val="22"/>
        </w:rPr>
        <w:tab/>
      </w:r>
      <w:r>
        <w:t>7.4.2.4</w:t>
      </w:r>
      <w:r>
        <w:rPr>
          <w:rFonts w:ascii="Arial" w:eastAsia="Arial" w:hAnsi="Arial" w:cs="Arial"/>
        </w:rPr>
        <w:t xml:space="preserve"> </w:t>
      </w:r>
      <w:r>
        <w:rPr>
          <w:rFonts w:ascii="Arial" w:eastAsia="Arial" w:hAnsi="Arial" w:cs="Arial"/>
        </w:rPr>
        <w:tab/>
      </w:r>
      <w:r>
        <w:t xml:space="preserve">Performance against the KPIs. </w:t>
      </w:r>
    </w:p>
    <w:p w:rsidR="005E3C04" w:rsidRDefault="00546A19">
      <w:pPr>
        <w:tabs>
          <w:tab w:val="center" w:pos="721"/>
          <w:tab w:val="center" w:pos="2861"/>
        </w:tabs>
        <w:spacing w:after="134" w:line="259" w:lineRule="auto"/>
        <w:ind w:left="0" w:right="0" w:firstLine="0"/>
        <w:jc w:val="left"/>
      </w:pPr>
      <w:r>
        <w:rPr>
          <w:sz w:val="22"/>
        </w:rPr>
        <w:tab/>
      </w:r>
      <w:r>
        <w:t>7.5</w:t>
      </w:r>
      <w:r>
        <w:rPr>
          <w:rFonts w:ascii="Arial" w:eastAsia="Arial" w:hAnsi="Arial" w:cs="Arial"/>
        </w:rPr>
        <w:t xml:space="preserve"> </w:t>
      </w:r>
      <w:r>
        <w:rPr>
          <w:rFonts w:ascii="Arial" w:eastAsia="Arial" w:hAnsi="Arial" w:cs="Arial"/>
        </w:rPr>
        <w:tab/>
      </w:r>
      <w:r>
        <w:rPr>
          <w:b/>
        </w:rPr>
        <w:t>Monthly Performance Meeting</w:t>
      </w:r>
      <w:r>
        <w:t xml:space="preserve">.   </w:t>
      </w:r>
    </w:p>
    <w:p w:rsidR="005E3C04" w:rsidRDefault="00546A19">
      <w:pPr>
        <w:numPr>
          <w:ilvl w:val="2"/>
          <w:numId w:val="3"/>
        </w:numPr>
        <w:ind w:right="0"/>
      </w:pPr>
      <w:r>
        <w:rPr>
          <w:b/>
        </w:rPr>
        <w:lastRenderedPageBreak/>
        <w:t>Aim</w:t>
      </w:r>
      <w:r>
        <w:t>. The aim of the Monthly Performance Meeting is to review and manage the service delivery in accordance with the Contr</w:t>
      </w:r>
      <w:r>
        <w:t xml:space="preserve">act.   </w:t>
      </w:r>
    </w:p>
    <w:p w:rsidR="005E3C04" w:rsidRDefault="00546A19">
      <w:pPr>
        <w:numPr>
          <w:ilvl w:val="2"/>
          <w:numId w:val="3"/>
        </w:numPr>
        <w:ind w:right="0"/>
      </w:pPr>
      <w:r>
        <w:rPr>
          <w:b/>
        </w:rPr>
        <w:t>Attendance</w:t>
      </w:r>
      <w:r>
        <w:t xml:space="preserve">.  The minimum attendance at the Monthly Performance Meeting shall be:   </w:t>
      </w:r>
    </w:p>
    <w:p w:rsidR="005E3C04" w:rsidRDefault="00546A19">
      <w:pPr>
        <w:numPr>
          <w:ilvl w:val="3"/>
          <w:numId w:val="2"/>
        </w:numPr>
        <w:spacing w:after="134" w:line="259" w:lineRule="auto"/>
        <w:ind w:right="0" w:hanging="1078"/>
        <w:jc w:val="left"/>
      </w:pPr>
      <w:r>
        <w:t>The Authority’s PCM, who shall be the Chair person.</w:t>
      </w:r>
      <w:r>
        <w:t xml:space="preserve"> </w:t>
      </w:r>
    </w:p>
    <w:p w:rsidR="005E3C04" w:rsidRDefault="00546A19">
      <w:pPr>
        <w:numPr>
          <w:ilvl w:val="3"/>
          <w:numId w:val="2"/>
        </w:numPr>
        <w:spacing w:after="134" w:line="259" w:lineRule="auto"/>
        <w:ind w:right="0" w:hanging="1078"/>
        <w:jc w:val="left"/>
      </w:pPr>
      <w:r>
        <w:t>The Authority’s designated Commercial Officer</w:t>
      </w:r>
      <w:r>
        <w:t xml:space="preserve">   </w:t>
      </w:r>
    </w:p>
    <w:p w:rsidR="005E3C04" w:rsidRDefault="00546A19">
      <w:pPr>
        <w:numPr>
          <w:ilvl w:val="3"/>
          <w:numId w:val="2"/>
        </w:numPr>
        <w:ind w:right="0" w:hanging="1078"/>
        <w:jc w:val="left"/>
      </w:pPr>
      <w:r>
        <w:t xml:space="preserve">The CCM. </w:t>
      </w:r>
    </w:p>
    <w:p w:rsidR="005E3C04" w:rsidRDefault="00546A19">
      <w:pPr>
        <w:pStyle w:val="Heading3"/>
        <w:ind w:left="730"/>
      </w:pPr>
      <w:r>
        <w:rPr>
          <w:b w:val="0"/>
        </w:rPr>
        <w:t>7.5.3</w:t>
      </w:r>
      <w:r>
        <w:rPr>
          <w:rFonts w:ascii="Arial" w:eastAsia="Arial" w:hAnsi="Arial" w:cs="Arial"/>
          <w:b w:val="0"/>
        </w:rPr>
        <w:t xml:space="preserve"> </w:t>
      </w:r>
      <w:r>
        <w:t xml:space="preserve">Optional Attendance </w:t>
      </w:r>
    </w:p>
    <w:p w:rsidR="005E3C04" w:rsidRDefault="00546A19">
      <w:pPr>
        <w:tabs>
          <w:tab w:val="center" w:pos="1774"/>
          <w:tab w:val="center" w:pos="4832"/>
        </w:tabs>
        <w:ind w:left="0" w:right="0" w:firstLine="0"/>
        <w:jc w:val="left"/>
      </w:pPr>
      <w:r>
        <w:rPr>
          <w:sz w:val="22"/>
        </w:rPr>
        <w:tab/>
      </w:r>
      <w:r>
        <w:t>7.5.3.1</w:t>
      </w:r>
      <w:r>
        <w:rPr>
          <w:rFonts w:ascii="Arial" w:eastAsia="Arial" w:hAnsi="Arial" w:cs="Arial"/>
        </w:rPr>
        <w:t xml:space="preserve"> </w:t>
      </w:r>
      <w:r>
        <w:rPr>
          <w:rFonts w:ascii="Arial" w:eastAsia="Arial" w:hAnsi="Arial" w:cs="Arial"/>
        </w:rPr>
        <w:tab/>
      </w:r>
      <w:r>
        <w:t xml:space="preserve">A representative of the Authority finance team. </w:t>
      </w:r>
    </w:p>
    <w:p w:rsidR="005E3C04" w:rsidRDefault="00546A19">
      <w:pPr>
        <w:tabs>
          <w:tab w:val="center" w:pos="1774"/>
          <w:tab w:val="center" w:pos="4896"/>
        </w:tabs>
        <w:ind w:left="0" w:right="0" w:firstLine="0"/>
        <w:jc w:val="left"/>
      </w:pPr>
      <w:r>
        <w:rPr>
          <w:sz w:val="22"/>
        </w:rPr>
        <w:tab/>
      </w:r>
      <w:r>
        <w:t>7.5.3.2</w:t>
      </w:r>
      <w:r>
        <w:rPr>
          <w:rFonts w:ascii="Arial" w:eastAsia="Arial" w:hAnsi="Arial" w:cs="Arial"/>
        </w:rPr>
        <w:t xml:space="preserve"> </w:t>
      </w:r>
      <w:r>
        <w:rPr>
          <w:rFonts w:ascii="Arial" w:eastAsia="Arial" w:hAnsi="Arial" w:cs="Arial"/>
        </w:rPr>
        <w:tab/>
      </w:r>
      <w:r>
        <w:t xml:space="preserve">A representative of the Contractor finance team. </w:t>
      </w:r>
    </w:p>
    <w:p w:rsidR="005E3C04" w:rsidRDefault="00546A19">
      <w:pPr>
        <w:tabs>
          <w:tab w:val="center" w:pos="1774"/>
          <w:tab w:val="center" w:pos="5489"/>
        </w:tabs>
        <w:ind w:left="0" w:right="0" w:firstLine="0"/>
        <w:jc w:val="left"/>
      </w:pPr>
      <w:r>
        <w:rPr>
          <w:sz w:val="22"/>
        </w:rPr>
        <w:tab/>
      </w:r>
      <w:r>
        <w:t>7.5.3.3</w:t>
      </w:r>
      <w:r>
        <w:rPr>
          <w:rFonts w:ascii="Arial" w:eastAsia="Arial" w:hAnsi="Arial" w:cs="Arial"/>
        </w:rPr>
        <w:t xml:space="preserve"> </w:t>
      </w:r>
      <w:r>
        <w:rPr>
          <w:rFonts w:ascii="Arial" w:eastAsia="Arial" w:hAnsi="Arial" w:cs="Arial"/>
        </w:rPr>
        <w:tab/>
      </w:r>
      <w:r>
        <w:t xml:space="preserve">Other representatives as agreed between the PCM and CCM. </w:t>
      </w:r>
    </w:p>
    <w:p w:rsidR="005E3C04" w:rsidRDefault="00546A19">
      <w:pPr>
        <w:ind w:left="1423" w:right="0"/>
      </w:pPr>
      <w:r>
        <w:t>7.5.4</w:t>
      </w:r>
      <w:r>
        <w:rPr>
          <w:rFonts w:ascii="Arial" w:eastAsia="Arial" w:hAnsi="Arial" w:cs="Arial"/>
        </w:rPr>
        <w:t xml:space="preserve"> </w:t>
      </w:r>
      <w:r>
        <w:rPr>
          <w:b/>
        </w:rPr>
        <w:t>Meeting Notice</w:t>
      </w:r>
      <w:r>
        <w:t>. The Contractor shall issue a calling notice no later than</w:t>
      </w:r>
      <w:r>
        <w:t xml:space="preserve"> 5 business days from the end of the previous month. </w:t>
      </w:r>
    </w:p>
    <w:p w:rsidR="005E3C04" w:rsidRDefault="00546A19">
      <w:pPr>
        <w:ind w:left="1423" w:right="0"/>
      </w:pPr>
      <w:r>
        <w:t>7.5.5</w:t>
      </w:r>
      <w:r>
        <w:rPr>
          <w:rFonts w:ascii="Arial" w:eastAsia="Arial" w:hAnsi="Arial" w:cs="Arial"/>
        </w:rPr>
        <w:t xml:space="preserve"> </w:t>
      </w:r>
      <w:r>
        <w:rPr>
          <w:b/>
        </w:rPr>
        <w:t>Meeting Timing</w:t>
      </w:r>
      <w:r>
        <w:t xml:space="preserve">. The meeting shall take place no later than 15 business days from the end of the previous month. </w:t>
      </w:r>
    </w:p>
    <w:p w:rsidR="005E3C04" w:rsidRDefault="00546A19">
      <w:pPr>
        <w:spacing w:after="10"/>
        <w:ind w:left="705" w:right="0" w:firstLine="0"/>
      </w:pPr>
      <w:r>
        <w:t>7.5.6</w:t>
      </w:r>
      <w:r>
        <w:rPr>
          <w:rFonts w:ascii="Arial" w:eastAsia="Arial" w:hAnsi="Arial" w:cs="Arial"/>
        </w:rPr>
        <w:t xml:space="preserve"> </w:t>
      </w:r>
      <w:r>
        <w:rPr>
          <w:b/>
        </w:rPr>
        <w:t>Standing Agenda</w:t>
      </w:r>
      <w:r>
        <w:t xml:space="preserve">. The Standing Agenda is detailed in the table below. </w:t>
      </w:r>
    </w:p>
    <w:tbl>
      <w:tblPr>
        <w:tblStyle w:val="TableGrid"/>
        <w:tblW w:w="8102" w:type="dxa"/>
        <w:tblInd w:w="113" w:type="dxa"/>
        <w:tblCellMar>
          <w:top w:w="53" w:type="dxa"/>
          <w:left w:w="108" w:type="dxa"/>
          <w:bottom w:w="0" w:type="dxa"/>
          <w:right w:w="115" w:type="dxa"/>
        </w:tblCellMar>
        <w:tblLook w:val="04A0" w:firstRow="1" w:lastRow="0" w:firstColumn="1" w:lastColumn="0" w:noHBand="0" w:noVBand="1"/>
      </w:tblPr>
      <w:tblGrid>
        <w:gridCol w:w="950"/>
        <w:gridCol w:w="7152"/>
      </w:tblGrid>
      <w:tr w:rsidR="005E3C04">
        <w:trPr>
          <w:trHeight w:val="1085"/>
        </w:trPr>
        <w:tc>
          <w:tcPr>
            <w:tcW w:w="950" w:type="dxa"/>
            <w:tcBorders>
              <w:top w:val="single" w:sz="4" w:space="0" w:color="000000"/>
              <w:left w:val="single" w:sz="4" w:space="0" w:color="000000"/>
              <w:bottom w:val="single" w:sz="4" w:space="0" w:color="000000"/>
              <w:right w:val="single" w:sz="4" w:space="0" w:color="000000"/>
            </w:tcBorders>
          </w:tcPr>
          <w:p w:rsidR="005E3C04" w:rsidRDefault="00546A19">
            <w:pPr>
              <w:spacing w:after="221" w:line="259" w:lineRule="auto"/>
              <w:ind w:left="5" w:right="0" w:firstLine="0"/>
              <w:jc w:val="center"/>
            </w:pPr>
            <w:r>
              <w:rPr>
                <w:b/>
              </w:rPr>
              <w:t xml:space="preserve">Item </w:t>
            </w:r>
          </w:p>
          <w:p w:rsidR="005E3C04" w:rsidRDefault="00546A19">
            <w:pPr>
              <w:spacing w:after="0" w:line="259" w:lineRule="auto"/>
              <w:ind w:left="61" w:right="0" w:firstLine="0"/>
              <w:jc w:val="center"/>
            </w:pPr>
            <w:r>
              <w:rPr>
                <w:b/>
              </w:rPr>
              <w:t xml:space="preserve"> </w:t>
            </w:r>
          </w:p>
        </w:tc>
        <w:tc>
          <w:tcPr>
            <w:tcW w:w="7151" w:type="dxa"/>
            <w:tcBorders>
              <w:top w:val="single" w:sz="4" w:space="0" w:color="000000"/>
              <w:left w:val="single" w:sz="4" w:space="0" w:color="000000"/>
              <w:bottom w:val="single" w:sz="4" w:space="0" w:color="000000"/>
              <w:right w:val="single" w:sz="4" w:space="0" w:color="000000"/>
            </w:tcBorders>
          </w:tcPr>
          <w:p w:rsidR="005E3C04" w:rsidRDefault="00546A19">
            <w:pPr>
              <w:spacing w:after="221" w:line="259" w:lineRule="auto"/>
              <w:ind w:left="8" w:right="0" w:firstLine="0"/>
              <w:jc w:val="center"/>
            </w:pPr>
            <w:r>
              <w:rPr>
                <w:b/>
              </w:rPr>
              <w:t xml:space="preserve">Subject </w:t>
            </w:r>
          </w:p>
          <w:p w:rsidR="005E3C04" w:rsidRDefault="00546A19">
            <w:pPr>
              <w:spacing w:after="0" w:line="259" w:lineRule="auto"/>
              <w:ind w:left="59" w:right="0" w:firstLine="0"/>
              <w:jc w:val="center"/>
            </w:pPr>
            <w:r>
              <w:rPr>
                <w:b/>
              </w:rPr>
              <w:t xml:space="preserve"> </w:t>
            </w:r>
          </w:p>
        </w:tc>
      </w:tr>
      <w:tr w:rsidR="005E3C04">
        <w:trPr>
          <w:trHeight w:val="547"/>
        </w:trPr>
        <w:tc>
          <w:tcPr>
            <w:tcW w:w="950"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1 </w:t>
            </w:r>
          </w:p>
        </w:tc>
        <w:tc>
          <w:tcPr>
            <w:tcW w:w="715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Introductions </w:t>
            </w:r>
          </w:p>
        </w:tc>
      </w:tr>
      <w:tr w:rsidR="005E3C04">
        <w:trPr>
          <w:trHeight w:val="547"/>
        </w:trPr>
        <w:tc>
          <w:tcPr>
            <w:tcW w:w="950"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2 </w:t>
            </w:r>
          </w:p>
        </w:tc>
        <w:tc>
          <w:tcPr>
            <w:tcW w:w="715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Review the Record of Decisions (RoDs). </w:t>
            </w:r>
          </w:p>
        </w:tc>
      </w:tr>
      <w:tr w:rsidR="005E3C04">
        <w:trPr>
          <w:trHeight w:val="548"/>
        </w:trPr>
        <w:tc>
          <w:tcPr>
            <w:tcW w:w="950"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3 </w:t>
            </w:r>
          </w:p>
        </w:tc>
        <w:tc>
          <w:tcPr>
            <w:tcW w:w="715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Review action log. </w:t>
            </w:r>
          </w:p>
        </w:tc>
      </w:tr>
      <w:tr w:rsidR="005E3C04">
        <w:trPr>
          <w:trHeight w:val="1085"/>
        </w:trPr>
        <w:tc>
          <w:tcPr>
            <w:tcW w:w="950" w:type="dxa"/>
            <w:tcBorders>
              <w:top w:val="single" w:sz="4" w:space="0" w:color="000000"/>
              <w:left w:val="single" w:sz="4" w:space="0" w:color="000000"/>
              <w:bottom w:val="single" w:sz="4" w:space="0" w:color="000000"/>
              <w:right w:val="single" w:sz="4" w:space="0" w:color="000000"/>
            </w:tcBorders>
          </w:tcPr>
          <w:p w:rsidR="005E3C04" w:rsidRDefault="00546A19">
            <w:pPr>
              <w:spacing w:after="221" w:line="259" w:lineRule="auto"/>
              <w:ind w:left="5" w:right="0" w:firstLine="0"/>
              <w:jc w:val="center"/>
            </w:pPr>
            <w:r>
              <w:rPr>
                <w:b/>
              </w:rPr>
              <w:t xml:space="preserve">Item </w:t>
            </w:r>
          </w:p>
          <w:p w:rsidR="005E3C04" w:rsidRDefault="00546A19">
            <w:pPr>
              <w:spacing w:after="0" w:line="259" w:lineRule="auto"/>
              <w:ind w:left="61" w:right="0" w:firstLine="0"/>
              <w:jc w:val="center"/>
            </w:pPr>
            <w:r>
              <w:rPr>
                <w:b/>
              </w:rPr>
              <w:t xml:space="preserve"> </w:t>
            </w:r>
          </w:p>
        </w:tc>
        <w:tc>
          <w:tcPr>
            <w:tcW w:w="7151" w:type="dxa"/>
            <w:tcBorders>
              <w:top w:val="single" w:sz="4" w:space="0" w:color="000000"/>
              <w:left w:val="single" w:sz="4" w:space="0" w:color="000000"/>
              <w:bottom w:val="single" w:sz="4" w:space="0" w:color="000000"/>
              <w:right w:val="single" w:sz="4" w:space="0" w:color="000000"/>
            </w:tcBorders>
          </w:tcPr>
          <w:p w:rsidR="005E3C04" w:rsidRDefault="00546A19">
            <w:pPr>
              <w:spacing w:after="221" w:line="259" w:lineRule="auto"/>
              <w:ind w:left="8" w:right="0" w:firstLine="0"/>
              <w:jc w:val="center"/>
            </w:pPr>
            <w:r>
              <w:rPr>
                <w:b/>
              </w:rPr>
              <w:t xml:space="preserve">Subject </w:t>
            </w:r>
          </w:p>
          <w:p w:rsidR="005E3C04" w:rsidRDefault="00546A19">
            <w:pPr>
              <w:spacing w:after="0" w:line="259" w:lineRule="auto"/>
              <w:ind w:left="59" w:right="0" w:firstLine="0"/>
              <w:jc w:val="center"/>
            </w:pPr>
            <w:r>
              <w:rPr>
                <w:b/>
              </w:rPr>
              <w:t xml:space="preserve"> </w:t>
            </w:r>
          </w:p>
        </w:tc>
      </w:tr>
      <w:tr w:rsidR="005E3C04">
        <w:trPr>
          <w:trHeight w:val="547"/>
        </w:trPr>
        <w:tc>
          <w:tcPr>
            <w:tcW w:w="950"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4 </w:t>
            </w:r>
          </w:p>
        </w:tc>
        <w:tc>
          <w:tcPr>
            <w:tcW w:w="715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Review the risk register </w:t>
            </w:r>
          </w:p>
        </w:tc>
      </w:tr>
      <w:tr w:rsidR="005E3C04">
        <w:trPr>
          <w:trHeight w:val="547"/>
        </w:trPr>
        <w:tc>
          <w:tcPr>
            <w:tcW w:w="950"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5 </w:t>
            </w:r>
          </w:p>
        </w:tc>
        <w:tc>
          <w:tcPr>
            <w:tcW w:w="715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Review the Monthly Performance Report </w:t>
            </w:r>
          </w:p>
        </w:tc>
      </w:tr>
      <w:tr w:rsidR="005E3C04">
        <w:trPr>
          <w:trHeight w:val="547"/>
        </w:trPr>
        <w:tc>
          <w:tcPr>
            <w:tcW w:w="950"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6 </w:t>
            </w:r>
          </w:p>
        </w:tc>
        <w:tc>
          <w:tcPr>
            <w:tcW w:w="715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Review the Contractors performance against the KPIs.   </w:t>
            </w:r>
          </w:p>
        </w:tc>
      </w:tr>
      <w:tr w:rsidR="005E3C04">
        <w:trPr>
          <w:trHeight w:val="545"/>
        </w:trPr>
        <w:tc>
          <w:tcPr>
            <w:tcW w:w="950"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7 </w:t>
            </w:r>
          </w:p>
        </w:tc>
        <w:tc>
          <w:tcPr>
            <w:tcW w:w="715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Agree the Contractor’s Fee recovery for that month.</w:t>
            </w:r>
            <w:r>
              <w:t xml:space="preserve"> </w:t>
            </w:r>
          </w:p>
        </w:tc>
      </w:tr>
      <w:tr w:rsidR="005E3C04">
        <w:trPr>
          <w:trHeight w:val="548"/>
        </w:trPr>
        <w:tc>
          <w:tcPr>
            <w:tcW w:w="950"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lastRenderedPageBreak/>
              <w:t xml:space="preserve">8 </w:t>
            </w:r>
          </w:p>
        </w:tc>
        <w:tc>
          <w:tcPr>
            <w:tcW w:w="715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Continuous improvement. </w:t>
            </w:r>
          </w:p>
        </w:tc>
      </w:tr>
      <w:tr w:rsidR="005E3C04">
        <w:trPr>
          <w:trHeight w:val="886"/>
        </w:trPr>
        <w:tc>
          <w:tcPr>
            <w:tcW w:w="950"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9 </w:t>
            </w:r>
          </w:p>
        </w:tc>
        <w:tc>
          <w:tcPr>
            <w:tcW w:w="715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Review any outstanding issues that have not been resolved at the Monthly Meeting and agree a mechanism to escalate them. </w:t>
            </w:r>
          </w:p>
        </w:tc>
      </w:tr>
      <w:tr w:rsidR="005E3C04">
        <w:trPr>
          <w:trHeight w:val="545"/>
        </w:trPr>
        <w:tc>
          <w:tcPr>
            <w:tcW w:w="950"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10 </w:t>
            </w:r>
          </w:p>
        </w:tc>
        <w:tc>
          <w:tcPr>
            <w:tcW w:w="715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Any other business. </w:t>
            </w:r>
          </w:p>
        </w:tc>
      </w:tr>
      <w:tr w:rsidR="005E3C04">
        <w:trPr>
          <w:trHeight w:val="550"/>
        </w:trPr>
        <w:tc>
          <w:tcPr>
            <w:tcW w:w="950"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11 </w:t>
            </w:r>
          </w:p>
        </w:tc>
        <w:tc>
          <w:tcPr>
            <w:tcW w:w="7151"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t xml:space="preserve">Agree date of the next Monthly Meeting with the Contractor. </w:t>
            </w:r>
          </w:p>
        </w:tc>
      </w:tr>
    </w:tbl>
    <w:p w:rsidR="005E3C04" w:rsidRDefault="00546A19">
      <w:pPr>
        <w:spacing w:after="229" w:line="259" w:lineRule="auto"/>
        <w:ind w:left="0" w:right="10" w:firstLine="0"/>
        <w:jc w:val="center"/>
      </w:pPr>
      <w:r>
        <w:rPr>
          <w:sz w:val="18"/>
        </w:rPr>
        <w:t xml:space="preserve">Table 3: Monthly Performance Meeting Standing Agenda. </w:t>
      </w:r>
    </w:p>
    <w:p w:rsidR="005E3C04" w:rsidRDefault="00546A19">
      <w:pPr>
        <w:spacing w:after="234"/>
        <w:ind w:left="1423" w:right="0"/>
      </w:pPr>
      <w:r>
        <w:t>7.5.7</w:t>
      </w:r>
      <w:r>
        <w:rPr>
          <w:rFonts w:ascii="Arial" w:eastAsia="Arial" w:hAnsi="Arial" w:cs="Arial"/>
        </w:rPr>
        <w:t xml:space="preserve"> </w:t>
      </w:r>
      <w:r>
        <w:rPr>
          <w:b/>
        </w:rPr>
        <w:t>Post Meeting Action</w:t>
      </w:r>
      <w:r>
        <w:t xml:space="preserve">.  The RoDs, action log and risk register shall be provided to the Authority for agreement no later than 2 business days after the meeting.  Any changes to the documents requested by the Authority shall be made within a further 5 business days. </w:t>
      </w:r>
    </w:p>
    <w:p w:rsidR="005E3C04" w:rsidRDefault="00546A19">
      <w:pPr>
        <w:pStyle w:val="Heading1"/>
        <w:tabs>
          <w:tab w:val="center" w:pos="1387"/>
        </w:tabs>
        <w:ind w:left="-15" w:firstLine="0"/>
      </w:pPr>
      <w:r>
        <w:t>8.</w:t>
      </w:r>
      <w:r>
        <w:rPr>
          <w:rFonts w:ascii="Arial" w:eastAsia="Arial" w:hAnsi="Arial" w:cs="Arial"/>
        </w:rPr>
        <w:t xml:space="preserve"> </w:t>
      </w:r>
      <w:r>
        <w:rPr>
          <w:rFonts w:ascii="Arial" w:eastAsia="Arial" w:hAnsi="Arial" w:cs="Arial"/>
        </w:rPr>
        <w:tab/>
      </w:r>
      <w:r>
        <w:t>VOLUME</w:t>
      </w:r>
      <w:r>
        <w:t xml:space="preserve">S </w:t>
      </w:r>
    </w:p>
    <w:p w:rsidR="005E3C04" w:rsidRDefault="00546A19">
      <w:pPr>
        <w:spacing w:after="235"/>
        <w:ind w:right="0"/>
      </w:pPr>
      <w:r>
        <w:t>8.1</w:t>
      </w:r>
      <w:r>
        <w:rPr>
          <w:rFonts w:ascii="Arial" w:eastAsia="Arial" w:hAnsi="Arial" w:cs="Arial"/>
        </w:rPr>
        <w:t xml:space="preserve"> </w:t>
      </w:r>
      <w:r>
        <w:t xml:space="preserve">As this is a call off contract there is no obligation on the Authority to provide any guaranteed volume of activity.  The actual volume at the time of Contract award will be issued as a TOF for each location. </w:t>
      </w:r>
    </w:p>
    <w:p w:rsidR="005E3C04" w:rsidRDefault="00546A19">
      <w:pPr>
        <w:pStyle w:val="Heading1"/>
        <w:tabs>
          <w:tab w:val="center" w:pos="2143"/>
        </w:tabs>
        <w:ind w:left="-15" w:firstLine="0"/>
      </w:pPr>
      <w:r>
        <w:t>9.</w:t>
      </w:r>
      <w:r>
        <w:rPr>
          <w:rFonts w:ascii="Arial" w:eastAsia="Arial" w:hAnsi="Arial" w:cs="Arial"/>
        </w:rPr>
        <w:t xml:space="preserve"> </w:t>
      </w:r>
      <w:r>
        <w:rPr>
          <w:rFonts w:ascii="Arial" w:eastAsia="Arial" w:hAnsi="Arial" w:cs="Arial"/>
        </w:rPr>
        <w:tab/>
      </w:r>
      <w:r>
        <w:t xml:space="preserve">PRICE AND PAYMENT </w:t>
      </w:r>
    </w:p>
    <w:p w:rsidR="005E3C04" w:rsidRDefault="00546A19">
      <w:pPr>
        <w:ind w:right="0"/>
      </w:pPr>
      <w:r>
        <w:t>9.1</w:t>
      </w:r>
      <w:r>
        <w:rPr>
          <w:rFonts w:ascii="Arial" w:eastAsia="Arial" w:hAnsi="Arial" w:cs="Arial"/>
        </w:rPr>
        <w:t xml:space="preserve"> </w:t>
      </w:r>
      <w:r>
        <w:t>The Contract</w:t>
      </w:r>
      <w:r>
        <w:t xml:space="preserve">or shall price all elements of the Requirements Table at 5.1 in Call Off Schedule 5 (Pricing Details). </w:t>
      </w:r>
    </w:p>
    <w:p w:rsidR="005E3C04" w:rsidRDefault="00546A19">
      <w:pPr>
        <w:tabs>
          <w:tab w:val="center" w:pos="4743"/>
        </w:tabs>
        <w:ind w:left="0" w:right="0" w:firstLine="0"/>
        <w:jc w:val="left"/>
      </w:pPr>
      <w:r>
        <w:t>9.2</w:t>
      </w:r>
      <w:r>
        <w:rPr>
          <w:rFonts w:ascii="Arial" w:eastAsia="Arial" w:hAnsi="Arial" w:cs="Arial"/>
        </w:rPr>
        <w:t xml:space="preserve"> </w:t>
      </w:r>
      <w:r>
        <w:rPr>
          <w:rFonts w:ascii="Arial" w:eastAsia="Arial" w:hAnsi="Arial" w:cs="Arial"/>
        </w:rPr>
        <w:tab/>
      </w:r>
      <w:r>
        <w:t xml:space="preserve">The following requirements will be paid by the TOF process detailed in Appendix 2: </w:t>
      </w:r>
    </w:p>
    <w:p w:rsidR="005E3C04" w:rsidRDefault="00546A19">
      <w:pPr>
        <w:ind w:left="1423" w:right="0"/>
      </w:pPr>
      <w:r>
        <w:t>9.2.1</w:t>
      </w:r>
      <w:r>
        <w:rPr>
          <w:rFonts w:ascii="Arial" w:eastAsia="Arial" w:hAnsi="Arial" w:cs="Arial"/>
        </w:rPr>
        <w:t xml:space="preserve"> </w:t>
      </w:r>
      <w:r>
        <w:t>SOR 5.1.  For documents that require translation that are</w:t>
      </w:r>
      <w:r>
        <w:t xml:space="preserve"> not able to be translated by existing linguists. </w:t>
      </w:r>
    </w:p>
    <w:p w:rsidR="005E3C04" w:rsidRDefault="00546A19">
      <w:pPr>
        <w:ind w:left="705" w:right="0" w:firstLine="0"/>
      </w:pPr>
      <w:r>
        <w:t>9.2.2</w:t>
      </w:r>
      <w:r>
        <w:rPr>
          <w:rFonts w:ascii="Arial" w:eastAsia="Arial" w:hAnsi="Arial" w:cs="Arial"/>
        </w:rPr>
        <w:t xml:space="preserve"> </w:t>
      </w:r>
      <w:r>
        <w:t xml:space="preserve">SOR 5.1.4. </w:t>
      </w:r>
    </w:p>
    <w:p w:rsidR="005E3C04" w:rsidRDefault="00546A19">
      <w:pPr>
        <w:ind w:left="705" w:right="0" w:firstLine="0"/>
      </w:pPr>
      <w:r>
        <w:t>9.2.3</w:t>
      </w:r>
      <w:r>
        <w:rPr>
          <w:rFonts w:ascii="Arial" w:eastAsia="Arial" w:hAnsi="Arial" w:cs="Arial"/>
        </w:rPr>
        <w:t xml:space="preserve"> </w:t>
      </w:r>
      <w:r>
        <w:t xml:space="preserve">SOR 5.1.5. </w:t>
      </w:r>
    </w:p>
    <w:p w:rsidR="005E3C04" w:rsidRDefault="00546A19">
      <w:pPr>
        <w:ind w:left="1423" w:right="0"/>
      </w:pPr>
      <w:r>
        <w:t>9.2.4</w:t>
      </w:r>
      <w:r>
        <w:rPr>
          <w:rFonts w:ascii="Arial" w:eastAsia="Arial" w:hAnsi="Arial" w:cs="Arial"/>
        </w:rPr>
        <w:t xml:space="preserve"> </w:t>
      </w:r>
      <w:r>
        <w:t xml:space="preserve">SOR 5.1.8. Limited to the cost of the recommended mitigation measures as </w:t>
      </w:r>
      <w:r>
        <w:t>agreed by the Authority’s PCM.</w:t>
      </w:r>
      <w:r>
        <w:t xml:space="preserve"> </w:t>
      </w:r>
    </w:p>
    <w:p w:rsidR="005E3C04" w:rsidRDefault="00546A19">
      <w:pPr>
        <w:ind w:left="705" w:right="0" w:firstLine="0"/>
      </w:pPr>
      <w:r>
        <w:t>9.2.5</w:t>
      </w:r>
      <w:r>
        <w:rPr>
          <w:rFonts w:ascii="Arial" w:eastAsia="Arial" w:hAnsi="Arial" w:cs="Arial"/>
        </w:rPr>
        <w:t xml:space="preserve"> </w:t>
      </w:r>
      <w:r>
        <w:t xml:space="preserve">SOR 5.1.11. </w:t>
      </w:r>
    </w:p>
    <w:p w:rsidR="005E3C04" w:rsidRDefault="00546A19">
      <w:pPr>
        <w:spacing w:after="91"/>
        <w:ind w:right="0"/>
      </w:pPr>
      <w:r>
        <w:t>9.3</w:t>
      </w:r>
      <w:r>
        <w:rPr>
          <w:rFonts w:ascii="Arial" w:eastAsia="Arial" w:hAnsi="Arial" w:cs="Arial"/>
        </w:rPr>
        <w:t xml:space="preserve"> </w:t>
      </w:r>
      <w:r>
        <w:t xml:space="preserve">All payments will be made via the Contract Purchasing and Finance (CP&amp;F) tool in accordance with DEFCON 522. </w:t>
      </w:r>
    </w:p>
    <w:p w:rsidR="005E3C04" w:rsidRDefault="00546A19">
      <w:pPr>
        <w:spacing w:after="0" w:line="259" w:lineRule="auto"/>
        <w:ind w:left="0" w:right="0" w:firstLine="0"/>
        <w:jc w:val="left"/>
      </w:pPr>
      <w:r>
        <w:rPr>
          <w:sz w:val="22"/>
        </w:rPr>
        <w:t xml:space="preserve"> </w:t>
      </w:r>
    </w:p>
    <w:p w:rsidR="005E3C04" w:rsidRDefault="005E3C04">
      <w:pPr>
        <w:sectPr w:rsidR="005E3C04">
          <w:headerReference w:type="even" r:id="rId7"/>
          <w:headerReference w:type="default" r:id="rId8"/>
          <w:footerReference w:type="even" r:id="rId9"/>
          <w:footerReference w:type="default" r:id="rId10"/>
          <w:headerReference w:type="first" r:id="rId11"/>
          <w:footerReference w:type="first" r:id="rId12"/>
          <w:pgSz w:w="11909" w:h="16834"/>
          <w:pgMar w:top="1454" w:right="1434" w:bottom="1894" w:left="1440" w:header="436" w:footer="427" w:gutter="0"/>
          <w:cols w:space="720"/>
        </w:sectPr>
      </w:pPr>
    </w:p>
    <w:p w:rsidR="005E3C04" w:rsidRDefault="00546A19">
      <w:pPr>
        <w:pStyle w:val="Heading2"/>
        <w:tabs>
          <w:tab w:val="center" w:pos="2341"/>
        </w:tabs>
        <w:ind w:left="-15" w:firstLine="0"/>
      </w:pPr>
      <w:r>
        <w:lastRenderedPageBreak/>
        <w:t>10.</w:t>
      </w:r>
      <w:r>
        <w:rPr>
          <w:rFonts w:ascii="Arial" w:eastAsia="Arial" w:hAnsi="Arial" w:cs="Arial"/>
        </w:rPr>
        <w:t xml:space="preserve"> </w:t>
      </w:r>
      <w:r>
        <w:rPr>
          <w:rFonts w:ascii="Arial" w:eastAsia="Arial" w:hAnsi="Arial" w:cs="Arial"/>
        </w:rPr>
        <w:tab/>
      </w:r>
      <w:r>
        <w:t xml:space="preserve">KEY PERFORMANCE INDICATORS </w:t>
      </w:r>
    </w:p>
    <w:p w:rsidR="005E3C04" w:rsidRDefault="00546A19">
      <w:pPr>
        <w:tabs>
          <w:tab w:val="center" w:pos="3989"/>
        </w:tabs>
        <w:spacing w:after="0" w:line="259" w:lineRule="auto"/>
        <w:ind w:left="0" w:right="0" w:firstLine="0"/>
        <w:jc w:val="left"/>
      </w:pPr>
      <w:r>
        <w:t>1</w:t>
      </w:r>
      <w:r>
        <w:t>0.1</w:t>
      </w:r>
      <w:r>
        <w:rPr>
          <w:rFonts w:ascii="Arial" w:eastAsia="Arial" w:hAnsi="Arial" w:cs="Arial"/>
        </w:rPr>
        <w:t xml:space="preserve"> </w:t>
      </w:r>
      <w:r>
        <w:rPr>
          <w:rFonts w:ascii="Arial" w:eastAsia="Arial" w:hAnsi="Arial" w:cs="Arial"/>
        </w:rPr>
        <w:tab/>
      </w:r>
      <w:r>
        <w:t>The Authority will measure the quality of the Supplier’s delivery by:</w:t>
      </w:r>
      <w:r>
        <w:t xml:space="preserve"> </w:t>
      </w:r>
    </w:p>
    <w:tbl>
      <w:tblPr>
        <w:tblStyle w:val="TableGrid"/>
        <w:tblW w:w="11618" w:type="dxa"/>
        <w:tblInd w:w="5" w:type="dxa"/>
        <w:tblCellMar>
          <w:top w:w="167" w:type="dxa"/>
          <w:left w:w="106" w:type="dxa"/>
          <w:bottom w:w="0" w:type="dxa"/>
          <w:right w:w="115" w:type="dxa"/>
        </w:tblCellMar>
        <w:tblLook w:val="04A0" w:firstRow="1" w:lastRow="0" w:firstColumn="1" w:lastColumn="0" w:noHBand="0" w:noVBand="1"/>
      </w:tblPr>
      <w:tblGrid>
        <w:gridCol w:w="3627"/>
        <w:gridCol w:w="6577"/>
        <w:gridCol w:w="1414"/>
      </w:tblGrid>
      <w:tr w:rsidR="005E3C04">
        <w:trPr>
          <w:trHeight w:val="794"/>
        </w:trPr>
        <w:tc>
          <w:tcPr>
            <w:tcW w:w="3627"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5" w:right="0" w:firstLine="0"/>
              <w:jc w:val="center"/>
            </w:pPr>
            <w:r>
              <w:rPr>
                <w:b/>
                <w:sz w:val="20"/>
              </w:rPr>
              <w:t xml:space="preserve">Statement </w:t>
            </w:r>
          </w:p>
        </w:tc>
        <w:tc>
          <w:tcPr>
            <w:tcW w:w="6577"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2" w:right="0" w:firstLine="0"/>
              <w:jc w:val="center"/>
            </w:pPr>
            <w:r>
              <w:rPr>
                <w:b/>
                <w:sz w:val="20"/>
              </w:rPr>
              <w:t xml:space="preserve">Qualitative Assessment </w:t>
            </w:r>
          </w:p>
        </w:tc>
        <w:tc>
          <w:tcPr>
            <w:tcW w:w="1414"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b/>
              </w:rPr>
              <w:t xml:space="preserve">Colour </w:t>
            </w:r>
          </w:p>
        </w:tc>
      </w:tr>
      <w:tr w:rsidR="005E3C04">
        <w:trPr>
          <w:trHeight w:val="543"/>
        </w:trPr>
        <w:tc>
          <w:tcPr>
            <w:tcW w:w="3627"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3" w:right="0" w:firstLine="0"/>
              <w:jc w:val="left"/>
            </w:pPr>
            <w:r>
              <w:rPr>
                <w:sz w:val="20"/>
              </w:rPr>
              <w:t xml:space="preserve">Good performance </w:t>
            </w:r>
          </w:p>
        </w:tc>
        <w:tc>
          <w:tcPr>
            <w:tcW w:w="6577"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rPr>
                <w:sz w:val="20"/>
              </w:rPr>
              <w:t xml:space="preserve">Performance matching the target </w:t>
            </w:r>
          </w:p>
        </w:tc>
        <w:tc>
          <w:tcPr>
            <w:tcW w:w="141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5E3C04" w:rsidRDefault="00546A19">
            <w:pPr>
              <w:spacing w:after="0" w:line="259" w:lineRule="auto"/>
              <w:ind w:left="0" w:right="0" w:firstLine="0"/>
              <w:jc w:val="left"/>
            </w:pPr>
            <w:r>
              <w:rPr>
                <w:b/>
              </w:rPr>
              <w:t xml:space="preserve"> </w:t>
            </w:r>
          </w:p>
        </w:tc>
      </w:tr>
      <w:tr w:rsidR="005E3C04">
        <w:trPr>
          <w:trHeight w:val="737"/>
        </w:trPr>
        <w:tc>
          <w:tcPr>
            <w:tcW w:w="3627"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3" w:right="0" w:firstLine="0"/>
              <w:jc w:val="left"/>
            </w:pPr>
            <w:r>
              <w:rPr>
                <w:sz w:val="20"/>
              </w:rPr>
              <w:t xml:space="preserve">Improvement required </w:t>
            </w:r>
          </w:p>
        </w:tc>
        <w:tc>
          <w:tcPr>
            <w:tcW w:w="6577"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rPr>
                <w:sz w:val="20"/>
              </w:rPr>
              <w:t xml:space="preserve">Performance variation from the requirement that is acceptable to the Authority. </w:t>
            </w:r>
          </w:p>
        </w:tc>
        <w:tc>
          <w:tcPr>
            <w:tcW w:w="1414" w:type="dxa"/>
            <w:tcBorders>
              <w:top w:val="single" w:sz="4" w:space="0" w:color="000000"/>
              <w:left w:val="single" w:sz="4" w:space="0" w:color="000000"/>
              <w:bottom w:val="single" w:sz="4" w:space="0" w:color="000000"/>
              <w:right w:val="single" w:sz="4" w:space="0" w:color="000000"/>
            </w:tcBorders>
            <w:shd w:val="clear" w:color="auto" w:fill="FFFF00"/>
          </w:tcPr>
          <w:p w:rsidR="005E3C04" w:rsidRDefault="00546A19">
            <w:pPr>
              <w:spacing w:after="0" w:line="259" w:lineRule="auto"/>
              <w:ind w:left="0" w:right="0" w:firstLine="0"/>
              <w:jc w:val="left"/>
            </w:pPr>
            <w:r>
              <w:rPr>
                <w:b/>
              </w:rPr>
              <w:t xml:space="preserve"> </w:t>
            </w:r>
          </w:p>
        </w:tc>
      </w:tr>
      <w:tr w:rsidR="005E3C04">
        <w:trPr>
          <w:trHeight w:val="738"/>
        </w:trPr>
        <w:tc>
          <w:tcPr>
            <w:tcW w:w="3627"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3" w:right="0" w:firstLine="0"/>
              <w:jc w:val="left"/>
            </w:pPr>
            <w:r>
              <w:rPr>
                <w:sz w:val="20"/>
              </w:rPr>
              <w:t xml:space="preserve">Significant improvement required </w:t>
            </w:r>
          </w:p>
        </w:tc>
        <w:tc>
          <w:tcPr>
            <w:tcW w:w="6577"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left"/>
            </w:pPr>
            <w:r>
              <w:rPr>
                <w:sz w:val="20"/>
              </w:rPr>
              <w:t xml:space="preserve">Performance variation from the requirement that is not acceptable to the Authority. </w:t>
            </w:r>
          </w:p>
        </w:tc>
        <w:tc>
          <w:tcPr>
            <w:tcW w:w="1414" w:type="dxa"/>
            <w:tcBorders>
              <w:top w:val="single" w:sz="4" w:space="0" w:color="000000"/>
              <w:left w:val="single" w:sz="4" w:space="0" w:color="000000"/>
              <w:bottom w:val="single" w:sz="4" w:space="0" w:color="000000"/>
              <w:right w:val="single" w:sz="4" w:space="0" w:color="000000"/>
            </w:tcBorders>
            <w:shd w:val="clear" w:color="auto" w:fill="FF0000"/>
          </w:tcPr>
          <w:p w:rsidR="005E3C04" w:rsidRDefault="00546A19">
            <w:pPr>
              <w:spacing w:after="0" w:line="259" w:lineRule="auto"/>
              <w:ind w:left="0" w:right="0" w:firstLine="0"/>
              <w:jc w:val="left"/>
            </w:pPr>
            <w:r>
              <w:rPr>
                <w:b/>
              </w:rPr>
              <w:t xml:space="preserve"> </w:t>
            </w:r>
          </w:p>
        </w:tc>
      </w:tr>
    </w:tbl>
    <w:p w:rsidR="005E3C04" w:rsidRDefault="00546A19">
      <w:pPr>
        <w:spacing w:after="195" w:line="259" w:lineRule="auto"/>
        <w:ind w:left="0" w:right="0" w:firstLine="0"/>
        <w:jc w:val="right"/>
      </w:pPr>
      <w:r>
        <w:rPr>
          <w:sz w:val="22"/>
        </w:rPr>
        <w:t xml:space="preserve">Table 3: Performance Indicator Assessment Table </w:t>
      </w:r>
    </w:p>
    <w:p w:rsidR="005E3C04" w:rsidRDefault="00546A19">
      <w:pPr>
        <w:pStyle w:val="Heading3"/>
        <w:tabs>
          <w:tab w:val="center" w:pos="2047"/>
        </w:tabs>
        <w:spacing w:after="77"/>
        <w:ind w:left="-15" w:firstLine="0"/>
      </w:pPr>
      <w:r>
        <w:rPr>
          <w:b w:val="0"/>
        </w:rPr>
        <w:t>10.2</w:t>
      </w:r>
      <w:r>
        <w:rPr>
          <w:rFonts w:ascii="Arial" w:eastAsia="Arial" w:hAnsi="Arial" w:cs="Arial"/>
          <w:b w:val="0"/>
        </w:rPr>
        <w:t xml:space="preserve"> </w:t>
      </w:r>
      <w:r>
        <w:rPr>
          <w:rFonts w:ascii="Arial" w:eastAsia="Arial" w:hAnsi="Arial" w:cs="Arial"/>
          <w:b w:val="0"/>
        </w:rPr>
        <w:tab/>
      </w:r>
      <w:r>
        <w:t>Performance Management</w:t>
      </w:r>
      <w:r>
        <w:rPr>
          <w:b w:val="0"/>
        </w:rPr>
        <w:t xml:space="preserve"> </w:t>
      </w:r>
    </w:p>
    <w:p w:rsidR="005E3C04" w:rsidRDefault="00546A19">
      <w:pPr>
        <w:spacing w:after="0" w:line="259" w:lineRule="auto"/>
        <w:ind w:left="0" w:right="0" w:firstLine="0"/>
        <w:jc w:val="left"/>
      </w:pPr>
      <w:r>
        <w:rPr>
          <w:sz w:val="22"/>
        </w:rPr>
        <w:t xml:space="preserve"> </w:t>
      </w:r>
    </w:p>
    <w:tbl>
      <w:tblPr>
        <w:tblStyle w:val="TableGrid"/>
        <w:tblW w:w="11902" w:type="dxa"/>
        <w:tblInd w:w="5" w:type="dxa"/>
        <w:tblCellMar>
          <w:top w:w="44" w:type="dxa"/>
          <w:left w:w="107" w:type="dxa"/>
          <w:bottom w:w="0" w:type="dxa"/>
          <w:right w:w="68" w:type="dxa"/>
        </w:tblCellMar>
        <w:tblLook w:val="04A0" w:firstRow="1" w:lastRow="0" w:firstColumn="1" w:lastColumn="0" w:noHBand="0" w:noVBand="1"/>
      </w:tblPr>
      <w:tblGrid>
        <w:gridCol w:w="1555"/>
        <w:gridCol w:w="1416"/>
        <w:gridCol w:w="2128"/>
        <w:gridCol w:w="2267"/>
        <w:gridCol w:w="2268"/>
        <w:gridCol w:w="2268"/>
      </w:tblGrid>
      <w:tr w:rsidR="005E3C04">
        <w:trPr>
          <w:trHeight w:val="979"/>
        </w:trPr>
        <w:tc>
          <w:tcPr>
            <w:tcW w:w="155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39" w:firstLine="0"/>
              <w:jc w:val="center"/>
            </w:pPr>
            <w:r>
              <w:rPr>
                <w:b/>
                <w:sz w:val="20"/>
              </w:rPr>
              <w:t>Requirement</w:t>
            </w: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38" w:firstLine="0"/>
              <w:jc w:val="center"/>
            </w:pPr>
            <w:r>
              <w:rPr>
                <w:b/>
                <w:sz w:val="20"/>
              </w:rPr>
              <w:t xml:space="preserve">Key </w:t>
            </w:r>
          </w:p>
          <w:p w:rsidR="005E3C04" w:rsidRDefault="00546A19">
            <w:pPr>
              <w:spacing w:after="0" w:line="259" w:lineRule="auto"/>
              <w:ind w:left="0" w:right="0" w:firstLine="0"/>
              <w:jc w:val="center"/>
            </w:pPr>
            <w:r>
              <w:rPr>
                <w:b/>
                <w:sz w:val="20"/>
              </w:rPr>
              <w:t>Performance Indicator</w:t>
            </w:r>
            <w:r>
              <w:rPr>
                <w:sz w:val="20"/>
              </w:rPr>
              <w:t xml:space="preserve"> </w:t>
            </w:r>
          </w:p>
        </w:tc>
        <w:tc>
          <w:tcPr>
            <w:tcW w:w="212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6" w:right="2" w:firstLine="0"/>
              <w:jc w:val="center"/>
            </w:pPr>
            <w:r>
              <w:rPr>
                <w:b/>
                <w:sz w:val="20"/>
              </w:rPr>
              <w:t>Performance Definition</w:t>
            </w:r>
            <w:r>
              <w:rPr>
                <w:sz w:val="20"/>
              </w:rPr>
              <w:t xml:space="preserve"> </w:t>
            </w:r>
          </w:p>
        </w:tc>
        <w:tc>
          <w:tcPr>
            <w:tcW w:w="2267" w:type="dxa"/>
            <w:tcBorders>
              <w:top w:val="single" w:sz="4" w:space="0" w:color="000000"/>
              <w:left w:val="single" w:sz="4" w:space="0" w:color="000000"/>
              <w:bottom w:val="single" w:sz="4" w:space="0" w:color="000000"/>
              <w:right w:val="single" w:sz="4" w:space="0" w:color="000000"/>
            </w:tcBorders>
            <w:shd w:val="clear" w:color="auto" w:fill="92D050"/>
          </w:tcPr>
          <w:p w:rsidR="005E3C04" w:rsidRDefault="00546A19">
            <w:pPr>
              <w:spacing w:after="0" w:line="259" w:lineRule="auto"/>
              <w:ind w:left="0" w:right="40" w:firstLine="0"/>
              <w:jc w:val="center"/>
            </w:pPr>
            <w:r>
              <w:rPr>
                <w:b/>
                <w:sz w:val="20"/>
              </w:rPr>
              <w:t xml:space="preserve">Good Performance </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Pr>
          <w:p w:rsidR="005E3C04" w:rsidRDefault="00546A19">
            <w:pPr>
              <w:spacing w:after="0" w:line="259" w:lineRule="auto"/>
              <w:ind w:left="56" w:right="0" w:firstLine="0"/>
              <w:jc w:val="left"/>
            </w:pPr>
            <w:r>
              <w:rPr>
                <w:b/>
                <w:sz w:val="20"/>
              </w:rPr>
              <w:t xml:space="preserve">Improvement Required </w:t>
            </w:r>
          </w:p>
        </w:tc>
        <w:tc>
          <w:tcPr>
            <w:tcW w:w="2267" w:type="dxa"/>
            <w:tcBorders>
              <w:top w:val="single" w:sz="4" w:space="0" w:color="000000"/>
              <w:left w:val="single" w:sz="4" w:space="0" w:color="000000"/>
              <w:bottom w:val="single" w:sz="4" w:space="0" w:color="000000"/>
              <w:right w:val="single" w:sz="4" w:space="0" w:color="000000"/>
            </w:tcBorders>
            <w:shd w:val="clear" w:color="auto" w:fill="FF0000"/>
          </w:tcPr>
          <w:p w:rsidR="005E3C04" w:rsidRDefault="00546A19">
            <w:pPr>
              <w:spacing w:after="0" w:line="259" w:lineRule="auto"/>
              <w:ind w:left="0" w:right="0" w:firstLine="0"/>
              <w:jc w:val="center"/>
            </w:pPr>
            <w:r>
              <w:rPr>
                <w:b/>
                <w:sz w:val="20"/>
              </w:rPr>
              <w:t xml:space="preserve">Significant Improvement Required </w:t>
            </w:r>
          </w:p>
        </w:tc>
      </w:tr>
      <w:tr w:rsidR="005E3C04">
        <w:trPr>
          <w:trHeight w:val="1228"/>
        </w:trPr>
        <w:tc>
          <w:tcPr>
            <w:tcW w:w="155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2" w:right="0" w:firstLine="0"/>
              <w:jc w:val="left"/>
            </w:pP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center"/>
            </w:pPr>
            <w:r>
              <w:rPr>
                <w:b/>
                <w:sz w:val="20"/>
              </w:rPr>
              <w:t xml:space="preserve">KPI 1 </w:t>
            </w:r>
            <w:r>
              <w:rPr>
                <w:sz w:val="20"/>
              </w:rPr>
              <w:t xml:space="preserve">Availability </w:t>
            </w:r>
          </w:p>
        </w:tc>
        <w:tc>
          <w:tcPr>
            <w:tcW w:w="8931" w:type="dxa"/>
            <w:gridSpan w:val="4"/>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KPI 1.1 &amp; 1.2 will measure compliance with the TOF Part 1 with regard to the Security Clearance and language proficiency of the proposed linguists prior to the completion of the TOF part 3 or otherwise. Acceptance of lower Security Clearance or language pr</w:t>
            </w:r>
            <w:r>
              <w:rPr>
                <w:sz w:val="20"/>
              </w:rPr>
              <w:t xml:space="preserve">oficiency level will be timebound by the Buyer and will be in accordance with Joint Schedule 10 </w:t>
            </w:r>
            <w:r>
              <w:rPr>
                <w:sz w:val="20"/>
              </w:rPr>
              <w:t>–</w:t>
            </w:r>
            <w:r>
              <w:rPr>
                <w:sz w:val="20"/>
              </w:rPr>
              <w:t xml:space="preserve"> Rectification Plan. </w:t>
            </w:r>
          </w:p>
        </w:tc>
      </w:tr>
      <w:tr w:rsidR="005E3C04">
        <w:trPr>
          <w:trHeight w:val="1231"/>
        </w:trPr>
        <w:tc>
          <w:tcPr>
            <w:tcW w:w="155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2" w:right="0" w:firstLine="0"/>
              <w:jc w:val="left"/>
            </w:pPr>
            <w:r>
              <w:rPr>
                <w:sz w:val="20"/>
              </w:rPr>
              <w:lastRenderedPageBreak/>
              <w:t xml:space="preserve">SOR 5.1.6 </w:t>
            </w:r>
          </w:p>
        </w:tc>
        <w:tc>
          <w:tcPr>
            <w:tcW w:w="1416"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102" w:line="259" w:lineRule="auto"/>
              <w:ind w:left="0" w:right="41" w:firstLine="0"/>
              <w:jc w:val="center"/>
            </w:pPr>
            <w:r>
              <w:rPr>
                <w:sz w:val="20"/>
              </w:rPr>
              <w:t xml:space="preserve">KPI 1.1 </w:t>
            </w:r>
          </w:p>
          <w:p w:rsidR="005E3C04" w:rsidRDefault="00546A19">
            <w:pPr>
              <w:spacing w:after="0" w:line="259" w:lineRule="auto"/>
              <w:ind w:left="0" w:right="40" w:firstLine="0"/>
              <w:jc w:val="center"/>
            </w:pPr>
            <w:r>
              <w:rPr>
                <w:sz w:val="20"/>
              </w:rPr>
              <w:t xml:space="preserve">Security </w:t>
            </w:r>
          </w:p>
          <w:p w:rsidR="005E3C04" w:rsidRDefault="00546A19">
            <w:pPr>
              <w:spacing w:after="0" w:line="259" w:lineRule="auto"/>
              <w:ind w:left="0" w:right="45" w:firstLine="0"/>
              <w:jc w:val="center"/>
            </w:pPr>
            <w:r>
              <w:rPr>
                <w:sz w:val="20"/>
              </w:rPr>
              <w:t xml:space="preserve">Clearances </w:t>
            </w:r>
          </w:p>
        </w:tc>
        <w:tc>
          <w:tcPr>
            <w:tcW w:w="212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Performance shall be measured by the </w:t>
            </w:r>
            <w:r>
              <w:rPr>
                <w:sz w:val="20"/>
              </w:rPr>
              <w:t xml:space="preserve">Contractor’s </w:t>
            </w:r>
            <w:r>
              <w:rPr>
                <w:sz w:val="20"/>
              </w:rPr>
              <w:t xml:space="preserve">conformance with Paragraph 5.1.6 and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The TOF part 2 details that all potential  linguists to be engaged under the contract hold the requisite Security </w:t>
            </w:r>
          </w:p>
        </w:tc>
        <w:tc>
          <w:tcPr>
            <w:tcW w:w="226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The TOF part 2 details that not all potential  linguists to be engaged under the contract hold the Security Clearance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The TOF part 2 details</w:t>
            </w:r>
            <w:r>
              <w:rPr>
                <w:sz w:val="20"/>
              </w:rPr>
              <w:t xml:space="preserve"> that the linguists to be engaged under the contract does not hold the Security Clearance </w:t>
            </w:r>
          </w:p>
        </w:tc>
      </w:tr>
    </w:tbl>
    <w:p w:rsidR="005E3C04" w:rsidRDefault="00546A19">
      <w:pPr>
        <w:spacing w:after="80" w:line="259" w:lineRule="auto"/>
        <w:ind w:left="533" w:right="0" w:hanging="10"/>
        <w:jc w:val="left"/>
      </w:pPr>
      <w:r>
        <w:rPr>
          <w:sz w:val="20"/>
        </w:rPr>
        <w:t xml:space="preserve"> of 12 </w:t>
      </w:r>
    </w:p>
    <w:tbl>
      <w:tblPr>
        <w:tblStyle w:val="TableGrid"/>
        <w:tblW w:w="11902" w:type="dxa"/>
        <w:tblInd w:w="5" w:type="dxa"/>
        <w:tblCellMar>
          <w:top w:w="46" w:type="dxa"/>
          <w:left w:w="107" w:type="dxa"/>
          <w:bottom w:w="0" w:type="dxa"/>
          <w:right w:w="64" w:type="dxa"/>
        </w:tblCellMar>
        <w:tblLook w:val="04A0" w:firstRow="1" w:lastRow="0" w:firstColumn="1" w:lastColumn="0" w:noHBand="0" w:noVBand="1"/>
      </w:tblPr>
      <w:tblGrid>
        <w:gridCol w:w="1556"/>
        <w:gridCol w:w="1416"/>
        <w:gridCol w:w="2128"/>
        <w:gridCol w:w="2267"/>
        <w:gridCol w:w="2268"/>
        <w:gridCol w:w="2267"/>
      </w:tblGrid>
      <w:tr w:rsidR="005E3C04">
        <w:trPr>
          <w:trHeight w:val="982"/>
        </w:trPr>
        <w:tc>
          <w:tcPr>
            <w:tcW w:w="155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42" w:firstLine="0"/>
              <w:jc w:val="center"/>
            </w:pPr>
            <w:r>
              <w:rPr>
                <w:b/>
                <w:sz w:val="20"/>
              </w:rPr>
              <w:t>Requirement</w:t>
            </w: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42" w:firstLine="0"/>
              <w:jc w:val="center"/>
            </w:pPr>
            <w:r>
              <w:rPr>
                <w:b/>
                <w:sz w:val="20"/>
              </w:rPr>
              <w:t xml:space="preserve">Key </w:t>
            </w:r>
          </w:p>
          <w:p w:rsidR="005E3C04" w:rsidRDefault="00546A19">
            <w:pPr>
              <w:spacing w:after="0" w:line="259" w:lineRule="auto"/>
              <w:ind w:left="0" w:right="0" w:firstLine="0"/>
              <w:jc w:val="center"/>
            </w:pPr>
            <w:r>
              <w:rPr>
                <w:b/>
                <w:sz w:val="20"/>
              </w:rPr>
              <w:t>Performance Indicator</w:t>
            </w:r>
            <w:r>
              <w:rPr>
                <w:sz w:val="20"/>
              </w:rPr>
              <w:t xml:space="preserve"> </w:t>
            </w:r>
          </w:p>
        </w:tc>
        <w:tc>
          <w:tcPr>
            <w:tcW w:w="212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6" w:right="5" w:firstLine="0"/>
              <w:jc w:val="center"/>
            </w:pPr>
            <w:r>
              <w:rPr>
                <w:b/>
                <w:sz w:val="20"/>
              </w:rPr>
              <w:t>Performance Definition</w:t>
            </w:r>
            <w:r>
              <w:rPr>
                <w:sz w:val="20"/>
              </w:rPr>
              <w:t xml:space="preserve"> </w:t>
            </w:r>
          </w:p>
        </w:tc>
        <w:tc>
          <w:tcPr>
            <w:tcW w:w="2267" w:type="dxa"/>
            <w:tcBorders>
              <w:top w:val="single" w:sz="4" w:space="0" w:color="000000"/>
              <w:left w:val="single" w:sz="4" w:space="0" w:color="000000"/>
              <w:bottom w:val="single" w:sz="4" w:space="0" w:color="000000"/>
              <w:right w:val="single" w:sz="4" w:space="0" w:color="000000"/>
            </w:tcBorders>
            <w:shd w:val="clear" w:color="auto" w:fill="92D050"/>
          </w:tcPr>
          <w:p w:rsidR="005E3C04" w:rsidRDefault="00546A19">
            <w:pPr>
              <w:spacing w:after="0" w:line="259" w:lineRule="auto"/>
              <w:ind w:left="0" w:right="44" w:firstLine="0"/>
              <w:jc w:val="center"/>
            </w:pPr>
            <w:r>
              <w:rPr>
                <w:b/>
                <w:sz w:val="20"/>
              </w:rPr>
              <w:t xml:space="preserve">Good Performance </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Pr>
          <w:p w:rsidR="005E3C04" w:rsidRDefault="00546A19">
            <w:pPr>
              <w:spacing w:after="0" w:line="259" w:lineRule="auto"/>
              <w:ind w:left="56" w:right="0" w:firstLine="0"/>
              <w:jc w:val="left"/>
            </w:pPr>
            <w:r>
              <w:rPr>
                <w:b/>
                <w:sz w:val="20"/>
              </w:rPr>
              <w:t xml:space="preserve">Improvement Required </w:t>
            </w:r>
          </w:p>
        </w:tc>
        <w:tc>
          <w:tcPr>
            <w:tcW w:w="2267" w:type="dxa"/>
            <w:tcBorders>
              <w:top w:val="single" w:sz="4" w:space="0" w:color="000000"/>
              <w:left w:val="single" w:sz="4" w:space="0" w:color="000000"/>
              <w:bottom w:val="single" w:sz="4" w:space="0" w:color="000000"/>
              <w:right w:val="single" w:sz="4" w:space="0" w:color="000000"/>
            </w:tcBorders>
            <w:shd w:val="clear" w:color="auto" w:fill="FF0000"/>
          </w:tcPr>
          <w:p w:rsidR="005E3C04" w:rsidRDefault="00546A19">
            <w:pPr>
              <w:spacing w:after="0" w:line="259" w:lineRule="auto"/>
              <w:ind w:left="0" w:right="0" w:firstLine="0"/>
              <w:jc w:val="center"/>
            </w:pPr>
            <w:r>
              <w:rPr>
                <w:b/>
                <w:sz w:val="20"/>
              </w:rPr>
              <w:t xml:space="preserve">Significant Improvement Required </w:t>
            </w:r>
          </w:p>
        </w:tc>
      </w:tr>
      <w:tr w:rsidR="005E3C04">
        <w:trPr>
          <w:trHeight w:val="1231"/>
        </w:trPr>
        <w:tc>
          <w:tcPr>
            <w:tcW w:w="1556" w:type="dxa"/>
            <w:tcBorders>
              <w:top w:val="single" w:sz="4" w:space="0" w:color="000000"/>
              <w:left w:val="single" w:sz="4" w:space="0" w:color="000000"/>
              <w:bottom w:val="single" w:sz="4" w:space="0" w:color="000000"/>
              <w:right w:val="single" w:sz="4" w:space="0" w:color="000000"/>
            </w:tcBorders>
          </w:tcPr>
          <w:p w:rsidR="005E3C04" w:rsidRDefault="005E3C04">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 </w:t>
            </w:r>
          </w:p>
        </w:tc>
        <w:tc>
          <w:tcPr>
            <w:tcW w:w="212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the relevant location specific TOF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Clearance level as specified in the TOF Part 1 </w:t>
            </w:r>
          </w:p>
        </w:tc>
        <w:tc>
          <w:tcPr>
            <w:tcW w:w="226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level as requested in the TOF Part 1 but request that the Buyer considers acceptance of a lower Security Clearance.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level as requested in the TOF Part 1 and a lower Security Clearance is not acceptable to the Buyer.  </w:t>
            </w:r>
          </w:p>
        </w:tc>
      </w:tr>
      <w:tr w:rsidR="005E3C04">
        <w:trPr>
          <w:trHeight w:val="2938"/>
        </w:trPr>
        <w:tc>
          <w:tcPr>
            <w:tcW w:w="155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2" w:right="0" w:firstLine="0"/>
              <w:jc w:val="left"/>
            </w:pPr>
            <w:r>
              <w:rPr>
                <w:sz w:val="20"/>
              </w:rPr>
              <w:t xml:space="preserve">SOR 5.1.4 and </w:t>
            </w:r>
          </w:p>
          <w:p w:rsidR="005E3C04" w:rsidRDefault="00546A19">
            <w:pPr>
              <w:spacing w:after="0" w:line="259" w:lineRule="auto"/>
              <w:ind w:left="2" w:right="0" w:firstLine="0"/>
              <w:jc w:val="left"/>
            </w:pPr>
            <w:r>
              <w:rPr>
                <w:sz w:val="20"/>
              </w:rPr>
              <w:t xml:space="preserve">5.1.5 </w:t>
            </w:r>
          </w:p>
        </w:tc>
        <w:tc>
          <w:tcPr>
            <w:tcW w:w="1416" w:type="dxa"/>
            <w:tcBorders>
              <w:top w:val="single" w:sz="4" w:space="0" w:color="000000"/>
              <w:left w:val="single" w:sz="4" w:space="0" w:color="000000"/>
              <w:bottom w:val="single" w:sz="4" w:space="0" w:color="000000"/>
              <w:right w:val="single" w:sz="4" w:space="0" w:color="000000"/>
            </w:tcBorders>
          </w:tcPr>
          <w:p w:rsidR="005E3C04" w:rsidRDefault="00546A19">
            <w:pPr>
              <w:spacing w:after="100" w:line="259" w:lineRule="auto"/>
              <w:ind w:left="0" w:right="45" w:firstLine="0"/>
              <w:jc w:val="center"/>
            </w:pPr>
            <w:r>
              <w:rPr>
                <w:sz w:val="20"/>
              </w:rPr>
              <w:t xml:space="preserve">KPI 1.2 </w:t>
            </w:r>
          </w:p>
          <w:p w:rsidR="005E3C04" w:rsidRDefault="00546A19">
            <w:pPr>
              <w:spacing w:after="0" w:line="259" w:lineRule="auto"/>
              <w:ind w:left="0" w:right="45" w:firstLine="0"/>
              <w:jc w:val="center"/>
            </w:pPr>
            <w:r>
              <w:rPr>
                <w:sz w:val="20"/>
              </w:rPr>
              <w:t xml:space="preserve">Linguistic </w:t>
            </w:r>
          </w:p>
          <w:p w:rsidR="005E3C04" w:rsidRDefault="00546A19">
            <w:pPr>
              <w:spacing w:after="0" w:line="259" w:lineRule="auto"/>
              <w:ind w:left="0" w:right="48" w:firstLine="0"/>
              <w:jc w:val="center"/>
            </w:pPr>
            <w:r>
              <w:rPr>
                <w:sz w:val="20"/>
              </w:rPr>
              <w:t xml:space="preserve">Proficiency </w:t>
            </w:r>
          </w:p>
        </w:tc>
        <w:tc>
          <w:tcPr>
            <w:tcW w:w="212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42" w:firstLine="0"/>
              <w:jc w:val="left"/>
            </w:pPr>
            <w:r>
              <w:rPr>
                <w:sz w:val="20"/>
              </w:rPr>
              <w:t xml:space="preserve">Performance shall be measured based on </w:t>
            </w:r>
            <w:r>
              <w:rPr>
                <w:sz w:val="20"/>
              </w:rPr>
              <w:t xml:space="preserve">the Contractor’s </w:t>
            </w:r>
            <w:r>
              <w:rPr>
                <w:sz w:val="20"/>
              </w:rPr>
              <w:t xml:space="preserve">fulfilment of the language proficiency levels for each TOF.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The TOF part 2 details that all potential  linguists to be engaged under the contract hold the correct language proficiency level. </w:t>
            </w:r>
          </w:p>
        </w:tc>
        <w:tc>
          <w:tcPr>
            <w:tcW w:w="226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The TOF part 2 details that not all potential  linguists to be</w:t>
            </w:r>
            <w:r>
              <w:rPr>
                <w:sz w:val="20"/>
              </w:rPr>
              <w:t xml:space="preserve"> engaged under the contract hold the language proficiency level as requested in the TOF Part 1 but request that the Buyer considers acceptance of a lower language proficiency level.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The TOF part 2 details that not all potential  linguists to be engaged u</w:t>
            </w:r>
            <w:r>
              <w:rPr>
                <w:sz w:val="20"/>
              </w:rPr>
              <w:t xml:space="preserve">nder the contract hold the language proficiency level as requested in the TOF Part 1 and the proposed language proficiency level is not acceptable to the Buyer. </w:t>
            </w:r>
          </w:p>
        </w:tc>
      </w:tr>
      <w:tr w:rsidR="005E3C04">
        <w:trPr>
          <w:trHeight w:val="2204"/>
        </w:trPr>
        <w:tc>
          <w:tcPr>
            <w:tcW w:w="155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44" w:firstLine="0"/>
              <w:jc w:val="center"/>
            </w:pPr>
            <w:r>
              <w:rPr>
                <w:sz w:val="20"/>
              </w:rPr>
              <w:lastRenderedPageBreak/>
              <w:t xml:space="preserve">SOR 5.1.2 </w:t>
            </w:r>
          </w:p>
        </w:tc>
        <w:tc>
          <w:tcPr>
            <w:tcW w:w="1416" w:type="dxa"/>
            <w:tcBorders>
              <w:top w:val="single" w:sz="4" w:space="0" w:color="000000"/>
              <w:left w:val="single" w:sz="4" w:space="0" w:color="000000"/>
              <w:bottom w:val="single" w:sz="4" w:space="0" w:color="000000"/>
              <w:right w:val="single" w:sz="4" w:space="0" w:color="000000"/>
            </w:tcBorders>
          </w:tcPr>
          <w:p w:rsidR="005E3C04" w:rsidRDefault="00546A19">
            <w:pPr>
              <w:spacing w:after="100" w:line="259" w:lineRule="auto"/>
              <w:ind w:left="0" w:right="45" w:firstLine="0"/>
              <w:jc w:val="center"/>
            </w:pPr>
            <w:r>
              <w:rPr>
                <w:sz w:val="20"/>
              </w:rPr>
              <w:t xml:space="preserve">KPI 1.3 </w:t>
            </w:r>
          </w:p>
          <w:p w:rsidR="005E3C04" w:rsidRDefault="00546A19">
            <w:pPr>
              <w:spacing w:after="0" w:line="259" w:lineRule="auto"/>
              <w:ind w:left="0" w:right="46" w:firstLine="0"/>
              <w:jc w:val="center"/>
            </w:pPr>
            <w:r>
              <w:rPr>
                <w:sz w:val="20"/>
              </w:rPr>
              <w:t xml:space="preserve">Linguist </w:t>
            </w:r>
          </w:p>
          <w:p w:rsidR="005E3C04" w:rsidRDefault="00546A19">
            <w:pPr>
              <w:spacing w:after="0" w:line="259" w:lineRule="auto"/>
              <w:ind w:left="0" w:right="47" w:firstLine="0"/>
              <w:jc w:val="center"/>
            </w:pPr>
            <w:r>
              <w:rPr>
                <w:sz w:val="20"/>
              </w:rPr>
              <w:t xml:space="preserve">Availability </w:t>
            </w:r>
          </w:p>
        </w:tc>
        <w:tc>
          <w:tcPr>
            <w:tcW w:w="2128" w:type="dxa"/>
            <w:tcBorders>
              <w:top w:val="single" w:sz="4" w:space="0" w:color="000000"/>
              <w:left w:val="single" w:sz="4" w:space="0" w:color="000000"/>
              <w:bottom w:val="single" w:sz="4" w:space="0" w:color="000000"/>
              <w:right w:val="single" w:sz="4" w:space="0" w:color="000000"/>
            </w:tcBorders>
          </w:tcPr>
          <w:p w:rsidR="005E3C04" w:rsidRDefault="00546A19">
            <w:pPr>
              <w:spacing w:after="2" w:line="240" w:lineRule="auto"/>
              <w:ind w:left="1" w:right="0" w:firstLine="0"/>
              <w:jc w:val="left"/>
            </w:pPr>
            <w:r>
              <w:rPr>
                <w:sz w:val="20"/>
              </w:rPr>
              <w:t xml:space="preserve">Performance shall be measured according to linguist availability to perform the tasks specified in the TOF. </w:t>
            </w:r>
          </w:p>
          <w:p w:rsidR="005E3C04" w:rsidRDefault="00546A19">
            <w:pPr>
              <w:spacing w:after="0" w:line="259" w:lineRule="auto"/>
              <w:ind w:left="1" w:right="0" w:firstLine="0"/>
              <w:jc w:val="left"/>
            </w:pPr>
            <w:r>
              <w:rPr>
                <w:sz w:val="20"/>
              </w:rPr>
              <w:t xml:space="preserve">Measurement will be </w:t>
            </w:r>
          </w:p>
          <w:p w:rsidR="005E3C04" w:rsidRDefault="00546A19">
            <w:pPr>
              <w:spacing w:after="0" w:line="259" w:lineRule="auto"/>
              <w:ind w:left="1" w:right="0" w:firstLine="0"/>
              <w:jc w:val="left"/>
            </w:pPr>
            <w:r>
              <w:rPr>
                <w:sz w:val="20"/>
              </w:rPr>
              <w:t xml:space="preserve">across all TOF combined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100 - 90% availability of linguists able to perform the tasks stated in each TOF.  </w:t>
            </w:r>
          </w:p>
        </w:tc>
        <w:tc>
          <w:tcPr>
            <w:tcW w:w="226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89 </w:t>
            </w:r>
            <w:r>
              <w:rPr>
                <w:sz w:val="20"/>
              </w:rPr>
              <w:t>–</w:t>
            </w:r>
            <w:r>
              <w:rPr>
                <w:sz w:val="20"/>
              </w:rPr>
              <w:t xml:space="preserve"> 80% availabi</w:t>
            </w:r>
            <w:r>
              <w:rPr>
                <w:sz w:val="20"/>
              </w:rPr>
              <w:t xml:space="preserve">lity of linguists able to perform the tasks stated in each TOF.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32" w:firstLine="0"/>
              <w:jc w:val="left"/>
            </w:pPr>
            <w:r>
              <w:rPr>
                <w:sz w:val="20"/>
              </w:rPr>
              <w:t xml:space="preserve">Less than 80% availability of linguists able to perform the tasks stated in each TOF. </w:t>
            </w:r>
          </w:p>
        </w:tc>
      </w:tr>
      <w:tr w:rsidR="005E3C04">
        <w:trPr>
          <w:trHeight w:val="737"/>
        </w:trPr>
        <w:tc>
          <w:tcPr>
            <w:tcW w:w="155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3" w:right="0" w:firstLine="0"/>
              <w:jc w:val="center"/>
            </w:pP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center"/>
            </w:pPr>
            <w:r>
              <w:rPr>
                <w:b/>
                <w:sz w:val="20"/>
              </w:rPr>
              <w:t xml:space="preserve">KPI 2 Reporting </w:t>
            </w:r>
          </w:p>
        </w:tc>
        <w:tc>
          <w:tcPr>
            <w:tcW w:w="212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 </w:t>
            </w:r>
          </w:p>
        </w:tc>
      </w:tr>
    </w:tbl>
    <w:p w:rsidR="005E3C04" w:rsidRDefault="00546A19">
      <w:pPr>
        <w:spacing w:after="80" w:line="259" w:lineRule="auto"/>
        <w:ind w:left="533" w:right="0" w:hanging="10"/>
        <w:jc w:val="left"/>
      </w:pPr>
      <w:r>
        <w:rPr>
          <w:sz w:val="20"/>
        </w:rPr>
        <w:t xml:space="preserve"> of 12 </w:t>
      </w:r>
    </w:p>
    <w:tbl>
      <w:tblPr>
        <w:tblStyle w:val="TableGrid"/>
        <w:tblW w:w="11902" w:type="dxa"/>
        <w:tblInd w:w="5" w:type="dxa"/>
        <w:tblCellMar>
          <w:top w:w="46" w:type="dxa"/>
          <w:left w:w="107" w:type="dxa"/>
          <w:bottom w:w="0" w:type="dxa"/>
          <w:right w:w="68" w:type="dxa"/>
        </w:tblCellMar>
        <w:tblLook w:val="04A0" w:firstRow="1" w:lastRow="0" w:firstColumn="1" w:lastColumn="0" w:noHBand="0" w:noVBand="1"/>
      </w:tblPr>
      <w:tblGrid>
        <w:gridCol w:w="1556"/>
        <w:gridCol w:w="1416"/>
        <w:gridCol w:w="2128"/>
        <w:gridCol w:w="2267"/>
        <w:gridCol w:w="2268"/>
        <w:gridCol w:w="2267"/>
      </w:tblGrid>
      <w:tr w:rsidR="005E3C04">
        <w:trPr>
          <w:trHeight w:val="982"/>
        </w:trPr>
        <w:tc>
          <w:tcPr>
            <w:tcW w:w="155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39" w:firstLine="0"/>
              <w:jc w:val="center"/>
            </w:pPr>
            <w:r>
              <w:rPr>
                <w:b/>
                <w:sz w:val="20"/>
              </w:rPr>
              <w:t>Requirement</w:t>
            </w: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38" w:firstLine="0"/>
              <w:jc w:val="center"/>
            </w:pPr>
            <w:r>
              <w:rPr>
                <w:b/>
                <w:sz w:val="20"/>
              </w:rPr>
              <w:t xml:space="preserve">Key </w:t>
            </w:r>
          </w:p>
          <w:p w:rsidR="005E3C04" w:rsidRDefault="00546A19">
            <w:pPr>
              <w:spacing w:after="0" w:line="259" w:lineRule="auto"/>
              <w:ind w:left="0" w:right="0" w:firstLine="0"/>
              <w:jc w:val="center"/>
            </w:pPr>
            <w:r>
              <w:rPr>
                <w:b/>
                <w:sz w:val="20"/>
              </w:rPr>
              <w:t>Performance Indicator</w:t>
            </w:r>
            <w:r>
              <w:rPr>
                <w:sz w:val="20"/>
              </w:rPr>
              <w:t xml:space="preserve"> </w:t>
            </w:r>
          </w:p>
        </w:tc>
        <w:tc>
          <w:tcPr>
            <w:tcW w:w="212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6" w:right="2" w:firstLine="0"/>
              <w:jc w:val="center"/>
            </w:pPr>
            <w:r>
              <w:rPr>
                <w:b/>
                <w:sz w:val="20"/>
              </w:rPr>
              <w:t>Performance Definition</w:t>
            </w:r>
            <w:r>
              <w:rPr>
                <w:sz w:val="20"/>
              </w:rPr>
              <w:t xml:space="preserve"> </w:t>
            </w:r>
          </w:p>
        </w:tc>
        <w:tc>
          <w:tcPr>
            <w:tcW w:w="2267" w:type="dxa"/>
            <w:tcBorders>
              <w:top w:val="single" w:sz="4" w:space="0" w:color="000000"/>
              <w:left w:val="single" w:sz="4" w:space="0" w:color="000000"/>
              <w:bottom w:val="single" w:sz="4" w:space="0" w:color="000000"/>
              <w:right w:val="single" w:sz="4" w:space="0" w:color="000000"/>
            </w:tcBorders>
            <w:shd w:val="clear" w:color="auto" w:fill="92D050"/>
          </w:tcPr>
          <w:p w:rsidR="005E3C04" w:rsidRDefault="00546A19">
            <w:pPr>
              <w:spacing w:after="0" w:line="259" w:lineRule="auto"/>
              <w:ind w:left="0" w:right="40" w:firstLine="0"/>
              <w:jc w:val="center"/>
            </w:pPr>
            <w:r>
              <w:rPr>
                <w:b/>
                <w:sz w:val="20"/>
              </w:rPr>
              <w:t xml:space="preserve">Good Performance </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Pr>
          <w:p w:rsidR="005E3C04" w:rsidRDefault="00546A19">
            <w:pPr>
              <w:spacing w:after="0" w:line="259" w:lineRule="auto"/>
              <w:ind w:left="56" w:right="0" w:firstLine="0"/>
              <w:jc w:val="left"/>
            </w:pPr>
            <w:r>
              <w:rPr>
                <w:b/>
                <w:sz w:val="20"/>
              </w:rPr>
              <w:t xml:space="preserve">Improvement Required </w:t>
            </w:r>
          </w:p>
        </w:tc>
        <w:tc>
          <w:tcPr>
            <w:tcW w:w="2267" w:type="dxa"/>
            <w:tcBorders>
              <w:top w:val="single" w:sz="4" w:space="0" w:color="000000"/>
              <w:left w:val="single" w:sz="4" w:space="0" w:color="000000"/>
              <w:bottom w:val="single" w:sz="4" w:space="0" w:color="000000"/>
              <w:right w:val="single" w:sz="4" w:space="0" w:color="000000"/>
            </w:tcBorders>
            <w:shd w:val="clear" w:color="auto" w:fill="FF0000"/>
          </w:tcPr>
          <w:p w:rsidR="005E3C04" w:rsidRDefault="00546A19">
            <w:pPr>
              <w:spacing w:after="0" w:line="259" w:lineRule="auto"/>
              <w:ind w:left="0" w:right="0" w:firstLine="0"/>
              <w:jc w:val="center"/>
            </w:pPr>
            <w:r>
              <w:rPr>
                <w:b/>
                <w:sz w:val="20"/>
              </w:rPr>
              <w:t xml:space="preserve">Significant Improvement Required </w:t>
            </w:r>
          </w:p>
        </w:tc>
      </w:tr>
      <w:tr w:rsidR="005E3C04">
        <w:trPr>
          <w:trHeight w:val="1471"/>
        </w:trPr>
        <w:tc>
          <w:tcPr>
            <w:tcW w:w="1556" w:type="dxa"/>
            <w:tcBorders>
              <w:top w:val="single" w:sz="4" w:space="0" w:color="000000"/>
              <w:left w:val="single" w:sz="4" w:space="0" w:color="000000"/>
              <w:bottom w:val="single" w:sz="4" w:space="0" w:color="000000"/>
              <w:right w:val="single" w:sz="4" w:space="0" w:color="000000"/>
            </w:tcBorders>
          </w:tcPr>
          <w:p w:rsidR="005E3C04" w:rsidRDefault="00546A19">
            <w:pPr>
              <w:spacing w:after="102" w:line="259" w:lineRule="auto"/>
              <w:ind w:left="0" w:right="43" w:firstLine="0"/>
              <w:jc w:val="center"/>
            </w:pPr>
            <w:r>
              <w:rPr>
                <w:sz w:val="20"/>
              </w:rPr>
              <w:t xml:space="preserve">SOR </w:t>
            </w:r>
          </w:p>
          <w:p w:rsidR="005E3C04" w:rsidRDefault="00546A19">
            <w:pPr>
              <w:spacing w:after="0" w:line="259" w:lineRule="auto"/>
              <w:ind w:left="0" w:right="41" w:firstLine="0"/>
              <w:jc w:val="center"/>
            </w:pPr>
            <w:r>
              <w:rPr>
                <w:sz w:val="20"/>
              </w:rPr>
              <w:t xml:space="preserve">7.2 </w:t>
            </w:r>
          </w:p>
        </w:tc>
        <w:tc>
          <w:tcPr>
            <w:tcW w:w="1416" w:type="dxa"/>
            <w:tcBorders>
              <w:top w:val="single" w:sz="4" w:space="0" w:color="000000"/>
              <w:left w:val="single" w:sz="4" w:space="0" w:color="000000"/>
              <w:bottom w:val="single" w:sz="4" w:space="0" w:color="000000"/>
              <w:right w:val="single" w:sz="4" w:space="0" w:color="000000"/>
            </w:tcBorders>
          </w:tcPr>
          <w:p w:rsidR="005E3C04" w:rsidRDefault="00546A19">
            <w:pPr>
              <w:spacing w:after="100" w:line="259" w:lineRule="auto"/>
              <w:ind w:left="0" w:right="44" w:firstLine="0"/>
              <w:jc w:val="center"/>
            </w:pPr>
            <w:r>
              <w:rPr>
                <w:sz w:val="20"/>
              </w:rPr>
              <w:t xml:space="preserve">KP 2.1 </w:t>
            </w:r>
          </w:p>
          <w:p w:rsidR="005E3C04" w:rsidRDefault="00546A19">
            <w:pPr>
              <w:spacing w:after="0" w:line="259" w:lineRule="auto"/>
              <w:ind w:left="0" w:right="40" w:firstLine="0"/>
              <w:jc w:val="center"/>
            </w:pPr>
            <w:r>
              <w:rPr>
                <w:sz w:val="20"/>
              </w:rPr>
              <w:t xml:space="preserve">Monthly </w:t>
            </w:r>
          </w:p>
          <w:p w:rsidR="005E3C04" w:rsidRDefault="00546A19">
            <w:pPr>
              <w:spacing w:after="0" w:line="259" w:lineRule="auto"/>
              <w:ind w:left="0" w:right="42" w:firstLine="0"/>
              <w:jc w:val="center"/>
            </w:pPr>
            <w:r>
              <w:rPr>
                <w:sz w:val="20"/>
              </w:rPr>
              <w:t xml:space="preserve">Reporting </w:t>
            </w:r>
          </w:p>
        </w:tc>
        <w:tc>
          <w:tcPr>
            <w:tcW w:w="212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Performance shall be measured on the submission of the monthly report on time.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Updated Report received on time. </w:t>
            </w:r>
          </w:p>
        </w:tc>
        <w:tc>
          <w:tcPr>
            <w:tcW w:w="226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Updated report received 2 business days after the due date.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Updated report received more than 2 business days after the due date. </w:t>
            </w:r>
          </w:p>
        </w:tc>
      </w:tr>
      <w:tr w:rsidR="005E3C04">
        <w:trPr>
          <w:trHeight w:val="859"/>
        </w:trPr>
        <w:tc>
          <w:tcPr>
            <w:tcW w:w="155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2" w:right="0" w:firstLine="0"/>
              <w:jc w:val="left"/>
            </w:pP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0" w:firstLine="0"/>
              <w:jc w:val="center"/>
            </w:pPr>
            <w:r>
              <w:rPr>
                <w:b/>
                <w:sz w:val="20"/>
              </w:rPr>
              <w:t>KPI 3 Intimidation</w:t>
            </w:r>
            <w:r>
              <w:rPr>
                <w:sz w:val="20"/>
              </w:rPr>
              <w:t xml:space="preserve"> </w:t>
            </w:r>
          </w:p>
        </w:tc>
        <w:tc>
          <w:tcPr>
            <w:tcW w:w="212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 </w:t>
            </w:r>
          </w:p>
        </w:tc>
      </w:tr>
      <w:tr w:rsidR="005E3C04">
        <w:trPr>
          <w:trHeight w:val="1716"/>
        </w:trPr>
        <w:tc>
          <w:tcPr>
            <w:tcW w:w="1556"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0" w:right="37" w:firstLine="0"/>
              <w:jc w:val="center"/>
            </w:pPr>
            <w:r>
              <w:rPr>
                <w:sz w:val="20"/>
              </w:rPr>
              <w:lastRenderedPageBreak/>
              <w:t xml:space="preserve">Call Off </w:t>
            </w:r>
          </w:p>
          <w:p w:rsidR="005E3C04" w:rsidRDefault="00546A19">
            <w:pPr>
              <w:spacing w:after="0" w:line="259" w:lineRule="auto"/>
              <w:ind w:left="0" w:right="38" w:firstLine="0"/>
              <w:jc w:val="center"/>
            </w:pPr>
            <w:r>
              <w:rPr>
                <w:sz w:val="20"/>
              </w:rPr>
              <w:t xml:space="preserve">Schedule 20 </w:t>
            </w:r>
            <w:r>
              <w:rPr>
                <w:sz w:val="20"/>
              </w:rPr>
              <w:t>–</w:t>
            </w:r>
            <w:r>
              <w:rPr>
                <w:sz w:val="20"/>
              </w:rPr>
              <w:t xml:space="preserve"> </w:t>
            </w:r>
          </w:p>
          <w:p w:rsidR="005E3C04" w:rsidRDefault="00546A19">
            <w:pPr>
              <w:spacing w:after="0" w:line="259" w:lineRule="auto"/>
              <w:ind w:left="0" w:right="40" w:firstLine="0"/>
              <w:jc w:val="center"/>
            </w:pPr>
            <w:r>
              <w:rPr>
                <w:sz w:val="20"/>
              </w:rPr>
              <w:t xml:space="preserve">Appendix 3 - </w:t>
            </w:r>
          </w:p>
          <w:p w:rsidR="005E3C04" w:rsidRDefault="00546A19">
            <w:pPr>
              <w:spacing w:after="0" w:line="259" w:lineRule="auto"/>
              <w:ind w:left="0" w:right="41" w:firstLine="0"/>
              <w:jc w:val="center"/>
            </w:pPr>
            <w:r>
              <w:rPr>
                <w:sz w:val="20"/>
              </w:rPr>
              <w:t xml:space="preserve">Intimidation </w:t>
            </w:r>
          </w:p>
          <w:p w:rsidR="005E3C04" w:rsidRDefault="00546A19">
            <w:pPr>
              <w:spacing w:after="0" w:line="259" w:lineRule="auto"/>
              <w:ind w:left="0" w:right="40" w:firstLine="0"/>
              <w:jc w:val="center"/>
            </w:pPr>
            <w:r>
              <w:rPr>
                <w:sz w:val="20"/>
              </w:rPr>
              <w:t xml:space="preserve">Service </w:t>
            </w:r>
          </w:p>
          <w:p w:rsidR="005E3C04" w:rsidRDefault="00546A19">
            <w:pPr>
              <w:spacing w:after="0" w:line="259" w:lineRule="auto"/>
              <w:ind w:left="0" w:right="42" w:firstLine="0"/>
              <w:jc w:val="center"/>
            </w:pPr>
            <w:r>
              <w:rPr>
                <w:sz w:val="20"/>
              </w:rPr>
              <w:t xml:space="preserve">Requirement </w:t>
            </w:r>
          </w:p>
        </w:tc>
        <w:tc>
          <w:tcPr>
            <w:tcW w:w="1416" w:type="dxa"/>
            <w:tcBorders>
              <w:top w:val="single" w:sz="4" w:space="0" w:color="000000"/>
              <w:left w:val="single" w:sz="4" w:space="0" w:color="000000"/>
              <w:bottom w:val="single" w:sz="4" w:space="0" w:color="000000"/>
              <w:right w:val="single" w:sz="4" w:space="0" w:color="000000"/>
            </w:tcBorders>
          </w:tcPr>
          <w:p w:rsidR="005E3C04" w:rsidRDefault="00546A19">
            <w:pPr>
              <w:spacing w:after="102" w:line="259" w:lineRule="auto"/>
              <w:ind w:left="0" w:right="41" w:firstLine="0"/>
              <w:jc w:val="center"/>
            </w:pPr>
            <w:r>
              <w:rPr>
                <w:sz w:val="20"/>
              </w:rPr>
              <w:t xml:space="preserve">KPI 3.1 </w:t>
            </w:r>
          </w:p>
          <w:p w:rsidR="005E3C04" w:rsidRDefault="00546A19">
            <w:pPr>
              <w:spacing w:after="0" w:line="259" w:lineRule="auto"/>
              <w:ind w:left="0" w:right="0" w:firstLine="0"/>
              <w:jc w:val="center"/>
            </w:pPr>
            <w:r>
              <w:rPr>
                <w:sz w:val="20"/>
              </w:rPr>
              <w:t xml:space="preserve">Intimidation Claims  </w:t>
            </w:r>
          </w:p>
        </w:tc>
        <w:tc>
          <w:tcPr>
            <w:tcW w:w="212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Performance shall be measured against the standards set in the ISR document for assessing, investigating and reporting claims.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REDACTED TEXT for </w:t>
            </w:r>
          </w:p>
          <w:p w:rsidR="005E3C04" w:rsidRDefault="00546A19">
            <w:pPr>
              <w:spacing w:after="0" w:line="259" w:lineRule="auto"/>
              <w:ind w:left="0" w:right="102" w:firstLine="0"/>
            </w:pPr>
            <w:r>
              <w:rPr>
                <w:sz w:val="20"/>
              </w:rPr>
              <w:t xml:space="preserve">Military Sensitive Technical Information of the receipt of the claim. </w:t>
            </w:r>
          </w:p>
        </w:tc>
        <w:tc>
          <w:tcPr>
            <w:tcW w:w="226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REDACTED TEXT for </w:t>
            </w:r>
          </w:p>
          <w:p w:rsidR="005E3C04" w:rsidRDefault="00546A19">
            <w:pPr>
              <w:spacing w:after="0" w:line="259" w:lineRule="auto"/>
              <w:ind w:left="1" w:right="102" w:firstLine="0"/>
            </w:pPr>
            <w:r>
              <w:rPr>
                <w:sz w:val="20"/>
              </w:rPr>
              <w:t xml:space="preserve">Military Sensitive Technical Information of the receipt of the claim.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REDACTED TEXT for </w:t>
            </w:r>
          </w:p>
          <w:p w:rsidR="005E3C04" w:rsidRDefault="00546A19">
            <w:pPr>
              <w:spacing w:after="0" w:line="259" w:lineRule="auto"/>
              <w:ind w:left="1" w:right="0" w:firstLine="0"/>
              <w:jc w:val="left"/>
            </w:pPr>
            <w:r>
              <w:rPr>
                <w:sz w:val="20"/>
              </w:rPr>
              <w:t xml:space="preserve">Military Sensitive Technical Information after the receipt of the claim. </w:t>
            </w:r>
          </w:p>
        </w:tc>
      </w:tr>
      <w:tr w:rsidR="005E3C04">
        <w:trPr>
          <w:trHeight w:val="857"/>
        </w:trPr>
        <w:tc>
          <w:tcPr>
            <w:tcW w:w="155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2" w:right="0" w:firstLine="0"/>
              <w:jc w:val="left"/>
            </w:pP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81" w:right="78" w:firstLine="0"/>
              <w:jc w:val="center"/>
            </w:pPr>
            <w:r>
              <w:rPr>
                <w:b/>
                <w:sz w:val="20"/>
              </w:rPr>
              <w:t>KPI 4 Tasking</w:t>
            </w:r>
            <w:r>
              <w:rPr>
                <w:sz w:val="20"/>
              </w:rPr>
              <w:t xml:space="preserve"> </w:t>
            </w:r>
          </w:p>
        </w:tc>
        <w:tc>
          <w:tcPr>
            <w:tcW w:w="212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 </w:t>
            </w:r>
          </w:p>
        </w:tc>
      </w:tr>
      <w:tr w:rsidR="005E3C04">
        <w:trPr>
          <w:trHeight w:val="2449"/>
        </w:trPr>
        <w:tc>
          <w:tcPr>
            <w:tcW w:w="155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37" w:firstLine="0"/>
              <w:jc w:val="center"/>
            </w:pPr>
            <w:r>
              <w:rPr>
                <w:sz w:val="20"/>
              </w:rPr>
              <w:t xml:space="preserve">Call Off </w:t>
            </w:r>
          </w:p>
          <w:p w:rsidR="005E3C04" w:rsidRDefault="00546A19">
            <w:pPr>
              <w:spacing w:after="0" w:line="259" w:lineRule="auto"/>
              <w:ind w:left="0" w:right="42" w:firstLine="0"/>
              <w:jc w:val="center"/>
            </w:pPr>
            <w:r>
              <w:rPr>
                <w:sz w:val="20"/>
              </w:rPr>
              <w:t>Schedule 20  -</w:t>
            </w:r>
          </w:p>
          <w:p w:rsidR="005E3C04" w:rsidRDefault="00546A19">
            <w:pPr>
              <w:spacing w:after="0" w:line="259" w:lineRule="auto"/>
              <w:ind w:left="0" w:right="40" w:firstLine="0"/>
              <w:jc w:val="center"/>
            </w:pPr>
            <w:r>
              <w:rPr>
                <w:sz w:val="20"/>
              </w:rPr>
              <w:t xml:space="preserve">Appendix 2 - </w:t>
            </w:r>
          </w:p>
          <w:p w:rsidR="005E3C04" w:rsidRDefault="00546A19">
            <w:pPr>
              <w:spacing w:after="0" w:line="259" w:lineRule="auto"/>
              <w:ind w:left="17" w:right="11" w:firstLine="0"/>
              <w:jc w:val="center"/>
            </w:pPr>
            <w:r>
              <w:rPr>
                <w:sz w:val="20"/>
              </w:rPr>
              <w:t xml:space="preserve">Task Order Form </w:t>
            </w:r>
          </w:p>
        </w:tc>
        <w:tc>
          <w:tcPr>
            <w:tcW w:w="1416" w:type="dxa"/>
            <w:tcBorders>
              <w:top w:val="single" w:sz="4" w:space="0" w:color="000000"/>
              <w:left w:val="single" w:sz="4" w:space="0" w:color="000000"/>
              <w:bottom w:val="single" w:sz="4" w:space="0" w:color="000000"/>
              <w:right w:val="single" w:sz="4" w:space="0" w:color="000000"/>
            </w:tcBorders>
          </w:tcPr>
          <w:p w:rsidR="005E3C04" w:rsidRDefault="00546A19">
            <w:pPr>
              <w:spacing w:after="103" w:line="259" w:lineRule="auto"/>
              <w:ind w:left="0" w:right="41" w:firstLine="0"/>
              <w:jc w:val="center"/>
            </w:pPr>
            <w:r>
              <w:rPr>
                <w:sz w:val="20"/>
              </w:rPr>
              <w:t xml:space="preserve">KPI 4.1 </w:t>
            </w:r>
          </w:p>
          <w:p w:rsidR="005E3C04" w:rsidRDefault="00546A19">
            <w:pPr>
              <w:spacing w:after="0" w:line="259" w:lineRule="auto"/>
              <w:ind w:left="1" w:right="0" w:firstLine="0"/>
              <w:jc w:val="left"/>
            </w:pPr>
            <w:r>
              <w:rPr>
                <w:sz w:val="20"/>
              </w:rPr>
              <w:t xml:space="preserve">Adherence to the TOF process. </w:t>
            </w:r>
          </w:p>
        </w:tc>
        <w:tc>
          <w:tcPr>
            <w:tcW w:w="2128"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1" w:right="36" w:firstLine="0"/>
              <w:jc w:val="left"/>
            </w:pPr>
            <w:r>
              <w:rPr>
                <w:sz w:val="20"/>
              </w:rPr>
              <w:t xml:space="preserve">Contractor completes their response to the TOF at Appendix 2 to Annex A to this contract and provides it to the Authority within 10 business days of receipt of the </w:t>
            </w:r>
            <w:r>
              <w:rPr>
                <w:sz w:val="20"/>
              </w:rPr>
              <w:t>Authority’s Part 1.</w:t>
            </w:r>
            <w:r>
              <w:rPr>
                <w:sz w:val="20"/>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1" w:line="241" w:lineRule="auto"/>
              <w:ind w:left="0" w:right="0" w:firstLine="0"/>
              <w:jc w:val="left"/>
            </w:pPr>
            <w:r>
              <w:rPr>
                <w:sz w:val="20"/>
              </w:rPr>
              <w:t xml:space="preserve">Contractor returns the fully completed Part 2 TOF to the Authority within 10 business days </w:t>
            </w:r>
          </w:p>
          <w:p w:rsidR="005E3C04" w:rsidRDefault="00546A19">
            <w:pPr>
              <w:spacing w:after="0" w:line="259" w:lineRule="auto"/>
              <w:ind w:left="0" w:right="0" w:firstLine="0"/>
              <w:jc w:val="left"/>
            </w:pPr>
            <w:r>
              <w:rPr>
                <w:sz w:val="20"/>
              </w:rPr>
              <w:t xml:space="preserve">of receipt of the </w:t>
            </w:r>
          </w:p>
          <w:p w:rsidR="005E3C04" w:rsidRDefault="00546A19">
            <w:pPr>
              <w:spacing w:after="0" w:line="259" w:lineRule="auto"/>
              <w:ind w:left="0" w:right="0" w:firstLine="0"/>
              <w:jc w:val="left"/>
            </w:pPr>
            <w:r>
              <w:rPr>
                <w:sz w:val="20"/>
              </w:rPr>
              <w:t>Authority’s Part 1.</w:t>
            </w:r>
            <w:r>
              <w:rPr>
                <w:sz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5E3C04" w:rsidRDefault="00546A19">
            <w:pPr>
              <w:spacing w:after="1" w:line="241" w:lineRule="auto"/>
              <w:ind w:left="1" w:right="0" w:firstLine="0"/>
              <w:jc w:val="left"/>
            </w:pPr>
            <w:r>
              <w:rPr>
                <w:sz w:val="20"/>
              </w:rPr>
              <w:t xml:space="preserve">Contractor returns the fully completed Part 2 TOF to the Authority within 15 business days </w:t>
            </w:r>
          </w:p>
          <w:p w:rsidR="005E3C04" w:rsidRDefault="00546A19">
            <w:pPr>
              <w:spacing w:after="0" w:line="259" w:lineRule="auto"/>
              <w:ind w:left="1" w:right="0" w:firstLine="0"/>
              <w:jc w:val="left"/>
            </w:pPr>
            <w:r>
              <w:rPr>
                <w:sz w:val="20"/>
              </w:rPr>
              <w:t xml:space="preserve">of receipt of the </w:t>
            </w:r>
          </w:p>
          <w:p w:rsidR="005E3C04" w:rsidRDefault="00546A19">
            <w:pPr>
              <w:spacing w:after="0" w:line="259" w:lineRule="auto"/>
              <w:ind w:left="1" w:right="0" w:firstLine="0"/>
              <w:jc w:val="left"/>
            </w:pPr>
            <w:r>
              <w:rPr>
                <w:sz w:val="20"/>
              </w:rPr>
              <w:t>Authority’s P</w:t>
            </w:r>
            <w:r>
              <w:rPr>
                <w:sz w:val="20"/>
              </w:rPr>
              <w:t>art 1.</w:t>
            </w:r>
            <w:r>
              <w:rPr>
                <w:sz w:val="20"/>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Contractor returns the fully completed Part 2 TOF to the Authority more than 15 business days of receipt of the </w:t>
            </w:r>
            <w:r>
              <w:rPr>
                <w:sz w:val="20"/>
              </w:rPr>
              <w:t>Authority’s Part 1.</w:t>
            </w:r>
            <w:r>
              <w:rPr>
                <w:sz w:val="20"/>
              </w:rPr>
              <w:t xml:space="preserve"> </w:t>
            </w:r>
          </w:p>
        </w:tc>
      </w:tr>
    </w:tbl>
    <w:p w:rsidR="005E3C04" w:rsidRDefault="00546A19">
      <w:pPr>
        <w:spacing w:after="80" w:line="259" w:lineRule="auto"/>
        <w:ind w:left="649" w:right="0" w:hanging="10"/>
        <w:jc w:val="left"/>
      </w:pPr>
      <w:r>
        <w:rPr>
          <w:sz w:val="20"/>
        </w:rPr>
        <w:t xml:space="preserve"> of 12 </w:t>
      </w:r>
    </w:p>
    <w:tbl>
      <w:tblPr>
        <w:tblStyle w:val="TableGrid"/>
        <w:tblW w:w="11902" w:type="dxa"/>
        <w:tblInd w:w="5" w:type="dxa"/>
        <w:tblCellMar>
          <w:top w:w="46" w:type="dxa"/>
          <w:left w:w="107" w:type="dxa"/>
          <w:bottom w:w="0" w:type="dxa"/>
          <w:right w:w="68" w:type="dxa"/>
        </w:tblCellMar>
        <w:tblLook w:val="04A0" w:firstRow="1" w:lastRow="0" w:firstColumn="1" w:lastColumn="0" w:noHBand="0" w:noVBand="1"/>
      </w:tblPr>
      <w:tblGrid>
        <w:gridCol w:w="1556"/>
        <w:gridCol w:w="1416"/>
        <w:gridCol w:w="2128"/>
        <w:gridCol w:w="2267"/>
        <w:gridCol w:w="2268"/>
        <w:gridCol w:w="2267"/>
      </w:tblGrid>
      <w:tr w:rsidR="005E3C04">
        <w:trPr>
          <w:trHeight w:val="982"/>
        </w:trPr>
        <w:tc>
          <w:tcPr>
            <w:tcW w:w="155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39" w:firstLine="0"/>
              <w:jc w:val="center"/>
            </w:pPr>
            <w:r>
              <w:rPr>
                <w:b/>
                <w:sz w:val="20"/>
              </w:rPr>
              <w:t>Requirement</w:t>
            </w: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38" w:firstLine="0"/>
              <w:jc w:val="center"/>
            </w:pPr>
            <w:r>
              <w:rPr>
                <w:b/>
                <w:sz w:val="20"/>
              </w:rPr>
              <w:t xml:space="preserve">Key </w:t>
            </w:r>
          </w:p>
          <w:p w:rsidR="005E3C04" w:rsidRDefault="00546A19">
            <w:pPr>
              <w:spacing w:after="0" w:line="259" w:lineRule="auto"/>
              <w:ind w:left="0" w:right="0" w:firstLine="0"/>
              <w:jc w:val="center"/>
            </w:pPr>
            <w:r>
              <w:rPr>
                <w:b/>
                <w:sz w:val="20"/>
              </w:rPr>
              <w:t>Performance Indicator</w:t>
            </w:r>
            <w:r>
              <w:rPr>
                <w:sz w:val="20"/>
              </w:rPr>
              <w:t xml:space="preserve"> </w:t>
            </w:r>
          </w:p>
        </w:tc>
        <w:tc>
          <w:tcPr>
            <w:tcW w:w="212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6" w:right="2" w:firstLine="0"/>
              <w:jc w:val="center"/>
            </w:pPr>
            <w:r>
              <w:rPr>
                <w:b/>
                <w:sz w:val="20"/>
              </w:rPr>
              <w:t>Performance Definition</w:t>
            </w:r>
            <w:r>
              <w:rPr>
                <w:sz w:val="20"/>
              </w:rPr>
              <w:t xml:space="preserve"> </w:t>
            </w:r>
          </w:p>
        </w:tc>
        <w:tc>
          <w:tcPr>
            <w:tcW w:w="2267" w:type="dxa"/>
            <w:tcBorders>
              <w:top w:val="single" w:sz="4" w:space="0" w:color="000000"/>
              <w:left w:val="single" w:sz="4" w:space="0" w:color="000000"/>
              <w:bottom w:val="single" w:sz="4" w:space="0" w:color="000000"/>
              <w:right w:val="single" w:sz="4" w:space="0" w:color="000000"/>
            </w:tcBorders>
            <w:shd w:val="clear" w:color="auto" w:fill="92D050"/>
          </w:tcPr>
          <w:p w:rsidR="005E3C04" w:rsidRDefault="00546A19">
            <w:pPr>
              <w:spacing w:after="0" w:line="259" w:lineRule="auto"/>
              <w:ind w:left="0" w:right="40" w:firstLine="0"/>
              <w:jc w:val="center"/>
            </w:pPr>
            <w:r>
              <w:rPr>
                <w:b/>
                <w:sz w:val="20"/>
              </w:rPr>
              <w:t xml:space="preserve">Good Performance </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Pr>
          <w:p w:rsidR="005E3C04" w:rsidRDefault="00546A19">
            <w:pPr>
              <w:spacing w:after="0" w:line="259" w:lineRule="auto"/>
              <w:ind w:left="56" w:right="0" w:firstLine="0"/>
              <w:jc w:val="left"/>
            </w:pPr>
            <w:r>
              <w:rPr>
                <w:b/>
                <w:sz w:val="20"/>
              </w:rPr>
              <w:t xml:space="preserve">Improvement Required </w:t>
            </w:r>
          </w:p>
        </w:tc>
        <w:tc>
          <w:tcPr>
            <w:tcW w:w="2267" w:type="dxa"/>
            <w:tcBorders>
              <w:top w:val="single" w:sz="4" w:space="0" w:color="000000"/>
              <w:left w:val="single" w:sz="4" w:space="0" w:color="000000"/>
              <w:bottom w:val="single" w:sz="4" w:space="0" w:color="000000"/>
              <w:right w:val="single" w:sz="4" w:space="0" w:color="000000"/>
            </w:tcBorders>
            <w:shd w:val="clear" w:color="auto" w:fill="FF0000"/>
          </w:tcPr>
          <w:p w:rsidR="005E3C04" w:rsidRDefault="00546A19">
            <w:pPr>
              <w:spacing w:after="0" w:line="259" w:lineRule="auto"/>
              <w:ind w:left="0" w:right="0" w:firstLine="0"/>
              <w:jc w:val="center"/>
            </w:pPr>
            <w:r>
              <w:rPr>
                <w:b/>
                <w:sz w:val="20"/>
              </w:rPr>
              <w:t xml:space="preserve">Significant Improvement Required </w:t>
            </w:r>
          </w:p>
        </w:tc>
      </w:tr>
      <w:tr w:rsidR="005E3C04">
        <w:trPr>
          <w:trHeight w:val="858"/>
        </w:trPr>
        <w:tc>
          <w:tcPr>
            <w:tcW w:w="155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7" w:right="0" w:firstLine="0"/>
              <w:jc w:val="center"/>
            </w:pPr>
            <w:r>
              <w:rPr>
                <w:b/>
                <w:sz w:val="20"/>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100" w:right="142" w:firstLine="0"/>
              <w:jc w:val="center"/>
            </w:pPr>
            <w:r>
              <w:rPr>
                <w:b/>
                <w:sz w:val="20"/>
              </w:rPr>
              <w:t xml:space="preserve">KPI 5 Social Value </w:t>
            </w:r>
          </w:p>
        </w:tc>
        <w:tc>
          <w:tcPr>
            <w:tcW w:w="212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b/>
                <w:sz w:val="20"/>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b/>
                <w:sz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b/>
                <w:sz w:val="20"/>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b/>
                <w:sz w:val="20"/>
              </w:rPr>
              <w:t xml:space="preserve"> </w:t>
            </w:r>
          </w:p>
        </w:tc>
      </w:tr>
      <w:tr w:rsidR="005E3C04">
        <w:trPr>
          <w:trHeight w:val="860"/>
        </w:trPr>
        <w:tc>
          <w:tcPr>
            <w:tcW w:w="1556"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40" w:firstLine="0"/>
              <w:jc w:val="center"/>
            </w:pPr>
            <w:r>
              <w:rPr>
                <w:sz w:val="20"/>
              </w:rPr>
              <w:t xml:space="preserve">TBC </w:t>
            </w:r>
          </w:p>
        </w:tc>
        <w:tc>
          <w:tcPr>
            <w:tcW w:w="1416"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89" w:right="83" w:firstLine="0"/>
              <w:jc w:val="center"/>
            </w:pPr>
            <w:r>
              <w:rPr>
                <w:sz w:val="20"/>
              </w:rPr>
              <w:t xml:space="preserve">KPI 5.1 Social Value </w:t>
            </w:r>
          </w:p>
        </w:tc>
        <w:tc>
          <w:tcPr>
            <w:tcW w:w="2128" w:type="dxa"/>
            <w:tcBorders>
              <w:top w:val="single" w:sz="4" w:space="0" w:color="000000"/>
              <w:left w:val="single" w:sz="4" w:space="0" w:color="000000"/>
              <w:bottom w:val="single" w:sz="4" w:space="0" w:color="000000"/>
              <w:right w:val="single" w:sz="4" w:space="0" w:color="000000"/>
            </w:tcBorders>
            <w:vAlign w:val="center"/>
          </w:tcPr>
          <w:p w:rsidR="005E3C04" w:rsidRDefault="00546A19">
            <w:pPr>
              <w:spacing w:after="0" w:line="259" w:lineRule="auto"/>
              <w:ind w:left="1" w:right="0" w:firstLine="0"/>
              <w:jc w:val="left"/>
            </w:pPr>
            <w:r>
              <w:rPr>
                <w:sz w:val="20"/>
              </w:rPr>
              <w:t xml:space="preserve">To be agreed after contract award.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0" w:right="0" w:firstLine="0"/>
              <w:jc w:val="left"/>
            </w:pPr>
            <w:r>
              <w:rPr>
                <w:sz w:val="20"/>
              </w:rPr>
              <w:t xml:space="preserve">TBC </w:t>
            </w:r>
          </w:p>
        </w:tc>
        <w:tc>
          <w:tcPr>
            <w:tcW w:w="2268"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TBC </w:t>
            </w:r>
          </w:p>
        </w:tc>
        <w:tc>
          <w:tcPr>
            <w:tcW w:w="2267" w:type="dxa"/>
            <w:tcBorders>
              <w:top w:val="single" w:sz="4" w:space="0" w:color="000000"/>
              <w:left w:val="single" w:sz="4" w:space="0" w:color="000000"/>
              <w:bottom w:val="single" w:sz="4" w:space="0" w:color="000000"/>
              <w:right w:val="single" w:sz="4" w:space="0" w:color="000000"/>
            </w:tcBorders>
          </w:tcPr>
          <w:p w:rsidR="005E3C04" w:rsidRDefault="00546A19">
            <w:pPr>
              <w:spacing w:after="0" w:line="259" w:lineRule="auto"/>
              <w:ind w:left="1" w:right="0" w:firstLine="0"/>
              <w:jc w:val="left"/>
            </w:pPr>
            <w:r>
              <w:rPr>
                <w:sz w:val="20"/>
              </w:rPr>
              <w:t xml:space="preserve">TBC </w:t>
            </w:r>
          </w:p>
        </w:tc>
      </w:tr>
    </w:tbl>
    <w:p w:rsidR="005E3C04" w:rsidRDefault="00546A19">
      <w:pPr>
        <w:spacing w:after="124" w:line="259" w:lineRule="auto"/>
        <w:ind w:left="0" w:right="1000" w:firstLine="0"/>
        <w:jc w:val="right"/>
      </w:pPr>
      <w:r>
        <w:rPr>
          <w:sz w:val="16"/>
        </w:rPr>
        <w:lastRenderedPageBreak/>
        <w:t xml:space="preserve">Table 4 </w:t>
      </w:r>
      <w:r>
        <w:rPr>
          <w:sz w:val="16"/>
        </w:rPr>
        <w:t>–</w:t>
      </w:r>
      <w:r>
        <w:rPr>
          <w:sz w:val="16"/>
        </w:rPr>
        <w:t xml:space="preserve"> Key Performance Indicators</w:t>
      </w:r>
      <w:r>
        <w:t xml:space="preserve"> </w:t>
      </w:r>
    </w:p>
    <w:p w:rsidR="005E3C04" w:rsidRDefault="00546A19">
      <w:pPr>
        <w:spacing w:after="5769" w:line="259" w:lineRule="auto"/>
        <w:ind w:left="0" w:right="0" w:firstLine="0"/>
        <w:jc w:val="left"/>
      </w:pPr>
      <w:r>
        <w:t xml:space="preserve"> </w:t>
      </w:r>
    </w:p>
    <w:p w:rsidR="005E3C04" w:rsidRDefault="00546A19">
      <w:pPr>
        <w:spacing w:after="80" w:line="259" w:lineRule="auto"/>
        <w:ind w:left="649" w:right="0" w:hanging="10"/>
        <w:jc w:val="left"/>
      </w:pPr>
      <w:r>
        <w:rPr>
          <w:sz w:val="20"/>
        </w:rPr>
        <w:t xml:space="preserve"> of 12 </w:t>
      </w:r>
    </w:p>
    <w:p w:rsidR="005E3C04" w:rsidRDefault="005E3C04">
      <w:pPr>
        <w:sectPr w:rsidR="005E3C04">
          <w:headerReference w:type="even" r:id="rId13"/>
          <w:headerReference w:type="default" r:id="rId14"/>
          <w:footerReference w:type="even" r:id="rId15"/>
          <w:footerReference w:type="default" r:id="rId16"/>
          <w:headerReference w:type="first" r:id="rId17"/>
          <w:footerReference w:type="first" r:id="rId18"/>
          <w:pgSz w:w="16834" w:h="11909" w:orient="landscape"/>
          <w:pgMar w:top="1456" w:right="6146" w:bottom="916" w:left="1560" w:header="436" w:footer="429" w:gutter="0"/>
          <w:cols w:space="720"/>
        </w:sectPr>
      </w:pPr>
    </w:p>
    <w:p w:rsidR="005E3C04" w:rsidRDefault="00546A19">
      <w:pPr>
        <w:spacing w:after="3" w:line="259" w:lineRule="auto"/>
        <w:ind w:left="-5" w:right="0" w:hanging="10"/>
        <w:jc w:val="left"/>
      </w:pPr>
      <w:r>
        <w:rPr>
          <w:rFonts w:ascii="Arial" w:eastAsia="Arial" w:hAnsi="Arial" w:cs="Arial"/>
          <w:sz w:val="20"/>
        </w:rPr>
        <w:lastRenderedPageBreak/>
        <w:t xml:space="preserve">Call-Off Schedule 20 (Call- </w:t>
      </w:r>
      <w:r>
        <w:rPr>
          <w:rFonts w:ascii="Arial" w:eastAsia="Arial" w:hAnsi="Arial" w:cs="Arial"/>
        </w:rPr>
        <w:t xml:space="preserve">OFFICIAL-SENSITIVE COMMERCIAL </w:t>
      </w:r>
      <w:r>
        <w:rPr>
          <w:rFonts w:ascii="Arial" w:eastAsia="Arial" w:hAnsi="Arial" w:cs="Arial"/>
          <w:sz w:val="20"/>
        </w:rPr>
        <w:t xml:space="preserve">Off Specification) </w:t>
      </w:r>
    </w:p>
    <w:p w:rsidR="005E3C04" w:rsidRDefault="00546A19">
      <w:pPr>
        <w:spacing w:after="3" w:line="259" w:lineRule="auto"/>
        <w:ind w:left="-5" w:right="0" w:hanging="10"/>
        <w:jc w:val="left"/>
      </w:pPr>
      <w:r>
        <w:rPr>
          <w:rFonts w:ascii="Arial" w:eastAsia="Arial" w:hAnsi="Arial" w:cs="Arial"/>
          <w:sz w:val="20"/>
        </w:rPr>
        <w:t xml:space="preserve">Call-Off Ref: </w:t>
      </w:r>
    </w:p>
    <w:p w:rsidR="005E3C04" w:rsidRDefault="00546A19">
      <w:pPr>
        <w:spacing w:after="3" w:line="259" w:lineRule="auto"/>
        <w:ind w:left="-5" w:right="0" w:hanging="10"/>
        <w:jc w:val="left"/>
      </w:pPr>
      <w:r>
        <w:rPr>
          <w:rFonts w:ascii="Arial" w:eastAsia="Arial" w:hAnsi="Arial" w:cs="Arial"/>
          <w:sz w:val="20"/>
        </w:rPr>
        <w:t xml:space="preserve">Crown Copyright 2020 </w:t>
      </w:r>
    </w:p>
    <w:p w:rsidR="005E3C04" w:rsidRDefault="00546A19">
      <w:pPr>
        <w:spacing w:after="59" w:line="259" w:lineRule="auto"/>
        <w:ind w:left="0" w:right="0" w:firstLine="0"/>
        <w:jc w:val="left"/>
      </w:pPr>
      <w:r>
        <w:rPr>
          <w:rFonts w:ascii="Arial" w:eastAsia="Arial" w:hAnsi="Arial" w:cs="Arial"/>
          <w:sz w:val="20"/>
        </w:rPr>
        <w:t xml:space="preserve"> </w:t>
      </w:r>
    </w:p>
    <w:p w:rsidR="005E3C04" w:rsidRDefault="00546A19">
      <w:pPr>
        <w:pStyle w:val="Heading2"/>
        <w:tabs>
          <w:tab w:val="center" w:pos="1228"/>
        </w:tabs>
        <w:ind w:left="-15" w:firstLine="0"/>
      </w:pPr>
      <w:r>
        <w:t>11.</w:t>
      </w:r>
      <w:r>
        <w:rPr>
          <w:rFonts w:ascii="Arial" w:eastAsia="Arial" w:hAnsi="Arial" w:cs="Arial"/>
        </w:rPr>
        <w:t xml:space="preserve"> </w:t>
      </w:r>
      <w:r>
        <w:rPr>
          <w:rFonts w:ascii="Arial" w:eastAsia="Arial" w:hAnsi="Arial" w:cs="Arial"/>
        </w:rPr>
        <w:tab/>
      </w:r>
      <w:r>
        <w:t xml:space="preserve">LOCATION  </w:t>
      </w:r>
    </w:p>
    <w:p w:rsidR="005E3C04" w:rsidRDefault="00546A19">
      <w:pPr>
        <w:tabs>
          <w:tab w:val="center" w:pos="3447"/>
        </w:tabs>
        <w:ind w:left="0" w:right="0" w:firstLine="0"/>
        <w:jc w:val="left"/>
      </w:pPr>
      <w:r>
        <w:t>11.1</w:t>
      </w:r>
      <w:r>
        <w:rPr>
          <w:rFonts w:ascii="Arial" w:eastAsia="Arial" w:hAnsi="Arial" w:cs="Arial"/>
        </w:rPr>
        <w:t xml:space="preserve"> </w:t>
      </w:r>
      <w:r>
        <w:rPr>
          <w:rFonts w:ascii="Arial" w:eastAsia="Arial" w:hAnsi="Arial" w:cs="Arial"/>
        </w:rPr>
        <w:tab/>
      </w:r>
      <w:r>
        <w:t xml:space="preserve">The contract will be delivered at the following locations: </w:t>
      </w:r>
    </w:p>
    <w:p w:rsidR="005E3C04" w:rsidRDefault="00546A19">
      <w:pPr>
        <w:tabs>
          <w:tab w:val="center" w:pos="1024"/>
          <w:tab w:val="center" w:pos="3732"/>
        </w:tabs>
        <w:spacing w:after="266"/>
        <w:ind w:left="0" w:right="0" w:firstLine="0"/>
        <w:jc w:val="left"/>
      </w:pPr>
      <w:r>
        <w:rPr>
          <w:sz w:val="22"/>
        </w:rPr>
        <w:tab/>
      </w:r>
      <w:r>
        <w:t>11.1.1</w:t>
      </w:r>
      <w:r>
        <w:rPr>
          <w:rFonts w:ascii="Arial" w:eastAsia="Arial" w:hAnsi="Arial" w:cs="Arial"/>
        </w:rPr>
        <w:t xml:space="preserve"> </w:t>
      </w:r>
      <w:r>
        <w:rPr>
          <w:rFonts w:ascii="Arial" w:eastAsia="Arial" w:hAnsi="Arial" w:cs="Arial"/>
        </w:rPr>
        <w:tab/>
      </w:r>
      <w:r>
        <w:t xml:space="preserve">By the CDM at their premises in the UK. </w:t>
      </w:r>
    </w:p>
    <w:p w:rsidR="005E3C04" w:rsidRDefault="00546A19">
      <w:pPr>
        <w:tabs>
          <w:tab w:val="center" w:pos="1024"/>
          <w:tab w:val="right" w:pos="8854"/>
        </w:tabs>
        <w:spacing w:after="207"/>
        <w:ind w:left="0" w:right="-11" w:firstLine="0"/>
        <w:jc w:val="left"/>
      </w:pPr>
      <w:r>
        <w:rPr>
          <w:sz w:val="22"/>
        </w:rPr>
        <w:tab/>
      </w:r>
      <w:r>
        <w:t>11.1.2</w:t>
      </w:r>
      <w:r>
        <w:rPr>
          <w:rFonts w:ascii="Arial" w:eastAsia="Arial" w:hAnsi="Arial" w:cs="Arial"/>
        </w:rPr>
        <w:t xml:space="preserve"> </w:t>
      </w:r>
      <w:r>
        <w:rPr>
          <w:rFonts w:ascii="Arial" w:eastAsia="Arial" w:hAnsi="Arial" w:cs="Arial"/>
        </w:rPr>
        <w:tab/>
      </w:r>
      <w:r>
        <w:t xml:space="preserve">By the CDCM and CONDO linguists in the deployed operational locations </w:t>
      </w:r>
    </w:p>
    <w:p w:rsidR="005E3C04" w:rsidRDefault="00546A19">
      <w:pPr>
        <w:spacing w:after="257" w:line="259" w:lineRule="auto"/>
        <w:ind w:left="-5" w:right="0" w:hanging="10"/>
        <w:jc w:val="left"/>
      </w:pPr>
      <w:r>
        <w:rPr>
          <w:sz w:val="22"/>
        </w:rPr>
        <w:t xml:space="preserve">Appendixes </w:t>
      </w:r>
    </w:p>
    <w:p w:rsidR="005E3C04" w:rsidRDefault="00546A19">
      <w:pPr>
        <w:spacing w:after="257" w:line="259" w:lineRule="auto"/>
        <w:ind w:left="-5" w:right="0" w:hanging="10"/>
        <w:jc w:val="left"/>
      </w:pPr>
      <w:r>
        <w:rPr>
          <w:sz w:val="22"/>
        </w:rPr>
        <w:t>Appendix</w:t>
      </w:r>
      <w:r>
        <w:rPr>
          <w:sz w:val="22"/>
        </w:rPr>
        <w:t xml:space="preserve"> 1.  Linguist Requirement. </w:t>
      </w:r>
    </w:p>
    <w:p w:rsidR="005E3C04" w:rsidRDefault="00546A19">
      <w:pPr>
        <w:spacing w:after="257" w:line="259" w:lineRule="auto"/>
        <w:ind w:left="-5" w:right="0" w:hanging="10"/>
        <w:jc w:val="left"/>
      </w:pPr>
      <w:r>
        <w:rPr>
          <w:sz w:val="22"/>
        </w:rPr>
        <w:t xml:space="preserve">Appendix 2.  TOF Template. </w:t>
      </w:r>
    </w:p>
    <w:p w:rsidR="005E3C04" w:rsidRDefault="00546A19">
      <w:pPr>
        <w:spacing w:after="257" w:line="259" w:lineRule="auto"/>
        <w:ind w:left="-5" w:right="0" w:hanging="10"/>
        <w:jc w:val="left"/>
      </w:pPr>
      <w:r>
        <w:rPr>
          <w:sz w:val="22"/>
        </w:rPr>
        <w:t xml:space="preserve">Appendix 3.  Intimidation Service Requirement. </w:t>
      </w:r>
    </w:p>
    <w:p w:rsidR="005E3C04" w:rsidRDefault="00546A19">
      <w:pPr>
        <w:spacing w:after="257" w:line="259" w:lineRule="auto"/>
        <w:ind w:left="-5" w:right="0" w:hanging="10"/>
        <w:jc w:val="left"/>
      </w:pPr>
      <w:r>
        <w:rPr>
          <w:sz w:val="22"/>
        </w:rPr>
        <w:t xml:space="preserve">Appendix 4.  Not Used </w:t>
      </w:r>
    </w:p>
    <w:p w:rsidR="005E3C04" w:rsidRDefault="00546A19">
      <w:pPr>
        <w:spacing w:after="257" w:line="259" w:lineRule="auto"/>
        <w:ind w:left="-5" w:right="0" w:hanging="10"/>
        <w:jc w:val="left"/>
      </w:pPr>
      <w:r>
        <w:rPr>
          <w:sz w:val="22"/>
        </w:rPr>
        <w:t xml:space="preserve">Appendix 5.  Transition Plan. </w:t>
      </w:r>
    </w:p>
    <w:p w:rsidR="005E3C04" w:rsidRDefault="00546A19">
      <w:pPr>
        <w:spacing w:after="257" w:line="259" w:lineRule="auto"/>
        <w:ind w:left="-5" w:right="0" w:hanging="10"/>
        <w:jc w:val="left"/>
      </w:pPr>
      <w:r>
        <w:rPr>
          <w:sz w:val="22"/>
        </w:rPr>
        <w:t xml:space="preserve">Appendix 6.  Table Of Deliverables. </w:t>
      </w:r>
    </w:p>
    <w:p w:rsidR="005E3C04" w:rsidRDefault="00546A19">
      <w:pPr>
        <w:spacing w:after="257" w:line="259" w:lineRule="auto"/>
        <w:ind w:left="-5" w:right="0" w:hanging="10"/>
        <w:jc w:val="left"/>
      </w:pPr>
      <w:r>
        <w:rPr>
          <w:sz w:val="22"/>
        </w:rPr>
        <w:t xml:space="preserve">Appendix 7.  Government Furnished Assets. </w:t>
      </w:r>
    </w:p>
    <w:p w:rsidR="005E3C04" w:rsidRDefault="00546A19">
      <w:pPr>
        <w:spacing w:after="257" w:line="259" w:lineRule="auto"/>
        <w:ind w:left="-5" w:right="0" w:hanging="10"/>
        <w:jc w:val="left"/>
      </w:pPr>
      <w:r>
        <w:rPr>
          <w:sz w:val="22"/>
        </w:rPr>
        <w:t xml:space="preserve">Appendix 8.  REDACTED TEXT for Military Sensitive Technical Information Clothing And Equipment. </w:t>
      </w:r>
    </w:p>
    <w:p w:rsidR="005E3C04" w:rsidRDefault="00546A19">
      <w:pPr>
        <w:spacing w:after="6077" w:line="259" w:lineRule="auto"/>
        <w:ind w:left="0" w:right="0" w:firstLine="0"/>
        <w:jc w:val="left"/>
      </w:pPr>
      <w:r>
        <w:rPr>
          <w:rFonts w:ascii="Arial" w:eastAsia="Arial" w:hAnsi="Arial" w:cs="Arial"/>
        </w:rPr>
        <w:t xml:space="preserve"> </w:t>
      </w:r>
    </w:p>
    <w:p w:rsidR="005E3C04" w:rsidRDefault="00546A19">
      <w:pPr>
        <w:tabs>
          <w:tab w:val="center" w:pos="4511"/>
        </w:tabs>
        <w:spacing w:after="10"/>
        <w:ind w:left="-15" w:right="0" w:firstLine="0"/>
        <w:jc w:val="left"/>
      </w:pPr>
      <w:r>
        <w:rPr>
          <w:rFonts w:ascii="Arial" w:eastAsia="Arial" w:hAnsi="Arial" w:cs="Arial"/>
          <w:sz w:val="20"/>
        </w:rPr>
        <w:lastRenderedPageBreak/>
        <w:t xml:space="preserve"> </w:t>
      </w:r>
      <w:r>
        <w:rPr>
          <w:rFonts w:ascii="Arial" w:eastAsia="Arial" w:hAnsi="Arial" w:cs="Arial"/>
          <w:sz w:val="20"/>
        </w:rPr>
        <w:tab/>
      </w:r>
      <w:r>
        <w:rPr>
          <w:rFonts w:ascii="Arial" w:eastAsia="Arial" w:hAnsi="Arial" w:cs="Arial"/>
        </w:rPr>
        <w:t xml:space="preserve">OFFICIAL-SENSITIVE COMMERCIAL </w:t>
      </w:r>
    </w:p>
    <w:p w:rsidR="005E3C04" w:rsidRDefault="00546A19">
      <w:pPr>
        <w:spacing w:after="3" w:line="259" w:lineRule="auto"/>
        <w:ind w:left="-5" w:right="0" w:hanging="10"/>
        <w:jc w:val="left"/>
      </w:pPr>
      <w:r>
        <w:rPr>
          <w:rFonts w:ascii="Arial" w:eastAsia="Arial" w:hAnsi="Arial" w:cs="Arial"/>
          <w:sz w:val="20"/>
        </w:rPr>
        <w:t xml:space="preserve">Framework Ref: RM6141 </w:t>
      </w:r>
    </w:p>
    <w:p w:rsidR="005E3C04" w:rsidRDefault="00546A19">
      <w:pPr>
        <w:tabs>
          <w:tab w:val="center" w:pos="6570"/>
        </w:tabs>
        <w:spacing w:after="3" w:line="259" w:lineRule="auto"/>
        <w:ind w:left="-15" w:right="0" w:firstLine="0"/>
        <w:jc w:val="left"/>
      </w:pPr>
      <w:r>
        <w:rPr>
          <w:rFonts w:ascii="Arial" w:eastAsia="Arial" w:hAnsi="Arial" w:cs="Arial"/>
          <w:sz w:val="20"/>
        </w:rPr>
        <w:t>Project Version: v1.0</w:t>
      </w:r>
      <w:r>
        <w:rPr>
          <w:rFonts w:ascii="Arial" w:eastAsia="Arial" w:hAnsi="Arial" w:cs="Arial"/>
          <w:sz w:val="20"/>
        </w:rPr>
        <w:tab/>
        <w:t xml:space="preserve"> </w:t>
      </w:r>
    </w:p>
    <w:p w:rsidR="005E3C04" w:rsidRDefault="00546A19">
      <w:pPr>
        <w:tabs>
          <w:tab w:val="center" w:pos="4512"/>
        </w:tabs>
        <w:spacing w:after="3" w:line="259" w:lineRule="auto"/>
        <w:ind w:left="-15" w:right="0" w:firstLine="0"/>
        <w:jc w:val="left"/>
      </w:pPr>
      <w:r>
        <w:rPr>
          <w:rFonts w:ascii="Arial" w:eastAsia="Arial" w:hAnsi="Arial" w:cs="Arial"/>
          <w:sz w:val="20"/>
        </w:rPr>
        <w:t xml:space="preserve"> </w:t>
      </w:r>
      <w:r>
        <w:rPr>
          <w:rFonts w:ascii="Arial" w:eastAsia="Arial" w:hAnsi="Arial" w:cs="Arial"/>
          <w:sz w:val="20"/>
        </w:rPr>
        <w:tab/>
        <w:t xml:space="preserve"> 1 </w:t>
      </w:r>
    </w:p>
    <w:p w:rsidR="005E3C04" w:rsidRDefault="00546A19">
      <w:pPr>
        <w:spacing w:after="3" w:line="259" w:lineRule="auto"/>
        <w:ind w:left="-5" w:right="0" w:hanging="10"/>
        <w:jc w:val="left"/>
      </w:pPr>
      <w:r>
        <w:rPr>
          <w:rFonts w:ascii="Arial" w:eastAsia="Arial" w:hAnsi="Arial" w:cs="Arial"/>
          <w:sz w:val="20"/>
        </w:rPr>
        <w:t xml:space="preserve">Model Version: v3.0 </w:t>
      </w:r>
    </w:p>
    <w:sectPr w:rsidR="005E3C04">
      <w:headerReference w:type="even" r:id="rId19"/>
      <w:headerReference w:type="default" r:id="rId20"/>
      <w:footerReference w:type="even" r:id="rId21"/>
      <w:footerReference w:type="default" r:id="rId22"/>
      <w:headerReference w:type="first" r:id="rId23"/>
      <w:footerReference w:type="first" r:id="rId24"/>
      <w:pgSz w:w="11906" w:h="16838"/>
      <w:pgMar w:top="1440" w:right="161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A19" w:rsidRDefault="00546A19">
      <w:pPr>
        <w:spacing w:after="0" w:line="240" w:lineRule="auto"/>
      </w:pPr>
      <w:r>
        <w:separator/>
      </w:r>
    </w:p>
  </w:endnote>
  <w:endnote w:type="continuationSeparator" w:id="0">
    <w:p w:rsidR="00546A19" w:rsidRDefault="0054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46A19">
    <w:pPr>
      <w:tabs>
        <w:tab w:val="center" w:pos="5631"/>
      </w:tabs>
      <w:spacing w:after="0" w:line="259" w:lineRule="auto"/>
      <w:ind w:left="0" w:right="0" w:firstLine="0"/>
      <w:jc w:val="left"/>
    </w:pPr>
    <w:r>
      <w:rPr>
        <w:sz w:val="20"/>
      </w:rPr>
      <w:t xml:space="preserve">Provision of Linguistic </w:t>
    </w:r>
    <w:r>
      <w:rPr>
        <w:sz w:val="20"/>
      </w:rPr>
      <w:tab/>
    </w:r>
    <w:r>
      <w:rPr>
        <w:rFonts w:ascii="Arial" w:eastAsia="Arial" w:hAnsi="Arial" w:cs="Arial"/>
      </w:rPr>
      <w:t>OFFICIAL-SENSITIVE COMMERCIAL</w:t>
    </w:r>
    <w:r>
      <w:rPr>
        <w:sz w:val="20"/>
      </w:rPr>
      <w:t xml:space="preserve">Services for UK MoD Global </w:t>
    </w:r>
  </w:p>
  <w:p w:rsidR="005E3C04" w:rsidRDefault="00546A19">
    <w:pPr>
      <w:spacing w:after="0" w:line="259" w:lineRule="auto"/>
      <w:ind w:left="0" w:right="0" w:firstLine="0"/>
      <w:jc w:val="left"/>
    </w:pPr>
    <w:r>
      <w:rPr>
        <w:sz w:val="20"/>
      </w:rPr>
      <w:t xml:space="preserve">Operations </w:t>
    </w:r>
  </w:p>
  <w:p w:rsidR="005E3C04" w:rsidRDefault="00546A19">
    <w:pPr>
      <w:spacing w:after="0" w:line="259" w:lineRule="auto"/>
      <w:ind w:left="0" w:right="0" w:firstLine="0"/>
      <w:jc w:val="left"/>
    </w:pPr>
    <w:r>
      <w:rPr>
        <w:sz w:val="20"/>
      </w:rPr>
      <w:t xml:space="preserve">MoD Reference: 701577402 </w:t>
    </w:r>
  </w:p>
  <w:p w:rsidR="005E3C04" w:rsidRDefault="00546A19">
    <w:pPr>
      <w:spacing w:after="0" w:line="242" w:lineRule="auto"/>
      <w:ind w:left="0" w:right="7603" w:firstLine="0"/>
      <w:jc w:val="left"/>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fldChar w:fldCharType="begin"/>
    </w:r>
    <w:r>
      <w:instrText xml:space="preserve"> NUMPAGES   \* MERGEFORMAT </w:instrText>
    </w:r>
    <w:r>
      <w:fldChar w:fldCharType="separate"/>
    </w:r>
    <w:r>
      <w:rPr>
        <w:sz w:val="20"/>
      </w:rPr>
      <w:t>12</w:t>
    </w:r>
    <w:r>
      <w:rPr>
        <w:sz w:val="20"/>
      </w:rPr>
      <w:fldChar w:fldCharType="end"/>
    </w:r>
    <w:r>
      <w:rPr>
        <w:sz w:val="20"/>
      </w:rPr>
      <w:t xml:space="preserve">  v1.0 04/08/2021 </w:t>
    </w:r>
  </w:p>
  <w:p w:rsidR="005E3C04" w:rsidRDefault="00546A19">
    <w:pPr>
      <w:spacing w:after="0" w:line="259" w:lineRule="auto"/>
      <w:ind w:left="0" w:right="0" w:firstLine="0"/>
      <w:jc w:val="left"/>
    </w:pPr>
    <w:r>
      <w:rPr>
        <w:sz w:val="20"/>
      </w:rPr>
      <w:t xml:space="preserve">© Crown Copyright 2020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46A19">
    <w:pPr>
      <w:tabs>
        <w:tab w:val="center" w:pos="5631"/>
      </w:tabs>
      <w:spacing w:after="0" w:line="259" w:lineRule="auto"/>
      <w:ind w:left="0" w:right="0" w:firstLine="0"/>
      <w:jc w:val="left"/>
    </w:pPr>
    <w:r>
      <w:rPr>
        <w:sz w:val="20"/>
      </w:rPr>
      <w:tab/>
    </w:r>
    <w:r>
      <w:rPr>
        <w:rFonts w:ascii="Arial" w:eastAsia="Arial" w:hAnsi="Arial" w:cs="Arial"/>
      </w:rPr>
      <w:t>OFFICIAL-SENSITIVE COMMERCIAL</w:t>
    </w:r>
    <w:r>
      <w:rPr>
        <w:sz w:val="20"/>
      </w:rPr>
      <w:t xml:space="preserve">Services for UK MoD Global </w:t>
    </w:r>
  </w:p>
  <w:p w:rsidR="005E3C04" w:rsidRDefault="00546A19">
    <w:pPr>
      <w:spacing w:after="0" w:line="242" w:lineRule="auto"/>
      <w:ind w:left="0" w:right="7603" w:firstLine="0"/>
      <w:jc w:val="left"/>
    </w:pPr>
    <w:r>
      <w:rPr>
        <w:sz w:val="20"/>
      </w:rPr>
      <w:t xml:space="preserve">Page </w:t>
    </w:r>
    <w:r>
      <w:fldChar w:fldCharType="begin"/>
    </w:r>
    <w:r>
      <w:instrText xml:space="preserve"> PAGE   \* MERGEFORMAT </w:instrText>
    </w:r>
    <w:r>
      <w:fldChar w:fldCharType="separate"/>
    </w:r>
    <w:r w:rsidR="00854532" w:rsidRPr="00854532">
      <w:rPr>
        <w:noProof/>
        <w:sz w:val="20"/>
      </w:rPr>
      <w:t>3</w:t>
    </w:r>
    <w:r>
      <w:rPr>
        <w:sz w:val="20"/>
      </w:rPr>
      <w:fldChar w:fldCharType="end"/>
    </w:r>
    <w:r>
      <w:rPr>
        <w:sz w:val="20"/>
      </w:rPr>
      <w:t xml:space="preserve"> of </w:t>
    </w:r>
    <w:r>
      <w:fldChar w:fldCharType="begin"/>
    </w:r>
    <w:r>
      <w:instrText xml:space="preserve"> NUMPAGES   \* MERGEFORMAT </w:instrText>
    </w:r>
    <w:r>
      <w:fldChar w:fldCharType="separate"/>
    </w:r>
    <w:r w:rsidR="00854532" w:rsidRPr="00854532">
      <w:rPr>
        <w:noProof/>
        <w:sz w:val="20"/>
      </w:rPr>
      <w:t>14</w:t>
    </w:r>
    <w:r>
      <w:rPr>
        <w:sz w:val="20"/>
      </w:rPr>
      <w:fldChar w:fldCharType="end"/>
    </w:r>
    <w:r w:rsidR="00854532">
      <w:rPr>
        <w:sz w:val="20"/>
      </w:rPr>
      <w:t xml:space="preserve">  </w:t>
    </w:r>
    <w:r>
      <w:rPr>
        <w:sz w:val="20"/>
      </w:rPr>
      <w:t xml:space="preserve">04/08/2021 </w:t>
    </w:r>
  </w:p>
  <w:p w:rsidR="005E3C04" w:rsidRDefault="00546A19">
    <w:pPr>
      <w:spacing w:after="0" w:line="259" w:lineRule="auto"/>
      <w:ind w:left="0" w:right="0" w:firstLine="0"/>
      <w:jc w:val="left"/>
    </w:pPr>
    <w:r>
      <w:rPr>
        <w:sz w:val="20"/>
      </w:rPr>
      <w:t xml:space="preserve">© Crown Copyright 2020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46A19">
    <w:pPr>
      <w:tabs>
        <w:tab w:val="center" w:pos="5631"/>
      </w:tabs>
      <w:spacing w:after="0" w:line="259" w:lineRule="auto"/>
      <w:ind w:left="0" w:right="0" w:firstLine="0"/>
      <w:jc w:val="left"/>
    </w:pPr>
    <w:r>
      <w:rPr>
        <w:sz w:val="20"/>
      </w:rPr>
      <w:t xml:space="preserve">Provision of Linguistic </w:t>
    </w:r>
    <w:r>
      <w:rPr>
        <w:sz w:val="20"/>
      </w:rPr>
      <w:tab/>
    </w:r>
    <w:r>
      <w:rPr>
        <w:rFonts w:ascii="Arial" w:eastAsia="Arial" w:hAnsi="Arial" w:cs="Arial"/>
      </w:rPr>
      <w:t>OFFICIAL-SENSITIVE COMMERCIAL</w:t>
    </w:r>
    <w:r>
      <w:rPr>
        <w:sz w:val="20"/>
      </w:rPr>
      <w:t xml:space="preserve">Services for UK MoD Global </w:t>
    </w:r>
  </w:p>
  <w:p w:rsidR="005E3C04" w:rsidRDefault="00546A19">
    <w:pPr>
      <w:spacing w:after="0" w:line="259" w:lineRule="auto"/>
      <w:ind w:left="0" w:right="0" w:firstLine="0"/>
      <w:jc w:val="left"/>
    </w:pPr>
    <w:r>
      <w:rPr>
        <w:sz w:val="20"/>
      </w:rPr>
      <w:t xml:space="preserve">Operations </w:t>
    </w:r>
  </w:p>
  <w:p w:rsidR="005E3C04" w:rsidRDefault="00546A19">
    <w:pPr>
      <w:spacing w:after="0" w:line="259" w:lineRule="auto"/>
      <w:ind w:left="0" w:right="0" w:firstLine="0"/>
      <w:jc w:val="left"/>
    </w:pPr>
    <w:r>
      <w:rPr>
        <w:sz w:val="20"/>
      </w:rPr>
      <w:t xml:space="preserve">MoD Reference: 701577402 </w:t>
    </w:r>
  </w:p>
  <w:p w:rsidR="005E3C04" w:rsidRDefault="00546A19">
    <w:pPr>
      <w:spacing w:after="0" w:line="242" w:lineRule="auto"/>
      <w:ind w:left="0" w:right="7603" w:firstLine="0"/>
      <w:jc w:val="left"/>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fldChar w:fldCharType="begin"/>
    </w:r>
    <w:r>
      <w:instrText xml:space="preserve"> NUMPAGES   \* MERGEFORMAT </w:instrText>
    </w:r>
    <w:r>
      <w:fldChar w:fldCharType="separate"/>
    </w:r>
    <w:r>
      <w:rPr>
        <w:sz w:val="20"/>
      </w:rPr>
      <w:t>12</w:t>
    </w:r>
    <w:r>
      <w:rPr>
        <w:sz w:val="20"/>
      </w:rPr>
      <w:fldChar w:fldCharType="end"/>
    </w:r>
    <w:r>
      <w:rPr>
        <w:sz w:val="20"/>
      </w:rPr>
      <w:t xml:space="preserve">  v1.0 04/08/2021 </w:t>
    </w:r>
  </w:p>
  <w:p w:rsidR="005E3C04" w:rsidRDefault="00546A19">
    <w:pPr>
      <w:spacing w:after="0" w:line="259" w:lineRule="auto"/>
      <w:ind w:left="0" w:right="0" w:firstLine="0"/>
      <w:jc w:val="left"/>
    </w:pPr>
    <w:r>
      <w:rPr>
        <w:sz w:val="20"/>
      </w:rPr>
      <w:t xml:space="preserve">© Crown Copyright 2020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46A19">
    <w:pPr>
      <w:tabs>
        <w:tab w:val="right" w:pos="9875"/>
      </w:tabs>
      <w:spacing w:after="0" w:line="259" w:lineRule="auto"/>
      <w:ind w:left="0" w:right="-748" w:firstLine="0"/>
      <w:jc w:val="left"/>
    </w:pPr>
    <w:r>
      <w:rPr>
        <w:sz w:val="20"/>
      </w:rPr>
      <w:t xml:space="preserve">Provision of Linguistic Services for UK MoD Global </w:t>
    </w:r>
    <w:r>
      <w:rPr>
        <w:sz w:val="20"/>
      </w:rPr>
      <w:tab/>
    </w:r>
    <w:r>
      <w:rPr>
        <w:rFonts w:ascii="Arial" w:eastAsia="Arial" w:hAnsi="Arial" w:cs="Arial"/>
      </w:rPr>
      <w:t xml:space="preserve">OFFICIAL-SENSITIVE COMMERCIAL </w:t>
    </w:r>
    <w:r>
      <w:rPr>
        <w:sz w:val="20"/>
      </w:rPr>
      <w:t xml:space="preserve">Operations </w:t>
    </w:r>
  </w:p>
  <w:p w:rsidR="005E3C04" w:rsidRDefault="00546A19">
    <w:pPr>
      <w:spacing w:after="0" w:line="259" w:lineRule="auto"/>
      <w:ind w:left="0" w:right="0" w:firstLine="0"/>
      <w:jc w:val="left"/>
    </w:pPr>
    <w:r>
      <w:rPr>
        <w:sz w:val="20"/>
      </w:rPr>
      <w:t xml:space="preserve">MoD Reference: 701577402 </w:t>
    </w:r>
  </w:p>
  <w:p w:rsidR="005E3C04" w:rsidRDefault="00546A19">
    <w:pPr>
      <w:tabs>
        <w:tab w:val="center" w:pos="1044"/>
      </w:tabs>
      <w:spacing w:after="0" w:line="259" w:lineRule="auto"/>
      <w:ind w:left="0" w:right="0" w:firstLine="0"/>
      <w:jc w:val="left"/>
    </w:pPr>
    <w:r>
      <w:rPr>
        <w:sz w:val="20"/>
      </w:rPr>
      <w:t xml:space="preserve">Page </w:t>
    </w:r>
    <w:r>
      <w:fldChar w:fldCharType="begin"/>
    </w:r>
    <w:r>
      <w:instrText xml:space="preserve"> PAGE   \* MERGEFORMAT </w:instrText>
    </w:r>
    <w:r>
      <w:fldChar w:fldCharType="separate"/>
    </w:r>
    <w:r>
      <w:rPr>
        <w:sz w:val="20"/>
      </w:rPr>
      <w:t>8</w:t>
    </w:r>
    <w:r>
      <w:rPr>
        <w:sz w:val="20"/>
      </w:rPr>
      <w:fldChar w:fldCharType="end"/>
    </w:r>
    <w:r>
      <w:rPr>
        <w:sz w:val="20"/>
      </w:rPr>
      <w:tab/>
      <w:t xml:space="preserve"> </w:t>
    </w:r>
  </w:p>
  <w:p w:rsidR="005E3C04" w:rsidRDefault="00546A19">
    <w:pPr>
      <w:spacing w:after="0" w:line="259" w:lineRule="auto"/>
      <w:ind w:left="0" w:right="0" w:firstLine="0"/>
      <w:jc w:val="left"/>
    </w:pPr>
    <w:r>
      <w:rPr>
        <w:sz w:val="20"/>
      </w:rPr>
      <w:t xml:space="preserve">v1.0 04/08/2021 </w:t>
    </w:r>
  </w:p>
  <w:p w:rsidR="005E3C04" w:rsidRDefault="00546A19">
    <w:pPr>
      <w:spacing w:after="0" w:line="259" w:lineRule="auto"/>
      <w:ind w:left="0" w:right="0" w:firstLine="0"/>
      <w:jc w:val="left"/>
    </w:pPr>
    <w:r>
      <w:rPr>
        <w:sz w:val="20"/>
      </w:rPr>
      <w:t xml:space="preserve">© Crown Copyright 2020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46A19">
    <w:pPr>
      <w:tabs>
        <w:tab w:val="right" w:pos="9875"/>
      </w:tabs>
      <w:spacing w:after="0" w:line="259" w:lineRule="auto"/>
      <w:ind w:left="0" w:right="-748" w:firstLine="0"/>
      <w:jc w:val="left"/>
    </w:pPr>
    <w:r>
      <w:rPr>
        <w:sz w:val="20"/>
      </w:rPr>
      <w:t xml:space="preserve">Provision of Linguistic Services for UK MoD Global </w:t>
    </w:r>
    <w:r>
      <w:rPr>
        <w:sz w:val="20"/>
      </w:rPr>
      <w:tab/>
    </w:r>
    <w:r>
      <w:rPr>
        <w:rFonts w:ascii="Arial" w:eastAsia="Arial" w:hAnsi="Arial" w:cs="Arial"/>
      </w:rPr>
      <w:t xml:space="preserve">OFFICIAL-SENSITIVE COMMERCIAL </w:t>
    </w:r>
    <w:r>
      <w:rPr>
        <w:sz w:val="20"/>
      </w:rPr>
      <w:t xml:space="preserve">Operations </w:t>
    </w:r>
  </w:p>
  <w:p w:rsidR="005E3C04" w:rsidRDefault="00546A19">
    <w:pPr>
      <w:spacing w:after="0" w:line="259" w:lineRule="auto"/>
      <w:ind w:left="0" w:right="0" w:firstLine="0"/>
      <w:jc w:val="left"/>
    </w:pPr>
    <w:r>
      <w:rPr>
        <w:sz w:val="20"/>
      </w:rPr>
      <w:t xml:space="preserve">MoD Reference: 701577402 </w:t>
    </w:r>
  </w:p>
  <w:p w:rsidR="005E3C04" w:rsidRDefault="00546A19">
    <w:pPr>
      <w:tabs>
        <w:tab w:val="center" w:pos="1044"/>
      </w:tabs>
      <w:spacing w:after="0" w:line="259" w:lineRule="auto"/>
      <w:ind w:left="0" w:right="0" w:firstLine="0"/>
      <w:jc w:val="left"/>
    </w:pPr>
    <w:r>
      <w:rPr>
        <w:sz w:val="20"/>
      </w:rPr>
      <w:t xml:space="preserve">Page </w:t>
    </w:r>
    <w:r>
      <w:fldChar w:fldCharType="begin"/>
    </w:r>
    <w:r>
      <w:instrText xml:space="preserve"> PAGE   \* MERGEFORMAT </w:instrText>
    </w:r>
    <w:r>
      <w:fldChar w:fldCharType="separate"/>
    </w:r>
    <w:r w:rsidR="00854532" w:rsidRPr="00854532">
      <w:rPr>
        <w:noProof/>
        <w:sz w:val="20"/>
      </w:rPr>
      <w:t>12</w:t>
    </w:r>
    <w:r>
      <w:rPr>
        <w:sz w:val="20"/>
      </w:rPr>
      <w:fldChar w:fldCharType="end"/>
    </w:r>
    <w:r>
      <w:rPr>
        <w:sz w:val="20"/>
      </w:rPr>
      <w:tab/>
      <w:t xml:space="preserve"> </w:t>
    </w:r>
  </w:p>
  <w:p w:rsidR="005E3C04" w:rsidRDefault="00546A19">
    <w:pPr>
      <w:spacing w:after="0" w:line="259" w:lineRule="auto"/>
      <w:ind w:left="0" w:right="0" w:firstLine="0"/>
      <w:jc w:val="left"/>
    </w:pPr>
    <w:r>
      <w:rPr>
        <w:sz w:val="20"/>
      </w:rPr>
      <w:t xml:space="preserve">v1.0 04/08/2021 </w:t>
    </w:r>
  </w:p>
  <w:p w:rsidR="005E3C04" w:rsidRDefault="00546A19">
    <w:pPr>
      <w:spacing w:after="0" w:line="259" w:lineRule="auto"/>
      <w:ind w:left="0" w:right="0" w:firstLine="0"/>
      <w:jc w:val="left"/>
    </w:pPr>
    <w:r>
      <w:rPr>
        <w:sz w:val="20"/>
      </w:rPr>
      <w:t xml:space="preserve">© Crown Copyright 2020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46A19">
    <w:pPr>
      <w:tabs>
        <w:tab w:val="right" w:pos="9875"/>
      </w:tabs>
      <w:spacing w:after="0" w:line="259" w:lineRule="auto"/>
      <w:ind w:left="0" w:right="-748" w:firstLine="0"/>
      <w:jc w:val="left"/>
    </w:pPr>
    <w:r>
      <w:rPr>
        <w:sz w:val="20"/>
      </w:rPr>
      <w:t xml:space="preserve">Provision of Linguistic Services for UK MoD Global </w:t>
    </w:r>
    <w:r>
      <w:rPr>
        <w:sz w:val="20"/>
      </w:rPr>
      <w:tab/>
    </w:r>
    <w:r>
      <w:rPr>
        <w:rFonts w:ascii="Arial" w:eastAsia="Arial" w:hAnsi="Arial" w:cs="Arial"/>
      </w:rPr>
      <w:t>OFFICIAL</w:t>
    </w:r>
    <w:r>
      <w:rPr>
        <w:rFonts w:ascii="Arial" w:eastAsia="Arial" w:hAnsi="Arial" w:cs="Arial"/>
      </w:rPr>
      <w:t xml:space="preserve">-SENSITIVE COMMERCIAL </w:t>
    </w:r>
    <w:r>
      <w:rPr>
        <w:sz w:val="20"/>
      </w:rPr>
      <w:t xml:space="preserve">Operations </w:t>
    </w:r>
  </w:p>
  <w:p w:rsidR="005E3C04" w:rsidRDefault="00546A19">
    <w:pPr>
      <w:spacing w:after="0" w:line="259" w:lineRule="auto"/>
      <w:ind w:left="0" w:right="0" w:firstLine="0"/>
      <w:jc w:val="left"/>
    </w:pPr>
    <w:r>
      <w:rPr>
        <w:sz w:val="20"/>
      </w:rPr>
      <w:t xml:space="preserve">MoD Reference: 701577402 </w:t>
    </w:r>
  </w:p>
  <w:p w:rsidR="005E3C04" w:rsidRDefault="00546A19">
    <w:pPr>
      <w:tabs>
        <w:tab w:val="center" w:pos="1044"/>
      </w:tabs>
      <w:spacing w:after="0" w:line="259" w:lineRule="auto"/>
      <w:ind w:left="0" w:right="0" w:firstLine="0"/>
      <w:jc w:val="left"/>
    </w:pPr>
    <w:r>
      <w:rPr>
        <w:sz w:val="20"/>
      </w:rPr>
      <w:t xml:space="preserve">Page </w:t>
    </w:r>
    <w:r>
      <w:fldChar w:fldCharType="begin"/>
    </w:r>
    <w:r>
      <w:instrText xml:space="preserve"> PAGE   \* MERGEFORMAT </w:instrText>
    </w:r>
    <w:r>
      <w:fldChar w:fldCharType="separate"/>
    </w:r>
    <w:r>
      <w:rPr>
        <w:sz w:val="20"/>
      </w:rPr>
      <w:t>8</w:t>
    </w:r>
    <w:r>
      <w:rPr>
        <w:sz w:val="20"/>
      </w:rPr>
      <w:fldChar w:fldCharType="end"/>
    </w:r>
    <w:r>
      <w:rPr>
        <w:sz w:val="20"/>
      </w:rPr>
      <w:tab/>
      <w:t xml:space="preserve"> </w:t>
    </w:r>
  </w:p>
  <w:p w:rsidR="005E3C04" w:rsidRDefault="00546A19">
    <w:pPr>
      <w:spacing w:after="0" w:line="259" w:lineRule="auto"/>
      <w:ind w:left="0" w:right="0" w:firstLine="0"/>
      <w:jc w:val="left"/>
    </w:pPr>
    <w:r>
      <w:rPr>
        <w:sz w:val="20"/>
      </w:rPr>
      <w:t xml:space="preserve">v1.0 04/08/2021 </w:t>
    </w:r>
  </w:p>
  <w:p w:rsidR="005E3C04" w:rsidRDefault="00546A19">
    <w:pPr>
      <w:spacing w:after="0" w:line="259" w:lineRule="auto"/>
      <w:ind w:left="0" w:right="0" w:firstLine="0"/>
      <w:jc w:val="left"/>
    </w:pPr>
    <w:r>
      <w:rPr>
        <w:sz w:val="20"/>
      </w:rPr>
      <w:t xml:space="preserve">© Crown Copyright 2020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E3C04">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E3C04">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E3C0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A19" w:rsidRDefault="00546A19">
      <w:pPr>
        <w:spacing w:after="0" w:line="259" w:lineRule="auto"/>
        <w:ind w:left="0" w:right="0" w:firstLine="0"/>
        <w:jc w:val="left"/>
      </w:pPr>
      <w:r>
        <w:separator/>
      </w:r>
    </w:p>
  </w:footnote>
  <w:footnote w:type="continuationSeparator" w:id="0">
    <w:p w:rsidR="00546A19" w:rsidRDefault="00546A19">
      <w:pPr>
        <w:spacing w:after="0" w:line="259" w:lineRule="auto"/>
        <w:ind w:left="0" w:right="0" w:firstLine="0"/>
        <w:jc w:val="left"/>
      </w:pPr>
      <w:r>
        <w:continuationSeparator/>
      </w:r>
    </w:p>
  </w:footnote>
  <w:footnote w:id="1">
    <w:p w:rsidR="005E3C04" w:rsidRDefault="00546A19">
      <w:pPr>
        <w:pStyle w:val="footnotedescription"/>
      </w:pPr>
      <w:r>
        <w:rPr>
          <w:rStyle w:val="footnotemark"/>
        </w:rPr>
        <w:footnoteRef/>
      </w:r>
      <w:r>
        <w:t xml:space="preserve"> </w:t>
      </w:r>
      <w:hyperlink r:id="rId1">
        <w:r>
          <w:t>https://www.dstan.mod.uk/StanMIS/DefStan/Edit/3882</w:t>
        </w:r>
      </w:hyperlink>
      <w:hyperlink r:id="rId2">
        <w:r>
          <w:rPr>
            <w:color w:val="000000"/>
            <w:u w:val="none" w:color="000000"/>
          </w:rPr>
          <w:t xml:space="preserve"> </w:t>
        </w:r>
      </w:hyperlink>
    </w:p>
  </w:footnote>
  <w:footnote w:id="2">
    <w:p w:rsidR="005E3C04" w:rsidRDefault="00546A19">
      <w:pPr>
        <w:pStyle w:val="footnotedescription"/>
        <w:spacing w:line="265" w:lineRule="auto"/>
      </w:pPr>
      <w:r>
        <w:rPr>
          <w:rStyle w:val="footnotemark"/>
        </w:rPr>
        <w:footnoteRef/>
      </w:r>
      <w:r>
        <w:t xml:space="preserve"> </w:t>
      </w:r>
      <w:r>
        <w:rPr>
          <w:color w:val="000000"/>
          <w:u w:val="none" w:color="000000"/>
        </w:rPr>
        <w:t>The language proficiency levels for each location are also provi</w:t>
      </w:r>
      <w:r>
        <w:rPr>
          <w:color w:val="000000"/>
          <w:u w:val="none" w:color="000000"/>
        </w:rPr>
        <w:t xml:space="preserve">ded at Appendix 1 to this SOR for all LRW, TCN and UKN CONDO linguists. </w:t>
      </w:r>
    </w:p>
  </w:footnote>
  <w:footnote w:id="3">
    <w:p w:rsidR="005E3C04" w:rsidRDefault="00546A19">
      <w:pPr>
        <w:pStyle w:val="footnotedescription"/>
      </w:pPr>
      <w:r>
        <w:rPr>
          <w:rStyle w:val="footnotemark"/>
        </w:rPr>
        <w:footnoteRef/>
      </w:r>
      <w:r>
        <w:t xml:space="preserve"> </w:t>
      </w:r>
      <w:hyperlink r:id="rId3">
        <w:r>
          <w:t>https://www.natobilc.org/en/products/stanag</w:t>
        </w:r>
      </w:hyperlink>
      <w:hyperlink r:id="rId4">
        <w:r>
          <w:t>-</w:t>
        </w:r>
      </w:hyperlink>
      <w:hyperlink r:id="rId5">
        <w:r>
          <w:t>60011142_stanag</w:t>
        </w:r>
      </w:hyperlink>
      <w:hyperlink r:id="rId6">
        <w:r>
          <w:t>-</w:t>
        </w:r>
      </w:hyperlink>
      <w:hyperlink r:id="rId7">
        <w:r>
          <w:t>6001/</w:t>
        </w:r>
      </w:hyperlink>
      <w:hyperlink r:id="rId8">
        <w:r>
          <w:rPr>
            <w:color w:val="000000"/>
            <w:u w:val="none" w:color="000000"/>
          </w:rPr>
          <w:t xml:space="preserve"> </w:t>
        </w:r>
      </w:hyperlink>
    </w:p>
  </w:footnote>
  <w:footnote w:id="4">
    <w:p w:rsidR="005E3C04" w:rsidRDefault="00546A19">
      <w:pPr>
        <w:pStyle w:val="footnotedescription"/>
      </w:pPr>
      <w:r>
        <w:rPr>
          <w:rStyle w:val="footnotemark"/>
        </w:rPr>
        <w:footnoteRef/>
      </w:r>
      <w:r>
        <w:t xml:space="preserve"> </w:t>
      </w:r>
      <w:hyperlink r:id="rId9">
        <w:r>
          <w:t>https://www.natobilc.org/en/products/stanag</w:t>
        </w:r>
      </w:hyperlink>
      <w:hyperlink r:id="rId10">
        <w:r>
          <w:t>-</w:t>
        </w:r>
      </w:hyperlink>
      <w:hyperlink r:id="rId11">
        <w:r>
          <w:t>60011142_stanag</w:t>
        </w:r>
      </w:hyperlink>
      <w:hyperlink r:id="rId12">
        <w:r>
          <w:t>-</w:t>
        </w:r>
      </w:hyperlink>
      <w:hyperlink r:id="rId13">
        <w:r>
          <w:t>6001/</w:t>
        </w:r>
      </w:hyperlink>
      <w:hyperlink r:id="rId14">
        <w:r>
          <w:rPr>
            <w:color w:val="000000"/>
            <w:u w:val="none" w:color="000000"/>
          </w:rPr>
          <w:t xml:space="preserve"> </w:t>
        </w:r>
      </w:hyperlink>
    </w:p>
  </w:footnote>
  <w:footnote w:id="5">
    <w:p w:rsidR="005E3C04" w:rsidRDefault="00546A19">
      <w:pPr>
        <w:pStyle w:val="footnotedescription"/>
      </w:pPr>
      <w:r>
        <w:rPr>
          <w:rStyle w:val="footnotemark"/>
        </w:rPr>
        <w:footnoteRef/>
      </w:r>
      <w:r>
        <w:t xml:space="preserve"> </w:t>
      </w:r>
      <w:hyperlink r:id="rId15">
        <w:r>
          <w:t>https://www.gov.uk/government/publications/government</w:t>
        </w:r>
      </w:hyperlink>
      <w:hyperlink r:id="rId16">
        <w:r>
          <w:t>-</w:t>
        </w:r>
      </w:hyperlink>
      <w:hyperlink r:id="rId17">
        <w:r>
          <w:t>baseline</w:t>
        </w:r>
      </w:hyperlink>
      <w:hyperlink r:id="rId18">
        <w:r>
          <w:t>-</w:t>
        </w:r>
      </w:hyperlink>
      <w:hyperlink r:id="rId19">
        <w:r>
          <w:t>personnel</w:t>
        </w:r>
      </w:hyperlink>
      <w:hyperlink r:id="rId20">
        <w:r>
          <w:t>-</w:t>
        </w:r>
      </w:hyperlink>
      <w:hyperlink r:id="rId21">
        <w:r>
          <w:t>security</w:t>
        </w:r>
      </w:hyperlink>
      <w:hyperlink r:id="rId22">
        <w:r>
          <w:t>-</w:t>
        </w:r>
      </w:hyperlink>
      <w:hyperlink r:id="rId23">
        <w:r>
          <w:t>standard</w:t>
        </w:r>
      </w:hyperlink>
      <w:hyperlink r:id="rId24">
        <w:r>
          <w:rPr>
            <w:color w:val="000000"/>
            <w:u w:val="none" w:color="000000"/>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46A19">
    <w:pPr>
      <w:tabs>
        <w:tab w:val="center" w:pos="5094"/>
      </w:tabs>
      <w:spacing w:after="0" w:line="259" w:lineRule="auto"/>
      <w:ind w:left="0" w:right="0" w:firstLine="0"/>
      <w:jc w:val="left"/>
    </w:pPr>
    <w:r>
      <w:rPr>
        <w:sz w:val="20"/>
      </w:rPr>
      <w:t xml:space="preserve">Call-Off Schedule 20 </w:t>
    </w:r>
    <w:r>
      <w:rPr>
        <w:sz w:val="20"/>
      </w:rPr>
      <w:tab/>
    </w:r>
    <w:r>
      <w:rPr>
        <w:rFonts w:ascii="Arial" w:eastAsia="Arial" w:hAnsi="Arial" w:cs="Arial"/>
      </w:rPr>
      <w:t>OFFICIAL-SENSITIVE COMMERCIAL</w:t>
    </w:r>
    <w:r>
      <w:rPr>
        <w:sz w:val="20"/>
      </w:rPr>
      <w:t xml:space="preserve">(Specification) </w:t>
    </w:r>
  </w:p>
  <w:p w:rsidR="005E3C04" w:rsidRDefault="00546A19">
    <w:pPr>
      <w:spacing w:after="0" w:line="259" w:lineRule="auto"/>
      <w:ind w:left="0" w:right="0" w:firstLine="0"/>
      <w:jc w:val="left"/>
    </w:pPr>
    <w:r>
      <w:rPr>
        <w:sz w:val="20"/>
      </w:rPr>
      <w:t>Call-O</w:t>
    </w:r>
    <w:r>
      <w:rPr>
        <w:sz w:val="20"/>
      </w:rPr>
      <w:t xml:space="preserve">ff Ref: CCZW21A03 </w:t>
    </w:r>
  </w:p>
  <w:p w:rsidR="005E3C04" w:rsidRDefault="00546A19">
    <w:pPr>
      <w:spacing w:after="18" w:line="259" w:lineRule="auto"/>
      <w:ind w:left="0" w:right="0" w:firstLine="0"/>
      <w:jc w:val="left"/>
    </w:pPr>
    <w:r>
      <w:rPr>
        <w:sz w:val="20"/>
      </w:rPr>
      <w:t xml:space="preserve">Crown Copyright 2020 </w:t>
    </w:r>
  </w:p>
  <w:p w:rsidR="005E3C04" w:rsidRDefault="00546A19">
    <w:pPr>
      <w:spacing w:after="0" w:line="259" w:lineRule="auto"/>
      <w:ind w:left="0" w:right="0" w:firstLine="0"/>
      <w:jc w:val="lef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46A19" w:rsidP="00854532">
    <w:pPr>
      <w:tabs>
        <w:tab w:val="center" w:pos="5094"/>
      </w:tabs>
      <w:spacing w:after="0" w:line="259" w:lineRule="auto"/>
      <w:ind w:left="0" w:right="0" w:firstLine="0"/>
      <w:jc w:val="left"/>
    </w:pPr>
    <w:r>
      <w:rPr>
        <w:sz w:val="20"/>
      </w:rPr>
      <w:tab/>
    </w:r>
    <w:r>
      <w:rPr>
        <w:rFonts w:ascii="Arial" w:eastAsia="Arial" w:hAnsi="Arial" w:cs="Arial"/>
      </w:rPr>
      <w:t>OFFICIAL-SENSITIVE COMMERCIAL</w:t>
    </w:r>
    <w:r>
      <w:rPr>
        <w:sz w:val="20"/>
      </w:rPr>
      <w:t xml:space="preserve">(Specification) </w:t>
    </w:r>
  </w:p>
  <w:p w:rsidR="005E3C04" w:rsidRDefault="00546A19">
    <w:pPr>
      <w:spacing w:after="0" w:line="259" w:lineRule="auto"/>
      <w:ind w:left="0" w:right="0" w:firstLine="0"/>
      <w:jc w:val="left"/>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46A19">
    <w:pPr>
      <w:tabs>
        <w:tab w:val="center" w:pos="5094"/>
      </w:tabs>
      <w:spacing w:after="0" w:line="259" w:lineRule="auto"/>
      <w:ind w:left="0" w:right="0" w:firstLine="0"/>
      <w:jc w:val="left"/>
    </w:pPr>
    <w:r>
      <w:rPr>
        <w:sz w:val="20"/>
      </w:rPr>
      <w:t xml:space="preserve">Call-Off Schedule 20 </w:t>
    </w:r>
    <w:r>
      <w:rPr>
        <w:sz w:val="20"/>
      </w:rPr>
      <w:tab/>
    </w:r>
    <w:r>
      <w:rPr>
        <w:rFonts w:ascii="Arial" w:eastAsia="Arial" w:hAnsi="Arial" w:cs="Arial"/>
      </w:rPr>
      <w:t>OFFICIAL-SENSITIVE COMMERCIAL</w:t>
    </w:r>
    <w:r>
      <w:rPr>
        <w:sz w:val="20"/>
      </w:rPr>
      <w:t xml:space="preserve">(Specification) </w:t>
    </w:r>
  </w:p>
  <w:p w:rsidR="005E3C04" w:rsidRDefault="00546A19">
    <w:pPr>
      <w:spacing w:after="0" w:line="259" w:lineRule="auto"/>
      <w:ind w:left="0" w:right="0" w:firstLine="0"/>
      <w:jc w:val="left"/>
    </w:pPr>
    <w:r>
      <w:rPr>
        <w:sz w:val="20"/>
      </w:rPr>
      <w:t xml:space="preserve">Call-Off Ref: CCZW21A03 </w:t>
    </w:r>
  </w:p>
  <w:p w:rsidR="005E3C04" w:rsidRDefault="00546A19">
    <w:pPr>
      <w:spacing w:after="18" w:line="259" w:lineRule="auto"/>
      <w:ind w:left="0" w:right="0" w:firstLine="0"/>
      <w:jc w:val="left"/>
    </w:pPr>
    <w:r>
      <w:rPr>
        <w:sz w:val="20"/>
      </w:rPr>
      <w:t xml:space="preserve">Crown Copyright 2020 </w:t>
    </w:r>
  </w:p>
  <w:p w:rsidR="005E3C04" w:rsidRDefault="00546A19">
    <w:pPr>
      <w:spacing w:after="0" w:line="259" w:lineRule="auto"/>
      <w:ind w:left="0" w:right="0" w:firstLine="0"/>
      <w:jc w:val="left"/>
    </w:pPr>
    <w:r>
      <w:rPr>
        <w: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46A19">
    <w:pPr>
      <w:tabs>
        <w:tab w:val="right" w:pos="9128"/>
      </w:tabs>
      <w:spacing w:after="0" w:line="259" w:lineRule="auto"/>
      <w:ind w:left="0" w:right="0" w:firstLine="0"/>
      <w:jc w:val="left"/>
    </w:pPr>
    <w:r>
      <w:rPr>
        <w:sz w:val="20"/>
      </w:rPr>
      <w:t xml:space="preserve">Call-Off Schedule 20 (Specification) </w:t>
    </w:r>
    <w:r>
      <w:rPr>
        <w:sz w:val="20"/>
      </w:rPr>
      <w:tab/>
    </w:r>
    <w:r>
      <w:rPr>
        <w:rFonts w:ascii="Arial" w:eastAsia="Arial" w:hAnsi="Arial" w:cs="Arial"/>
      </w:rPr>
      <w:t>OFFICIAL-</w:t>
    </w:r>
    <w:r>
      <w:rPr>
        <w:rFonts w:ascii="Arial" w:eastAsia="Arial" w:hAnsi="Arial" w:cs="Arial"/>
      </w:rPr>
      <w:t xml:space="preserve">SENSITIVE COMMERCIAL </w:t>
    </w:r>
  </w:p>
  <w:p w:rsidR="005E3C04" w:rsidRDefault="00546A19">
    <w:pPr>
      <w:spacing w:after="0" w:line="259" w:lineRule="auto"/>
      <w:ind w:left="0" w:right="0" w:firstLine="0"/>
      <w:jc w:val="left"/>
    </w:pPr>
    <w:r>
      <w:rPr>
        <w:sz w:val="20"/>
      </w:rPr>
      <w:t xml:space="preserve">Call-Off Ref: CCZW21A03 </w:t>
    </w:r>
  </w:p>
  <w:p w:rsidR="005E3C04" w:rsidRDefault="00546A19">
    <w:pPr>
      <w:spacing w:after="19" w:line="259" w:lineRule="auto"/>
      <w:ind w:left="0" w:right="0" w:firstLine="0"/>
      <w:jc w:val="left"/>
    </w:pPr>
    <w:r>
      <w:rPr>
        <w:sz w:val="20"/>
      </w:rPr>
      <w:t xml:space="preserve">Crown Copyright 2020 </w:t>
    </w:r>
  </w:p>
  <w:p w:rsidR="005E3C04" w:rsidRDefault="00546A19">
    <w:pPr>
      <w:spacing w:after="0" w:line="259" w:lineRule="auto"/>
      <w:ind w:left="0" w:right="0" w:firstLine="0"/>
      <w:jc w:val="left"/>
    </w:pPr>
    <w:r>
      <w:rPr>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46A19">
    <w:pPr>
      <w:tabs>
        <w:tab w:val="right" w:pos="9128"/>
      </w:tabs>
      <w:spacing w:after="0" w:line="259" w:lineRule="auto"/>
      <w:ind w:left="0" w:right="0" w:firstLine="0"/>
      <w:jc w:val="left"/>
    </w:pPr>
    <w:r>
      <w:rPr>
        <w:sz w:val="20"/>
      </w:rPr>
      <w:t xml:space="preserve">Call-Off Schedule 20 (Specification) </w:t>
    </w:r>
    <w:r>
      <w:rPr>
        <w:sz w:val="20"/>
      </w:rPr>
      <w:tab/>
    </w:r>
    <w:r>
      <w:rPr>
        <w:rFonts w:ascii="Arial" w:eastAsia="Arial" w:hAnsi="Arial" w:cs="Arial"/>
      </w:rPr>
      <w:t xml:space="preserve">OFFICIAL-SENSITIVE COMMERCIAL </w:t>
    </w:r>
  </w:p>
  <w:p w:rsidR="005E3C04" w:rsidRDefault="00546A19">
    <w:pPr>
      <w:spacing w:after="0" w:line="259" w:lineRule="auto"/>
      <w:ind w:left="0" w:right="0" w:firstLine="0"/>
      <w:jc w:val="left"/>
    </w:pPr>
    <w:r>
      <w:rPr>
        <w:sz w:val="20"/>
      </w:rPr>
      <w:t xml:space="preserve">Call-Off Ref: CCZW21A03 </w:t>
    </w:r>
  </w:p>
  <w:p w:rsidR="005E3C04" w:rsidRDefault="00546A19">
    <w:pPr>
      <w:spacing w:after="19" w:line="259" w:lineRule="auto"/>
      <w:ind w:left="0" w:right="0" w:firstLine="0"/>
      <w:jc w:val="left"/>
    </w:pPr>
    <w:r>
      <w:rPr>
        <w:sz w:val="20"/>
      </w:rPr>
      <w:t xml:space="preserve">Crown Copyright 2020 </w:t>
    </w:r>
  </w:p>
  <w:p w:rsidR="005E3C04" w:rsidRDefault="00546A19">
    <w:pPr>
      <w:spacing w:after="0" w:line="259" w:lineRule="auto"/>
      <w:ind w:left="0" w:right="0" w:firstLine="0"/>
      <w:jc w:val="left"/>
    </w:pPr>
    <w:r>
      <w:rPr>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46A19">
    <w:pPr>
      <w:tabs>
        <w:tab w:val="right" w:pos="9128"/>
      </w:tabs>
      <w:spacing w:after="0" w:line="259" w:lineRule="auto"/>
      <w:ind w:left="0" w:right="0" w:firstLine="0"/>
      <w:jc w:val="left"/>
    </w:pPr>
    <w:r>
      <w:rPr>
        <w:sz w:val="20"/>
      </w:rPr>
      <w:t xml:space="preserve">Call-Off Schedule 20 (Specification) </w:t>
    </w:r>
    <w:r>
      <w:rPr>
        <w:sz w:val="20"/>
      </w:rPr>
      <w:tab/>
    </w:r>
    <w:r>
      <w:rPr>
        <w:rFonts w:ascii="Arial" w:eastAsia="Arial" w:hAnsi="Arial" w:cs="Arial"/>
      </w:rPr>
      <w:t>OFFICIAL-SENSITIVE COMMERCIAL</w:t>
    </w:r>
    <w:r>
      <w:rPr>
        <w:rFonts w:ascii="Arial" w:eastAsia="Arial" w:hAnsi="Arial" w:cs="Arial"/>
      </w:rPr>
      <w:t xml:space="preserve"> </w:t>
    </w:r>
  </w:p>
  <w:p w:rsidR="005E3C04" w:rsidRDefault="00546A19">
    <w:pPr>
      <w:spacing w:after="0" w:line="259" w:lineRule="auto"/>
      <w:ind w:left="0" w:right="0" w:firstLine="0"/>
      <w:jc w:val="left"/>
    </w:pPr>
    <w:r>
      <w:rPr>
        <w:sz w:val="20"/>
      </w:rPr>
      <w:t xml:space="preserve">Call-Off Ref: CCZW21A03 </w:t>
    </w:r>
  </w:p>
  <w:p w:rsidR="005E3C04" w:rsidRDefault="00546A19">
    <w:pPr>
      <w:spacing w:after="19" w:line="259" w:lineRule="auto"/>
      <w:ind w:left="0" w:right="0" w:firstLine="0"/>
      <w:jc w:val="left"/>
    </w:pPr>
    <w:r>
      <w:rPr>
        <w:sz w:val="20"/>
      </w:rPr>
      <w:t xml:space="preserve">Crown Copyright 2020 </w:t>
    </w:r>
  </w:p>
  <w:p w:rsidR="005E3C04" w:rsidRDefault="00546A19">
    <w:pPr>
      <w:spacing w:after="0" w:line="259" w:lineRule="auto"/>
      <w:ind w:left="0" w:right="0" w:firstLine="0"/>
      <w:jc w:val="left"/>
    </w:pPr>
    <w:r>
      <w:rPr>
        <w:b/>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E3C04">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E3C04">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4" w:rsidRDefault="005E3C0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82207"/>
    <w:multiLevelType w:val="hybridMultilevel"/>
    <w:tmpl w:val="1B9A6A9E"/>
    <w:lvl w:ilvl="0" w:tplc="A24A9A4C">
      <w:start w:val="1"/>
      <w:numFmt w:val="lowerLetter"/>
      <w:lvlText w:val="(%1)"/>
      <w:lvlJc w:val="left"/>
      <w:pPr>
        <w:ind w:left="3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90A10E">
      <w:start w:val="1"/>
      <w:numFmt w:val="lowerLetter"/>
      <w:lvlText w:val="%2"/>
      <w:lvlJc w:val="left"/>
      <w:pPr>
        <w:ind w:left="3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2EEFD4">
      <w:start w:val="1"/>
      <w:numFmt w:val="lowerRoman"/>
      <w:lvlText w:val="%3"/>
      <w:lvlJc w:val="left"/>
      <w:pPr>
        <w:ind w:left="37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EC772A">
      <w:start w:val="1"/>
      <w:numFmt w:val="decimal"/>
      <w:lvlText w:val="%4"/>
      <w:lvlJc w:val="left"/>
      <w:pPr>
        <w:ind w:left="4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F0B2EC">
      <w:start w:val="1"/>
      <w:numFmt w:val="lowerLetter"/>
      <w:lvlText w:val="%5"/>
      <w:lvlJc w:val="left"/>
      <w:pPr>
        <w:ind w:left="5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E848B4">
      <w:start w:val="1"/>
      <w:numFmt w:val="lowerRoman"/>
      <w:lvlText w:val="%6"/>
      <w:lvlJc w:val="left"/>
      <w:pPr>
        <w:ind w:left="5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146C36">
      <w:start w:val="1"/>
      <w:numFmt w:val="decimal"/>
      <w:lvlText w:val="%7"/>
      <w:lvlJc w:val="left"/>
      <w:pPr>
        <w:ind w:left="6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16F4D2">
      <w:start w:val="1"/>
      <w:numFmt w:val="lowerLetter"/>
      <w:lvlText w:val="%8"/>
      <w:lvlJc w:val="left"/>
      <w:pPr>
        <w:ind w:left="7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464D24">
      <w:start w:val="1"/>
      <w:numFmt w:val="lowerRoman"/>
      <w:lvlText w:val="%9"/>
      <w:lvlJc w:val="left"/>
      <w:pPr>
        <w:ind w:left="8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5B4582"/>
    <w:multiLevelType w:val="multilevel"/>
    <w:tmpl w:val="96F4AC60"/>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939422A"/>
    <w:multiLevelType w:val="multilevel"/>
    <w:tmpl w:val="156C0F2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2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C04"/>
    <w:rsid w:val="00546A19"/>
    <w:rsid w:val="005E3C04"/>
    <w:rsid w:val="0085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8C7C7"/>
  <w15:docId w15:val="{6EC60DE3-5849-46E3-888A-9940BE68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6" w:line="250" w:lineRule="auto"/>
      <w:ind w:left="718" w:right="9" w:hanging="718"/>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50"/>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134"/>
      <w:ind w:left="579"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134"/>
      <w:ind w:left="579"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paragraph" w:customStyle="1" w:styleId="footnotedescription">
    <w:name w:val="footnote description"/>
    <w:next w:val="Normal"/>
    <w:link w:val="footnotedescriptionChar"/>
    <w:hidden/>
    <w:pPr>
      <w:spacing w:after="0"/>
    </w:pPr>
    <w:rPr>
      <w:rFonts w:ascii="Calibri" w:eastAsia="Calibri" w:hAnsi="Calibri" w:cs="Calibri"/>
      <w:color w:val="0000FF"/>
      <w:sz w:val="20"/>
      <w:u w:val="single" w:color="0000FF"/>
    </w:rPr>
  </w:style>
  <w:style w:type="character" w:customStyle="1" w:styleId="footnotedescriptionChar">
    <w:name w:val="footnote description Char"/>
    <w:link w:val="footnotedescription"/>
    <w:rPr>
      <w:rFonts w:ascii="Calibri" w:eastAsia="Calibri" w:hAnsi="Calibri" w:cs="Calibri"/>
      <w:color w:val="0000FF"/>
      <w:sz w:val="20"/>
      <w:u w:val="single" w:color="0000FF"/>
    </w:rPr>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_rels/footnotes.xml.rels><?xml version="1.0" encoding="UTF-8" standalone="yes"?>
<Relationships xmlns="http://schemas.openxmlformats.org/package/2006/relationships"><Relationship Id="rId8" Type="http://schemas.openxmlformats.org/officeDocument/2006/relationships/hyperlink" Target="https://www.natobilc.org/en/products/stanag-60011142_stanag-6001/" TargetMode="External"/><Relationship Id="rId13" Type="http://schemas.openxmlformats.org/officeDocument/2006/relationships/hyperlink" Target="https://www.natobilc.org/en/products/stanag-60011142_stanag-6001/" TargetMode="External"/><Relationship Id="rId18" Type="http://schemas.openxmlformats.org/officeDocument/2006/relationships/hyperlink" Target="https://www.gov.uk/government/publications/government-baseline-personnel-security-standard" TargetMode="External"/><Relationship Id="rId3" Type="http://schemas.openxmlformats.org/officeDocument/2006/relationships/hyperlink" Target="https://www.natobilc.org/en/products/stanag-60011142_stanag-6001/" TargetMode="External"/><Relationship Id="rId21" Type="http://schemas.openxmlformats.org/officeDocument/2006/relationships/hyperlink" Target="https://www.gov.uk/government/publications/government-baseline-personnel-security-standard" TargetMode="External"/><Relationship Id="rId7" Type="http://schemas.openxmlformats.org/officeDocument/2006/relationships/hyperlink" Target="https://www.natobilc.org/en/products/stanag-60011142_stanag-6001/" TargetMode="External"/><Relationship Id="rId12" Type="http://schemas.openxmlformats.org/officeDocument/2006/relationships/hyperlink" Target="https://www.natobilc.org/en/products/stanag-60011142_stanag-6001/" TargetMode="External"/><Relationship Id="rId17" Type="http://schemas.openxmlformats.org/officeDocument/2006/relationships/hyperlink" Target="https://www.gov.uk/government/publications/government-baseline-personnel-security-standard" TargetMode="External"/><Relationship Id="rId2" Type="http://schemas.openxmlformats.org/officeDocument/2006/relationships/hyperlink" Target="https://www.dstan.mod.uk/StanMIS/DefStan/Edit/3882" TargetMode="External"/><Relationship Id="rId16" Type="http://schemas.openxmlformats.org/officeDocument/2006/relationships/hyperlink" Target="https://www.gov.uk/government/publications/government-baseline-personnel-security-standard" TargetMode="External"/><Relationship Id="rId20" Type="http://schemas.openxmlformats.org/officeDocument/2006/relationships/hyperlink" Target="https://www.gov.uk/government/publications/government-baseline-personnel-security-standard" TargetMode="External"/><Relationship Id="rId1" Type="http://schemas.openxmlformats.org/officeDocument/2006/relationships/hyperlink" Target="https://www.dstan.mod.uk/StanMIS/DefStan/Edit/3882" TargetMode="External"/><Relationship Id="rId6" Type="http://schemas.openxmlformats.org/officeDocument/2006/relationships/hyperlink" Target="https://www.natobilc.org/en/products/stanag-60011142_stanag-6001/" TargetMode="External"/><Relationship Id="rId11" Type="http://schemas.openxmlformats.org/officeDocument/2006/relationships/hyperlink" Target="https://www.natobilc.org/en/products/stanag-60011142_stanag-6001/" TargetMode="External"/><Relationship Id="rId24" Type="http://schemas.openxmlformats.org/officeDocument/2006/relationships/hyperlink" Target="https://www.gov.uk/government/publications/government-baseline-personnel-security-standard" TargetMode="External"/><Relationship Id="rId5" Type="http://schemas.openxmlformats.org/officeDocument/2006/relationships/hyperlink" Target="https://www.natobilc.org/en/products/stanag-60011142_stanag-6001/" TargetMode="External"/><Relationship Id="rId15" Type="http://schemas.openxmlformats.org/officeDocument/2006/relationships/hyperlink" Target="https://www.gov.uk/government/publications/government-baseline-personnel-security-standard" TargetMode="External"/><Relationship Id="rId23" Type="http://schemas.openxmlformats.org/officeDocument/2006/relationships/hyperlink" Target="https://www.gov.uk/government/publications/government-baseline-personnel-security-standard" TargetMode="External"/><Relationship Id="rId10" Type="http://schemas.openxmlformats.org/officeDocument/2006/relationships/hyperlink" Target="https://www.natobilc.org/en/products/stanag-60011142_stanag-6001/" TargetMode="External"/><Relationship Id="rId19" Type="http://schemas.openxmlformats.org/officeDocument/2006/relationships/hyperlink" Target="https://www.gov.uk/government/publications/government-baseline-personnel-security-standard" TargetMode="External"/><Relationship Id="rId4" Type="http://schemas.openxmlformats.org/officeDocument/2006/relationships/hyperlink" Target="https://www.natobilc.org/en/products/stanag-60011142_stanag-6001/" TargetMode="External"/><Relationship Id="rId9" Type="http://schemas.openxmlformats.org/officeDocument/2006/relationships/hyperlink" Target="https://www.natobilc.org/en/products/stanag-60011142_stanag-6001/" TargetMode="External"/><Relationship Id="rId14" Type="http://schemas.openxmlformats.org/officeDocument/2006/relationships/hyperlink" Target="https://www.natobilc.org/en/products/stanag-60011142_stanag-6001/" TargetMode="External"/><Relationship Id="rId22" Type="http://schemas.openxmlformats.org/officeDocument/2006/relationships/hyperlink" Target="https://www.gov.uk/government/publications/government-baseline-personnel-security-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2560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Tjay Singh</dc:creator>
  <cp:keywords/>
  <cp:lastModifiedBy>Tjay Singh</cp:lastModifiedBy>
  <cp:revision>2</cp:revision>
  <dcterms:created xsi:type="dcterms:W3CDTF">2022-09-13T10:44:00Z</dcterms:created>
  <dcterms:modified xsi:type="dcterms:W3CDTF">2022-09-13T10:44:00Z</dcterms:modified>
</cp:coreProperties>
</file>