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FC0" w:rsidRDefault="00525A78">
      <w:r>
        <w:rPr>
          <w:noProof/>
          <w:lang w:eastAsia="en-GB"/>
        </w:rPr>
        <w:drawing>
          <wp:anchor distT="0" distB="0" distL="114300" distR="114300" simplePos="0" relativeHeight="251659264" behindDoc="0" locked="0" layoutInCell="1" allowOverlap="1">
            <wp:simplePos x="0" y="0"/>
            <wp:positionH relativeFrom="margin">
              <wp:posOffset>2017395</wp:posOffset>
            </wp:positionH>
            <wp:positionV relativeFrom="margin">
              <wp:posOffset>20955</wp:posOffset>
            </wp:positionV>
            <wp:extent cx="1725295" cy="637540"/>
            <wp:effectExtent l="19050" t="0" r="8255" b="0"/>
            <wp:wrapSquare wrapText="bothSides"/>
            <wp:docPr id="1" name="Picture 1" descr="Go back to the University of Exeter home page">
              <a:hlinkClick xmlns:a="http://schemas.openxmlformats.org/drawingml/2006/main" r:id="rId7" tooltip="&quot;Go back to the University of Exeter home page&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 back to the University of Exeter home page"/>
                    <pic:cNvPicPr>
                      <a:picLocks noChangeAspect="1" noChangeArrowheads="1"/>
                    </pic:cNvPicPr>
                  </pic:nvPicPr>
                  <pic:blipFill>
                    <a:blip r:embed="rId8" r:link="rId9" cstate="print"/>
                    <a:srcRect/>
                    <a:stretch>
                      <a:fillRect/>
                    </a:stretch>
                  </pic:blipFill>
                  <pic:spPr bwMode="auto">
                    <a:xfrm>
                      <a:off x="0" y="0"/>
                      <a:ext cx="1725295" cy="637540"/>
                    </a:xfrm>
                    <a:prstGeom prst="rect">
                      <a:avLst/>
                    </a:prstGeom>
                    <a:noFill/>
                    <a:ln w="9525">
                      <a:noFill/>
                      <a:miter lim="800000"/>
                      <a:headEnd/>
                      <a:tailEnd/>
                    </a:ln>
                  </pic:spPr>
                </pic:pic>
              </a:graphicData>
            </a:graphic>
          </wp:anchor>
        </w:drawing>
      </w:r>
    </w:p>
    <w:p w:rsidR="005F6FC0" w:rsidRDefault="005F6FC0" w:rsidP="005F6FC0">
      <w:pPr>
        <w:jc w:val="center"/>
        <w:rPr>
          <w:b/>
          <w:sz w:val="44"/>
          <w:u w:val="single"/>
        </w:rPr>
      </w:pPr>
    </w:p>
    <w:p w:rsidR="005F6FC0" w:rsidRDefault="005F6FC0" w:rsidP="005F6FC0">
      <w:pPr>
        <w:jc w:val="center"/>
        <w:rPr>
          <w:b/>
          <w:sz w:val="44"/>
          <w:u w:val="single"/>
        </w:rPr>
      </w:pPr>
    </w:p>
    <w:p w:rsidR="005F6FC0" w:rsidRDefault="005F6FC0" w:rsidP="005F6FC0">
      <w:pPr>
        <w:jc w:val="center"/>
        <w:rPr>
          <w:b/>
          <w:sz w:val="44"/>
          <w:u w:val="single"/>
        </w:rPr>
      </w:pPr>
    </w:p>
    <w:p w:rsidR="005F6FC0" w:rsidRDefault="005F6FC0" w:rsidP="005F6FC0">
      <w:pPr>
        <w:jc w:val="center"/>
        <w:rPr>
          <w:b/>
          <w:sz w:val="56"/>
          <w:u w:val="single"/>
        </w:rPr>
      </w:pPr>
      <w:r w:rsidRPr="005F6FC0">
        <w:rPr>
          <w:b/>
          <w:sz w:val="56"/>
          <w:u w:val="single"/>
        </w:rPr>
        <w:t>University of Exeter</w:t>
      </w:r>
    </w:p>
    <w:p w:rsidR="005F6FC0" w:rsidRPr="00C05976" w:rsidRDefault="001C3246" w:rsidP="00C05976">
      <w:pPr>
        <w:jc w:val="center"/>
        <w:rPr>
          <w:b/>
          <w:sz w:val="56"/>
          <w:u w:val="single"/>
        </w:rPr>
      </w:pPr>
      <w:r>
        <w:rPr>
          <w:b/>
          <w:sz w:val="56"/>
          <w:u w:val="single"/>
        </w:rPr>
        <w:t xml:space="preserve">Market </w:t>
      </w:r>
      <w:r w:rsidR="005F6FC0" w:rsidRPr="005F6FC0">
        <w:rPr>
          <w:b/>
          <w:sz w:val="56"/>
          <w:u w:val="single"/>
        </w:rPr>
        <w:t>Capability Assessment</w:t>
      </w:r>
    </w:p>
    <w:p w:rsidR="00BC14C0" w:rsidRDefault="00BC14C0" w:rsidP="005F6FC0">
      <w:pPr>
        <w:jc w:val="center"/>
        <w:rPr>
          <w:b/>
          <w:sz w:val="44"/>
        </w:rPr>
      </w:pPr>
    </w:p>
    <w:p w:rsidR="00BC14C0" w:rsidRDefault="00711BD5" w:rsidP="005F6FC0">
      <w:pPr>
        <w:jc w:val="center"/>
        <w:rPr>
          <w:b/>
          <w:sz w:val="44"/>
        </w:rPr>
      </w:pPr>
      <w:r>
        <w:rPr>
          <w:b/>
          <w:sz w:val="44"/>
        </w:rPr>
        <w:t>Measuring photosynthesis, chlorophyll fluorescence and mesophyll conductance.</w:t>
      </w:r>
    </w:p>
    <w:p w:rsidR="005F6FC0" w:rsidRPr="005F6FC0" w:rsidRDefault="00711BD5" w:rsidP="005F6FC0">
      <w:pPr>
        <w:jc w:val="center"/>
        <w:rPr>
          <w:b/>
          <w:sz w:val="40"/>
        </w:rPr>
      </w:pPr>
      <w:r>
        <w:rPr>
          <w:b/>
          <w:sz w:val="40"/>
        </w:rPr>
        <w:t>27/03/17</w:t>
      </w:r>
      <w:r w:rsidR="005F6FC0" w:rsidRPr="005F6FC0">
        <w:rPr>
          <w:b/>
          <w:sz w:val="40"/>
        </w:rPr>
        <w:t xml:space="preserve"> </w:t>
      </w:r>
    </w:p>
    <w:p w:rsidR="005F6FC0" w:rsidRPr="00711BD5" w:rsidRDefault="00E37B88" w:rsidP="005F6FC0">
      <w:pPr>
        <w:jc w:val="center"/>
        <w:rPr>
          <w:b/>
          <w:sz w:val="24"/>
          <w:szCs w:val="24"/>
          <w:highlight w:val="yellow"/>
        </w:rPr>
      </w:pPr>
      <w:r w:rsidRPr="00E37B88">
        <w:rPr>
          <w:b/>
          <w:sz w:val="24"/>
          <w:szCs w:val="24"/>
        </w:rPr>
        <w:t>UOE/2017/033</w:t>
      </w:r>
      <w:r w:rsidR="008F249A" w:rsidRPr="00E37B88">
        <w:rPr>
          <w:b/>
          <w:sz w:val="24"/>
          <w:szCs w:val="24"/>
        </w:rPr>
        <w:t>/</w:t>
      </w:r>
      <w:r w:rsidR="00C16E5F" w:rsidRPr="00E37B88">
        <w:rPr>
          <w:b/>
          <w:sz w:val="24"/>
          <w:szCs w:val="24"/>
        </w:rPr>
        <w:t>NT</w:t>
      </w:r>
    </w:p>
    <w:p w:rsidR="005F6FC0" w:rsidRPr="005F6FC0" w:rsidRDefault="005F6FC0" w:rsidP="005F6FC0">
      <w:pPr>
        <w:jc w:val="center"/>
        <w:rPr>
          <w:b/>
          <w:sz w:val="40"/>
        </w:rPr>
      </w:pPr>
      <w:r w:rsidRPr="00E37B88">
        <w:rPr>
          <w:b/>
          <w:sz w:val="40"/>
        </w:rPr>
        <w:lastRenderedPageBreak/>
        <w:t xml:space="preserve">Return Date: </w:t>
      </w:r>
      <w:r w:rsidR="00E37B88">
        <w:rPr>
          <w:b/>
          <w:sz w:val="40"/>
        </w:rPr>
        <w:t>03/05/2017</w:t>
      </w:r>
      <w:r w:rsidR="004B4DE0" w:rsidRPr="00E37B88">
        <w:rPr>
          <w:b/>
          <w:sz w:val="40"/>
        </w:rPr>
        <w:t xml:space="preserve"> </w:t>
      </w:r>
      <w:r w:rsidR="00703CD0" w:rsidRPr="00E37B88">
        <w:rPr>
          <w:b/>
          <w:sz w:val="40"/>
        </w:rPr>
        <w:t>at 12</w:t>
      </w:r>
      <w:r w:rsidRPr="00E37B88">
        <w:rPr>
          <w:b/>
          <w:sz w:val="40"/>
        </w:rPr>
        <w:t>:00</w:t>
      </w:r>
    </w:p>
    <w:p w:rsidR="00C05976" w:rsidRDefault="00C05976" w:rsidP="00BC14C0">
      <w:pPr>
        <w:rPr>
          <w:sz w:val="24"/>
        </w:rPr>
      </w:pPr>
    </w:p>
    <w:p w:rsidR="00BC14C0" w:rsidRDefault="00BC14C0" w:rsidP="00BC14C0">
      <w:pPr>
        <w:rPr>
          <w:sz w:val="24"/>
        </w:rPr>
      </w:pPr>
    </w:p>
    <w:p w:rsidR="005F6FC0" w:rsidRDefault="005F6FC0" w:rsidP="005F6FC0">
      <w:pPr>
        <w:jc w:val="center"/>
        <w:rPr>
          <w:sz w:val="24"/>
        </w:rPr>
      </w:pPr>
      <w:r w:rsidRPr="005F6FC0">
        <w:rPr>
          <w:sz w:val="24"/>
        </w:rPr>
        <w:t xml:space="preserve">All correspondence and returns must be conducted on the University’s </w:t>
      </w:r>
      <w:proofErr w:type="spellStart"/>
      <w:r w:rsidRPr="005F6FC0">
        <w:rPr>
          <w:sz w:val="24"/>
        </w:rPr>
        <w:t>eTendering</w:t>
      </w:r>
      <w:proofErr w:type="spellEnd"/>
      <w:r w:rsidRPr="005F6FC0">
        <w:rPr>
          <w:sz w:val="24"/>
        </w:rPr>
        <w:t xml:space="preserve"> system </w:t>
      </w:r>
      <w:hyperlink r:id="rId10" w:history="1">
        <w:proofErr w:type="spellStart"/>
        <w:r w:rsidRPr="00BC14C0">
          <w:rPr>
            <w:rStyle w:val="Hyperlink"/>
            <w:sz w:val="24"/>
          </w:rPr>
          <w:t>InTend</w:t>
        </w:r>
        <w:proofErr w:type="spellEnd"/>
      </w:hyperlink>
    </w:p>
    <w:p w:rsidR="00AA0EDA" w:rsidRDefault="00AA0EDA" w:rsidP="00C05976">
      <w:pPr>
        <w:rPr>
          <w:sz w:val="24"/>
        </w:rPr>
      </w:pPr>
    </w:p>
    <w:p w:rsidR="00BC14C0" w:rsidRDefault="00BC14C0" w:rsidP="00C05976">
      <w:pPr>
        <w:rPr>
          <w:sz w:val="24"/>
        </w:rPr>
      </w:pPr>
    </w:p>
    <w:p w:rsidR="00BC14C0" w:rsidRDefault="00BC14C0" w:rsidP="00C05976">
      <w:pPr>
        <w:rPr>
          <w:sz w:val="24"/>
        </w:rPr>
      </w:pPr>
    </w:p>
    <w:p w:rsidR="00BC14C0" w:rsidRDefault="00BC14C0" w:rsidP="00C05976">
      <w:pPr>
        <w:rPr>
          <w:sz w:val="24"/>
        </w:rPr>
      </w:pPr>
    </w:p>
    <w:p w:rsidR="00BC14C0" w:rsidRDefault="00BC14C0" w:rsidP="00C05976">
      <w:pPr>
        <w:rPr>
          <w:sz w:val="24"/>
        </w:rPr>
      </w:pPr>
    </w:p>
    <w:p w:rsidR="00BC14C0" w:rsidRDefault="00BC14C0" w:rsidP="00C05976">
      <w:pPr>
        <w:rPr>
          <w:sz w:val="24"/>
        </w:rPr>
      </w:pPr>
    </w:p>
    <w:p w:rsidR="00BC14C0" w:rsidRPr="005F6FC0" w:rsidRDefault="00BC14C0" w:rsidP="00C05976">
      <w:pPr>
        <w:rPr>
          <w:sz w:val="24"/>
        </w:rPr>
      </w:pPr>
    </w:p>
    <w:p w:rsidR="005F6FC0" w:rsidRDefault="005F6FC0" w:rsidP="005F6FC0">
      <w:pPr>
        <w:pStyle w:val="ListParagraph"/>
        <w:numPr>
          <w:ilvl w:val="0"/>
          <w:numId w:val="1"/>
        </w:numPr>
      </w:pPr>
      <w:r>
        <w:t xml:space="preserve">This capability assessment is </w:t>
      </w:r>
      <w:r w:rsidR="00C24FB7">
        <w:t xml:space="preserve">open and unrestricted to any supplier. </w:t>
      </w:r>
    </w:p>
    <w:p w:rsidR="00525A78" w:rsidRDefault="00525A78" w:rsidP="00525A78">
      <w:pPr>
        <w:pStyle w:val="ListParagraph"/>
      </w:pPr>
    </w:p>
    <w:p w:rsidR="005F6FC0" w:rsidRDefault="005F6FC0" w:rsidP="005F6FC0">
      <w:pPr>
        <w:pStyle w:val="ListParagraph"/>
        <w:numPr>
          <w:ilvl w:val="0"/>
          <w:numId w:val="1"/>
        </w:numPr>
      </w:pPr>
      <w:r>
        <w:t>You are hereby invited to participate in the following capability assess</w:t>
      </w:r>
      <w:r w:rsidR="00C24FB7">
        <w:t>ment to evaluate whether or not</w:t>
      </w:r>
      <w:r>
        <w:t xml:space="preserve"> you have the ability to supply a solution that is able to fully meet the University’s needs, as detailed below</w:t>
      </w:r>
      <w:r w:rsidR="00B17C95">
        <w:t xml:space="preserve"> in Appendix A</w:t>
      </w:r>
      <w:r>
        <w:t>.</w:t>
      </w:r>
    </w:p>
    <w:p w:rsidR="005F6FC0" w:rsidRDefault="005F6FC0" w:rsidP="005F6FC0">
      <w:pPr>
        <w:pStyle w:val="ListParagraph"/>
      </w:pPr>
    </w:p>
    <w:p w:rsidR="005F6FC0" w:rsidRDefault="005F6FC0" w:rsidP="005F6FC0">
      <w:pPr>
        <w:pStyle w:val="ListParagraph"/>
        <w:numPr>
          <w:ilvl w:val="0"/>
          <w:numId w:val="1"/>
        </w:numPr>
      </w:pPr>
      <w:r>
        <w:lastRenderedPageBreak/>
        <w:t xml:space="preserve">This is not a request for quotation, and the University will not require any form of pricing to </w:t>
      </w:r>
      <w:r w:rsidR="00C24FB7">
        <w:t xml:space="preserve">be </w:t>
      </w:r>
      <w:r>
        <w:t>provided</w:t>
      </w:r>
      <w:r w:rsidR="00C24FB7">
        <w:t xml:space="preserve"> at this stage</w:t>
      </w:r>
      <w:r>
        <w:t xml:space="preserve">. The purpose of this assessment is simply to understand whether or not </w:t>
      </w:r>
      <w:r w:rsidR="00C24FB7">
        <w:t xml:space="preserve">there is current capability within the market to meet the University’s needs. </w:t>
      </w:r>
      <w:r>
        <w:t xml:space="preserve"> </w:t>
      </w:r>
    </w:p>
    <w:p w:rsidR="005F6FC0" w:rsidRDefault="005F6FC0">
      <w:r>
        <w:tab/>
        <w:t xml:space="preserve">By publishing this assessment the University is not, in any way, </w:t>
      </w:r>
      <w:r w:rsidR="00B17C95">
        <w:t xml:space="preserve">providing any guarantee of </w:t>
      </w:r>
      <w:r w:rsidR="00B17C95">
        <w:tab/>
      </w:r>
      <w:r>
        <w:t>any further</w:t>
      </w:r>
      <w:r w:rsidR="00B17C95">
        <w:t xml:space="preserve"> </w:t>
      </w:r>
      <w:r>
        <w:t>action</w:t>
      </w:r>
      <w:r w:rsidR="00B17C95">
        <w:t>,</w:t>
      </w:r>
      <w:r>
        <w:t xml:space="preserve"> of any type</w:t>
      </w:r>
      <w:r w:rsidR="00B17C95">
        <w:t>,</w:t>
      </w:r>
      <w:r>
        <w:t xml:space="preserve"> against this requirement. </w:t>
      </w:r>
    </w:p>
    <w:p w:rsidR="005F6FC0" w:rsidRDefault="005F6FC0" w:rsidP="005F6FC0">
      <w:pPr>
        <w:pStyle w:val="ListParagraph"/>
        <w:numPr>
          <w:ilvl w:val="0"/>
          <w:numId w:val="1"/>
        </w:numPr>
      </w:pPr>
      <w:r>
        <w:t xml:space="preserve">Please complete the table below, in full. Failure to do so may result in the rejection of your assessment and the </w:t>
      </w:r>
      <w:r w:rsidR="00525A78">
        <w:t>award</w:t>
      </w:r>
      <w:r>
        <w:t xml:space="preserve"> of a negative response against your organisation. </w:t>
      </w:r>
    </w:p>
    <w:p w:rsidR="00525A78" w:rsidRDefault="00525A78" w:rsidP="00525A78">
      <w:pPr>
        <w:pStyle w:val="ListParagraph"/>
      </w:pPr>
      <w:r>
        <w:t xml:space="preserve"> </w:t>
      </w:r>
    </w:p>
    <w:p w:rsidR="00525A78" w:rsidRDefault="00525A78" w:rsidP="00525A78">
      <w:pPr>
        <w:pStyle w:val="ListParagraph"/>
        <w:numPr>
          <w:ilvl w:val="0"/>
          <w:numId w:val="1"/>
        </w:numPr>
      </w:pPr>
      <w:r>
        <w:t xml:space="preserve">Suppliers </w:t>
      </w:r>
      <w:r w:rsidRPr="000252D0">
        <w:rPr>
          <w:b/>
        </w:rPr>
        <w:t>MUST</w:t>
      </w:r>
      <w:r>
        <w:t xml:space="preserve"> meet </w:t>
      </w:r>
      <w:r w:rsidRPr="00B17C95">
        <w:rPr>
          <w:b/>
        </w:rPr>
        <w:t>each and</w:t>
      </w:r>
      <w:r>
        <w:t xml:space="preserve"> </w:t>
      </w:r>
      <w:r w:rsidRPr="000252D0">
        <w:rPr>
          <w:b/>
        </w:rPr>
        <w:t>every</w:t>
      </w:r>
      <w:r>
        <w:t xml:space="preserve"> aspect of the specification</w:t>
      </w:r>
      <w:r w:rsidR="000252D0">
        <w:t xml:space="preserve"> held below in Appendix A</w:t>
      </w:r>
      <w:r>
        <w:t xml:space="preserve">. Failure to meet </w:t>
      </w:r>
      <w:r w:rsidRPr="00C24FB7">
        <w:rPr>
          <w:u w:val="single"/>
        </w:rPr>
        <w:t>even one</w:t>
      </w:r>
      <w:r>
        <w:t xml:space="preserve"> aspect of the specification will result in the failure of the assessment. </w:t>
      </w:r>
    </w:p>
    <w:p w:rsidR="00525A78" w:rsidRDefault="00525A78" w:rsidP="00525A78">
      <w:pPr>
        <w:pStyle w:val="ListParagraph"/>
      </w:pPr>
    </w:p>
    <w:p w:rsidR="00525A78" w:rsidRDefault="00525A78" w:rsidP="00E37B88">
      <w:pPr>
        <w:pStyle w:val="ListParagraph"/>
        <w:numPr>
          <w:ilvl w:val="0"/>
          <w:numId w:val="1"/>
        </w:numPr>
      </w:pPr>
      <w:r>
        <w:t xml:space="preserve">The </w:t>
      </w:r>
      <w:r w:rsidR="00B17C95">
        <w:t>deadline for all r</w:t>
      </w:r>
      <w:r>
        <w:t>eturn</w:t>
      </w:r>
      <w:r w:rsidR="00B17C95">
        <w:t>s</w:t>
      </w:r>
      <w:r>
        <w:t xml:space="preserve"> </w:t>
      </w:r>
      <w:r w:rsidR="00B17C95">
        <w:t xml:space="preserve">of this </w:t>
      </w:r>
      <w:r>
        <w:t xml:space="preserve">assessment is </w:t>
      </w:r>
      <w:r w:rsidR="00E37B88" w:rsidRPr="00E37B88">
        <w:rPr>
          <w:b/>
        </w:rPr>
        <w:t>03/05/2017 at 12:00</w:t>
      </w:r>
      <w:r>
        <w:t xml:space="preserve">. Your return </w:t>
      </w:r>
      <w:r w:rsidRPr="00B17C95">
        <w:rPr>
          <w:b/>
        </w:rPr>
        <w:t>must</w:t>
      </w:r>
      <w:r>
        <w:t xml:space="preserve"> be made on the </w:t>
      </w:r>
      <w:hyperlink r:id="rId11" w:history="1">
        <w:proofErr w:type="spellStart"/>
        <w:r w:rsidRPr="00BC14C0">
          <w:rPr>
            <w:rStyle w:val="Hyperlink"/>
          </w:rPr>
          <w:t>InTend</w:t>
        </w:r>
        <w:proofErr w:type="spellEnd"/>
      </w:hyperlink>
      <w:r>
        <w:t xml:space="preserve"> system. The University of Exeter reserves the right to reject any assessment returns that fail to meet the deadline</w:t>
      </w:r>
      <w:r w:rsidR="00C24FB7">
        <w:t xml:space="preserve"> as</w:t>
      </w:r>
      <w:r>
        <w:t xml:space="preserve"> set out in this document. </w:t>
      </w:r>
      <w:r w:rsidR="000252D0">
        <w:t xml:space="preserve">The University reserves the right to unilaterally amend these timescales, provided notification is given to all parties involved. </w:t>
      </w:r>
    </w:p>
    <w:p w:rsidR="00525A78" w:rsidRDefault="00525A78" w:rsidP="00525A78">
      <w:pPr>
        <w:pStyle w:val="ListParagraph"/>
      </w:pPr>
    </w:p>
    <w:p w:rsidR="00525A78" w:rsidRDefault="00525A78" w:rsidP="00525A78">
      <w:pPr>
        <w:pStyle w:val="ListParagraph"/>
        <w:numPr>
          <w:ilvl w:val="0"/>
          <w:numId w:val="1"/>
        </w:numPr>
      </w:pPr>
      <w:r>
        <w:t xml:space="preserve">All requests for clarification concerning this assessment </w:t>
      </w:r>
      <w:r w:rsidRPr="00525A78">
        <w:rPr>
          <w:b/>
        </w:rPr>
        <w:t>must</w:t>
      </w:r>
      <w:r>
        <w:t xml:space="preserve"> be conducted via the correspondence function within </w:t>
      </w:r>
      <w:proofErr w:type="spellStart"/>
      <w:r>
        <w:t>InTend</w:t>
      </w:r>
      <w:proofErr w:type="spellEnd"/>
      <w:r>
        <w:t xml:space="preserve">. </w:t>
      </w:r>
      <w:r w:rsidR="00C24FB7">
        <w:t>No other form of communication will be accepted.</w:t>
      </w:r>
    </w:p>
    <w:p w:rsidR="00525A78" w:rsidRDefault="00525A78" w:rsidP="00525A78">
      <w:pPr>
        <w:pStyle w:val="ListParagraph"/>
      </w:pPr>
    </w:p>
    <w:tbl>
      <w:tblPr>
        <w:tblStyle w:val="TableGrid"/>
        <w:tblW w:w="0" w:type="auto"/>
        <w:tblInd w:w="720" w:type="dxa"/>
        <w:tblLook w:val="04A0" w:firstRow="1" w:lastRow="0" w:firstColumn="1" w:lastColumn="0" w:noHBand="0" w:noVBand="1"/>
      </w:tblPr>
      <w:tblGrid>
        <w:gridCol w:w="4198"/>
        <w:gridCol w:w="4098"/>
      </w:tblGrid>
      <w:tr w:rsidR="00525A78" w:rsidTr="000252D0">
        <w:trPr>
          <w:trHeight w:val="752"/>
        </w:trPr>
        <w:tc>
          <w:tcPr>
            <w:tcW w:w="4208" w:type="dxa"/>
            <w:shd w:val="clear" w:color="auto" w:fill="DBE5F1" w:themeFill="accent1" w:themeFillTint="33"/>
            <w:vAlign w:val="center"/>
          </w:tcPr>
          <w:p w:rsidR="00525A78" w:rsidRPr="00525A78" w:rsidRDefault="00525A78" w:rsidP="00525A78">
            <w:pPr>
              <w:pStyle w:val="ListParagraph"/>
              <w:ind w:left="0"/>
              <w:jc w:val="center"/>
              <w:rPr>
                <w:b/>
              </w:rPr>
            </w:pPr>
            <w:r w:rsidRPr="00525A78">
              <w:rPr>
                <w:b/>
                <w:sz w:val="28"/>
              </w:rPr>
              <w:lastRenderedPageBreak/>
              <w:t>Supplier Name</w:t>
            </w:r>
          </w:p>
        </w:tc>
        <w:tc>
          <w:tcPr>
            <w:tcW w:w="4111" w:type="dxa"/>
          </w:tcPr>
          <w:p w:rsidR="00525A78" w:rsidRDefault="00525A78" w:rsidP="00525A78">
            <w:pPr>
              <w:pStyle w:val="ListParagraph"/>
              <w:ind w:left="0"/>
            </w:pPr>
          </w:p>
        </w:tc>
      </w:tr>
      <w:tr w:rsidR="00C24FB7" w:rsidTr="00C24FB7">
        <w:trPr>
          <w:trHeight w:val="741"/>
        </w:trPr>
        <w:tc>
          <w:tcPr>
            <w:tcW w:w="8319" w:type="dxa"/>
            <w:gridSpan w:val="2"/>
            <w:tcBorders>
              <w:bottom w:val="single" w:sz="4" w:space="0" w:color="auto"/>
            </w:tcBorders>
            <w:vAlign w:val="center"/>
          </w:tcPr>
          <w:p w:rsidR="00C24FB7" w:rsidRDefault="00C24FB7" w:rsidP="00C24FB7">
            <w:pPr>
              <w:pStyle w:val="ListParagraph"/>
              <w:ind w:left="0"/>
              <w:jc w:val="center"/>
            </w:pPr>
            <w:r w:rsidRPr="00AF319B">
              <w:rPr>
                <w:b/>
                <w:u w:val="single"/>
              </w:rPr>
              <w:t>Can</w:t>
            </w:r>
            <w:r>
              <w:t xml:space="preserve"> </w:t>
            </w:r>
            <w:r w:rsidRPr="00AA0EDA">
              <w:rPr>
                <w:b/>
              </w:rPr>
              <w:t>meet all of the requirements</w:t>
            </w:r>
            <w:r w:rsidR="00BC14C0">
              <w:rPr>
                <w:b/>
              </w:rPr>
              <w:t xml:space="preserve"> outlined</w:t>
            </w:r>
            <w:r w:rsidRPr="00AA0EDA">
              <w:rPr>
                <w:b/>
              </w:rPr>
              <w:t xml:space="preserve"> below</w:t>
            </w:r>
          </w:p>
        </w:tc>
      </w:tr>
      <w:tr w:rsidR="000252D0" w:rsidTr="000252D0">
        <w:trPr>
          <w:trHeight w:val="732"/>
        </w:trPr>
        <w:tc>
          <w:tcPr>
            <w:tcW w:w="4208" w:type="dxa"/>
            <w:shd w:val="clear" w:color="auto" w:fill="DBE5F1" w:themeFill="accent1" w:themeFillTint="33"/>
            <w:vAlign w:val="center"/>
          </w:tcPr>
          <w:p w:rsidR="000252D0" w:rsidRPr="00525A78" w:rsidRDefault="000252D0" w:rsidP="00525A78">
            <w:pPr>
              <w:pStyle w:val="ListParagraph"/>
              <w:ind w:left="0"/>
              <w:jc w:val="center"/>
              <w:rPr>
                <w:b/>
              </w:rPr>
            </w:pPr>
            <w:r>
              <w:rPr>
                <w:b/>
              </w:rPr>
              <w:t>Signed</w:t>
            </w:r>
          </w:p>
        </w:tc>
        <w:tc>
          <w:tcPr>
            <w:tcW w:w="4111" w:type="dxa"/>
            <w:vAlign w:val="center"/>
          </w:tcPr>
          <w:p w:rsidR="000252D0" w:rsidRPr="00525A78" w:rsidRDefault="000252D0" w:rsidP="00525A78">
            <w:pPr>
              <w:pStyle w:val="ListParagraph"/>
              <w:ind w:left="0"/>
              <w:jc w:val="center"/>
              <w:rPr>
                <w:b/>
              </w:rPr>
            </w:pPr>
          </w:p>
        </w:tc>
      </w:tr>
      <w:tr w:rsidR="000252D0" w:rsidTr="000252D0">
        <w:trPr>
          <w:trHeight w:val="732"/>
        </w:trPr>
        <w:tc>
          <w:tcPr>
            <w:tcW w:w="4208" w:type="dxa"/>
            <w:shd w:val="clear" w:color="auto" w:fill="DBE5F1" w:themeFill="accent1" w:themeFillTint="33"/>
            <w:vAlign w:val="center"/>
          </w:tcPr>
          <w:p w:rsidR="000252D0" w:rsidRDefault="000252D0" w:rsidP="00525A78">
            <w:pPr>
              <w:pStyle w:val="ListParagraph"/>
              <w:ind w:left="0"/>
              <w:jc w:val="center"/>
              <w:rPr>
                <w:b/>
              </w:rPr>
            </w:pPr>
            <w:r>
              <w:rPr>
                <w:b/>
              </w:rPr>
              <w:t>Date</w:t>
            </w:r>
          </w:p>
        </w:tc>
        <w:tc>
          <w:tcPr>
            <w:tcW w:w="4111" w:type="dxa"/>
            <w:vAlign w:val="center"/>
          </w:tcPr>
          <w:p w:rsidR="000252D0" w:rsidRPr="00525A78" w:rsidRDefault="000252D0" w:rsidP="00525A78">
            <w:pPr>
              <w:pStyle w:val="ListParagraph"/>
              <w:ind w:left="0"/>
              <w:jc w:val="center"/>
              <w:rPr>
                <w:b/>
              </w:rPr>
            </w:pPr>
          </w:p>
        </w:tc>
      </w:tr>
    </w:tbl>
    <w:p w:rsidR="00525A78" w:rsidRDefault="00525A78" w:rsidP="00525A78">
      <w:pPr>
        <w:pStyle w:val="ListParagraph"/>
      </w:pPr>
    </w:p>
    <w:p w:rsidR="00B17C95" w:rsidRDefault="000252D0" w:rsidP="000252D0">
      <w:pPr>
        <w:pStyle w:val="ListParagraph"/>
        <w:numPr>
          <w:ilvl w:val="0"/>
          <w:numId w:val="1"/>
        </w:numPr>
      </w:pPr>
      <w:r>
        <w:t xml:space="preserve">By signing above, you hereby agree that all information provided, to the very best of your knowledge, is correct and true. </w:t>
      </w:r>
    </w:p>
    <w:p w:rsidR="00B17C95" w:rsidRDefault="00B17C95" w:rsidP="00B17C95">
      <w:pPr>
        <w:pStyle w:val="ListParagraph"/>
      </w:pPr>
    </w:p>
    <w:p w:rsidR="005F6FC0" w:rsidRDefault="000252D0" w:rsidP="00B17C95">
      <w:pPr>
        <w:pStyle w:val="ListParagraph"/>
      </w:pPr>
      <w:r>
        <w:t>Should it be found now, or at any future time, that any claims to meet the specification</w:t>
      </w:r>
      <w:r w:rsidR="00B17C95">
        <w:t>,</w:t>
      </w:r>
      <w:r>
        <w:t xml:space="preserve"> in full</w:t>
      </w:r>
      <w:r w:rsidR="00B17C95">
        <w:t>,</w:t>
      </w:r>
      <w:r>
        <w:t xml:space="preserve"> were in fact untrue, and known to you at the time, </w:t>
      </w:r>
      <w:r w:rsidR="00C24FB7">
        <w:t>then</w:t>
      </w:r>
      <w:r>
        <w:t xml:space="preserve"> you will </w:t>
      </w:r>
      <w:r w:rsidR="00C24FB7">
        <w:t>be rejected from taking</w:t>
      </w:r>
      <w:r>
        <w:t xml:space="preserve"> any further part in this process.  </w:t>
      </w:r>
    </w:p>
    <w:p w:rsidR="00D14705" w:rsidRDefault="00D14705" w:rsidP="000252D0">
      <w:pPr>
        <w:rPr>
          <w:u w:val="single"/>
        </w:rPr>
      </w:pPr>
      <w:r>
        <w:rPr>
          <w:b/>
          <w:u w:val="single"/>
        </w:rPr>
        <w:t>Appendix A</w:t>
      </w:r>
    </w:p>
    <w:p w:rsidR="00711BD5" w:rsidRPr="007A6D1B" w:rsidRDefault="008F249A" w:rsidP="000252D0">
      <w:r w:rsidRPr="001E5EC3">
        <w:t xml:space="preserve">The department of </w:t>
      </w:r>
      <w:r w:rsidR="00711BD5" w:rsidRPr="001E5EC3">
        <w:t>Geography</w:t>
      </w:r>
      <w:r w:rsidRPr="001E5EC3">
        <w:t xml:space="preserve"> conducts research into </w:t>
      </w:r>
      <w:r w:rsidR="00711BD5" w:rsidRPr="001E5EC3">
        <w:t>the responses of plant photosynthesis and stomatal conductance responses to changes in climate</w:t>
      </w:r>
      <w:r w:rsidRPr="001E5EC3">
        <w:t xml:space="preserve">. </w:t>
      </w:r>
      <w:r w:rsidR="00711BD5" w:rsidRPr="001E5EC3">
        <w:t>The most important photosynthetic parameters, and thus the ones we need to understand, are the maximum rates of carboxylation (</w:t>
      </w:r>
      <w:r w:rsidR="00711BD5" w:rsidRPr="001E5EC3">
        <w:rPr>
          <w:i/>
        </w:rPr>
        <w:t>Vcmax</w:t>
      </w:r>
      <w:r w:rsidR="00711BD5" w:rsidRPr="001E5EC3">
        <w:t>) and electron transport (</w:t>
      </w:r>
      <w:r w:rsidR="00711BD5" w:rsidRPr="001E5EC3">
        <w:rPr>
          <w:i/>
        </w:rPr>
        <w:t>Jmax</w:t>
      </w:r>
      <w:r w:rsidR="00711BD5" w:rsidRPr="001E5EC3">
        <w:t xml:space="preserve">). To measure </w:t>
      </w:r>
      <w:r w:rsidR="00711BD5" w:rsidRPr="001E5EC3">
        <w:rPr>
          <w:i/>
        </w:rPr>
        <w:t xml:space="preserve">Vcmax </w:t>
      </w:r>
      <w:r w:rsidR="00711BD5" w:rsidRPr="001E5EC3">
        <w:t xml:space="preserve">and </w:t>
      </w:r>
      <w:r w:rsidR="00711BD5" w:rsidRPr="001E5EC3">
        <w:rPr>
          <w:i/>
        </w:rPr>
        <w:t>Jmax,</w:t>
      </w:r>
      <w:r w:rsidR="00711BD5" w:rsidRPr="001E5EC3">
        <w:t xml:space="preserve"> accurate estimates of mesophyll conductance (</w:t>
      </w:r>
      <w:r w:rsidR="00711BD5" w:rsidRPr="001E5EC3">
        <w:rPr>
          <w:i/>
        </w:rPr>
        <w:t>g</w:t>
      </w:r>
      <w:r w:rsidR="00711BD5" w:rsidRPr="001E5EC3">
        <w:rPr>
          <w:vertAlign w:val="subscript"/>
        </w:rPr>
        <w:t>m</w:t>
      </w:r>
      <w:r w:rsidR="00711BD5" w:rsidRPr="001E5EC3">
        <w:t xml:space="preserve">) are required. Until very recently, </w:t>
      </w:r>
      <w:r w:rsidR="00711BD5" w:rsidRPr="001E5EC3">
        <w:rPr>
          <w:i/>
        </w:rPr>
        <w:t>g</w:t>
      </w:r>
      <w:r w:rsidR="00711BD5" w:rsidRPr="001E5EC3">
        <w:rPr>
          <w:vertAlign w:val="subscript"/>
        </w:rPr>
        <w:t>m</w:t>
      </w:r>
      <w:r w:rsidR="00711BD5" w:rsidRPr="001E5EC3">
        <w:t xml:space="preserve"> could not be measured accurately in the field and we were forced to use estimates that are known to be inadequate for water-stressed ecosystems. Accurate measurements of </w:t>
      </w:r>
      <w:r w:rsidR="00711BD5" w:rsidRPr="001E5EC3">
        <w:rPr>
          <w:i/>
        </w:rPr>
        <w:t>g</w:t>
      </w:r>
      <w:r w:rsidR="00711BD5" w:rsidRPr="001E5EC3">
        <w:rPr>
          <w:vertAlign w:val="subscript"/>
        </w:rPr>
        <w:t>m</w:t>
      </w:r>
      <w:r w:rsidR="00711BD5" w:rsidRPr="001E5EC3">
        <w:t xml:space="preserve"> are the key that will advance our knowledge of competing photosynthetic survival strategies of trees to changes in climate, such as drought stress. We wish to purchase a new LI-COR,</w:t>
      </w:r>
      <w:r w:rsidR="007A6D1B" w:rsidRPr="001E5EC3">
        <w:t xml:space="preserve"> Li-6800 infra-</w:t>
      </w:r>
      <w:r w:rsidR="00711BD5" w:rsidRPr="001E5EC3">
        <w:t xml:space="preserve">red gas analyser. We </w:t>
      </w:r>
      <w:r w:rsidR="00711BD5" w:rsidRPr="001E5EC3">
        <w:lastRenderedPageBreak/>
        <w:t>require this analyser to measure leaf gas exchange and chlorophyll fluorescence together over a larger leaf area of 9 cm</w:t>
      </w:r>
      <w:r w:rsidR="00711BD5" w:rsidRPr="001E5EC3">
        <w:rPr>
          <w:vertAlign w:val="superscript"/>
        </w:rPr>
        <w:t>2</w:t>
      </w:r>
      <w:r w:rsidR="00B501A5" w:rsidRPr="001E5EC3">
        <w:rPr>
          <w:vertAlign w:val="subscript"/>
        </w:rPr>
        <w:t xml:space="preserve">. </w:t>
      </w:r>
      <w:r w:rsidR="00B501A5" w:rsidRPr="001E5EC3">
        <w:t>We require a measurement</w:t>
      </w:r>
      <w:r w:rsidR="00711BD5" w:rsidRPr="001E5EC3">
        <w:t xml:space="preserve"> accuracy of 0.1 µmol mol</w:t>
      </w:r>
      <w:r w:rsidR="00711BD5" w:rsidRPr="001E5EC3">
        <w:rPr>
          <w:vertAlign w:val="superscript"/>
        </w:rPr>
        <w:t xml:space="preserve">-1 </w:t>
      </w:r>
      <w:r w:rsidR="00711BD5" w:rsidRPr="001E5EC3">
        <w:t>for CO</w:t>
      </w:r>
      <w:r w:rsidR="00711BD5" w:rsidRPr="001E5EC3">
        <w:rPr>
          <w:vertAlign w:val="subscript"/>
        </w:rPr>
        <w:t>2</w:t>
      </w:r>
      <w:r w:rsidR="007A6D1B" w:rsidRPr="001E5EC3">
        <w:rPr>
          <w:vertAlign w:val="superscript"/>
        </w:rPr>
        <w:t xml:space="preserve"> </w:t>
      </w:r>
      <w:r w:rsidR="007A6D1B" w:rsidRPr="001E5EC3">
        <w:t>and 0.01 µmol mol</w:t>
      </w:r>
      <w:r w:rsidR="007A6D1B" w:rsidRPr="001E5EC3">
        <w:rPr>
          <w:vertAlign w:val="superscript"/>
        </w:rPr>
        <w:t xml:space="preserve">-1 </w:t>
      </w:r>
      <w:r w:rsidR="007A6D1B" w:rsidRPr="001E5EC3">
        <w:t>for H</w:t>
      </w:r>
      <w:r w:rsidR="007A6D1B" w:rsidRPr="001E5EC3">
        <w:rPr>
          <w:vertAlign w:val="subscript"/>
        </w:rPr>
        <w:t>2</w:t>
      </w:r>
      <w:r w:rsidR="007A6D1B" w:rsidRPr="001E5EC3">
        <w:t xml:space="preserve">O and </w:t>
      </w:r>
      <w:r w:rsidR="00B501A5" w:rsidRPr="001E5EC3">
        <w:t>a</w:t>
      </w:r>
      <w:r w:rsidR="007A6D1B" w:rsidRPr="001E5EC3">
        <w:t xml:space="preserve"> fluorometer </w:t>
      </w:r>
      <w:r w:rsidR="00B501A5" w:rsidRPr="001E5EC3">
        <w:t>which allows</w:t>
      </w:r>
      <w:r w:rsidR="007A6D1B" w:rsidRPr="001E5EC3">
        <w:t xml:space="preserve"> full control of irradiance and the light in the red-</w:t>
      </w:r>
      <w:r w:rsidR="00B501A5" w:rsidRPr="001E5EC3">
        <w:t>blue spectral blend</w:t>
      </w:r>
      <w:r w:rsidR="007A6D1B" w:rsidRPr="001E5EC3">
        <w:t>. For temperature response measurements we also require this machine to reach stable chamber temperatures 10</w:t>
      </w:r>
      <w:r w:rsidR="007A6D1B" w:rsidRPr="001E5EC3">
        <w:rPr>
          <w:rFonts w:cstheme="minorHAnsi"/>
          <w:lang w:bidi="he-IL"/>
        </w:rPr>
        <w:t>⁰</w:t>
      </w:r>
      <w:r w:rsidR="007A6D1B" w:rsidRPr="001E5EC3">
        <w:t>C above and below ambient temperatures.</w:t>
      </w:r>
      <w:r w:rsidR="001E5EC3">
        <w:t xml:space="preserve"> It is believed that this is the only instrument currently available on the market capable of fulfilling our requirements. This capability assessment offers alternative bidders the opportunity to demonstrate the suitability of their products to fulfil our needs.</w:t>
      </w:r>
      <w:bookmarkStart w:id="0" w:name="_GoBack"/>
      <w:bookmarkEnd w:id="0"/>
    </w:p>
    <w:p w:rsidR="00C24FB7" w:rsidRPr="00AA0EDA" w:rsidRDefault="00C24FB7" w:rsidP="000252D0">
      <w:pPr>
        <w:rPr>
          <w:b/>
          <w:u w:val="single"/>
        </w:rPr>
      </w:pPr>
      <w:r w:rsidRPr="00AA0EDA">
        <w:rPr>
          <w:b/>
          <w:u w:val="single"/>
        </w:rPr>
        <w:t>GENERAL</w:t>
      </w:r>
    </w:p>
    <w:p w:rsidR="00C24FB7" w:rsidRPr="001E5EC3" w:rsidRDefault="00C24FB7" w:rsidP="007A6D1B">
      <w:pPr>
        <w:pStyle w:val="ListParagraph"/>
        <w:numPr>
          <w:ilvl w:val="0"/>
          <w:numId w:val="2"/>
        </w:numPr>
        <w:spacing w:after="0" w:line="240" w:lineRule="auto"/>
      </w:pPr>
      <w:r w:rsidRPr="001E5EC3">
        <w:t>The total price of the system, including delivery and basi</w:t>
      </w:r>
      <w:r w:rsidR="000F0E24" w:rsidRPr="001E5EC3">
        <w:t>c training must not exceed</w:t>
      </w:r>
      <w:r w:rsidR="007A6D1B" w:rsidRPr="001E5EC3">
        <w:t xml:space="preserve"> £45,500 including</w:t>
      </w:r>
      <w:r w:rsidR="00703CD0" w:rsidRPr="001E5EC3">
        <w:t xml:space="preserve"> VAT</w:t>
      </w:r>
      <w:r w:rsidRPr="001E5EC3">
        <w:t xml:space="preserve"> </w:t>
      </w:r>
    </w:p>
    <w:p w:rsidR="00703CD0" w:rsidRPr="001E5EC3" w:rsidRDefault="007A6D1B" w:rsidP="00C24FB7">
      <w:pPr>
        <w:pStyle w:val="ListParagraph"/>
        <w:numPr>
          <w:ilvl w:val="0"/>
          <w:numId w:val="2"/>
        </w:numPr>
        <w:spacing w:after="0" w:line="240" w:lineRule="auto"/>
      </w:pPr>
      <w:r w:rsidRPr="001E5EC3">
        <w:t>&lt;8 weeks from order to delivery.</w:t>
      </w:r>
    </w:p>
    <w:p w:rsidR="006506B0" w:rsidRPr="001E5EC3" w:rsidRDefault="001E5EC3" w:rsidP="00C24FB7">
      <w:pPr>
        <w:pStyle w:val="ListParagraph"/>
        <w:numPr>
          <w:ilvl w:val="0"/>
          <w:numId w:val="2"/>
        </w:numPr>
        <w:spacing w:after="0" w:line="240" w:lineRule="auto"/>
      </w:pPr>
      <w:r>
        <w:t>Please include de</w:t>
      </w:r>
      <w:r w:rsidR="006506B0" w:rsidRPr="001E5EC3">
        <w:t xml:space="preserve">tails </w:t>
      </w:r>
      <w:r w:rsidR="00AF319B" w:rsidRPr="001E5EC3">
        <w:t xml:space="preserve">of at least one reference site </w:t>
      </w:r>
      <w:r w:rsidR="006506B0" w:rsidRPr="001E5EC3">
        <w:t>that is currently</w:t>
      </w:r>
      <w:r w:rsidR="00AA0EDA" w:rsidRPr="001E5EC3">
        <w:t xml:space="preserve"> operating your proposed system (that meets all of the mandatory elements below)</w:t>
      </w:r>
      <w:r w:rsidR="00AF319B" w:rsidRPr="001E5EC3">
        <w:t xml:space="preserve"> for research purposes</w:t>
      </w:r>
      <w:r w:rsidR="00AA0EDA" w:rsidRPr="001E5EC3">
        <w:t xml:space="preserve">. </w:t>
      </w:r>
      <w:r w:rsidR="00AF319B" w:rsidRPr="001E5EC3">
        <w:t xml:space="preserve"> </w:t>
      </w:r>
      <w:r w:rsidR="00AF319B" w:rsidRPr="001E5EC3">
        <w:rPr>
          <w:i/>
        </w:rPr>
        <w:t xml:space="preserve">Please provide </w:t>
      </w:r>
      <w:r w:rsidR="00AF319B" w:rsidRPr="001E5EC3">
        <w:rPr>
          <w:i/>
          <w:u w:val="single"/>
        </w:rPr>
        <w:t>direct</w:t>
      </w:r>
      <w:r w:rsidR="00AF319B" w:rsidRPr="001E5EC3">
        <w:rPr>
          <w:i/>
        </w:rPr>
        <w:t xml:space="preserve"> contact details for each reference. </w:t>
      </w:r>
    </w:p>
    <w:p w:rsidR="00C05976" w:rsidRDefault="00C05976" w:rsidP="00C05976">
      <w:pPr>
        <w:pStyle w:val="ListParagraph"/>
        <w:spacing w:after="0" w:line="240" w:lineRule="auto"/>
      </w:pPr>
    </w:p>
    <w:p w:rsidR="00BC14C0" w:rsidRPr="00703CD0" w:rsidRDefault="00703CD0" w:rsidP="00BC14C0">
      <w:pPr>
        <w:spacing w:after="0" w:line="240" w:lineRule="auto"/>
        <w:contextualSpacing/>
        <w:jc w:val="both"/>
        <w:rPr>
          <w:rFonts w:ascii="Calibri" w:eastAsia="Times New Roman" w:hAnsi="Calibri" w:cs="Times New Roman"/>
          <w:b/>
          <w:u w:val="single"/>
        </w:rPr>
      </w:pPr>
      <w:r w:rsidRPr="00703CD0">
        <w:rPr>
          <w:rFonts w:ascii="Calibri" w:hAnsi="Calibri" w:cs="Arial"/>
          <w:b/>
          <w:bCs/>
          <w:spacing w:val="-3"/>
          <w:u w:val="single"/>
        </w:rPr>
        <w:t>Mandatory</w:t>
      </w:r>
      <w:r>
        <w:t xml:space="preserve"> </w:t>
      </w:r>
      <w:r w:rsidR="00BC14C0" w:rsidRPr="00703CD0">
        <w:rPr>
          <w:rFonts w:ascii="Calibri" w:eastAsia="Times New Roman" w:hAnsi="Calibri" w:cs="Times New Roman"/>
          <w:b/>
          <w:u w:val="single"/>
        </w:rPr>
        <w:t xml:space="preserve">Technical and Operational Requirements </w:t>
      </w:r>
    </w:p>
    <w:p w:rsidR="00703CD0" w:rsidRDefault="00703CD0" w:rsidP="00703CD0">
      <w:pPr>
        <w:spacing w:after="0" w:line="240" w:lineRule="auto"/>
      </w:pPr>
    </w:p>
    <w:p w:rsidR="007A6D1B" w:rsidRPr="001E5EC3" w:rsidRDefault="007A6D1B" w:rsidP="007A6D1B">
      <w:pPr>
        <w:pStyle w:val="ListParagraph"/>
        <w:numPr>
          <w:ilvl w:val="0"/>
          <w:numId w:val="8"/>
        </w:numPr>
      </w:pPr>
      <w:r w:rsidRPr="001E5EC3">
        <w:t>We require this analyser to measure leaf gas exchange and chlorophyll fluorescence together over a larger leaf area of 9 cm</w:t>
      </w:r>
      <w:r w:rsidRPr="001E5EC3">
        <w:rPr>
          <w:vertAlign w:val="superscript"/>
        </w:rPr>
        <w:t>2</w:t>
      </w:r>
      <w:r w:rsidRPr="001E5EC3">
        <w:t>.</w:t>
      </w:r>
    </w:p>
    <w:p w:rsidR="007A6D1B" w:rsidRPr="001E5EC3" w:rsidRDefault="007A6D1B" w:rsidP="007A6D1B">
      <w:pPr>
        <w:pStyle w:val="ListParagraph"/>
        <w:numPr>
          <w:ilvl w:val="0"/>
          <w:numId w:val="8"/>
        </w:numPr>
      </w:pPr>
      <w:r w:rsidRPr="001E5EC3">
        <w:t>We require an accuracy of 0.1 µmol mol</w:t>
      </w:r>
      <w:r w:rsidRPr="001E5EC3">
        <w:rPr>
          <w:vertAlign w:val="superscript"/>
        </w:rPr>
        <w:t xml:space="preserve">-1 </w:t>
      </w:r>
      <w:r w:rsidRPr="001E5EC3">
        <w:t>for CO</w:t>
      </w:r>
      <w:r w:rsidRPr="001E5EC3">
        <w:rPr>
          <w:vertAlign w:val="subscript"/>
        </w:rPr>
        <w:t>2</w:t>
      </w:r>
      <w:r w:rsidRPr="001E5EC3">
        <w:rPr>
          <w:vertAlign w:val="superscript"/>
        </w:rPr>
        <w:t xml:space="preserve"> </w:t>
      </w:r>
      <w:r w:rsidRPr="001E5EC3">
        <w:t>and 0.01 µmol mol</w:t>
      </w:r>
      <w:r w:rsidRPr="001E5EC3">
        <w:rPr>
          <w:vertAlign w:val="superscript"/>
        </w:rPr>
        <w:t>-</w:t>
      </w:r>
      <w:proofErr w:type="gramStart"/>
      <w:r w:rsidRPr="001E5EC3">
        <w:rPr>
          <w:vertAlign w:val="superscript"/>
        </w:rPr>
        <w:t xml:space="preserve">1 </w:t>
      </w:r>
      <w:r w:rsidRPr="001E5EC3">
        <w:t xml:space="preserve"> for</w:t>
      </w:r>
      <w:proofErr w:type="gramEnd"/>
      <w:r w:rsidRPr="001E5EC3">
        <w:t xml:space="preserve"> H</w:t>
      </w:r>
      <w:r w:rsidRPr="001E5EC3">
        <w:rPr>
          <w:vertAlign w:val="subscript"/>
        </w:rPr>
        <w:t>2</w:t>
      </w:r>
      <w:r w:rsidRPr="001E5EC3">
        <w:t>O measurements.</w:t>
      </w:r>
    </w:p>
    <w:p w:rsidR="007A6D1B" w:rsidRPr="001E5EC3" w:rsidRDefault="007A6D1B" w:rsidP="007A6D1B">
      <w:pPr>
        <w:pStyle w:val="ListParagraph"/>
        <w:numPr>
          <w:ilvl w:val="0"/>
          <w:numId w:val="8"/>
        </w:numPr>
      </w:pPr>
      <w:r w:rsidRPr="001E5EC3">
        <w:t>We require the fluorometer to provide full control of irradiance and the light in the red-blue spectral blend.</w:t>
      </w:r>
    </w:p>
    <w:p w:rsidR="007A6D1B" w:rsidRPr="001E5EC3" w:rsidRDefault="007A6D1B" w:rsidP="007A6D1B">
      <w:pPr>
        <w:pStyle w:val="ListParagraph"/>
        <w:numPr>
          <w:ilvl w:val="0"/>
          <w:numId w:val="8"/>
        </w:numPr>
      </w:pPr>
      <w:r w:rsidRPr="001E5EC3">
        <w:t>For temperature response measurements we also require this machine to reach stable chamber temperatures 10</w:t>
      </w:r>
      <w:r w:rsidRPr="001E5EC3">
        <w:rPr>
          <w:rFonts w:cstheme="minorHAnsi"/>
          <w:lang w:bidi="he-IL"/>
        </w:rPr>
        <w:t>⁰</w:t>
      </w:r>
      <w:r w:rsidRPr="001E5EC3">
        <w:t>C above and below ambient temperatures.</w:t>
      </w:r>
    </w:p>
    <w:p w:rsidR="00703CD0" w:rsidRPr="00EF44C5" w:rsidRDefault="00091D9B" w:rsidP="00EF44C5">
      <w:pPr>
        <w:pStyle w:val="ListParagraph"/>
        <w:numPr>
          <w:ilvl w:val="0"/>
          <w:numId w:val="8"/>
        </w:numPr>
      </w:pPr>
      <w:r w:rsidRPr="001E5EC3">
        <w:t>The machine must hav</w:t>
      </w:r>
      <w:r w:rsidR="001E5EC3">
        <w:t>e been rigorously tested</w:t>
      </w:r>
      <w:r w:rsidRPr="001E5EC3">
        <w:t xml:space="preserve"> and be directly comparable with the LI-COR Li-6400 across a range of temperature and </w:t>
      </w:r>
      <w:r w:rsidRPr="001E5EC3">
        <w:lastRenderedPageBreak/>
        <w:t>humidity conditions to ensure data collected matches previous data collected by the Li-6400 machine at existing sites being monitored by the staff within geography.</w:t>
      </w:r>
      <w:r w:rsidR="00703CD0" w:rsidRPr="001E5EC3">
        <w:rPr>
          <w:rFonts w:ascii="Calibri" w:eastAsia="Times New Roman" w:hAnsi="Calibri" w:cs="Arial"/>
        </w:rPr>
        <w:tab/>
      </w:r>
      <w:r w:rsidR="00703CD0" w:rsidRPr="001E5EC3">
        <w:rPr>
          <w:rFonts w:ascii="Calibri" w:eastAsia="Times New Roman" w:hAnsi="Calibri" w:cs="Arial"/>
        </w:rPr>
        <w:tab/>
      </w:r>
      <w:r w:rsidR="00703CD0" w:rsidRPr="001E5EC3">
        <w:rPr>
          <w:rFonts w:ascii="Calibri" w:eastAsia="Times New Roman" w:hAnsi="Calibri" w:cs="Arial"/>
        </w:rPr>
        <w:tab/>
      </w:r>
      <w:r w:rsidR="00703CD0" w:rsidRPr="001E5EC3">
        <w:rPr>
          <w:rFonts w:ascii="Calibri" w:eastAsia="Times New Roman" w:hAnsi="Calibri" w:cs="Arial"/>
        </w:rPr>
        <w:tab/>
      </w:r>
      <w:r w:rsidR="00703CD0" w:rsidRPr="001E5EC3">
        <w:rPr>
          <w:rFonts w:ascii="Calibri" w:eastAsia="Times New Roman" w:hAnsi="Calibri" w:cs="Arial"/>
        </w:rPr>
        <w:tab/>
      </w:r>
      <w:r w:rsidR="00703CD0" w:rsidRPr="001E5EC3">
        <w:rPr>
          <w:rFonts w:ascii="Calibri" w:eastAsia="Times New Roman" w:hAnsi="Calibri" w:cs="Arial"/>
        </w:rPr>
        <w:tab/>
      </w:r>
      <w:r w:rsidR="00703CD0" w:rsidRPr="001E5EC3">
        <w:rPr>
          <w:rFonts w:ascii="Calibri" w:eastAsia="Times New Roman" w:hAnsi="Calibri" w:cs="Arial"/>
        </w:rPr>
        <w:tab/>
      </w:r>
    </w:p>
    <w:tbl>
      <w:tblPr>
        <w:tblStyle w:val="TableGrid"/>
        <w:tblW w:w="0" w:type="auto"/>
        <w:tblLook w:val="04A0" w:firstRow="1" w:lastRow="0" w:firstColumn="1" w:lastColumn="0" w:noHBand="0" w:noVBand="1"/>
      </w:tblPr>
      <w:tblGrid>
        <w:gridCol w:w="534"/>
        <w:gridCol w:w="6888"/>
        <w:gridCol w:w="1594"/>
      </w:tblGrid>
      <w:tr w:rsidR="00C05976" w:rsidTr="00C05976">
        <w:tc>
          <w:tcPr>
            <w:tcW w:w="534" w:type="dxa"/>
          </w:tcPr>
          <w:p w:rsidR="00C05976" w:rsidRDefault="00C05976" w:rsidP="000252D0">
            <w:r>
              <w:t>M1</w:t>
            </w:r>
          </w:p>
        </w:tc>
        <w:tc>
          <w:tcPr>
            <w:tcW w:w="7087" w:type="dxa"/>
          </w:tcPr>
          <w:p w:rsidR="00C05976" w:rsidRDefault="008F249A" w:rsidP="000252D0">
            <w:r>
              <w:t>T</w:t>
            </w:r>
            <w:r w:rsidRPr="008F249A">
              <w:t xml:space="preserve">he ability to measure nitrate and nitrite concentration to a sensitivity of 10 </w:t>
            </w:r>
            <w:proofErr w:type="spellStart"/>
            <w:r w:rsidRPr="008F249A">
              <w:t>nM</w:t>
            </w:r>
            <w:proofErr w:type="spellEnd"/>
            <w:r w:rsidRPr="008F249A">
              <w:t xml:space="preserve"> or less.</w:t>
            </w:r>
          </w:p>
        </w:tc>
        <w:tc>
          <w:tcPr>
            <w:tcW w:w="1621" w:type="dxa"/>
          </w:tcPr>
          <w:p w:rsidR="00C05976" w:rsidRDefault="00C05976" w:rsidP="000252D0">
            <w:r>
              <w:t>Yes/No</w:t>
            </w:r>
          </w:p>
        </w:tc>
      </w:tr>
      <w:tr w:rsidR="00C05976" w:rsidTr="00C05976">
        <w:tc>
          <w:tcPr>
            <w:tcW w:w="534" w:type="dxa"/>
            <w:vAlign w:val="bottom"/>
          </w:tcPr>
          <w:p w:rsidR="00C05976" w:rsidRDefault="00C05976" w:rsidP="00C05976"/>
        </w:tc>
        <w:tc>
          <w:tcPr>
            <w:tcW w:w="7087" w:type="dxa"/>
            <w:vAlign w:val="bottom"/>
          </w:tcPr>
          <w:p w:rsidR="00C05976" w:rsidRDefault="00C05976" w:rsidP="00C05976"/>
          <w:p w:rsidR="00C05976" w:rsidRDefault="00C05976" w:rsidP="00C05976"/>
          <w:p w:rsidR="00C05976" w:rsidRPr="00C05976" w:rsidRDefault="00C05976" w:rsidP="00C05976">
            <w:pPr>
              <w:rPr>
                <w:i/>
                <w:sz w:val="18"/>
                <w:szCs w:val="18"/>
              </w:rPr>
            </w:pPr>
            <w:r w:rsidRPr="00C05976">
              <w:rPr>
                <w:i/>
                <w:sz w:val="18"/>
                <w:szCs w:val="18"/>
                <w:highlight w:val="lightGray"/>
              </w:rPr>
              <w:t>Please provide brief details of your system’s capabilities.</w:t>
            </w:r>
          </w:p>
        </w:tc>
        <w:tc>
          <w:tcPr>
            <w:tcW w:w="1621" w:type="dxa"/>
            <w:vAlign w:val="bottom"/>
          </w:tcPr>
          <w:p w:rsidR="00C05976" w:rsidRDefault="00C05976" w:rsidP="00C05976"/>
        </w:tc>
      </w:tr>
      <w:tr w:rsidR="00C05976" w:rsidTr="006A1BF6">
        <w:tc>
          <w:tcPr>
            <w:tcW w:w="534" w:type="dxa"/>
          </w:tcPr>
          <w:p w:rsidR="00C05976" w:rsidRDefault="00C05976" w:rsidP="006A1BF6">
            <w:r>
              <w:t>M1</w:t>
            </w:r>
          </w:p>
        </w:tc>
        <w:tc>
          <w:tcPr>
            <w:tcW w:w="7087" w:type="dxa"/>
          </w:tcPr>
          <w:p w:rsidR="00C05976" w:rsidRDefault="008F249A" w:rsidP="00C05976">
            <w:r w:rsidRPr="008F249A">
              <w:t>incorporates technology to convert nitrate, nitrite, s-</w:t>
            </w:r>
            <w:proofErr w:type="spellStart"/>
            <w:r w:rsidRPr="008F249A">
              <w:t>nitrosothiols</w:t>
            </w:r>
            <w:proofErr w:type="spellEnd"/>
            <w:r w:rsidRPr="008F249A">
              <w:t>, n-nitrosamines into a quantifiable entity, e.g. nitric oxide</w:t>
            </w:r>
          </w:p>
        </w:tc>
        <w:tc>
          <w:tcPr>
            <w:tcW w:w="1621" w:type="dxa"/>
          </w:tcPr>
          <w:p w:rsidR="00C05976" w:rsidRDefault="00C05976" w:rsidP="006A1BF6">
            <w:r>
              <w:t>Yes/No</w:t>
            </w:r>
          </w:p>
        </w:tc>
      </w:tr>
      <w:tr w:rsidR="00C05976" w:rsidTr="00C05976">
        <w:trPr>
          <w:trHeight w:val="846"/>
        </w:trPr>
        <w:tc>
          <w:tcPr>
            <w:tcW w:w="534" w:type="dxa"/>
            <w:vAlign w:val="bottom"/>
          </w:tcPr>
          <w:p w:rsidR="00C05976" w:rsidRDefault="00C05976" w:rsidP="006A1BF6"/>
        </w:tc>
        <w:tc>
          <w:tcPr>
            <w:tcW w:w="7087" w:type="dxa"/>
            <w:vAlign w:val="bottom"/>
          </w:tcPr>
          <w:p w:rsidR="00C05976" w:rsidRDefault="00C05976" w:rsidP="006A1BF6"/>
          <w:p w:rsidR="00C05976" w:rsidRDefault="00C05976" w:rsidP="006A1BF6"/>
          <w:p w:rsidR="00C05976" w:rsidRPr="00C05976" w:rsidRDefault="00C05976" w:rsidP="006A1BF6">
            <w:pPr>
              <w:rPr>
                <w:i/>
                <w:sz w:val="18"/>
                <w:szCs w:val="18"/>
              </w:rPr>
            </w:pPr>
            <w:r w:rsidRPr="00C05976">
              <w:rPr>
                <w:i/>
                <w:sz w:val="18"/>
                <w:szCs w:val="18"/>
                <w:highlight w:val="lightGray"/>
              </w:rPr>
              <w:t>Please provide brief details of your system’s capabilities.</w:t>
            </w:r>
          </w:p>
        </w:tc>
        <w:tc>
          <w:tcPr>
            <w:tcW w:w="1621" w:type="dxa"/>
            <w:vAlign w:val="bottom"/>
          </w:tcPr>
          <w:p w:rsidR="00C05976" w:rsidRDefault="00C05976" w:rsidP="006A1BF6"/>
        </w:tc>
      </w:tr>
      <w:tr w:rsidR="00C05976" w:rsidTr="006A1BF6">
        <w:tc>
          <w:tcPr>
            <w:tcW w:w="534" w:type="dxa"/>
          </w:tcPr>
          <w:p w:rsidR="00C05976" w:rsidRDefault="00C05976" w:rsidP="006A1BF6">
            <w:r>
              <w:t>M1</w:t>
            </w:r>
          </w:p>
        </w:tc>
        <w:tc>
          <w:tcPr>
            <w:tcW w:w="7087" w:type="dxa"/>
          </w:tcPr>
          <w:p w:rsidR="008F249A" w:rsidRPr="008F249A" w:rsidRDefault="008F249A" w:rsidP="008F249A">
            <w:r w:rsidRPr="008F249A">
              <w:t>the ability to accurately measure exhaled nitric oxide in a single brea</w:t>
            </w:r>
            <w:r>
              <w:t>th in units of parts per billion</w:t>
            </w:r>
          </w:p>
          <w:p w:rsidR="00C05976" w:rsidRPr="00C05976" w:rsidRDefault="00C05976" w:rsidP="00C05976">
            <w:pPr>
              <w:spacing w:after="120"/>
              <w:contextualSpacing/>
              <w:jc w:val="both"/>
              <w:rPr>
                <w:rFonts w:ascii="Calibri" w:eastAsia="Times New Roman" w:hAnsi="Calibri" w:cs="Times New Roman"/>
              </w:rPr>
            </w:pPr>
          </w:p>
        </w:tc>
        <w:tc>
          <w:tcPr>
            <w:tcW w:w="1621" w:type="dxa"/>
          </w:tcPr>
          <w:p w:rsidR="00C05976" w:rsidRDefault="00C05976" w:rsidP="006A1BF6">
            <w:r>
              <w:t>Yes/No</w:t>
            </w:r>
          </w:p>
        </w:tc>
      </w:tr>
    </w:tbl>
    <w:p w:rsidR="000252D0" w:rsidRPr="000252D0" w:rsidRDefault="000252D0">
      <w:pPr>
        <w:rPr>
          <w:u w:val="single"/>
        </w:rPr>
      </w:pPr>
    </w:p>
    <w:sectPr w:rsidR="000252D0" w:rsidRPr="000252D0" w:rsidSect="00B065C6">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8E0" w:rsidRDefault="003668E0" w:rsidP="000252D0">
      <w:pPr>
        <w:spacing w:after="0" w:line="240" w:lineRule="auto"/>
      </w:pPr>
      <w:r>
        <w:separator/>
      </w:r>
    </w:p>
  </w:endnote>
  <w:endnote w:type="continuationSeparator" w:id="0">
    <w:p w:rsidR="003668E0" w:rsidRDefault="003668E0" w:rsidP="00025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MS Mincho"/>
    <w:charset w:val="80"/>
    <w:family w:val="roman"/>
    <w:pitch w:val="variable"/>
  </w:font>
  <w:font w:name="WenQuanYi Zen Hei">
    <w:altName w:val="MS Mincho"/>
    <w:charset w:val="80"/>
    <w:family w:val="auto"/>
    <w:pitch w:val="variable"/>
  </w:font>
  <w:font w:name="Lohit Devanagari">
    <w:altName w:val="MS Mincho"/>
    <w:charset w:val="8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36"/>
      <w:gridCol w:w="8090"/>
    </w:tblGrid>
    <w:tr w:rsidR="006506B0">
      <w:tc>
        <w:tcPr>
          <w:tcW w:w="918" w:type="dxa"/>
        </w:tcPr>
        <w:p w:rsidR="006506B0" w:rsidRDefault="00AD4B47">
          <w:pPr>
            <w:pStyle w:val="Footer"/>
            <w:jc w:val="right"/>
            <w:rPr>
              <w:b/>
              <w:color w:val="4F81BD" w:themeColor="accent1"/>
              <w:sz w:val="32"/>
              <w:szCs w:val="32"/>
            </w:rPr>
          </w:pPr>
          <w:r>
            <w:fldChar w:fldCharType="begin"/>
          </w:r>
          <w:r w:rsidR="0096394B">
            <w:instrText xml:space="preserve"> PAGE   \* MERGEFORMAT </w:instrText>
          </w:r>
          <w:r>
            <w:fldChar w:fldCharType="separate"/>
          </w:r>
          <w:r w:rsidR="001C3246" w:rsidRPr="001C3246">
            <w:rPr>
              <w:b/>
              <w:noProof/>
              <w:color w:val="4F81BD" w:themeColor="accent1"/>
              <w:sz w:val="32"/>
              <w:szCs w:val="32"/>
            </w:rPr>
            <w:t>4</w:t>
          </w:r>
          <w:r>
            <w:rPr>
              <w:b/>
              <w:noProof/>
              <w:color w:val="4F81BD" w:themeColor="accent1"/>
              <w:sz w:val="32"/>
              <w:szCs w:val="32"/>
            </w:rPr>
            <w:fldChar w:fldCharType="end"/>
          </w:r>
        </w:p>
      </w:tc>
      <w:tc>
        <w:tcPr>
          <w:tcW w:w="7938" w:type="dxa"/>
        </w:tcPr>
        <w:p w:rsidR="006506B0" w:rsidRDefault="00E37B88" w:rsidP="00791FD3">
          <w:pPr>
            <w:pStyle w:val="Footer"/>
          </w:pPr>
          <w:r w:rsidRPr="00E37B88">
            <w:t>UOE/2017/033/NT</w:t>
          </w:r>
        </w:p>
      </w:tc>
    </w:tr>
  </w:tbl>
  <w:p w:rsidR="006506B0" w:rsidRDefault="006506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8E0" w:rsidRDefault="003668E0" w:rsidP="000252D0">
      <w:pPr>
        <w:spacing w:after="0" w:line="240" w:lineRule="auto"/>
      </w:pPr>
      <w:r>
        <w:separator/>
      </w:r>
    </w:p>
  </w:footnote>
  <w:footnote w:type="continuationSeparator" w:id="0">
    <w:p w:rsidR="003668E0" w:rsidRDefault="003668E0" w:rsidP="000252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1906F7"/>
    <w:multiLevelType w:val="hybridMultilevel"/>
    <w:tmpl w:val="E13C5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D109C5"/>
    <w:multiLevelType w:val="multilevel"/>
    <w:tmpl w:val="3A8EC0D2"/>
    <w:lvl w:ilvl="0">
      <w:start w:val="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E326AD6"/>
    <w:multiLevelType w:val="hybridMultilevel"/>
    <w:tmpl w:val="AD2E3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E24E9B"/>
    <w:multiLevelType w:val="multilevel"/>
    <w:tmpl w:val="9C04AA56"/>
    <w:lvl w:ilvl="0">
      <w:start w:val="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1AF7DA5"/>
    <w:multiLevelType w:val="hybridMultilevel"/>
    <w:tmpl w:val="F7AC3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716CB1"/>
    <w:multiLevelType w:val="hybridMultilevel"/>
    <w:tmpl w:val="3B2A1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155A0D"/>
    <w:multiLevelType w:val="hybridMultilevel"/>
    <w:tmpl w:val="F5EA9C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433F87"/>
    <w:multiLevelType w:val="multilevel"/>
    <w:tmpl w:val="3A8EC0D2"/>
    <w:lvl w:ilvl="0">
      <w:start w:val="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2"/>
  </w:num>
  <w:num w:numId="3">
    <w:abstractNumId w:val="0"/>
  </w:num>
  <w:num w:numId="4">
    <w:abstractNumId w:val="3"/>
  </w:num>
  <w:num w:numId="5">
    <w:abstractNumId w:val="7"/>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FC0"/>
    <w:rsid w:val="000252D0"/>
    <w:rsid w:val="00091D9B"/>
    <w:rsid w:val="000F0E24"/>
    <w:rsid w:val="001C3246"/>
    <w:rsid w:val="001E5EC3"/>
    <w:rsid w:val="0027354D"/>
    <w:rsid w:val="003668E0"/>
    <w:rsid w:val="004B4DE0"/>
    <w:rsid w:val="00525A78"/>
    <w:rsid w:val="005B2D08"/>
    <w:rsid w:val="005F6FC0"/>
    <w:rsid w:val="006506B0"/>
    <w:rsid w:val="006658DF"/>
    <w:rsid w:val="00703CD0"/>
    <w:rsid w:val="00711BD5"/>
    <w:rsid w:val="007171B9"/>
    <w:rsid w:val="00791FD3"/>
    <w:rsid w:val="007A6D1B"/>
    <w:rsid w:val="008F249A"/>
    <w:rsid w:val="0096394B"/>
    <w:rsid w:val="00A32369"/>
    <w:rsid w:val="00AA0EDA"/>
    <w:rsid w:val="00AD4B47"/>
    <w:rsid w:val="00AF0A6F"/>
    <w:rsid w:val="00AF319B"/>
    <w:rsid w:val="00B01AB1"/>
    <w:rsid w:val="00B065C6"/>
    <w:rsid w:val="00B17C95"/>
    <w:rsid w:val="00B501A5"/>
    <w:rsid w:val="00BC14C0"/>
    <w:rsid w:val="00C05976"/>
    <w:rsid w:val="00C16E5F"/>
    <w:rsid w:val="00C24FB7"/>
    <w:rsid w:val="00CB40BD"/>
    <w:rsid w:val="00CE5101"/>
    <w:rsid w:val="00D1048A"/>
    <w:rsid w:val="00D14705"/>
    <w:rsid w:val="00DF1217"/>
    <w:rsid w:val="00E2702C"/>
    <w:rsid w:val="00E37B88"/>
    <w:rsid w:val="00EF44C5"/>
    <w:rsid w:val="00F11D34"/>
    <w:rsid w:val="00F134DC"/>
    <w:rsid w:val="00F13F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F32B5C3A-4A77-4E34-AF2C-9E63080CA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5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FC0"/>
    <w:pPr>
      <w:ind w:left="720"/>
      <w:contextualSpacing/>
    </w:pPr>
  </w:style>
  <w:style w:type="table" w:styleId="TableGrid">
    <w:name w:val="Table Grid"/>
    <w:basedOn w:val="TableNormal"/>
    <w:uiPriority w:val="59"/>
    <w:rsid w:val="00525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252D0"/>
    <w:rPr>
      <w:color w:val="000080"/>
      <w:u w:val="single"/>
    </w:rPr>
  </w:style>
  <w:style w:type="paragraph" w:customStyle="1" w:styleId="TableContents">
    <w:name w:val="Table Contents"/>
    <w:basedOn w:val="Normal"/>
    <w:rsid w:val="000252D0"/>
    <w:pPr>
      <w:widowControl w:val="0"/>
      <w:suppressLineNumbers/>
      <w:suppressAutoHyphens/>
      <w:spacing w:after="0" w:line="240" w:lineRule="auto"/>
    </w:pPr>
    <w:rPr>
      <w:rFonts w:ascii="Liberation Serif" w:eastAsia="WenQuanYi Zen Hei" w:hAnsi="Liberation Serif" w:cs="Lohit Devanagari"/>
      <w:kern w:val="1"/>
      <w:sz w:val="24"/>
      <w:szCs w:val="24"/>
      <w:lang w:val="en-US" w:eastAsia="hi-IN" w:bidi="hi-IN"/>
    </w:rPr>
  </w:style>
  <w:style w:type="paragraph" w:customStyle="1" w:styleId="TableHeading">
    <w:name w:val="Table Heading"/>
    <w:basedOn w:val="TableContents"/>
    <w:rsid w:val="000252D0"/>
    <w:pPr>
      <w:jc w:val="center"/>
    </w:pPr>
    <w:rPr>
      <w:b/>
      <w:bCs/>
    </w:rPr>
  </w:style>
  <w:style w:type="paragraph" w:styleId="Header">
    <w:name w:val="header"/>
    <w:basedOn w:val="Normal"/>
    <w:link w:val="HeaderChar"/>
    <w:uiPriority w:val="99"/>
    <w:unhideWhenUsed/>
    <w:rsid w:val="000252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2D0"/>
  </w:style>
  <w:style w:type="paragraph" w:styleId="Footer">
    <w:name w:val="footer"/>
    <w:basedOn w:val="Normal"/>
    <w:link w:val="FooterChar"/>
    <w:uiPriority w:val="99"/>
    <w:unhideWhenUsed/>
    <w:rsid w:val="000252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2D0"/>
  </w:style>
  <w:style w:type="character" w:styleId="CommentReference">
    <w:name w:val="annotation reference"/>
    <w:basedOn w:val="DefaultParagraphFont"/>
    <w:uiPriority w:val="99"/>
    <w:semiHidden/>
    <w:unhideWhenUsed/>
    <w:rsid w:val="00C24FB7"/>
    <w:rPr>
      <w:sz w:val="16"/>
      <w:szCs w:val="16"/>
    </w:rPr>
  </w:style>
  <w:style w:type="paragraph" w:styleId="CommentText">
    <w:name w:val="annotation text"/>
    <w:basedOn w:val="Normal"/>
    <w:link w:val="CommentTextChar"/>
    <w:uiPriority w:val="99"/>
    <w:semiHidden/>
    <w:unhideWhenUsed/>
    <w:rsid w:val="00C24FB7"/>
    <w:pPr>
      <w:spacing w:line="240" w:lineRule="auto"/>
    </w:pPr>
    <w:rPr>
      <w:sz w:val="20"/>
      <w:szCs w:val="20"/>
    </w:rPr>
  </w:style>
  <w:style w:type="character" w:customStyle="1" w:styleId="CommentTextChar">
    <w:name w:val="Comment Text Char"/>
    <w:basedOn w:val="DefaultParagraphFont"/>
    <w:link w:val="CommentText"/>
    <w:uiPriority w:val="99"/>
    <w:semiHidden/>
    <w:rsid w:val="00C24FB7"/>
    <w:rPr>
      <w:sz w:val="20"/>
      <w:szCs w:val="20"/>
    </w:rPr>
  </w:style>
  <w:style w:type="paragraph" w:styleId="CommentSubject">
    <w:name w:val="annotation subject"/>
    <w:basedOn w:val="CommentText"/>
    <w:next w:val="CommentText"/>
    <w:link w:val="CommentSubjectChar"/>
    <w:uiPriority w:val="99"/>
    <w:semiHidden/>
    <w:unhideWhenUsed/>
    <w:rsid w:val="00C24FB7"/>
    <w:rPr>
      <w:b/>
      <w:bCs/>
    </w:rPr>
  </w:style>
  <w:style w:type="character" w:customStyle="1" w:styleId="CommentSubjectChar">
    <w:name w:val="Comment Subject Char"/>
    <w:basedOn w:val="CommentTextChar"/>
    <w:link w:val="CommentSubject"/>
    <w:uiPriority w:val="99"/>
    <w:semiHidden/>
    <w:rsid w:val="00C24FB7"/>
    <w:rPr>
      <w:b/>
      <w:bCs/>
      <w:sz w:val="20"/>
      <w:szCs w:val="20"/>
    </w:rPr>
  </w:style>
  <w:style w:type="paragraph" w:styleId="BalloonText">
    <w:name w:val="Balloon Text"/>
    <w:basedOn w:val="Normal"/>
    <w:link w:val="BalloonTextChar"/>
    <w:uiPriority w:val="99"/>
    <w:semiHidden/>
    <w:unhideWhenUsed/>
    <w:rsid w:val="00C24F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F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56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xeter.ac.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ndhost.co.uk/universityofexeter/aspx/Home" TargetMode="External"/><Relationship Id="rId5" Type="http://schemas.openxmlformats.org/officeDocument/2006/relationships/footnotes" Target="footnotes.xml"/><Relationship Id="rId10" Type="http://schemas.openxmlformats.org/officeDocument/2006/relationships/hyperlink" Target="https://in-tendhost.co.uk/universityofexeter/aspx/Home" TargetMode="External"/><Relationship Id="rId4" Type="http://schemas.openxmlformats.org/officeDocument/2006/relationships/webSettings" Target="webSettings.xml"/><Relationship Id="rId9" Type="http://schemas.openxmlformats.org/officeDocument/2006/relationships/image" Target="http://www.exeter.ac.uk/media/universityofexeter/wwwsite/styleassets/images/gi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5768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pwf201</dc:creator>
  <cp:lastModifiedBy>Taylor, Nicholas</cp:lastModifiedBy>
  <cp:revision>3</cp:revision>
  <dcterms:created xsi:type="dcterms:W3CDTF">2017-04-19T14:38:00Z</dcterms:created>
  <dcterms:modified xsi:type="dcterms:W3CDTF">2017-04-19T14:44:00Z</dcterms:modified>
</cp:coreProperties>
</file>