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3CFA2" w14:textId="77777777" w:rsidR="005C0911" w:rsidRDefault="00A347C3">
      <w:pPr>
        <w:keepNext/>
        <w:pBdr>
          <w:top w:val="nil"/>
          <w:left w:val="nil"/>
          <w:bottom w:val="nil"/>
          <w:right w:val="nil"/>
          <w:between w:val="nil"/>
        </w:pBdr>
        <w:spacing w:after="200" w:line="276" w:lineRule="auto"/>
        <w:ind w:left="0"/>
        <w:jc w:val="left"/>
        <w:rPr>
          <w:b/>
          <w:color w:val="000000"/>
          <w:sz w:val="36"/>
          <w:szCs w:val="36"/>
        </w:rPr>
      </w:pPr>
      <w:r>
        <w:rPr>
          <w:b/>
          <w:color w:val="000000"/>
          <w:sz w:val="36"/>
          <w:szCs w:val="36"/>
        </w:rPr>
        <w:t>Schedule 14 (Business Continuity and Disaster Recovery)</w:t>
      </w:r>
    </w:p>
    <w:p w14:paraId="5F11587C" w14:textId="77777777" w:rsidR="005C0911" w:rsidRDefault="00A347C3">
      <w:pPr>
        <w:keepNext/>
        <w:numPr>
          <w:ilvl w:val="0"/>
          <w:numId w:val="1"/>
        </w:numPr>
        <w:pBdr>
          <w:top w:val="nil"/>
          <w:left w:val="nil"/>
          <w:bottom w:val="nil"/>
          <w:right w:val="nil"/>
          <w:between w:val="nil"/>
        </w:pBdr>
        <w:tabs>
          <w:tab w:val="left" w:pos="0"/>
        </w:tabs>
        <w:spacing w:before="120"/>
        <w:jc w:val="left"/>
      </w:pPr>
      <w:bookmarkStart w:id="0" w:name="_heading=h.gjdgxs" w:colFirst="0" w:colLast="0"/>
      <w:bookmarkEnd w:id="0"/>
      <w:r>
        <w:rPr>
          <w:rFonts w:ascii="Arial Bold" w:eastAsia="Arial Bold" w:hAnsi="Arial Bold" w:cs="Arial Bold"/>
          <w:b/>
          <w:color w:val="000000"/>
          <w:sz w:val="24"/>
          <w:szCs w:val="24"/>
        </w:rPr>
        <w:t>Definitions</w:t>
      </w:r>
    </w:p>
    <w:p w14:paraId="377C76B2" w14:textId="7777777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In this Schedule, the following words shall have the following meanings and they shall supplement Schedule 1 (Definitions):</w:t>
      </w:r>
    </w:p>
    <w:tbl>
      <w:tblPr>
        <w:tblStyle w:val="a0"/>
        <w:tblW w:w="8172" w:type="dxa"/>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97"/>
        <w:gridCol w:w="5075"/>
      </w:tblGrid>
      <w:tr w:rsidR="005C0911" w:rsidRPr="00D56665" w14:paraId="44FBB0D1" w14:textId="77777777">
        <w:tc>
          <w:tcPr>
            <w:tcW w:w="3097" w:type="dxa"/>
          </w:tcPr>
          <w:p w14:paraId="3CE268D9"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"BCDR Plan"</w:t>
            </w:r>
          </w:p>
        </w:tc>
        <w:tc>
          <w:tcPr>
            <w:tcW w:w="5075" w:type="dxa"/>
          </w:tcPr>
          <w:p w14:paraId="54DD3309" w14:textId="4499BC5D"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_Ref141083623 \r \h </w:instrText>
            </w:r>
            <w:r w:rsidR="00D56665">
              <w:rPr>
                <w:color w:val="000000"/>
                <w:sz w:val="24"/>
                <w:szCs w:val="24"/>
              </w:rPr>
            </w:r>
            <w:r w:rsidR="00D56665">
              <w:rPr>
                <w:color w:val="000000"/>
                <w:sz w:val="24"/>
                <w:szCs w:val="24"/>
              </w:rPr>
              <w:fldChar w:fldCharType="separate"/>
            </w:r>
            <w:r w:rsidR="00E93C75">
              <w:rPr>
                <w:rFonts w:ascii="Arial" w:hAnsi="Arial" w:cs="Arial"/>
                <w:color w:val="000000"/>
                <w:sz w:val="24"/>
                <w:szCs w:val="24"/>
              </w:rPr>
              <w:t>2.1</w:t>
            </w:r>
            <w:r w:rsidR="00D56665">
              <w:rPr>
                <w:color w:val="000000"/>
                <w:sz w:val="24"/>
                <w:szCs w:val="24"/>
              </w:rPr>
              <w:fldChar w:fldCharType="end"/>
            </w:r>
            <w:r w:rsidRPr="00D56665">
              <w:rPr>
                <w:rFonts w:ascii="Arial" w:hAnsi="Arial" w:cs="Arial"/>
                <w:color w:val="000000"/>
                <w:sz w:val="24"/>
                <w:szCs w:val="24"/>
              </w:rPr>
              <w:t xml:space="preserve"> of this Schedule;</w:t>
            </w:r>
          </w:p>
        </w:tc>
      </w:tr>
      <w:tr w:rsidR="005C0911" w:rsidRPr="00D56665" w14:paraId="749AE500" w14:textId="77777777">
        <w:tc>
          <w:tcPr>
            <w:tcW w:w="3097" w:type="dxa"/>
          </w:tcPr>
          <w:p w14:paraId="06BB25E2"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"Business Continuity Plan"</w:t>
            </w:r>
          </w:p>
        </w:tc>
        <w:tc>
          <w:tcPr>
            <w:tcW w:w="5075" w:type="dxa"/>
          </w:tcPr>
          <w:p w14:paraId="54A90E6A" w14:textId="0D92942C"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_Ref141083629 \r \h </w:instrText>
            </w:r>
            <w:r w:rsidR="00D56665">
              <w:rPr>
                <w:color w:val="000000"/>
                <w:sz w:val="24"/>
                <w:szCs w:val="24"/>
              </w:rPr>
            </w:r>
            <w:r w:rsidR="00D56665">
              <w:rPr>
                <w:color w:val="000000"/>
                <w:sz w:val="24"/>
                <w:szCs w:val="24"/>
              </w:rPr>
              <w:fldChar w:fldCharType="separate"/>
            </w:r>
            <w:r w:rsidR="00E93C75">
              <w:rPr>
                <w:rFonts w:ascii="Arial" w:hAnsi="Arial" w:cs="Arial"/>
                <w:color w:val="000000"/>
                <w:sz w:val="24"/>
                <w:szCs w:val="24"/>
              </w:rPr>
              <w:t>2.2.2</w:t>
            </w:r>
            <w:r w:rsidR="00D56665">
              <w:rPr>
                <w:color w:val="000000"/>
                <w:sz w:val="24"/>
                <w:szCs w:val="24"/>
              </w:rPr>
              <w:fldChar w:fldCharType="end"/>
            </w:r>
            <w:r w:rsidRPr="00D56665">
              <w:rPr>
                <w:rFonts w:ascii="Arial" w:hAnsi="Arial" w:cs="Arial"/>
                <w:color w:val="000000"/>
                <w:sz w:val="24"/>
                <w:szCs w:val="24"/>
              </w:rPr>
              <w:t xml:space="preserve"> of this Schedule;</w:t>
            </w:r>
          </w:p>
        </w:tc>
      </w:tr>
      <w:tr w:rsidR="005C0911" w:rsidRPr="00D56665" w14:paraId="5220C1C6" w14:textId="77777777">
        <w:tc>
          <w:tcPr>
            <w:tcW w:w="3097" w:type="dxa"/>
          </w:tcPr>
          <w:p w14:paraId="755031CC"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"Disaster Recovery Plan"</w:t>
            </w:r>
          </w:p>
        </w:tc>
        <w:tc>
          <w:tcPr>
            <w:tcW w:w="5075" w:type="dxa"/>
          </w:tcPr>
          <w:p w14:paraId="2093689B" w14:textId="1A40CC2C"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_Ref141083634 \r \h </w:instrText>
            </w:r>
            <w:r w:rsidR="00D56665">
              <w:rPr>
                <w:color w:val="000000"/>
                <w:sz w:val="24"/>
                <w:szCs w:val="24"/>
              </w:rPr>
            </w:r>
            <w:r w:rsidR="00D56665">
              <w:rPr>
                <w:color w:val="000000"/>
                <w:sz w:val="24"/>
                <w:szCs w:val="24"/>
              </w:rPr>
              <w:fldChar w:fldCharType="separate"/>
            </w:r>
            <w:r w:rsidR="00E93C75">
              <w:rPr>
                <w:rFonts w:ascii="Arial" w:hAnsi="Arial" w:cs="Arial"/>
                <w:color w:val="000000"/>
                <w:sz w:val="24"/>
                <w:szCs w:val="24"/>
              </w:rPr>
              <w:t>2.2.3</w:t>
            </w:r>
            <w:r w:rsidR="00D56665">
              <w:rPr>
                <w:color w:val="000000"/>
                <w:sz w:val="24"/>
                <w:szCs w:val="24"/>
              </w:rPr>
              <w:fldChar w:fldCharType="end"/>
            </w:r>
            <w:r w:rsidRPr="00D56665">
              <w:rPr>
                <w:rFonts w:ascii="Arial" w:hAnsi="Arial" w:cs="Arial"/>
                <w:color w:val="000000"/>
                <w:sz w:val="24"/>
                <w:szCs w:val="24"/>
              </w:rPr>
              <w:t xml:space="preserve"> of this Schedule;</w:t>
            </w:r>
          </w:p>
        </w:tc>
      </w:tr>
      <w:tr w:rsidR="005C0911" w:rsidRPr="00D56665" w14:paraId="4F32F0F8" w14:textId="77777777">
        <w:trPr>
          <w:trHeight w:val="560"/>
        </w:trPr>
        <w:tc>
          <w:tcPr>
            <w:tcW w:w="3097" w:type="dxa"/>
          </w:tcPr>
          <w:p w14:paraId="4DB69D00"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"Related Supplier"</w:t>
            </w:r>
          </w:p>
        </w:tc>
        <w:tc>
          <w:tcPr>
            <w:tcW w:w="5075" w:type="dxa"/>
          </w:tcPr>
          <w:p w14:paraId="71B1DB32" w14:textId="77777777"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any person who provides Deliverables to the Buyer which are related to the Deliverables from time to time;</w:t>
            </w:r>
          </w:p>
        </w:tc>
      </w:tr>
      <w:tr w:rsidR="005C0911" w:rsidRPr="00D56665" w14:paraId="4F1D31BD" w14:textId="77777777">
        <w:trPr>
          <w:trHeight w:val="560"/>
        </w:trPr>
        <w:tc>
          <w:tcPr>
            <w:tcW w:w="3097" w:type="dxa"/>
          </w:tcPr>
          <w:p w14:paraId="705331D5"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"Review Report"</w:t>
            </w:r>
          </w:p>
        </w:tc>
        <w:tc>
          <w:tcPr>
            <w:tcW w:w="5075" w:type="dxa"/>
          </w:tcPr>
          <w:p w14:paraId="42ABAD1E" w14:textId="74F89476"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_Ref141083643 \r \h </w:instrText>
            </w:r>
            <w:r w:rsidR="00D56665">
              <w:rPr>
                <w:color w:val="000000"/>
                <w:sz w:val="24"/>
                <w:szCs w:val="24"/>
              </w:rPr>
            </w:r>
            <w:r w:rsidR="00D56665">
              <w:rPr>
                <w:color w:val="000000"/>
                <w:sz w:val="24"/>
                <w:szCs w:val="24"/>
              </w:rPr>
              <w:fldChar w:fldCharType="separate"/>
            </w:r>
            <w:r w:rsidR="00E93C75">
              <w:rPr>
                <w:rFonts w:ascii="Arial" w:hAnsi="Arial" w:cs="Arial"/>
                <w:color w:val="000000"/>
                <w:sz w:val="24"/>
                <w:szCs w:val="24"/>
              </w:rPr>
              <w:t>6.3</w:t>
            </w:r>
            <w:r w:rsidR="00D56665">
              <w:rPr>
                <w:color w:val="000000"/>
                <w:sz w:val="24"/>
                <w:szCs w:val="24"/>
              </w:rPr>
              <w:fldChar w:fldCharType="end"/>
            </w:r>
            <w:r w:rsidR="00D56665">
              <w:rPr>
                <w:rFonts w:ascii="Arial" w:hAnsi="Arial" w:cs="Arial"/>
                <w:color w:val="000000"/>
                <w:sz w:val="24"/>
                <w:szCs w:val="24"/>
              </w:rPr>
              <w:t xml:space="preserve"> </w:t>
            </w:r>
            <w:r w:rsidRPr="00D56665">
              <w:rPr>
                <w:rFonts w:ascii="Arial" w:hAnsi="Arial" w:cs="Arial"/>
                <w:color w:val="000000"/>
                <w:sz w:val="24"/>
                <w:szCs w:val="24"/>
              </w:rPr>
              <w:t>of this Schedule; and</w:t>
            </w:r>
          </w:p>
        </w:tc>
      </w:tr>
      <w:tr w:rsidR="005C0911" w:rsidRPr="00D56665" w14:paraId="0B61DC4C" w14:textId="77777777">
        <w:tc>
          <w:tcPr>
            <w:tcW w:w="3097" w:type="dxa"/>
          </w:tcPr>
          <w:p w14:paraId="2E09F155" w14:textId="77777777" w:rsidR="005C0911" w:rsidRPr="00D56665" w:rsidRDefault="00A347C3">
            <w:pPr>
              <w:pBdr>
                <w:top w:val="nil"/>
                <w:left w:val="nil"/>
                <w:bottom w:val="nil"/>
                <w:right w:val="nil"/>
                <w:between w:val="nil"/>
              </w:pBdr>
              <w:spacing w:after="120"/>
              <w:ind w:left="0"/>
              <w:jc w:val="left"/>
              <w:rPr>
                <w:rFonts w:ascii="Arial" w:hAnsi="Arial" w:cs="Arial"/>
                <w:b/>
                <w:color w:val="000000"/>
                <w:sz w:val="24"/>
                <w:szCs w:val="24"/>
              </w:rPr>
            </w:pPr>
            <w:r w:rsidRPr="00D56665">
              <w:rPr>
                <w:rFonts w:ascii="Arial" w:hAnsi="Arial" w:cs="Arial"/>
                <w:b/>
                <w:color w:val="000000"/>
                <w:sz w:val="24"/>
                <w:szCs w:val="24"/>
              </w:rPr>
              <w:t>"Supplier's Proposals"</w:t>
            </w:r>
          </w:p>
        </w:tc>
        <w:tc>
          <w:tcPr>
            <w:tcW w:w="5075" w:type="dxa"/>
          </w:tcPr>
          <w:p w14:paraId="4E7C2345" w14:textId="6DED1B86" w:rsidR="005C0911" w:rsidRPr="00D56665" w:rsidRDefault="00A347C3">
            <w:pPr>
              <w:pBdr>
                <w:top w:val="nil"/>
                <w:left w:val="nil"/>
                <w:bottom w:val="nil"/>
                <w:right w:val="nil"/>
                <w:between w:val="nil"/>
              </w:pBdr>
              <w:tabs>
                <w:tab w:val="left" w:pos="-9"/>
              </w:tabs>
              <w:spacing w:after="120"/>
              <w:ind w:left="0"/>
              <w:jc w:val="left"/>
              <w:rPr>
                <w:rFonts w:ascii="Arial" w:hAnsi="Arial" w:cs="Arial"/>
                <w:color w:val="000000"/>
                <w:sz w:val="24"/>
                <w:szCs w:val="24"/>
              </w:rPr>
            </w:pPr>
            <w:r w:rsidRPr="00D56665">
              <w:rPr>
                <w:rFonts w:ascii="Arial" w:hAnsi="Arial" w:cs="Arial"/>
                <w:color w:val="000000"/>
                <w:sz w:val="24"/>
                <w:szCs w:val="24"/>
              </w:rPr>
              <w:t>has the meaning given to it in Paragraph </w:t>
            </w:r>
            <w:r w:rsidR="00D56665">
              <w:rPr>
                <w:color w:val="000000"/>
                <w:sz w:val="24"/>
                <w:szCs w:val="24"/>
              </w:rPr>
              <w:fldChar w:fldCharType="begin"/>
            </w:r>
            <w:r w:rsidR="00D56665">
              <w:rPr>
                <w:color w:val="000000"/>
                <w:sz w:val="24"/>
                <w:szCs w:val="24"/>
              </w:rPr>
              <w:instrText xml:space="preserve"> </w:instrText>
            </w:r>
            <w:r w:rsidR="00D56665">
              <w:rPr>
                <w:rFonts w:ascii="Arial" w:hAnsi="Arial" w:cs="Arial"/>
                <w:color w:val="000000"/>
                <w:sz w:val="24"/>
                <w:szCs w:val="24"/>
              </w:rPr>
              <w:instrText xml:space="preserve">REF </w:instrText>
            </w:r>
            <w:r w:rsidR="00D56665">
              <w:rPr>
                <w:color w:val="000000"/>
                <w:sz w:val="24"/>
                <w:szCs w:val="24"/>
              </w:rPr>
              <w:instrText xml:space="preserve">_Ref141083643 \r \h </w:instrText>
            </w:r>
            <w:r w:rsidR="00D56665">
              <w:rPr>
                <w:color w:val="000000"/>
                <w:sz w:val="24"/>
                <w:szCs w:val="24"/>
              </w:rPr>
            </w:r>
            <w:r w:rsidR="00D56665">
              <w:rPr>
                <w:color w:val="000000"/>
                <w:sz w:val="24"/>
                <w:szCs w:val="24"/>
              </w:rPr>
              <w:fldChar w:fldCharType="separate"/>
            </w:r>
            <w:r w:rsidR="00E93C75">
              <w:rPr>
                <w:rFonts w:ascii="Arial" w:hAnsi="Arial" w:cs="Arial"/>
                <w:color w:val="000000"/>
                <w:sz w:val="24"/>
                <w:szCs w:val="24"/>
              </w:rPr>
              <w:t>6.3</w:t>
            </w:r>
            <w:r w:rsidR="00D56665">
              <w:rPr>
                <w:color w:val="000000"/>
                <w:sz w:val="24"/>
                <w:szCs w:val="24"/>
              </w:rPr>
              <w:fldChar w:fldCharType="end"/>
            </w:r>
            <w:r w:rsidR="00D56665">
              <w:rPr>
                <w:rFonts w:ascii="Arial" w:hAnsi="Arial" w:cs="Arial"/>
                <w:color w:val="000000"/>
                <w:sz w:val="24"/>
                <w:szCs w:val="24"/>
              </w:rPr>
              <w:t xml:space="preserve"> </w:t>
            </w:r>
            <w:r w:rsidRPr="00D56665">
              <w:rPr>
                <w:rFonts w:ascii="Arial" w:hAnsi="Arial" w:cs="Arial"/>
                <w:color w:val="000000"/>
                <w:sz w:val="24"/>
                <w:szCs w:val="24"/>
              </w:rPr>
              <w:t>of this Schedule</w:t>
            </w:r>
            <w:r w:rsidR="00E93C75">
              <w:rPr>
                <w:rFonts w:ascii="Arial" w:hAnsi="Arial" w:cs="Arial"/>
                <w:color w:val="000000"/>
                <w:sz w:val="24"/>
                <w:szCs w:val="24"/>
              </w:rPr>
              <w:t>,</w:t>
            </w:r>
          </w:p>
        </w:tc>
      </w:tr>
    </w:tbl>
    <w:p w14:paraId="444CF500" w14:textId="77777777" w:rsidR="005C0911" w:rsidRDefault="00A347C3">
      <w:pPr>
        <w:keepNext/>
        <w:numPr>
          <w:ilvl w:val="0"/>
          <w:numId w:val="1"/>
        </w:numPr>
        <w:pBdr>
          <w:top w:val="nil"/>
          <w:left w:val="nil"/>
          <w:bottom w:val="nil"/>
          <w:right w:val="nil"/>
          <w:between w:val="nil"/>
        </w:pBdr>
        <w:tabs>
          <w:tab w:val="left" w:pos="0"/>
        </w:tabs>
        <w:spacing w:before="120"/>
        <w:jc w:val="left"/>
      </w:pPr>
      <w:r>
        <w:rPr>
          <w:rFonts w:ascii="Arial Bold" w:eastAsia="Arial Bold" w:hAnsi="Arial Bold" w:cs="Arial Bold"/>
          <w:b/>
          <w:color w:val="000000"/>
          <w:sz w:val="24"/>
          <w:szCs w:val="24"/>
        </w:rPr>
        <w:t>BCDR Plan</w:t>
      </w:r>
    </w:p>
    <w:p w14:paraId="575FCCFA" w14:textId="4723AD9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bookmarkStart w:id="1" w:name="_heading=h.30j0zll" w:colFirst="0" w:colLast="0"/>
      <w:bookmarkStart w:id="2" w:name="_Ref141083623"/>
      <w:bookmarkEnd w:id="1"/>
      <w:r>
        <w:rPr>
          <w:rFonts w:eastAsia="Arial"/>
          <w:color w:val="000000"/>
          <w:sz w:val="24"/>
          <w:szCs w:val="24"/>
        </w:rPr>
        <w:t xml:space="preserve">At least </w:t>
      </w:r>
      <w:sdt>
        <w:sdtPr>
          <w:tag w:val="goog_rdk_1"/>
          <w:id w:val="849376577"/>
        </w:sdtPr>
        <w:sdtEndPr/>
        <w:sdtContent>
          <w:r>
            <w:rPr>
              <w:rFonts w:eastAsia="Arial"/>
              <w:color w:val="000000"/>
              <w:sz w:val="24"/>
              <w:szCs w:val="24"/>
            </w:rPr>
            <w:t>forty</w:t>
          </w:r>
        </w:sdtContent>
      </w:sdt>
      <w:sdt>
        <w:sdtPr>
          <w:tag w:val="goog_rdk_2"/>
          <w:id w:val="1517196268"/>
        </w:sdtPr>
        <w:sdtEndPr/>
        <w:sdtContent>
          <w:r w:rsidR="002C2C64">
            <w:t xml:space="preserve"> </w:t>
          </w:r>
        </w:sdtContent>
      </w:sdt>
      <w:r>
        <w:rPr>
          <w:rFonts w:eastAsia="Arial"/>
          <w:color w:val="000000"/>
          <w:sz w:val="24"/>
          <w:szCs w:val="24"/>
        </w:rPr>
        <w:t>(</w:t>
      </w:r>
      <w:sdt>
        <w:sdtPr>
          <w:tag w:val="goog_rdk_5"/>
          <w:id w:val="1620178559"/>
        </w:sdtPr>
        <w:sdtEndPr/>
        <w:sdtContent>
          <w:r>
            <w:rPr>
              <w:rFonts w:eastAsia="Arial"/>
              <w:color w:val="000000"/>
              <w:sz w:val="24"/>
              <w:szCs w:val="24"/>
            </w:rPr>
            <w:t>40</w:t>
          </w:r>
        </w:sdtContent>
      </w:sdt>
      <w:r>
        <w:rPr>
          <w:rFonts w:eastAsia="Arial"/>
          <w:color w:val="000000"/>
          <w:sz w:val="24"/>
          <w:szCs w:val="24"/>
        </w:rPr>
        <w:t xml:space="preserve">) Working Days </w:t>
      </w:r>
      <w:sdt>
        <w:sdtPr>
          <w:tag w:val="goog_rdk_7"/>
          <w:id w:val="-1049296237"/>
        </w:sdtPr>
        <w:sdtEndPr/>
        <w:sdtContent>
          <w:r>
            <w:rPr>
              <w:rFonts w:eastAsia="Arial"/>
              <w:color w:val="000000"/>
              <w:sz w:val="24"/>
              <w:szCs w:val="24"/>
            </w:rPr>
            <w:t>after</w:t>
          </w:r>
        </w:sdtContent>
      </w:sdt>
      <w:r>
        <w:rPr>
          <w:rFonts w:eastAsia="Arial"/>
          <w:color w:val="000000"/>
          <w:sz w:val="24"/>
          <w:szCs w:val="24"/>
        </w:rPr>
        <w:t xml:space="preserve"> the </w:t>
      </w:r>
      <w:sdt>
        <w:sdtPr>
          <w:tag w:val="goog_rdk_9"/>
          <w:id w:val="-330304401"/>
        </w:sdtPr>
        <w:sdtEndPr/>
        <w:sdtContent>
          <w:r w:rsidR="002C2C64">
            <w:t>Effective</w:t>
          </w:r>
        </w:sdtContent>
      </w:sdt>
      <w:r>
        <w:rPr>
          <w:rFonts w:eastAsia="Arial"/>
          <w:color w:val="000000"/>
          <w:sz w:val="24"/>
          <w:szCs w:val="24"/>
        </w:rPr>
        <w:t xml:space="preserve"> Date the Supplier shall prepare and deliver to the Buyer for the Buyer’s written approval a plan (a </w:t>
      </w:r>
      <w:r>
        <w:rPr>
          <w:rFonts w:eastAsia="Arial"/>
          <w:b/>
          <w:color w:val="000000"/>
          <w:sz w:val="24"/>
          <w:szCs w:val="24"/>
        </w:rPr>
        <w:t>"BCDR Plan"</w:t>
      </w:r>
      <w:r>
        <w:rPr>
          <w:rFonts w:eastAsia="Arial"/>
          <w:color w:val="000000"/>
          <w:sz w:val="24"/>
          <w:szCs w:val="24"/>
        </w:rPr>
        <w:t>), which shall detail the processes and arrangements that the Supplier shall follow to:</w:t>
      </w:r>
      <w:bookmarkEnd w:id="2"/>
    </w:p>
    <w:p w14:paraId="114773B5"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ensure continuity of the business processes and operations supported by the Services following any failure or disruption of any element of the Deliverables; and</w:t>
      </w:r>
    </w:p>
    <w:p w14:paraId="7D2E94E8" w14:textId="58628D0D"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3" w:name="_heading=h.1fob9te" w:colFirst="0" w:colLast="0"/>
      <w:bookmarkEnd w:id="3"/>
      <w:r>
        <w:rPr>
          <w:rFonts w:eastAsia="Arial"/>
          <w:color w:val="000000"/>
          <w:sz w:val="24"/>
          <w:szCs w:val="24"/>
        </w:rPr>
        <w:t>the recovery of the Deliverables in the event of a Disaster</w:t>
      </w:r>
      <w:r w:rsidR="00E93C75">
        <w:rPr>
          <w:rFonts w:eastAsia="Arial"/>
          <w:color w:val="000000"/>
          <w:sz w:val="24"/>
          <w:szCs w:val="24"/>
        </w:rPr>
        <w:t>.</w:t>
      </w:r>
    </w:p>
    <w:p w14:paraId="7F138449" w14:textId="7777777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BCDR Plan shall be divided into three sections:</w:t>
      </w:r>
    </w:p>
    <w:p w14:paraId="2AC6D60A" w14:textId="686F9831"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4" w:name="_heading=h.3znysh7" w:colFirst="0" w:colLast="0"/>
      <w:bookmarkEnd w:id="4"/>
      <w:r>
        <w:rPr>
          <w:rFonts w:eastAsia="Arial"/>
          <w:color w:val="000000"/>
          <w:sz w:val="24"/>
          <w:szCs w:val="24"/>
        </w:rPr>
        <w:t>Section </w:t>
      </w:r>
      <w:r w:rsidR="00DB5411">
        <w:rPr>
          <w:rFonts w:eastAsia="Arial"/>
          <w:color w:val="000000"/>
          <w:sz w:val="24"/>
          <w:szCs w:val="24"/>
        </w:rPr>
        <w:t>1</w:t>
      </w:r>
      <w:r>
        <w:rPr>
          <w:rFonts w:eastAsia="Arial"/>
          <w:color w:val="000000"/>
          <w:sz w:val="24"/>
          <w:szCs w:val="24"/>
        </w:rPr>
        <w:t xml:space="preserve"> which shall set out general principles applicable to the BCDR Plan; </w:t>
      </w:r>
    </w:p>
    <w:p w14:paraId="290DF84E"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5" w:name="_heading=h.2et92p0" w:colFirst="0" w:colLast="0"/>
      <w:bookmarkStart w:id="6" w:name="_Ref141083629"/>
      <w:bookmarkEnd w:id="5"/>
      <w:r>
        <w:rPr>
          <w:rFonts w:eastAsia="Arial"/>
          <w:color w:val="000000"/>
          <w:sz w:val="24"/>
          <w:szCs w:val="24"/>
        </w:rPr>
        <w:t xml:space="preserve">Section 2 which shall relate to business continuity (the </w:t>
      </w:r>
      <w:r>
        <w:rPr>
          <w:rFonts w:eastAsia="Arial"/>
          <w:b/>
          <w:color w:val="000000"/>
          <w:sz w:val="24"/>
          <w:szCs w:val="24"/>
        </w:rPr>
        <w:t>"Business Continuity Plan"</w:t>
      </w:r>
      <w:r>
        <w:rPr>
          <w:rFonts w:eastAsia="Arial"/>
          <w:color w:val="000000"/>
          <w:sz w:val="24"/>
          <w:szCs w:val="24"/>
        </w:rPr>
        <w:t>); and</w:t>
      </w:r>
      <w:bookmarkEnd w:id="6"/>
    </w:p>
    <w:p w14:paraId="17FB846E"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7" w:name="_heading=h.tyjcwt" w:colFirst="0" w:colLast="0"/>
      <w:bookmarkStart w:id="8" w:name="_Ref141083634"/>
      <w:bookmarkEnd w:id="7"/>
      <w:r>
        <w:rPr>
          <w:rFonts w:eastAsia="Arial"/>
          <w:color w:val="000000"/>
          <w:sz w:val="24"/>
          <w:szCs w:val="24"/>
        </w:rPr>
        <w:t xml:space="preserve">Section 3 which shall relate to disaster recovery (the </w:t>
      </w:r>
      <w:r>
        <w:rPr>
          <w:rFonts w:eastAsia="Arial"/>
          <w:b/>
          <w:color w:val="000000"/>
          <w:sz w:val="24"/>
          <w:szCs w:val="24"/>
        </w:rPr>
        <w:t>"Disaster Recovery Plan"</w:t>
      </w:r>
      <w:r>
        <w:rPr>
          <w:rFonts w:eastAsia="Arial"/>
          <w:color w:val="000000"/>
          <w:sz w:val="24"/>
          <w:szCs w:val="24"/>
        </w:rPr>
        <w:t>).</w:t>
      </w:r>
      <w:bookmarkEnd w:id="8"/>
    </w:p>
    <w:p w14:paraId="27143D5D" w14:textId="77777777"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bookmarkStart w:id="9" w:name="_heading=h.3dy6vkm" w:colFirst="0" w:colLast="0"/>
      <w:bookmarkEnd w:id="9"/>
      <w:r>
        <w:rPr>
          <w:rFonts w:eastAsia="Arial"/>
          <w:color w:val="000000"/>
          <w:sz w:val="24"/>
          <w:szCs w:val="24"/>
        </w:rPr>
        <w:t>Following receipt of the draft BCDR Plan from the Supplier, the Parties shall use reasonable endeavours to agree the contents of the BCDR Plan. If the Parties are unable to agree the contents of the BCDR Plan within twenty (20) Working Days of its submission, then such Dispute shall be resolved in accordance with the Dispute Resolution Procedure.</w:t>
      </w:r>
    </w:p>
    <w:p w14:paraId="4E82E49D" w14:textId="77777777" w:rsidR="005C0911" w:rsidRDefault="00A347C3">
      <w:pPr>
        <w:keepNext/>
        <w:numPr>
          <w:ilvl w:val="0"/>
          <w:numId w:val="1"/>
        </w:numPr>
        <w:pBdr>
          <w:top w:val="nil"/>
          <w:left w:val="nil"/>
          <w:bottom w:val="nil"/>
          <w:right w:val="nil"/>
          <w:between w:val="nil"/>
        </w:pBdr>
        <w:tabs>
          <w:tab w:val="left" w:pos="0"/>
        </w:tabs>
        <w:spacing w:before="120"/>
        <w:jc w:val="left"/>
        <w:rPr>
          <w:rFonts w:ascii="Arial Bold" w:eastAsia="Arial Bold" w:hAnsi="Arial Bold" w:cs="Arial Bold"/>
          <w:b/>
          <w:smallCaps/>
          <w:color w:val="000000"/>
          <w:sz w:val="24"/>
          <w:szCs w:val="24"/>
        </w:rPr>
      </w:pPr>
      <w:bookmarkStart w:id="10" w:name="_heading=h.1t3h5sf" w:colFirst="0" w:colLast="0"/>
      <w:bookmarkEnd w:id="10"/>
      <w:r>
        <w:rPr>
          <w:rFonts w:ascii="Arial Bold" w:eastAsia="Arial Bold" w:hAnsi="Arial Bold" w:cs="Arial Bold"/>
          <w:b/>
          <w:color w:val="000000"/>
          <w:sz w:val="24"/>
          <w:szCs w:val="24"/>
        </w:rPr>
        <w:lastRenderedPageBreak/>
        <w:t xml:space="preserve">General Principles of the BCDR Plan (Section </w:t>
      </w:r>
      <w:r w:rsidRPr="00DB5411">
        <w:rPr>
          <w:rFonts w:ascii="Arial Bold" w:eastAsia="Arial Bold" w:hAnsi="Arial Bold" w:cs="Arial Bold"/>
          <w:bCs/>
          <w:color w:val="000000"/>
          <w:sz w:val="24"/>
          <w:szCs w:val="24"/>
        </w:rPr>
        <w:t>1</w:t>
      </w:r>
      <w:r>
        <w:rPr>
          <w:rFonts w:ascii="Arial Bold" w:eastAsia="Arial Bold" w:hAnsi="Arial Bold" w:cs="Arial Bold"/>
          <w:b/>
          <w:color w:val="000000"/>
          <w:sz w:val="24"/>
          <w:szCs w:val="24"/>
        </w:rPr>
        <w:t>)</w:t>
      </w:r>
    </w:p>
    <w:p w14:paraId="0E892DFC" w14:textId="7777777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Section 1 of the BCDR Plan shall:</w:t>
      </w:r>
    </w:p>
    <w:p w14:paraId="3FB5D2F2"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how the business continuity and disaster recovery elements of the BCDR Plan link to each other;</w:t>
      </w:r>
    </w:p>
    <w:p w14:paraId="3D6A62CF"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provide details of how the invocation of any element of the BCDR Plan may impact upon the provision of the Deliverables and any goods and/or services provided to the Buyer by a Related Supplier;</w:t>
      </w:r>
    </w:p>
    <w:p w14:paraId="355D7152"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contain an obligation upon the Supplier to liaise with the Buyer and any Related Suppliers with respect to business continuity and disaster recovery;</w:t>
      </w:r>
    </w:p>
    <w:p w14:paraId="5CD133A0"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detail how the BCDR Plan interoperates with any overarching disaster recovery or business continuity plan of the Buyer and any of its other Related Supplier in each case as notified to the Supplier by the Buyer from time to time;</w:t>
      </w:r>
    </w:p>
    <w:p w14:paraId="60B65CFC"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contain a communication strategy including details of an incident and problem management service and advice and help desk facility which can be accessed via multiple channels;</w:t>
      </w:r>
    </w:p>
    <w:p w14:paraId="4F1A23E9" w14:textId="77777777" w:rsidR="005C0911" w:rsidRDefault="00A347C3">
      <w:pPr>
        <w:keepNext/>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contain a risk analysis, including:</w:t>
      </w:r>
    </w:p>
    <w:p w14:paraId="38E07EDB" w14:textId="78186933" w:rsidR="005C0911" w:rsidRDefault="00CB2A66" w:rsidP="00E66254">
      <w:pPr>
        <w:numPr>
          <w:ilvl w:val="3"/>
          <w:numId w:val="1"/>
        </w:numPr>
        <w:pBdr>
          <w:top w:val="nil"/>
          <w:left w:val="nil"/>
          <w:bottom w:val="nil"/>
          <w:right w:val="nil"/>
          <w:between w:val="nil"/>
        </w:pBdr>
        <w:tabs>
          <w:tab w:val="left" w:pos="2552"/>
        </w:tabs>
        <w:spacing w:before="120" w:after="120"/>
        <w:ind w:hanging="849"/>
        <w:jc w:val="left"/>
        <w:rPr>
          <w:rFonts w:eastAsia="Arial"/>
          <w:color w:val="000000"/>
          <w:sz w:val="24"/>
          <w:szCs w:val="24"/>
        </w:rPr>
      </w:pPr>
      <w:r>
        <w:rPr>
          <w:rFonts w:eastAsia="Arial"/>
          <w:color w:val="000000"/>
          <w:sz w:val="24"/>
          <w:szCs w:val="24"/>
        </w:rPr>
        <w:t>failure or disruption scenarios and assessments of likely frequency of occurrence;</w:t>
      </w:r>
    </w:p>
    <w:p w14:paraId="176F6FE7" w14:textId="4EEA1037"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identification of any single points of failure within the provision of Deliverables and processes for managing those risks;</w:t>
      </w:r>
    </w:p>
    <w:p w14:paraId="2924AA51" w14:textId="61A9A030"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identification of risks arising from an Insolvency Event of the Supplier, any Key Subcontractors and/or Supplier Group member;</w:t>
      </w:r>
    </w:p>
    <w:p w14:paraId="7EA69E25" w14:textId="35AEC4B0"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identification of risks arising from the interaction of the provision of Deliverables with the goods and/or services provided by a Related Supplier; and</w:t>
      </w:r>
    </w:p>
    <w:p w14:paraId="590DDE89" w14:textId="331FC4BA" w:rsidR="005C0911" w:rsidRDefault="00CB2A66" w:rsidP="00BF5E53">
      <w:pPr>
        <w:numPr>
          <w:ilvl w:val="3"/>
          <w:numId w:val="1"/>
        </w:numPr>
        <w:pBdr>
          <w:top w:val="nil"/>
          <w:left w:val="nil"/>
          <w:bottom w:val="nil"/>
          <w:right w:val="nil"/>
          <w:between w:val="nil"/>
        </w:pBdr>
        <w:spacing w:before="120" w:after="120"/>
        <w:ind w:hanging="849"/>
        <w:jc w:val="left"/>
        <w:rPr>
          <w:rFonts w:eastAsia="Arial"/>
          <w:color w:val="000000"/>
          <w:sz w:val="24"/>
          <w:szCs w:val="24"/>
        </w:rPr>
      </w:pPr>
      <w:r>
        <w:rPr>
          <w:rFonts w:eastAsia="Arial"/>
          <w:color w:val="000000"/>
          <w:sz w:val="24"/>
          <w:szCs w:val="24"/>
        </w:rPr>
        <w:t>a business impact analysis of different anticipated failures or disruptions;</w:t>
      </w:r>
    </w:p>
    <w:p w14:paraId="041F1998"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provide for documentation of processes, including business processes, and procedures;</w:t>
      </w:r>
    </w:p>
    <w:p w14:paraId="38259E4E"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key contact details for the Supplier (and any Subcontractors) and for the Buyer;</w:t>
      </w:r>
    </w:p>
    <w:p w14:paraId="1636F81F"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identify the procedures for reverting to "normal service";</w:t>
      </w:r>
    </w:p>
    <w:p w14:paraId="55D9724F"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method(s) of recovering or updating data collected (or which ought to have been collected) during a failure or disruption to minimise data loss;</w:t>
      </w:r>
    </w:p>
    <w:p w14:paraId="1203319F"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identify the responsibilities (if any) that the Buyer has agreed it will assume in the event of the invocation of the BCDR Plan; and</w:t>
      </w:r>
    </w:p>
    <w:p w14:paraId="1F9349F9"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lastRenderedPageBreak/>
        <w:t>provide for the provision of technical assistance to key contacts at the Buyer as required by the Buyer to inform decisions in support of the Buyer’s business continuity plans.</w:t>
      </w:r>
    </w:p>
    <w:p w14:paraId="7089AB8C" w14:textId="7777777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BCDR Plan shall be designed so as to ensure that:</w:t>
      </w:r>
    </w:p>
    <w:p w14:paraId="6C870EBF"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Deliverables are provided in accordance with this Contract at all times during and after the invocation of the BCDR Plan;</w:t>
      </w:r>
    </w:p>
    <w:p w14:paraId="144D9D04" w14:textId="041A2E0E"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adverse impact of any Disaster is minimised as far as reasonably possible;</w:t>
      </w:r>
    </w:p>
    <w:p w14:paraId="008D5E06"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it complies with the relevant provisions of ISO/IEC 27002; ISO22301/ISO22313 and all other industry standards from time to time in force; and</w:t>
      </w:r>
    </w:p>
    <w:p w14:paraId="4A5CCF2A"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it details a process for the management of disaster recovery testing.</w:t>
      </w:r>
    </w:p>
    <w:p w14:paraId="658466EF" w14:textId="77777777"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BCDR Plan shall be upgradeable and sufficiently flexible to support any changes to the Deliverables and the business operations supported by the provision of Deliverables.</w:t>
      </w:r>
    </w:p>
    <w:p w14:paraId="236DBA9D" w14:textId="48D32D0E"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 xml:space="preserve">The Supplier shall not be entitled to any relief from its obligations under the Service Levels, or to any increase in the Charges to the extent that a Disaster occurs as a consequence of any </w:t>
      </w:r>
      <w:r w:rsidR="008A2797">
        <w:rPr>
          <w:rFonts w:eastAsia="Arial"/>
          <w:color w:val="000000"/>
          <w:sz w:val="24"/>
          <w:szCs w:val="24"/>
        </w:rPr>
        <w:t>Default</w:t>
      </w:r>
      <w:r>
        <w:rPr>
          <w:rFonts w:eastAsia="Arial"/>
          <w:color w:val="000000"/>
          <w:sz w:val="24"/>
          <w:szCs w:val="24"/>
        </w:rPr>
        <w:t xml:space="preserve"> by the Supplier of this Contract.</w:t>
      </w:r>
    </w:p>
    <w:p w14:paraId="439CE011" w14:textId="77777777" w:rsidR="005C0911" w:rsidRDefault="00A347C3">
      <w:pPr>
        <w:keepNext/>
        <w:numPr>
          <w:ilvl w:val="0"/>
          <w:numId w:val="1"/>
        </w:numPr>
        <w:pBdr>
          <w:top w:val="nil"/>
          <w:left w:val="nil"/>
          <w:bottom w:val="nil"/>
          <w:right w:val="nil"/>
          <w:between w:val="nil"/>
        </w:pBdr>
        <w:tabs>
          <w:tab w:val="left" w:pos="0"/>
        </w:tabs>
        <w:spacing w:before="120"/>
        <w:jc w:val="left"/>
        <w:rPr>
          <w:rFonts w:ascii="Arial Bold" w:eastAsia="Arial Bold" w:hAnsi="Arial Bold" w:cs="Arial Bold"/>
          <w:b/>
          <w:smallCaps/>
          <w:color w:val="000000"/>
          <w:sz w:val="24"/>
          <w:szCs w:val="24"/>
        </w:rPr>
      </w:pPr>
      <w:r>
        <w:rPr>
          <w:rFonts w:ascii="Arial Bold" w:eastAsia="Arial Bold" w:hAnsi="Arial Bold" w:cs="Arial Bold"/>
          <w:b/>
          <w:color w:val="000000"/>
          <w:sz w:val="24"/>
          <w:szCs w:val="24"/>
        </w:rPr>
        <w:t>Business Continuity (Section 2)</w:t>
      </w:r>
    </w:p>
    <w:p w14:paraId="744CCD81" w14:textId="7777777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bookmarkStart w:id="11" w:name="_heading=h.4d34og8" w:colFirst="0" w:colLast="0"/>
      <w:bookmarkEnd w:id="11"/>
      <w:r>
        <w:rPr>
          <w:rFonts w:eastAsia="Arial"/>
          <w:color w:val="000000"/>
          <w:sz w:val="24"/>
          <w:szCs w:val="24"/>
        </w:rPr>
        <w:t>The Business Continuity Plan shall set out the arrangements that are to be invoked to ensure that the business processes facilitated by the provision of Deliverables remain supported and to ensure continuity of the business operations supported by the Services including:</w:t>
      </w:r>
    </w:p>
    <w:p w14:paraId="4174CC31"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alternative processes, options and responsibilities that may be adopted in the event of a failure in or disruption to the provision of Deliverables; and</w:t>
      </w:r>
    </w:p>
    <w:p w14:paraId="38CA573B"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steps to be taken by the Supplier upon resumption of the provision of Deliverables in order to address the effect of the failure or disruption.</w:t>
      </w:r>
    </w:p>
    <w:p w14:paraId="45814DB2" w14:textId="7777777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Business Continuity Plan shall:</w:t>
      </w:r>
    </w:p>
    <w:p w14:paraId="0C8E88A6"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address the various possible levels of failures of or disruptions to the provision of Deliverables;</w:t>
      </w:r>
    </w:p>
    <w:p w14:paraId="531CF9C2"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12" w:name="_heading=h.2s8eyo1" w:colFirst="0" w:colLast="0"/>
      <w:bookmarkEnd w:id="12"/>
      <w:r>
        <w:rPr>
          <w:rFonts w:eastAsia="Arial"/>
          <w:color w:val="000000"/>
          <w:sz w:val="24"/>
          <w:szCs w:val="24"/>
        </w:rPr>
        <w:t>set out the goods and/or services to be provided and the steps to be taken to remedy the different levels of failures of and disruption to the Deliverables;</w:t>
      </w:r>
    </w:p>
    <w:p w14:paraId="19A65CD3"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specify any applicable Service Levels with respect to the provision of the Business Continuity Services and details of any agreed relaxation to the Service Levels in respect of the provision of other Deliverables during any period of invocation of the Business Continuity Plan; and</w:t>
      </w:r>
    </w:p>
    <w:p w14:paraId="1E43B9DC"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set out the circumstances in which the Business Continuity Plan is invoked.</w:t>
      </w:r>
    </w:p>
    <w:p w14:paraId="273DF109" w14:textId="77777777" w:rsidR="005C0911" w:rsidRDefault="00A347C3">
      <w:pPr>
        <w:keepNext/>
        <w:numPr>
          <w:ilvl w:val="0"/>
          <w:numId w:val="1"/>
        </w:numPr>
        <w:pBdr>
          <w:top w:val="nil"/>
          <w:left w:val="nil"/>
          <w:bottom w:val="nil"/>
          <w:right w:val="nil"/>
          <w:between w:val="nil"/>
        </w:pBdr>
        <w:tabs>
          <w:tab w:val="left" w:pos="0"/>
        </w:tabs>
        <w:spacing w:before="120"/>
        <w:jc w:val="left"/>
        <w:rPr>
          <w:rFonts w:ascii="Arial Bold" w:eastAsia="Arial Bold" w:hAnsi="Arial Bold" w:cs="Arial Bold"/>
          <w:b/>
          <w:smallCaps/>
          <w:color w:val="000000"/>
          <w:sz w:val="24"/>
          <w:szCs w:val="24"/>
        </w:rPr>
      </w:pPr>
      <w:r>
        <w:rPr>
          <w:rFonts w:ascii="Arial Bold" w:eastAsia="Arial Bold" w:hAnsi="Arial Bold" w:cs="Arial Bold"/>
          <w:b/>
          <w:color w:val="000000"/>
          <w:sz w:val="24"/>
          <w:szCs w:val="24"/>
        </w:rPr>
        <w:t xml:space="preserve">Disaster Recovery (Section </w:t>
      </w:r>
      <w:r w:rsidRPr="007D790E">
        <w:rPr>
          <w:rFonts w:ascii="Arial Bold" w:eastAsia="Arial Bold" w:hAnsi="Arial Bold" w:cs="Arial Bold"/>
          <w:bCs/>
          <w:color w:val="000000"/>
          <w:sz w:val="24"/>
          <w:szCs w:val="24"/>
        </w:rPr>
        <w:t>3</w:t>
      </w:r>
      <w:r>
        <w:rPr>
          <w:rFonts w:ascii="Arial Bold" w:eastAsia="Arial Bold" w:hAnsi="Arial Bold" w:cs="Arial Bold"/>
          <w:b/>
          <w:color w:val="000000"/>
          <w:sz w:val="24"/>
          <w:szCs w:val="24"/>
        </w:rPr>
        <w:t>)</w:t>
      </w:r>
    </w:p>
    <w:p w14:paraId="0E549E05" w14:textId="77777777"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bookmarkStart w:id="13" w:name="_heading=h.17dp8vu" w:colFirst="0" w:colLast="0"/>
      <w:bookmarkEnd w:id="13"/>
      <w:r>
        <w:rPr>
          <w:rFonts w:eastAsia="Arial"/>
          <w:color w:val="000000"/>
          <w:sz w:val="24"/>
          <w:szCs w:val="24"/>
        </w:rPr>
        <w:t>The Disaster Recovery Plan (which shall be invoked only upon the occurrence of a Disaster) shall be designed to ensure that upon the occurrence of a Disaster the Supplier ensures continuity of the business operations of the Buyer supported by the Services following any Disaster or during any period of service failure or disruption with, as far as reasonably possible, minimal adverse impact.</w:t>
      </w:r>
    </w:p>
    <w:p w14:paraId="5F3EDEAF" w14:textId="7777777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Supplier's BCDR Plan shall include an approach to business continuity and disaster recovery that addresses the following:</w:t>
      </w:r>
    </w:p>
    <w:p w14:paraId="09F1DA9C"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access to the Buyer Premises;</w:t>
      </w:r>
    </w:p>
    <w:p w14:paraId="1E5C4FE4"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utilities to the Buyer Premises;</w:t>
      </w:r>
    </w:p>
    <w:p w14:paraId="5671A0AA"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the Supplier's helpdesk or CAFM system;</w:t>
      </w:r>
    </w:p>
    <w:p w14:paraId="602D747F"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loss of a Subcontractor;</w:t>
      </w:r>
    </w:p>
    <w:p w14:paraId="4ADB04B4"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emergency notification and escalation process;</w:t>
      </w:r>
    </w:p>
    <w:p w14:paraId="4F503BB1"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contact lists;</w:t>
      </w:r>
    </w:p>
    <w:p w14:paraId="540EC805"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staff training and awareness;</w:t>
      </w:r>
    </w:p>
    <w:p w14:paraId="561C5609" w14:textId="4CF355E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BCDR Plan testing;</w:t>
      </w:r>
    </w:p>
    <w:p w14:paraId="181D7887" w14:textId="2E3360ED"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post implementation review process;</w:t>
      </w:r>
    </w:p>
    <w:p w14:paraId="3DA5A40A"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any applicable Service Levels with respect to the provision of the disaster recovery services and details of any agreed relaxation to the Service Levels in respect of the provision of other Deliverables during any period of invocation of the Disaster Recovery Plan;</w:t>
      </w:r>
    </w:p>
    <w:p w14:paraId="1692FB09"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details of how the Supplier shall ensure compliance with security standards ensuring that compliance is maintained for any period during which the Disaster Recovery Plan is invoked;</w:t>
      </w:r>
    </w:p>
    <w:p w14:paraId="1FB55539"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access controls to any disaster recovery sites used by the Supplier in relation to its obligations pursuant to this Schedule; and</w:t>
      </w:r>
    </w:p>
    <w:p w14:paraId="0A933417"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testing and management arrangements.</w:t>
      </w:r>
    </w:p>
    <w:p w14:paraId="4C421BAA" w14:textId="77777777" w:rsidR="005C0911" w:rsidRDefault="00A347C3">
      <w:pPr>
        <w:keepNext/>
        <w:numPr>
          <w:ilvl w:val="0"/>
          <w:numId w:val="1"/>
        </w:numPr>
        <w:pBdr>
          <w:top w:val="nil"/>
          <w:left w:val="nil"/>
          <w:bottom w:val="nil"/>
          <w:right w:val="nil"/>
          <w:between w:val="nil"/>
        </w:pBdr>
        <w:tabs>
          <w:tab w:val="left" w:pos="0"/>
        </w:tabs>
        <w:spacing w:before="120"/>
        <w:jc w:val="left"/>
        <w:rPr>
          <w:rFonts w:ascii="Arial Bold" w:eastAsia="Arial Bold" w:hAnsi="Arial Bold" w:cs="Arial Bold"/>
          <w:b/>
          <w:smallCaps/>
          <w:color w:val="000000"/>
          <w:sz w:val="24"/>
          <w:szCs w:val="24"/>
        </w:rPr>
      </w:pPr>
      <w:r>
        <w:rPr>
          <w:rFonts w:ascii="Arial Bold" w:eastAsia="Arial Bold" w:hAnsi="Arial Bold" w:cs="Arial Bold"/>
          <w:b/>
          <w:color w:val="000000"/>
          <w:sz w:val="24"/>
          <w:szCs w:val="24"/>
        </w:rPr>
        <w:t>Review and changing the BCDR Plan</w:t>
      </w:r>
    </w:p>
    <w:p w14:paraId="1F2C2346" w14:textId="7777777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bookmarkStart w:id="14" w:name="_heading=h.3rdcrjn" w:colFirst="0" w:colLast="0"/>
      <w:bookmarkStart w:id="15" w:name="_Ref141084237"/>
      <w:bookmarkEnd w:id="14"/>
      <w:r>
        <w:rPr>
          <w:rFonts w:eastAsia="Arial"/>
          <w:color w:val="000000"/>
          <w:sz w:val="24"/>
          <w:szCs w:val="24"/>
        </w:rPr>
        <w:t>The Supplier shall review the BCDR Plan:</w:t>
      </w:r>
      <w:bookmarkEnd w:id="15"/>
    </w:p>
    <w:p w14:paraId="7B51F816"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16" w:name="_heading=h.26in1rg" w:colFirst="0" w:colLast="0"/>
      <w:bookmarkStart w:id="17" w:name="_Ref141084227"/>
      <w:bookmarkEnd w:id="16"/>
      <w:r>
        <w:rPr>
          <w:rFonts w:eastAsia="Arial"/>
          <w:color w:val="000000"/>
          <w:sz w:val="24"/>
          <w:szCs w:val="24"/>
        </w:rPr>
        <w:t>on a regular basis and as a minimum once every six (6) Months;</w:t>
      </w:r>
      <w:bookmarkEnd w:id="17"/>
    </w:p>
    <w:p w14:paraId="12A76506" w14:textId="085E3C94"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18" w:name="_heading=h.lnxbz9" w:colFirst="0" w:colLast="0"/>
      <w:bookmarkStart w:id="19" w:name="_Ref141084232"/>
      <w:bookmarkEnd w:id="18"/>
      <w:r>
        <w:rPr>
          <w:rFonts w:eastAsia="Arial"/>
          <w:color w:val="000000"/>
          <w:sz w:val="24"/>
          <w:szCs w:val="24"/>
        </w:rPr>
        <w:t>within three (3) calendar Months of the BCDR Plan (or any part) having been invoked pursuant to Paragraph </w:t>
      </w:r>
      <w:r w:rsidR="00BD52EF">
        <w:rPr>
          <w:rFonts w:eastAsia="Arial"/>
          <w:color w:val="000000"/>
          <w:sz w:val="24"/>
          <w:szCs w:val="24"/>
        </w:rPr>
        <w:fldChar w:fldCharType="begin"/>
      </w:r>
      <w:r w:rsidR="00BD52EF">
        <w:rPr>
          <w:rFonts w:eastAsia="Arial"/>
          <w:color w:val="000000"/>
          <w:sz w:val="24"/>
          <w:szCs w:val="24"/>
        </w:rPr>
        <w:instrText xml:space="preserve"> REF _Ref141084222 \n \h </w:instrText>
      </w:r>
      <w:r w:rsidR="00BD52EF">
        <w:rPr>
          <w:rFonts w:eastAsia="Arial"/>
          <w:color w:val="000000"/>
          <w:sz w:val="24"/>
          <w:szCs w:val="24"/>
        </w:rPr>
      </w:r>
      <w:r w:rsidR="00BD52EF">
        <w:rPr>
          <w:rFonts w:eastAsia="Arial"/>
          <w:color w:val="000000"/>
          <w:sz w:val="24"/>
          <w:szCs w:val="24"/>
        </w:rPr>
        <w:fldChar w:fldCharType="separate"/>
      </w:r>
      <w:r w:rsidR="00E93C75">
        <w:rPr>
          <w:rFonts w:eastAsia="Arial"/>
          <w:color w:val="000000"/>
          <w:sz w:val="24"/>
          <w:szCs w:val="24"/>
        </w:rPr>
        <w:t>7</w:t>
      </w:r>
      <w:r w:rsidR="00BD52EF">
        <w:rPr>
          <w:rFonts w:eastAsia="Arial"/>
          <w:color w:val="000000"/>
          <w:sz w:val="24"/>
          <w:szCs w:val="24"/>
        </w:rPr>
        <w:fldChar w:fldCharType="end"/>
      </w:r>
      <w:r>
        <w:rPr>
          <w:rFonts w:eastAsia="Arial"/>
          <w:color w:val="000000"/>
          <w:sz w:val="24"/>
          <w:szCs w:val="24"/>
        </w:rPr>
        <w:t>; and</w:t>
      </w:r>
      <w:bookmarkEnd w:id="19"/>
    </w:p>
    <w:p w14:paraId="3ADB4290" w14:textId="6675B6D1"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bookmarkStart w:id="20" w:name="_heading=h.35nkun2" w:colFirst="0" w:colLast="0"/>
      <w:bookmarkEnd w:id="20"/>
      <w:r>
        <w:rPr>
          <w:rFonts w:eastAsia="Arial"/>
          <w:color w:val="000000"/>
          <w:sz w:val="24"/>
          <w:szCs w:val="24"/>
        </w:rPr>
        <w:t>where the Buyer requests in writing any additional reviews (over and above those provided for in Paragraphs </w:t>
      </w:r>
      <w:r w:rsidR="00BD52EF">
        <w:rPr>
          <w:rFonts w:eastAsia="Arial"/>
          <w:color w:val="000000"/>
          <w:sz w:val="24"/>
          <w:szCs w:val="24"/>
        </w:rPr>
        <w:fldChar w:fldCharType="begin"/>
      </w:r>
      <w:r w:rsidR="00BD52EF">
        <w:rPr>
          <w:rFonts w:eastAsia="Arial"/>
          <w:color w:val="000000"/>
          <w:sz w:val="24"/>
          <w:szCs w:val="24"/>
        </w:rPr>
        <w:instrText xml:space="preserve"> REF _Ref141084227 \n \h </w:instrText>
      </w:r>
      <w:r w:rsidR="00BD52EF">
        <w:rPr>
          <w:rFonts w:eastAsia="Arial"/>
          <w:color w:val="000000"/>
          <w:sz w:val="24"/>
          <w:szCs w:val="24"/>
        </w:rPr>
      </w:r>
      <w:r w:rsidR="00BD52EF">
        <w:rPr>
          <w:rFonts w:eastAsia="Arial"/>
          <w:color w:val="000000"/>
          <w:sz w:val="24"/>
          <w:szCs w:val="24"/>
        </w:rPr>
        <w:fldChar w:fldCharType="separate"/>
      </w:r>
      <w:r w:rsidR="00E93C75">
        <w:rPr>
          <w:rFonts w:eastAsia="Arial"/>
          <w:color w:val="000000"/>
          <w:sz w:val="24"/>
          <w:szCs w:val="24"/>
        </w:rPr>
        <w:t>6.1.1</w:t>
      </w:r>
      <w:r w:rsidR="00BD52EF">
        <w:rPr>
          <w:rFonts w:eastAsia="Arial"/>
          <w:color w:val="000000"/>
          <w:sz w:val="24"/>
          <w:szCs w:val="24"/>
        </w:rPr>
        <w:fldChar w:fldCharType="end"/>
      </w:r>
      <w:r w:rsidR="00BD52EF">
        <w:rPr>
          <w:rFonts w:eastAsia="Arial"/>
          <w:color w:val="000000"/>
          <w:sz w:val="24"/>
          <w:szCs w:val="24"/>
        </w:rPr>
        <w:t xml:space="preserve"> </w:t>
      </w:r>
      <w:r>
        <w:rPr>
          <w:rFonts w:eastAsia="Arial"/>
          <w:color w:val="000000"/>
          <w:sz w:val="24"/>
          <w:szCs w:val="24"/>
        </w:rPr>
        <w:t xml:space="preserve">and </w:t>
      </w:r>
      <w:r w:rsidR="00BD52EF">
        <w:rPr>
          <w:rFonts w:eastAsia="Arial"/>
          <w:color w:val="000000"/>
          <w:sz w:val="24"/>
          <w:szCs w:val="24"/>
        </w:rPr>
        <w:fldChar w:fldCharType="begin"/>
      </w:r>
      <w:r w:rsidR="00BD52EF">
        <w:rPr>
          <w:rFonts w:eastAsia="Arial"/>
          <w:color w:val="000000"/>
          <w:sz w:val="24"/>
          <w:szCs w:val="24"/>
        </w:rPr>
        <w:instrText xml:space="preserve"> REF _Ref141084232 \n \h </w:instrText>
      </w:r>
      <w:r w:rsidR="00BD52EF">
        <w:rPr>
          <w:rFonts w:eastAsia="Arial"/>
          <w:color w:val="000000"/>
          <w:sz w:val="24"/>
          <w:szCs w:val="24"/>
        </w:rPr>
      </w:r>
      <w:r w:rsidR="00BD52EF">
        <w:rPr>
          <w:rFonts w:eastAsia="Arial"/>
          <w:color w:val="000000"/>
          <w:sz w:val="24"/>
          <w:szCs w:val="24"/>
        </w:rPr>
        <w:fldChar w:fldCharType="separate"/>
      </w:r>
      <w:r w:rsidR="00E93C75">
        <w:rPr>
          <w:rFonts w:eastAsia="Arial"/>
          <w:color w:val="000000"/>
          <w:sz w:val="24"/>
          <w:szCs w:val="24"/>
        </w:rPr>
        <w:t>6.1.2</w:t>
      </w:r>
      <w:r w:rsidR="00BD52EF">
        <w:rPr>
          <w:rFonts w:eastAsia="Arial"/>
          <w:color w:val="000000"/>
          <w:sz w:val="24"/>
          <w:szCs w:val="24"/>
        </w:rPr>
        <w:fldChar w:fldCharType="end"/>
      </w:r>
      <w:r>
        <w:rPr>
          <w:rFonts w:eastAsia="Arial"/>
          <w:color w:val="000000"/>
          <w:sz w:val="24"/>
          <w:szCs w:val="24"/>
        </w:rPr>
        <w:t xml:space="preserve"> of this Schedule) whereupon the Supplier shall conduct such reviews in accordance with the Buyer’s written requirements. Prior to starting its review, the Supplier shall provide an accurate written estimate of the total costs payable by the Buyer for the Buyer’s approval. The costs of both Parties of any such additional reviews shall be met by the Buyer except that the Supplier shall not be entitled to charge the Buyer for any costs that it may incur above any estimate without the Buyer’s prior written approval.</w:t>
      </w:r>
    </w:p>
    <w:p w14:paraId="08956EAD" w14:textId="313F5A3D"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bookmarkStart w:id="21" w:name="_heading=h.1ksv4uv" w:colFirst="0" w:colLast="0"/>
      <w:bookmarkEnd w:id="21"/>
      <w:r>
        <w:rPr>
          <w:rFonts w:eastAsia="Arial"/>
          <w:color w:val="000000"/>
          <w:sz w:val="24"/>
          <w:szCs w:val="24"/>
        </w:rPr>
        <w:t>Each review of the BCDR Plan pursuant to Paragraph </w:t>
      </w:r>
      <w:r w:rsidR="00BD52EF">
        <w:rPr>
          <w:rFonts w:eastAsia="Arial"/>
          <w:color w:val="000000"/>
          <w:sz w:val="24"/>
          <w:szCs w:val="24"/>
        </w:rPr>
        <w:fldChar w:fldCharType="begin"/>
      </w:r>
      <w:r w:rsidR="00BD52EF">
        <w:rPr>
          <w:rFonts w:eastAsia="Arial"/>
          <w:color w:val="000000"/>
          <w:sz w:val="24"/>
          <w:szCs w:val="24"/>
        </w:rPr>
        <w:instrText xml:space="preserve"> REF _Ref141084237 \n \h </w:instrText>
      </w:r>
      <w:r w:rsidR="00BD52EF">
        <w:rPr>
          <w:rFonts w:eastAsia="Arial"/>
          <w:color w:val="000000"/>
          <w:sz w:val="24"/>
          <w:szCs w:val="24"/>
        </w:rPr>
      </w:r>
      <w:r w:rsidR="00BD52EF">
        <w:rPr>
          <w:rFonts w:eastAsia="Arial"/>
          <w:color w:val="000000"/>
          <w:sz w:val="24"/>
          <w:szCs w:val="24"/>
        </w:rPr>
        <w:fldChar w:fldCharType="separate"/>
      </w:r>
      <w:r w:rsidR="00E93C75">
        <w:rPr>
          <w:rFonts w:eastAsia="Arial"/>
          <w:color w:val="000000"/>
          <w:sz w:val="24"/>
          <w:szCs w:val="24"/>
        </w:rPr>
        <w:t>6.1</w:t>
      </w:r>
      <w:r w:rsidR="00BD52EF">
        <w:rPr>
          <w:rFonts w:eastAsia="Arial"/>
          <w:color w:val="000000"/>
          <w:sz w:val="24"/>
          <w:szCs w:val="24"/>
        </w:rPr>
        <w:fldChar w:fldCharType="end"/>
      </w:r>
      <w:r>
        <w:rPr>
          <w:rFonts w:eastAsia="Arial"/>
          <w:color w:val="000000"/>
          <w:sz w:val="24"/>
          <w:szCs w:val="24"/>
        </w:rPr>
        <w:t xml:space="preserve"> shall assess its suitability having regard to any change to the Deliverables or any underlying business processes and operations facilitated by or supported by the Services which have taken place since the later of the original approval of the BCDR Plan or the last review of the BCDR Plan, and shall also have regard to any occurrence of any event since that date (or the likelihood of any such event taking place in the foreseeable future) which may increase the likelihood of the need to invoke the BCDR Plan. The review shall be completed by the Supplier within such period as the Buyer shall reasonably require.</w:t>
      </w:r>
    </w:p>
    <w:p w14:paraId="67C38696" w14:textId="77777777"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bookmarkStart w:id="22" w:name="_heading=h.44sinio" w:colFirst="0" w:colLast="0"/>
      <w:bookmarkStart w:id="23" w:name="_Ref141083643"/>
      <w:bookmarkEnd w:id="22"/>
      <w:r>
        <w:rPr>
          <w:rFonts w:eastAsia="Arial"/>
          <w:color w:val="000000"/>
          <w:sz w:val="24"/>
          <w:szCs w:val="24"/>
        </w:rPr>
        <w:t xml:space="preserve">The Supplier shall, within twenty (20) Working Days of the conclusion of each such review of the BCDR Plan, provide to the Buyer a report (a </w:t>
      </w:r>
      <w:r>
        <w:rPr>
          <w:rFonts w:eastAsia="Arial"/>
          <w:b/>
          <w:color w:val="000000"/>
          <w:sz w:val="24"/>
          <w:szCs w:val="24"/>
        </w:rPr>
        <w:t>"Review Report"</w:t>
      </w:r>
      <w:r>
        <w:rPr>
          <w:rFonts w:eastAsia="Arial"/>
          <w:color w:val="000000"/>
          <w:sz w:val="24"/>
          <w:szCs w:val="24"/>
        </w:rPr>
        <w:t xml:space="preserve">) setting out the Supplier's proposals (the </w:t>
      </w:r>
      <w:r>
        <w:rPr>
          <w:rFonts w:eastAsia="Arial"/>
          <w:b/>
          <w:color w:val="000000"/>
          <w:sz w:val="24"/>
          <w:szCs w:val="24"/>
        </w:rPr>
        <w:t>"Supplier's Proposals"</w:t>
      </w:r>
      <w:r>
        <w:rPr>
          <w:rFonts w:eastAsia="Arial"/>
          <w:color w:val="000000"/>
          <w:sz w:val="24"/>
          <w:szCs w:val="24"/>
        </w:rPr>
        <w:t>) for addressing any changes in the risk profile and its proposals for amendments to the BCDR Plan.</w:t>
      </w:r>
      <w:bookmarkEnd w:id="23"/>
    </w:p>
    <w:p w14:paraId="530F1AFB" w14:textId="7A94DAB4"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bookmarkStart w:id="24" w:name="_heading=h.2jxsxqh" w:colFirst="0" w:colLast="0"/>
      <w:bookmarkEnd w:id="24"/>
      <w:r>
        <w:rPr>
          <w:rFonts w:eastAsia="Arial"/>
          <w:color w:val="000000"/>
          <w:sz w:val="24"/>
          <w:szCs w:val="24"/>
        </w:rPr>
        <w:t>Following receipt of the Review Report and the Supplier’s Proposals, the Parties shall use reasonable endeavours to agree the Review Report and the Supplier's Proposals. If the Parties are unable to agree Review Report and the Supplier's Proposals within twenty (20) Working Days of its submission, then such Dispute shall be resolved in accordance with the Dispute Resolution Procedure.</w:t>
      </w:r>
    </w:p>
    <w:p w14:paraId="058AFE02" w14:textId="77777777"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as soon as is reasonably practicable after receiving the approval of the Supplier's Proposals effect any change in its practices or procedures necessary so as to give effect to the Supplier's Proposals. Any such change shall be at the Supplier’s expense unless it can be reasonably shown that the changes are required because of a material change to the risk profile of the Deliverables.</w:t>
      </w:r>
    </w:p>
    <w:p w14:paraId="403F38A4" w14:textId="77777777" w:rsidR="005C0911" w:rsidRDefault="00A347C3">
      <w:pPr>
        <w:keepNext/>
        <w:numPr>
          <w:ilvl w:val="0"/>
          <w:numId w:val="1"/>
        </w:numPr>
        <w:pBdr>
          <w:top w:val="nil"/>
          <w:left w:val="nil"/>
          <w:bottom w:val="nil"/>
          <w:right w:val="nil"/>
          <w:between w:val="nil"/>
        </w:pBdr>
        <w:tabs>
          <w:tab w:val="left" w:pos="0"/>
        </w:tabs>
        <w:spacing w:before="120"/>
        <w:jc w:val="left"/>
      </w:pPr>
      <w:bookmarkStart w:id="25" w:name="_heading=h.z337ya" w:colFirst="0" w:colLast="0"/>
      <w:bookmarkStart w:id="26" w:name="_Ref141084222"/>
      <w:bookmarkEnd w:id="25"/>
      <w:r>
        <w:rPr>
          <w:rFonts w:ascii="Arial Bold" w:eastAsia="Arial Bold" w:hAnsi="Arial Bold" w:cs="Arial Bold"/>
          <w:b/>
          <w:color w:val="000000"/>
          <w:sz w:val="24"/>
          <w:szCs w:val="24"/>
        </w:rPr>
        <w:t>Testing the BCDR Plan</w:t>
      </w:r>
      <w:bookmarkEnd w:id="26"/>
    </w:p>
    <w:p w14:paraId="546CC1F8" w14:textId="7777777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bookmarkStart w:id="27" w:name="_heading=h.3j2qqm3" w:colFirst="0" w:colLast="0"/>
      <w:bookmarkEnd w:id="27"/>
      <w:r>
        <w:rPr>
          <w:rFonts w:eastAsia="Arial"/>
          <w:color w:val="000000"/>
          <w:sz w:val="24"/>
          <w:szCs w:val="24"/>
        </w:rPr>
        <w:t xml:space="preserve">The Supplier shall test the BCDR Plan: </w:t>
      </w:r>
    </w:p>
    <w:p w14:paraId="6B5A317D"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regularly and in any event not less than once in every Contract Year;</w:t>
      </w:r>
    </w:p>
    <w:p w14:paraId="7E2985E9" w14:textId="64CAD7AE"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in the event of any major reconfiguration of the Deliverables</w:t>
      </w:r>
      <w:r w:rsidR="00BF5E53">
        <w:rPr>
          <w:rFonts w:eastAsia="Arial"/>
          <w:color w:val="000000"/>
          <w:sz w:val="24"/>
          <w:szCs w:val="24"/>
        </w:rPr>
        <w:t>;</w:t>
      </w:r>
    </w:p>
    <w:p w14:paraId="1A034571" w14:textId="0D02850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at any time where the Buyer considers it necessary (acting in its sole discretion).</w:t>
      </w:r>
    </w:p>
    <w:p w14:paraId="0A8BB507" w14:textId="77777777"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bookmarkStart w:id="28" w:name="_heading=h.1y810tw" w:colFirst="0" w:colLast="0"/>
      <w:bookmarkEnd w:id="28"/>
      <w:r>
        <w:rPr>
          <w:rFonts w:eastAsia="Arial"/>
          <w:color w:val="000000"/>
          <w:sz w:val="24"/>
          <w:szCs w:val="24"/>
        </w:rPr>
        <w:t>If the Buyer requires an additional test of the BCDR Plan, it shall give the Supplier written notice and the Supplier shall conduct the test in accordance with the Buyer’s requirements and the relevant provisions of the BCDR Plan.  The Supplier's costs of the additional test shall be borne by the Buyer unless the BCDR Plan fails the additional test in which case the Supplier's costs of that failed test shall be borne by the Supplier.</w:t>
      </w:r>
    </w:p>
    <w:p w14:paraId="2CAC9121" w14:textId="34B60BDA"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undertake and manage testing of the BCDR Plan in full consultation with and under the supervision of the Buyer and shall liaise with the Buyer in respect of the planning, performance, and review, of each test, and shall comply with the reasonable requirements of the Buyer.</w:t>
      </w:r>
    </w:p>
    <w:p w14:paraId="734872AE" w14:textId="77777777"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ensure that any use by it or any Subcontractor of "live" data in such testing is first approved with the Buyer. Copies of live test data used in any such testing shall be (if so required by the Buyer) destroyed or returned to the Buyer on completion of the test.</w:t>
      </w:r>
    </w:p>
    <w:p w14:paraId="3D64794B" w14:textId="77777777" w:rsidR="005C0911" w:rsidRDefault="00A347C3">
      <w:pPr>
        <w:keepNext/>
        <w:numPr>
          <w:ilvl w:val="1"/>
          <w:numId w:val="1"/>
        </w:numPr>
        <w:pBdr>
          <w:top w:val="nil"/>
          <w:left w:val="nil"/>
          <w:bottom w:val="nil"/>
          <w:right w:val="nil"/>
          <w:between w:val="nil"/>
        </w:pBdr>
        <w:spacing w:before="120" w:after="120"/>
        <w:jc w:val="left"/>
        <w:rPr>
          <w:rFonts w:eastAsia="Arial"/>
          <w:color w:val="000000"/>
          <w:sz w:val="24"/>
          <w:szCs w:val="24"/>
        </w:rPr>
      </w:pPr>
      <w:r>
        <w:rPr>
          <w:rFonts w:eastAsia="Arial"/>
          <w:color w:val="000000"/>
          <w:sz w:val="24"/>
          <w:szCs w:val="24"/>
        </w:rPr>
        <w:t>The Supplier shall, within twenty (20) Working Days of the conclusion of each test, provide to the Buyer a report setting out:</w:t>
      </w:r>
    </w:p>
    <w:p w14:paraId="528E044B"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outcome of the test;</w:t>
      </w:r>
    </w:p>
    <w:p w14:paraId="2D47871E"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any failures in the BCDR Plan (including the BCDR Plan's procedures) revealed by the test; and</w:t>
      </w:r>
    </w:p>
    <w:p w14:paraId="2C174385" w14:textId="77777777" w:rsidR="005C0911" w:rsidRDefault="00A347C3">
      <w:pPr>
        <w:numPr>
          <w:ilvl w:val="2"/>
          <w:numId w:val="1"/>
        </w:numPr>
        <w:pBdr>
          <w:top w:val="nil"/>
          <w:left w:val="nil"/>
          <w:bottom w:val="nil"/>
          <w:right w:val="nil"/>
          <w:between w:val="nil"/>
        </w:pBdr>
        <w:tabs>
          <w:tab w:val="left" w:pos="1985"/>
          <w:tab w:val="left" w:pos="2127"/>
        </w:tabs>
        <w:spacing w:before="120" w:after="120"/>
        <w:jc w:val="left"/>
        <w:rPr>
          <w:rFonts w:eastAsia="Arial"/>
          <w:color w:val="000000"/>
          <w:sz w:val="24"/>
          <w:szCs w:val="24"/>
        </w:rPr>
      </w:pPr>
      <w:r>
        <w:rPr>
          <w:rFonts w:eastAsia="Arial"/>
          <w:color w:val="000000"/>
          <w:sz w:val="24"/>
          <w:szCs w:val="24"/>
        </w:rPr>
        <w:t>the Supplier's proposals for remedying any such failures.</w:t>
      </w:r>
    </w:p>
    <w:p w14:paraId="138612F2" w14:textId="77777777" w:rsidR="005C0911" w:rsidRDefault="00A347C3">
      <w:pPr>
        <w:numPr>
          <w:ilvl w:val="1"/>
          <w:numId w:val="1"/>
        </w:numPr>
        <w:pBdr>
          <w:top w:val="nil"/>
          <w:left w:val="nil"/>
          <w:bottom w:val="nil"/>
          <w:right w:val="nil"/>
          <w:between w:val="nil"/>
        </w:pBdr>
        <w:spacing w:before="120" w:after="120"/>
        <w:jc w:val="left"/>
        <w:rPr>
          <w:rFonts w:eastAsia="Arial"/>
          <w:color w:val="000000"/>
          <w:sz w:val="24"/>
          <w:szCs w:val="24"/>
        </w:rPr>
      </w:pPr>
      <w:bookmarkStart w:id="29" w:name="_heading=h.4i7ojhp" w:colFirst="0" w:colLast="0"/>
      <w:bookmarkEnd w:id="29"/>
      <w:r>
        <w:rPr>
          <w:rFonts w:eastAsia="Arial"/>
          <w:color w:val="000000"/>
          <w:sz w:val="24"/>
          <w:szCs w:val="24"/>
        </w:rPr>
        <w:t>Following each test, the Supplier shall take all measures requested by the Buyer to remedy any failures in the BCDR Plan and such remedial activity and re-testing shall be completed by the Supplier, at its own cost, by the date reasonably required by the Buyer.</w:t>
      </w:r>
    </w:p>
    <w:p w14:paraId="19918849" w14:textId="77777777" w:rsidR="005C0911" w:rsidRDefault="00A347C3">
      <w:pPr>
        <w:keepNext/>
        <w:numPr>
          <w:ilvl w:val="0"/>
          <w:numId w:val="1"/>
        </w:numPr>
        <w:pBdr>
          <w:top w:val="nil"/>
          <w:left w:val="nil"/>
          <w:bottom w:val="nil"/>
          <w:right w:val="nil"/>
          <w:between w:val="nil"/>
        </w:pBdr>
        <w:tabs>
          <w:tab w:val="left" w:pos="0"/>
        </w:tabs>
        <w:spacing w:before="120"/>
        <w:jc w:val="left"/>
      </w:pPr>
      <w:bookmarkStart w:id="30" w:name="_heading=h.2xcytpi" w:colFirst="0" w:colLast="0"/>
      <w:bookmarkEnd w:id="30"/>
      <w:r>
        <w:rPr>
          <w:rFonts w:ascii="Arial Bold" w:eastAsia="Arial Bold" w:hAnsi="Arial Bold" w:cs="Arial Bold"/>
          <w:b/>
          <w:color w:val="000000"/>
          <w:sz w:val="24"/>
          <w:szCs w:val="24"/>
        </w:rPr>
        <w:t>Invoking the BCDR Plan</w:t>
      </w:r>
    </w:p>
    <w:p w14:paraId="7F261F19" w14:textId="77777777" w:rsidR="005C0911" w:rsidRPr="00021DBD" w:rsidRDefault="00A347C3" w:rsidP="00021DBD">
      <w:pPr>
        <w:ind w:left="360"/>
        <w:jc w:val="left"/>
        <w:rPr>
          <w:rFonts w:eastAsia="Arial"/>
          <w:sz w:val="24"/>
          <w:szCs w:val="24"/>
        </w:rPr>
      </w:pPr>
      <w:r w:rsidRPr="00021DBD">
        <w:rPr>
          <w:rFonts w:eastAsia="Arial"/>
          <w:sz w:val="24"/>
          <w:szCs w:val="24"/>
        </w:rPr>
        <w:t>In the event of a complete loss of service or in the event of a Disaster, the Supplier shall immediately invoke the BCDR Plan (and shall inform the Buyer promptly of such invocation). In all other instances the Supplier shall invoke or test the BCDR Plan only with the prior consent of the Buyer.</w:t>
      </w:r>
    </w:p>
    <w:p w14:paraId="74840654" w14:textId="77777777" w:rsidR="005C0911" w:rsidRDefault="00A347C3">
      <w:pPr>
        <w:keepNext/>
        <w:numPr>
          <w:ilvl w:val="0"/>
          <w:numId w:val="1"/>
        </w:numPr>
        <w:pBdr>
          <w:top w:val="nil"/>
          <w:left w:val="nil"/>
          <w:bottom w:val="nil"/>
          <w:right w:val="nil"/>
          <w:between w:val="nil"/>
        </w:pBdr>
        <w:tabs>
          <w:tab w:val="left" w:pos="0"/>
        </w:tabs>
        <w:spacing w:before="120"/>
        <w:jc w:val="left"/>
        <w:rPr>
          <w:rFonts w:ascii="Arial Bold" w:eastAsia="Arial Bold" w:hAnsi="Arial Bold" w:cs="Arial Bold"/>
          <w:color w:val="000000"/>
          <w:sz w:val="24"/>
          <w:szCs w:val="24"/>
        </w:rPr>
      </w:pPr>
      <w:r>
        <w:rPr>
          <w:rFonts w:ascii="Arial Bold" w:eastAsia="Arial Bold" w:hAnsi="Arial Bold" w:cs="Arial Bold"/>
          <w:b/>
          <w:color w:val="000000"/>
          <w:sz w:val="24"/>
          <w:szCs w:val="24"/>
        </w:rPr>
        <w:t>Circumstances beyond your control</w:t>
      </w:r>
    </w:p>
    <w:p w14:paraId="07F3B549" w14:textId="46F16769" w:rsidR="005C0911" w:rsidRPr="00021DBD" w:rsidRDefault="00A347C3" w:rsidP="00021DBD">
      <w:pPr>
        <w:ind w:left="360"/>
        <w:jc w:val="left"/>
        <w:rPr>
          <w:rFonts w:eastAsia="Arial"/>
          <w:color w:val="000000"/>
          <w:sz w:val="24"/>
          <w:szCs w:val="24"/>
        </w:rPr>
      </w:pPr>
      <w:r w:rsidRPr="00021DBD">
        <w:rPr>
          <w:rFonts w:eastAsia="Arial"/>
          <w:sz w:val="24"/>
          <w:szCs w:val="24"/>
        </w:rPr>
        <w:t>The</w:t>
      </w:r>
      <w:r w:rsidRPr="00021DBD">
        <w:rPr>
          <w:rFonts w:eastAsia="Arial"/>
          <w:color w:val="000000"/>
          <w:sz w:val="24"/>
          <w:szCs w:val="24"/>
        </w:rPr>
        <w:t xml:space="preserve"> Supplier shall not be entitled to relief under Clause 24 (Circumstances beyond your control) if it would not have been impacted by the Force Majeure Event had it not failed to comply with its obligations under this Schedule.</w:t>
      </w:r>
    </w:p>
    <w:p w14:paraId="2B7E733C" w14:textId="77777777" w:rsidR="005C0911" w:rsidRDefault="005C0911">
      <w:pPr>
        <w:ind w:left="0"/>
      </w:pPr>
    </w:p>
    <w:sectPr w:rsidR="005C0911">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6" w:footer="70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ECB78" w14:textId="77777777" w:rsidR="00384F0B" w:rsidRDefault="00384F0B">
      <w:pPr>
        <w:spacing w:after="0"/>
      </w:pPr>
      <w:r>
        <w:separator/>
      </w:r>
    </w:p>
  </w:endnote>
  <w:endnote w:type="continuationSeparator" w:id="0">
    <w:p w14:paraId="57EF0A8C" w14:textId="77777777" w:rsidR="00384F0B" w:rsidRDefault="00384F0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auto"/>
    <w:pitch w:val="default"/>
  </w:font>
  <w:font w:name="STZhongsong">
    <w:altName w:val="MS Mincho"/>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BFAD7" w14:textId="77777777" w:rsidR="00BF5E53" w:rsidRDefault="00BF5E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0D800" w14:textId="77777777" w:rsidR="005C0911" w:rsidRDefault="005C0911">
    <w:pPr>
      <w:tabs>
        <w:tab w:val="center" w:pos="4513"/>
        <w:tab w:val="right" w:pos="9026"/>
      </w:tabs>
      <w:spacing w:after="0"/>
      <w:ind w:left="0"/>
      <w:rPr>
        <w:rFonts w:ascii="Calibri" w:eastAsia="Calibri" w:hAnsi="Calibri" w:cs="Calibri"/>
        <w:color w:val="A6A6A6"/>
      </w:rPr>
    </w:pPr>
  </w:p>
  <w:p w14:paraId="12E94510" w14:textId="4A761B2F" w:rsidR="005C0911" w:rsidRDefault="005B4069" w:rsidP="005B4069">
    <w:pPr>
      <w:tabs>
        <w:tab w:val="center" w:pos="4513"/>
        <w:tab w:val="right" w:pos="9026"/>
      </w:tabs>
      <w:spacing w:after="0"/>
      <w:ind w:left="0"/>
      <w:rPr>
        <w:color w:val="BFBFBF"/>
        <w:sz w:val="20"/>
        <w:szCs w:val="20"/>
      </w:rPr>
    </w:pPr>
    <w:r>
      <w:rPr>
        <w:color w:val="BFBFBF"/>
        <w:sz w:val="20"/>
        <w:szCs w:val="20"/>
      </w:rPr>
      <w:t>v.</w:t>
    </w:r>
    <w:r w:rsidR="00A347C3">
      <w:rPr>
        <w:color w:val="BFBFBF"/>
        <w:sz w:val="20"/>
        <w:szCs w:val="20"/>
      </w:rPr>
      <w:t>1.</w:t>
    </w:r>
    <w:r w:rsidR="00714BC3">
      <w:rPr>
        <w:color w:val="BFBFBF"/>
        <w:sz w:val="20"/>
        <w:szCs w:val="20"/>
      </w:rPr>
      <w:t>2</w:t>
    </w:r>
    <w:r w:rsidR="00A347C3">
      <w:rPr>
        <w:color w:val="BFBFBF"/>
        <w:sz w:val="20"/>
        <w:szCs w:val="20"/>
      </w:rPr>
      <w:tab/>
    </w:r>
    <w:r w:rsidR="00A347C3">
      <w:rPr>
        <w:color w:val="BFBFBF"/>
        <w:sz w:val="20"/>
        <w:szCs w:val="20"/>
      </w:rPr>
      <w:tab/>
      <w:t xml:space="preserve"> </w:t>
    </w:r>
    <w:r w:rsidR="00A347C3">
      <w:rPr>
        <w:color w:val="BFBFBF"/>
        <w:sz w:val="20"/>
        <w:szCs w:val="20"/>
      </w:rPr>
      <w:fldChar w:fldCharType="begin"/>
    </w:r>
    <w:r w:rsidR="00A347C3">
      <w:rPr>
        <w:color w:val="BFBFBF"/>
        <w:sz w:val="20"/>
        <w:szCs w:val="20"/>
      </w:rPr>
      <w:instrText>PAGE</w:instrText>
    </w:r>
    <w:r w:rsidR="00A347C3">
      <w:rPr>
        <w:color w:val="BFBFBF"/>
        <w:sz w:val="20"/>
        <w:szCs w:val="20"/>
      </w:rPr>
      <w:fldChar w:fldCharType="separate"/>
    </w:r>
    <w:r w:rsidR="000C4287">
      <w:rPr>
        <w:noProof/>
        <w:color w:val="BFBFBF"/>
        <w:sz w:val="20"/>
        <w:szCs w:val="20"/>
      </w:rPr>
      <w:t>1</w:t>
    </w:r>
    <w:r w:rsidR="00A347C3">
      <w:rPr>
        <w:color w:val="BFBFBF"/>
        <w:sz w:val="20"/>
        <w:szCs w:val="20"/>
      </w:rPr>
      <w:fldChar w:fldCharType="end"/>
    </w:r>
  </w:p>
  <w:p w14:paraId="1A0B34C8" w14:textId="77777777" w:rsidR="005C0911" w:rsidRDefault="005C0911">
    <w:pPr>
      <w:pBdr>
        <w:top w:val="nil"/>
        <w:left w:val="nil"/>
        <w:bottom w:val="nil"/>
        <w:right w:val="nil"/>
        <w:between w:val="nil"/>
      </w:pBdr>
      <w:tabs>
        <w:tab w:val="center" w:pos="4513"/>
        <w:tab w:val="right" w:pos="9026"/>
      </w:tabs>
      <w:spacing w:after="0"/>
      <w:ind w:left="0"/>
      <w:jc w:val="left"/>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B62C5" w14:textId="77777777" w:rsidR="005C0911" w:rsidRDefault="00A347C3">
    <w:pPr>
      <w:pBdr>
        <w:top w:val="nil"/>
        <w:left w:val="nil"/>
        <w:bottom w:val="nil"/>
        <w:right w:val="nil"/>
        <w:between w:val="nil"/>
      </w:pBdr>
      <w:tabs>
        <w:tab w:val="center" w:pos="4513"/>
        <w:tab w:val="right" w:pos="9026"/>
      </w:tabs>
      <w:spacing w:after="0"/>
      <w:ind w:left="0" w:hanging="1418"/>
      <w:rPr>
        <w:color w:val="000000"/>
        <w:sz w:val="20"/>
        <w:szCs w:val="20"/>
      </w:rPr>
    </w:pPr>
    <w:r>
      <w:rPr>
        <w:color w:val="000000"/>
        <w:sz w:val="20"/>
        <w:szCs w:val="20"/>
      </w:rPr>
      <w:t>Framework Ref: RM</w:t>
    </w:r>
    <w:r>
      <w:rPr>
        <w:color w:val="000000"/>
        <w:sz w:val="20"/>
        <w:szCs w:val="20"/>
      </w:rPr>
      <w:tab/>
      <w:t xml:space="preserve">                                           </w:t>
    </w:r>
  </w:p>
  <w:p w14:paraId="4CF90A6A" w14:textId="77777777" w:rsidR="005C0911" w:rsidRDefault="00A347C3">
    <w:pPr>
      <w:pBdr>
        <w:top w:val="nil"/>
        <w:left w:val="nil"/>
        <w:bottom w:val="nil"/>
        <w:right w:val="nil"/>
        <w:between w:val="nil"/>
      </w:pBdr>
      <w:tabs>
        <w:tab w:val="center" w:pos="4513"/>
        <w:tab w:val="right" w:pos="9026"/>
      </w:tabs>
      <w:spacing w:after="0"/>
      <w:ind w:left="0" w:hanging="1418"/>
      <w:rPr>
        <w:color w:val="000000"/>
        <w:sz w:val="20"/>
        <w:szCs w:val="20"/>
      </w:rPr>
    </w:pPr>
    <w:r>
      <w:rPr>
        <w:color w:val="000000"/>
        <w:sz w:val="20"/>
        <w:szCs w:val="20"/>
      </w:rPr>
      <w:t>Project Version: v1.0</w:t>
    </w:r>
    <w:r>
      <w:rPr>
        <w:color w:val="000000"/>
        <w:sz w:val="20"/>
        <w:szCs w:val="20"/>
      </w:rPr>
      <w:tab/>
    </w:r>
    <w:r>
      <w:rPr>
        <w:color w:val="000000"/>
        <w:sz w:val="20"/>
        <w:szCs w:val="20"/>
      </w:rPr>
      <w:tab/>
    </w:r>
    <w:r>
      <w:rPr>
        <w:color w:val="000000"/>
        <w:sz w:val="20"/>
        <w:szCs w:val="20"/>
      </w:rPr>
      <w:tab/>
      <w:t>-</w:t>
    </w:r>
    <w:r>
      <w:rPr>
        <w:color w:val="000000"/>
        <w:sz w:val="20"/>
        <w:szCs w:val="20"/>
      </w:rPr>
      <w:fldChar w:fldCharType="begin"/>
    </w:r>
    <w:r>
      <w:rPr>
        <w:color w:val="000000"/>
        <w:sz w:val="20"/>
        <w:szCs w:val="20"/>
      </w:rPr>
      <w:instrText>PAGE</w:instrText>
    </w:r>
    <w:r w:rsidR="002F7B8B">
      <w:rPr>
        <w:color w:val="000000"/>
        <w:sz w:val="20"/>
        <w:szCs w:val="20"/>
      </w:rPr>
      <w:fldChar w:fldCharType="separate"/>
    </w:r>
    <w:r>
      <w:rPr>
        <w:color w:val="000000"/>
        <w:sz w:val="20"/>
        <w:szCs w:val="20"/>
      </w:rPr>
      <w:fldChar w:fldCharType="end"/>
    </w:r>
    <w:r>
      <w:rPr>
        <w:color w:val="000000"/>
        <w:sz w:val="20"/>
        <w:szCs w:val="20"/>
      </w:rPr>
      <w:t>-</w:t>
    </w:r>
  </w:p>
  <w:p w14:paraId="09115F1A" w14:textId="77777777" w:rsidR="005C0911" w:rsidRDefault="00A347C3">
    <w:pPr>
      <w:pBdr>
        <w:top w:val="nil"/>
        <w:left w:val="nil"/>
        <w:bottom w:val="nil"/>
        <w:right w:val="nil"/>
        <w:between w:val="nil"/>
      </w:pBdr>
      <w:tabs>
        <w:tab w:val="center" w:pos="4513"/>
        <w:tab w:val="right" w:pos="9026"/>
      </w:tabs>
      <w:spacing w:after="0"/>
      <w:ind w:left="0" w:hanging="1418"/>
      <w:rPr>
        <w:color w:val="000000"/>
        <w:sz w:val="20"/>
        <w:szCs w:val="20"/>
      </w:rPr>
    </w:pPr>
    <w:r>
      <w:rPr>
        <w:color w:val="000000"/>
        <w:sz w:val="20"/>
        <w:szCs w:val="20"/>
      </w:rPr>
      <w:t>Model Version: v2.9</w:t>
    </w:r>
    <w:r>
      <w:rPr>
        <w:color w:val="000000"/>
        <w:sz w:val="20"/>
        <w:szCs w:val="20"/>
      </w:rPr>
      <w:tab/>
    </w:r>
    <w:r>
      <w:rPr>
        <w:color w:val="000000"/>
        <w:sz w:val="20"/>
        <w:szCs w:val="20"/>
      </w:rPr>
      <w:tab/>
    </w:r>
    <w:r>
      <w:rPr>
        <w:color w:val="00000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B315E" w14:textId="77777777" w:rsidR="00384F0B" w:rsidRDefault="00384F0B">
      <w:pPr>
        <w:spacing w:after="0"/>
      </w:pPr>
      <w:r>
        <w:separator/>
      </w:r>
    </w:p>
  </w:footnote>
  <w:footnote w:type="continuationSeparator" w:id="0">
    <w:p w14:paraId="2164DF02" w14:textId="77777777" w:rsidR="00384F0B" w:rsidRDefault="00384F0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E0BDB" w14:textId="77777777" w:rsidR="00BF5E53" w:rsidRDefault="00BF5E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F5923" w14:textId="1A3A37A4" w:rsidR="004E4E1B" w:rsidRPr="005B4069" w:rsidRDefault="00A347C3">
    <w:pPr>
      <w:tabs>
        <w:tab w:val="center" w:pos="4513"/>
        <w:tab w:val="right" w:pos="9026"/>
      </w:tabs>
      <w:spacing w:after="0"/>
      <w:ind w:left="0"/>
      <w:jc w:val="left"/>
      <w:rPr>
        <w:bCs/>
        <w:sz w:val="20"/>
        <w:szCs w:val="20"/>
      </w:rPr>
    </w:pPr>
    <w:r w:rsidRPr="005B4069">
      <w:rPr>
        <w:bCs/>
        <w:sz w:val="20"/>
        <w:szCs w:val="20"/>
      </w:rPr>
      <w:t>Schedule 14 (Business Continuity and Disaster Recovery)</w:t>
    </w:r>
    <w:r w:rsidR="005B4069" w:rsidRPr="005B4069">
      <w:rPr>
        <w:bCs/>
        <w:sz w:val="20"/>
        <w:szCs w:val="20"/>
      </w:rPr>
      <w:t xml:space="preserve">, </w:t>
    </w:r>
    <w:r w:rsidRPr="005B4069">
      <w:rPr>
        <w:bCs/>
        <w:sz w:val="20"/>
        <w:szCs w:val="20"/>
      </w:rPr>
      <w:t>Crown Copyright 202</w:t>
    </w:r>
    <w:r w:rsidR="00714BC3" w:rsidRPr="005B4069">
      <w:rPr>
        <w:bCs/>
        <w:sz w:val="20"/>
        <w:szCs w:val="20"/>
      </w:rPr>
      <w:t>3</w:t>
    </w:r>
    <w:r w:rsidR="005B4069" w:rsidRPr="005B4069">
      <w:rPr>
        <w:bCs/>
        <w:sz w:val="20"/>
        <w:szCs w:val="20"/>
      </w:rPr>
      <w:t xml:space="preserve">, </w:t>
    </w:r>
    <w:r w:rsidR="004E4E1B" w:rsidRPr="005B4069">
      <w:rPr>
        <w:bCs/>
        <w:sz w:val="20"/>
        <w:szCs w:val="20"/>
      </w:rPr>
      <w:t>[Subject to Contract]</w:t>
    </w:r>
  </w:p>
  <w:p w14:paraId="4C0D125C" w14:textId="77777777" w:rsidR="00CB2A66" w:rsidRDefault="00CB2A66">
    <w:pPr>
      <w:tabs>
        <w:tab w:val="center" w:pos="4513"/>
        <w:tab w:val="right" w:pos="9026"/>
      </w:tabs>
      <w:spacing w:after="0"/>
      <w:ind w:left="0"/>
      <w:jc w:val="lef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954B8" w14:textId="77777777" w:rsidR="00BF5E53" w:rsidRDefault="00BF5E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BE4BEA"/>
    <w:multiLevelType w:val="multilevel"/>
    <w:tmpl w:val="0AA6DC9E"/>
    <w:lvl w:ilvl="0">
      <w:start w:val="1"/>
      <w:numFmt w:val="decimal"/>
      <w:pStyle w:val="GPSL1CLAUSEHEADING"/>
      <w:lvlText w:val="%1."/>
      <w:lvlJc w:val="left"/>
      <w:pPr>
        <w:tabs>
          <w:tab w:val="num" w:pos="720"/>
        </w:tabs>
        <w:ind w:left="720" w:hanging="720"/>
      </w:pPr>
    </w:lvl>
    <w:lvl w:ilvl="1">
      <w:start w:val="1"/>
      <w:numFmt w:val="decimal"/>
      <w:pStyle w:val="GPSL2numberedclause"/>
      <w:lvlText w:val="%2."/>
      <w:lvlJc w:val="left"/>
      <w:pPr>
        <w:tabs>
          <w:tab w:val="num" w:pos="1440"/>
        </w:tabs>
        <w:ind w:left="1440" w:hanging="720"/>
      </w:pPr>
    </w:lvl>
    <w:lvl w:ilvl="2">
      <w:start w:val="1"/>
      <w:numFmt w:val="decimal"/>
      <w:pStyle w:val="GPSL3numberedclause"/>
      <w:lvlText w:val="%3."/>
      <w:lvlJc w:val="left"/>
      <w:pPr>
        <w:tabs>
          <w:tab w:val="num" w:pos="2160"/>
        </w:tabs>
        <w:ind w:left="2160" w:hanging="720"/>
      </w:pPr>
    </w:lvl>
    <w:lvl w:ilvl="3">
      <w:start w:val="1"/>
      <w:numFmt w:val="decimal"/>
      <w:pStyle w:val="GPSL4numberedclause"/>
      <w:lvlText w:val="%4."/>
      <w:lvlJc w:val="left"/>
      <w:pPr>
        <w:tabs>
          <w:tab w:val="num" w:pos="2880"/>
        </w:tabs>
        <w:ind w:left="2880" w:hanging="720"/>
      </w:pPr>
    </w:lvl>
    <w:lvl w:ilvl="4">
      <w:start w:val="1"/>
      <w:numFmt w:val="decimal"/>
      <w:pStyle w:val="GPSL5numberedclause"/>
      <w:lvlText w:val="%5."/>
      <w:lvlJc w:val="left"/>
      <w:pPr>
        <w:tabs>
          <w:tab w:val="num" w:pos="3600"/>
        </w:tabs>
        <w:ind w:left="3600" w:hanging="720"/>
      </w:pPr>
    </w:lvl>
    <w:lvl w:ilvl="5">
      <w:start w:val="1"/>
      <w:numFmt w:val="decimal"/>
      <w:pStyle w:val="GPSL6numbered"/>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7E14CE9"/>
    <w:multiLevelType w:val="multilevel"/>
    <w:tmpl w:val="85FC8062"/>
    <w:lvl w:ilvl="0">
      <w:start w:val="1"/>
      <w:numFmt w:val="decimal"/>
      <w:pStyle w:val="GPSL1SCHEDULEHeading"/>
      <w:lvlText w:val="%1."/>
      <w:lvlJc w:val="left"/>
      <w:pPr>
        <w:ind w:left="360" w:hanging="360"/>
      </w:pPr>
      <w:rPr>
        <w:rFonts w:hint="default"/>
        <w:b/>
        <w:bCs/>
        <w:smallCaps w:val="0"/>
        <w:strike w:val="0"/>
        <w:color w:val="000000"/>
        <w:sz w:val="24"/>
        <w:szCs w:val="24"/>
        <w:u w:val="none"/>
        <w:vertAlign w:val="baseline"/>
      </w:rPr>
    </w:lvl>
    <w:lvl w:ilvl="1">
      <w:start w:val="1"/>
      <w:numFmt w:val="decimal"/>
      <w:lvlText w:val="%1.%2"/>
      <w:lvlJc w:val="left"/>
      <w:pPr>
        <w:ind w:left="907" w:hanging="547"/>
      </w:pPr>
      <w:rPr>
        <w:rFonts w:ascii="Arial" w:eastAsia="Arial" w:hAnsi="Arial" w:cs="Arial" w:hint="default"/>
        <w:i w:val="0"/>
        <w:smallCaps w:val="0"/>
        <w:strike w:val="0"/>
        <w:color w:val="000000"/>
        <w:u w:val="none"/>
        <w:vertAlign w:val="baseline"/>
      </w:rPr>
    </w:lvl>
    <w:lvl w:ilvl="2">
      <w:start w:val="1"/>
      <w:numFmt w:val="decimal"/>
      <w:lvlText w:val="%1.%2.%3"/>
      <w:lvlJc w:val="left"/>
      <w:pPr>
        <w:ind w:left="1757" w:hanging="850"/>
      </w:pPr>
      <w:rPr>
        <w:rFonts w:hint="default"/>
        <w:i w:val="0"/>
        <w:smallCaps w:val="0"/>
        <w:strike w:val="0"/>
        <w:color w:val="000000"/>
        <w:u w:val="none"/>
        <w:vertAlign w:val="baseline"/>
      </w:rPr>
    </w:lvl>
    <w:lvl w:ilvl="3">
      <w:start w:val="1"/>
      <w:numFmt w:val="lowerLetter"/>
      <w:lvlText w:val="(%4)"/>
      <w:lvlJc w:val="left"/>
      <w:pPr>
        <w:ind w:left="2606" w:hanging="848"/>
      </w:pPr>
      <w:rPr>
        <w:rFonts w:ascii="Arial" w:eastAsia="Arial" w:hAnsi="Arial" w:cs="Arial" w:hint="default"/>
        <w:i w:val="0"/>
        <w:strike w:val="0"/>
        <w:color w:val="000000"/>
        <w:sz w:val="24"/>
        <w:szCs w:val="24"/>
        <w:u w:val="none"/>
        <w:vertAlign w:val="baseline"/>
      </w:rPr>
    </w:lvl>
    <w:lvl w:ilvl="4">
      <w:start w:val="1"/>
      <w:numFmt w:val="lowerRoman"/>
      <w:lvlText w:val="(%5)"/>
      <w:lvlJc w:val="left"/>
      <w:pPr>
        <w:ind w:left="3207" w:hanging="1080"/>
      </w:pPr>
      <w:rPr>
        <w:rFonts w:hint="default"/>
        <w:b w:val="0"/>
        <w:i w:val="0"/>
        <w:smallCaps w:val="0"/>
        <w:strike w:val="0"/>
        <w:color w:val="000000"/>
        <w:u w:val="none"/>
        <w:vertAlign w:val="baseline"/>
      </w:rPr>
    </w:lvl>
    <w:lvl w:ilvl="5">
      <w:start w:val="1"/>
      <w:numFmt w:val="upperLetter"/>
      <w:lvlText w:val="(%6)"/>
      <w:lvlJc w:val="left"/>
      <w:pPr>
        <w:ind w:left="1298" w:hanging="1080"/>
      </w:pPr>
      <w:rPr>
        <w:rFonts w:hint="default"/>
        <w:b w:val="0"/>
        <w:i w:val="0"/>
        <w:smallCaps w:val="0"/>
        <w:strike w:val="0"/>
        <w:color w:val="000000"/>
        <w:u w:val="none"/>
        <w:vertAlign w:val="baseline"/>
      </w:rPr>
    </w:lvl>
    <w:lvl w:ilvl="6">
      <w:start w:val="1"/>
      <w:numFmt w:val="decimal"/>
      <w:lvlText w:val="%1.%2.%3.%4.%5.%6.%7"/>
      <w:lvlJc w:val="left"/>
      <w:pPr>
        <w:ind w:left="1658" w:hanging="1440"/>
      </w:pPr>
      <w:rPr>
        <w:rFonts w:hint="default"/>
      </w:rPr>
    </w:lvl>
    <w:lvl w:ilvl="7">
      <w:start w:val="1"/>
      <w:numFmt w:val="decimal"/>
      <w:lvlText w:val="%1.%2.%3.%4.%5.%6.%7.%8"/>
      <w:lvlJc w:val="left"/>
      <w:pPr>
        <w:ind w:left="1658" w:hanging="1440"/>
      </w:pPr>
      <w:rPr>
        <w:rFonts w:hint="default"/>
      </w:rPr>
    </w:lvl>
    <w:lvl w:ilvl="8">
      <w:start w:val="1"/>
      <w:numFmt w:val="decimal"/>
      <w:lvlText w:val="%1.%2.%3.%4.%5.%6.%7.%8.%9"/>
      <w:lvlJc w:val="left"/>
      <w:pPr>
        <w:ind w:left="2018" w:hanging="1800"/>
      </w:pPr>
      <w:rPr>
        <w:rFonts w:hint="default"/>
      </w:rPr>
    </w:lvl>
  </w:abstractNum>
  <w:num w:numId="1" w16cid:durableId="1812213738">
    <w:abstractNumId w:val="1"/>
  </w:num>
  <w:num w:numId="2" w16cid:durableId="449515256">
    <w:abstractNumId w:val="0"/>
  </w:num>
  <w:num w:numId="3" w16cid:durableId="21143959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emDN1|Julie.Scott|Monday, 24 July 2023 9:46:22 AM" w:val="v1 checking formatting"/>
    <w:docVar w:name="gemDN2|newellc|25 July 2023 12:35:06" w:val="V2 - amends"/>
    <w:docVar w:name="gemDN3|GAYLEJ|25 July 2023 19:40:30" w:val="V3 - Amend TRK NV"/>
    <w:docVar w:name="gemDocNotesCount" w:val="3"/>
  </w:docVars>
  <w:rsids>
    <w:rsidRoot w:val="005C0911"/>
    <w:rsid w:val="00021DBD"/>
    <w:rsid w:val="000C4287"/>
    <w:rsid w:val="0015292E"/>
    <w:rsid w:val="00225FFB"/>
    <w:rsid w:val="00254922"/>
    <w:rsid w:val="002C2C64"/>
    <w:rsid w:val="002F7B8B"/>
    <w:rsid w:val="00384F0B"/>
    <w:rsid w:val="00426D23"/>
    <w:rsid w:val="0046794F"/>
    <w:rsid w:val="004C4D08"/>
    <w:rsid w:val="004E4E1B"/>
    <w:rsid w:val="005B4069"/>
    <w:rsid w:val="005B7A7C"/>
    <w:rsid w:val="005C0911"/>
    <w:rsid w:val="00714BC3"/>
    <w:rsid w:val="007536FA"/>
    <w:rsid w:val="007D790E"/>
    <w:rsid w:val="008A2797"/>
    <w:rsid w:val="00912725"/>
    <w:rsid w:val="009672A0"/>
    <w:rsid w:val="00A347C3"/>
    <w:rsid w:val="00AA0211"/>
    <w:rsid w:val="00BD52EF"/>
    <w:rsid w:val="00BF5E53"/>
    <w:rsid w:val="00CB2A66"/>
    <w:rsid w:val="00D37C07"/>
    <w:rsid w:val="00D56665"/>
    <w:rsid w:val="00DB5411"/>
    <w:rsid w:val="00E5457F"/>
    <w:rsid w:val="00E60522"/>
    <w:rsid w:val="00E66254"/>
    <w:rsid w:val="00E80392"/>
    <w:rsid w:val="00E93C75"/>
    <w:rsid w:val="00F12A7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636DEC"/>
  <w15:docId w15:val="{3F60B02B-BFDD-4BA0-9E12-F389BA65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AU" w:bidi="ar-SA"/>
      </w:rPr>
    </w:rPrDefault>
    <w:pPrDefault>
      <w:pPr>
        <w:spacing w:after="240"/>
        <w:ind w:left="1418"/>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eastAsia="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pPr>
      <w:tabs>
        <w:tab w:val="center" w:pos="4513"/>
        <w:tab w:val="right" w:pos="9026"/>
      </w:tabs>
      <w:spacing w:after="0"/>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pPr>
  </w:style>
  <w:style w:type="character" w:customStyle="1" w:styleId="FooterChar">
    <w:name w:val="Footer Char"/>
    <w:basedOn w:val="DefaultParagraphFont"/>
    <w:link w:val="Footer"/>
    <w:uiPriority w:val="99"/>
  </w:style>
  <w:style w:type="paragraph" w:customStyle="1" w:styleId="GPSmacrorestart">
    <w:name w:val="GPS macro restart"/>
    <w:basedOn w:val="Normal"/>
    <w:qFormat/>
    <w:pPr>
      <w:spacing w:after="0"/>
      <w:ind w:left="0"/>
    </w:pPr>
    <w:rPr>
      <w:color w:val="FFFFFF"/>
      <w:sz w:val="16"/>
      <w:szCs w:val="16"/>
    </w:rPr>
  </w:style>
  <w:style w:type="paragraph" w:customStyle="1" w:styleId="GPSL1CLAUSEHEADING">
    <w:name w:val="GPS L1 CLAUSE HEADING"/>
    <w:basedOn w:val="Normal"/>
    <w:next w:val="Normal"/>
    <w:qFormat/>
    <w:rsid w:val="00CE67F4"/>
    <w:pPr>
      <w:keepNext/>
      <w:numPr>
        <w:numId w:val="2"/>
      </w:numPr>
      <w:tabs>
        <w:tab w:val="left" w:pos="0"/>
      </w:tabs>
      <w:overflowPunct/>
      <w:autoSpaceDE/>
      <w:autoSpaceDN/>
      <w:spacing w:before="120"/>
      <w:jc w:val="left"/>
      <w:textAlignment w:val="auto"/>
      <w:outlineLvl w:val="1"/>
    </w:pPr>
    <w:rPr>
      <w:rFonts w:ascii="Arial Bold" w:eastAsia="STZhongsong" w:hAnsi="Arial Bold"/>
      <w:b/>
      <w:sz w:val="24"/>
      <w:lang w:eastAsia="zh-CN"/>
    </w:rPr>
  </w:style>
  <w:style w:type="paragraph" w:customStyle="1" w:styleId="GPSL2numberedclause">
    <w:name w:val="GPS L2 numbered clause"/>
    <w:basedOn w:val="Normal"/>
    <w:link w:val="GPSL2numberedclauseChar1"/>
    <w:qFormat/>
    <w:rsid w:val="00164310"/>
    <w:pPr>
      <w:numPr>
        <w:ilvl w:val="1"/>
        <w:numId w:val="2"/>
      </w:numPr>
      <w:overflowPunct/>
      <w:autoSpaceDE/>
      <w:autoSpaceDN/>
      <w:spacing w:before="120" w:after="120"/>
      <w:jc w:val="left"/>
      <w:textAlignment w:val="auto"/>
    </w:pPr>
    <w:rPr>
      <w:sz w:val="24"/>
      <w:lang w:eastAsia="zh-CN"/>
    </w:rPr>
  </w:style>
  <w:style w:type="paragraph" w:customStyle="1" w:styleId="GPSL3numberedclause">
    <w:name w:val="GPS L3 numbered clause"/>
    <w:basedOn w:val="GPSL2numberedclause"/>
    <w:link w:val="GPSL3numberedclauseChar"/>
    <w:qFormat/>
    <w:pPr>
      <w:numPr>
        <w:ilvl w:val="2"/>
      </w:numPr>
      <w:tabs>
        <w:tab w:val="left" w:pos="1985"/>
        <w:tab w:val="left" w:pos="2127"/>
      </w:tabs>
    </w:pPr>
  </w:style>
  <w:style w:type="paragraph" w:customStyle="1" w:styleId="GPSL4numberedclause">
    <w:name w:val="GPS L4 numbered clause"/>
    <w:basedOn w:val="GPSL3numberedclause"/>
    <w:link w:val="GPSL4numberedclauseChar"/>
    <w:qFormat/>
    <w:rsid w:val="00CE67F4"/>
    <w:pPr>
      <w:numPr>
        <w:ilvl w:val="3"/>
      </w:numPr>
      <w:tabs>
        <w:tab w:val="clear" w:pos="1985"/>
        <w:tab w:val="clear" w:pos="2127"/>
      </w:tabs>
    </w:pPr>
    <w:rPr>
      <w:szCs w:val="20"/>
    </w:rPr>
  </w:style>
  <w:style w:type="character" w:customStyle="1" w:styleId="GPSL2numberedclauseChar1">
    <w:name w:val="GPS L2 numbered clause Char1"/>
    <w:link w:val="GPSL2numberedclause"/>
    <w:rsid w:val="00164310"/>
    <w:rPr>
      <w:rFonts w:eastAsia="Times New Roman"/>
      <w:sz w:val="24"/>
      <w:lang w:eastAsia="zh-CN"/>
    </w:rPr>
  </w:style>
  <w:style w:type="character" w:customStyle="1" w:styleId="GPSL3numberedclauseChar">
    <w:name w:val="GPS L3 numbered clause Char"/>
    <w:link w:val="GPSL3numberedclause"/>
    <w:rPr>
      <w:rFonts w:ascii="Calibri" w:eastAsia="Times New Roman" w:hAnsi="Calibri" w:cs="Arial"/>
      <w:lang w:eastAsia="zh-CN"/>
    </w:rPr>
  </w:style>
  <w:style w:type="character" w:customStyle="1" w:styleId="GPSL4numberedclauseChar">
    <w:name w:val="GPS L4 numbered clause Char"/>
    <w:link w:val="GPSL4numberedclause"/>
    <w:rsid w:val="00CE67F4"/>
    <w:rPr>
      <w:rFonts w:eastAsia="Times New Roman"/>
      <w:sz w:val="24"/>
      <w:szCs w:val="20"/>
      <w:lang w:eastAsia="zh-CN"/>
    </w:rPr>
  </w:style>
  <w:style w:type="paragraph" w:customStyle="1" w:styleId="GPSL5numberedclause">
    <w:name w:val="GPS L5 numbered clause"/>
    <w:basedOn w:val="GPSL4numberedclause"/>
    <w:qFormat/>
    <w:pPr>
      <w:numPr>
        <w:ilvl w:val="4"/>
      </w:numPr>
      <w:tabs>
        <w:tab w:val="num" w:pos="360"/>
        <w:tab w:val="left" w:pos="3402"/>
      </w:tabs>
    </w:pPr>
  </w:style>
  <w:style w:type="paragraph" w:customStyle="1" w:styleId="GPSL6numbered">
    <w:name w:val="GPS L6 numbered"/>
    <w:basedOn w:val="GPSL5numberedclause"/>
    <w:qFormat/>
    <w:pPr>
      <w:numPr>
        <w:ilvl w:val="5"/>
      </w:numPr>
      <w:tabs>
        <w:tab w:val="num" w:pos="360"/>
        <w:tab w:val="num" w:pos="3600"/>
        <w:tab w:val="left" w:pos="4253"/>
      </w:tabs>
    </w:pPr>
  </w:style>
  <w:style w:type="paragraph" w:customStyle="1" w:styleId="GPSSchTitleandNumber">
    <w:name w:val="GPS Sch Title and Number"/>
    <w:basedOn w:val="Normal"/>
    <w:link w:val="GPSSchTitleandNumberChar"/>
    <w:qFormat/>
    <w:pPr>
      <w:keepNext/>
      <w:overflowPunct/>
      <w:autoSpaceDE/>
      <w:autoSpaceDN/>
      <w:ind w:left="0"/>
      <w:jc w:val="center"/>
      <w:textAlignment w:val="auto"/>
      <w:outlineLvl w:val="0"/>
    </w:pPr>
    <w:rPr>
      <w:rFonts w:ascii="Arial Bold" w:eastAsia="STZhongsong" w:hAnsi="Arial Bold" w:cs="Times New Roman"/>
      <w:b/>
      <w:caps/>
      <w:lang w:eastAsia="zh-CN"/>
    </w:rPr>
  </w:style>
  <w:style w:type="character" w:customStyle="1" w:styleId="GPSSchTitleandNumberChar">
    <w:name w:val="GPS Sch Title and Number Char"/>
    <w:link w:val="GPSSchTitleandNumber"/>
    <w:rPr>
      <w:rFonts w:ascii="Arial Bold" w:eastAsia="STZhongsong" w:hAnsi="Arial Bold" w:cs="Times New Roman"/>
      <w:b/>
      <w:caps/>
      <w:lang w:eastAsia="zh-CN"/>
    </w:rPr>
  </w:style>
  <w:style w:type="paragraph" w:customStyle="1" w:styleId="GPSDefinitionTerm">
    <w:name w:val="GPS Definition Term"/>
    <w:basedOn w:val="Normal"/>
    <w:qFormat/>
    <w:pPr>
      <w:spacing w:after="120"/>
      <w:ind w:left="-108"/>
      <w:jc w:val="left"/>
    </w:pPr>
    <w:rPr>
      <w:b/>
    </w:rPr>
  </w:style>
  <w:style w:type="paragraph" w:customStyle="1" w:styleId="GPsDefinition">
    <w:name w:val="GPs Definition"/>
    <w:basedOn w:val="Normal"/>
    <w:qFormat/>
    <w:pPr>
      <w:tabs>
        <w:tab w:val="left" w:pos="-9"/>
        <w:tab w:val="num" w:pos="720"/>
      </w:tabs>
      <w:spacing w:after="120"/>
      <w:ind w:left="720" w:hanging="720"/>
    </w:pPr>
  </w:style>
  <w:style w:type="paragraph" w:customStyle="1" w:styleId="GPSDefinitionL2">
    <w:name w:val="GPS Definition L2"/>
    <w:basedOn w:val="GPsDefinition"/>
    <w:qFormat/>
    <w:pPr>
      <w:numPr>
        <w:ilvl w:val="1"/>
      </w:numPr>
      <w:tabs>
        <w:tab w:val="clear" w:pos="-9"/>
        <w:tab w:val="left" w:pos="144"/>
        <w:tab w:val="num" w:pos="720"/>
      </w:tabs>
      <w:ind w:left="720" w:hanging="545"/>
    </w:pPr>
  </w:style>
  <w:style w:type="paragraph" w:customStyle="1" w:styleId="GPSDefinitionL3">
    <w:name w:val="GPS Definition L3"/>
    <w:basedOn w:val="GPSDefinitionL2"/>
    <w:qFormat/>
    <w:pPr>
      <w:numPr>
        <w:ilvl w:val="2"/>
      </w:numPr>
      <w:tabs>
        <w:tab w:val="num" w:pos="720"/>
      </w:tabs>
      <w:ind w:left="720" w:hanging="545"/>
    </w:pPr>
  </w:style>
  <w:style w:type="paragraph" w:customStyle="1" w:styleId="GPSDefinitionL4">
    <w:name w:val="GPS Definition L4"/>
    <w:basedOn w:val="GPSDefinitionL3"/>
    <w:qFormat/>
    <w:pPr>
      <w:numPr>
        <w:ilvl w:val="3"/>
      </w:numPr>
      <w:tabs>
        <w:tab w:val="num" w:pos="720"/>
      </w:tabs>
      <w:ind w:left="720" w:hanging="545"/>
    </w:pPr>
  </w:style>
  <w:style w:type="paragraph" w:customStyle="1" w:styleId="GPSL1SCHEDULEHeading">
    <w:name w:val="GPS L1 SCHEDULE Heading"/>
    <w:basedOn w:val="GPSL1CLAUSEHEADING"/>
    <w:link w:val="GPSL1SCHEDULEHeadingChar"/>
    <w:qFormat/>
    <w:pPr>
      <w:numPr>
        <w:numId w:val="1"/>
      </w:numPr>
      <w:outlineLvl w:val="9"/>
    </w:pPr>
    <w:rPr>
      <w:rFonts w:ascii="Calibri" w:hAnsi="Calibri"/>
    </w:rPr>
  </w:style>
  <w:style w:type="character" w:customStyle="1" w:styleId="GPSL1SCHEDULEHeadingChar">
    <w:name w:val="GPS L1 SCHEDULE Heading Char"/>
    <w:link w:val="GPSL1SCHEDULEHeading"/>
    <w:rPr>
      <w:rFonts w:ascii="Calibri" w:eastAsia="STZhongsong" w:hAnsi="Calibri" w:cs="Arial"/>
      <w:b/>
      <w:caps/>
      <w:lang w:eastAsia="zh-CN"/>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Arial" w:eastAsia="Times New Roman" w:hAnsi="Arial" w:cs="Arial"/>
      <w:b/>
      <w:bCs/>
      <w:sz w:val="20"/>
      <w:szCs w:val="20"/>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Revision">
    <w:name w:val="Revision"/>
    <w:hidden/>
    <w:uiPriority w:val="99"/>
    <w:semiHidden/>
    <w:pPr>
      <w:spacing w:after="0"/>
    </w:pPr>
    <w:rPr>
      <w:rFonts w:eastAsia="Times New Roman"/>
    </w:rPr>
  </w:style>
  <w:style w:type="table" w:styleId="TableGrid">
    <w:name w:val="Table Grid"/>
    <w:basedOn w:val="TableNormal"/>
    <w:uiPriority w:val="59"/>
    <w:pPr>
      <w:spacing w:after="0"/>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pPr>
    <w:rPr>
      <w:rFonts w:ascii="Calibri" w:eastAsia="Calibri" w:hAnsi="Calibri" w:cs="Calibri"/>
      <w:sz w:val="20"/>
      <w:szCs w:val="20"/>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O+i1MZpmolSoXev8uBaYZCEKPg==">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OABqPwo1c3VnZ2VzdElkSW1wb3J0MWIzZmE4N2ItNjRmYy00YmFkLTlhNDQtMmM3NGNiNzQ3NzAzXzUSBkF1dGhvcmo/CjVzdWdnZXN0SWRJbXBvcnQxYjNmYTg3Yi02NGZjLTRiYWQtOWE0NC0yYzc0Y2I3NDc3MDNfNxIGQXV0aG9yaiIKFHN1Z2dlc3QudWlneHNwOHA1NGJiEgpLYXRlIE1hY2V5ah8KFHN1Z2dlc3QuajZiZThraGF6bDNxEgdKYW1lcyBGaj8KNXN1Z2dlc3RJZEltcG9ydDFiM2ZhODdiLTY0ZmMtNGJhZC05YTQ0LTJjNzRjYjc0NzcwM18xEgZBdXRob3JqPwo1c3VnZ2VzdElkSW1wb3J0MWIzZmE4N2ItNjRmYy00YmFkLTlhNDQtMmM3NGNiNzQ3NzAzXzMSBkF1dGhvcnIhMUlORFNoT19MR0NqUjg3Ym1RUlFUbkhnaGFBc1hDd2R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C4AD301-5BA7-4BE8-847B-53A1DD57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2180</Words>
  <Characters>11099</Characters>
  <Application>Microsoft Office Word</Application>
  <DocSecurity>0</DocSecurity>
  <Lines>241</Lines>
  <Paragraphs>101</Paragraphs>
  <ScaleCrop>false</ScaleCrop>
  <Company>DLA Piper</Company>
  <LinksUpToDate>false</LinksUpToDate>
  <CharactersWithSpaces>13181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revs</cp:lastModifiedBy>
  <cp:revision>2</cp:revision>
  <dcterms:created xsi:type="dcterms:W3CDTF">2023-07-27T02:08:00Z</dcterms:created>
  <dcterms:modified xsi:type="dcterms:W3CDTF">2023-07-27T02:08:00Z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4477dcbb-e9e8-44d6-8c46-49e282799ab0</vt:lpwstr>
  </property>
</Properties>
</file>