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91FA7" w14:textId="77777777" w:rsidR="008A7544" w:rsidRPr="004D23E4" w:rsidRDefault="008A7544" w:rsidP="007F370E">
      <w:pPr>
        <w:pStyle w:val="Heading2"/>
        <w:jc w:val="center"/>
        <w:rPr>
          <w:rFonts w:asciiTheme="minorHAnsi" w:hAnsiTheme="minorHAnsi" w:cstheme="minorHAnsi"/>
        </w:rPr>
      </w:pPr>
      <w:bookmarkStart w:id="0" w:name="_Toc498163546"/>
      <w:r w:rsidRPr="004D23E4">
        <w:rPr>
          <w:rFonts w:asciiTheme="minorHAnsi" w:hAnsiTheme="minorHAnsi" w:cstheme="minorHAnsi"/>
        </w:rPr>
        <w:t>NOA F2</w:t>
      </w:r>
      <w:r w:rsidRPr="004D23E4">
        <w:rPr>
          <w:rFonts w:asciiTheme="minorHAnsi" w:hAnsiTheme="minorHAnsi" w:cstheme="minorHAnsi"/>
          <w:color w:val="FF0000"/>
        </w:rPr>
        <w:t xml:space="preserve"> </w:t>
      </w:r>
      <w:r w:rsidRPr="004D23E4">
        <w:rPr>
          <w:rFonts w:asciiTheme="minorHAnsi" w:hAnsiTheme="minorHAnsi" w:cstheme="minorHAnsi"/>
        </w:rPr>
        <w:t>Specification Form for a commissioned activity</w:t>
      </w:r>
      <w:bookmarkEnd w:id="0"/>
    </w:p>
    <w:p w14:paraId="140DA051" w14:textId="77777777" w:rsidR="00176146" w:rsidRPr="00902F70" w:rsidRDefault="00176146" w:rsidP="00176146">
      <w:pPr>
        <w:jc w:val="center"/>
        <w:rPr>
          <w:b/>
          <w:sz w:val="28"/>
          <w:u w:val="single"/>
        </w:rPr>
      </w:pPr>
      <w:r>
        <w:rPr>
          <w:rFonts w:eastAsiaTheme="minorHAnsi" w:cs="HelveticaNeueLT Pro 57 Cn"/>
          <w:b/>
          <w:bCs/>
          <w:color w:val="000000"/>
          <w:sz w:val="28"/>
          <w:u w:val="single"/>
        </w:rPr>
        <w:t>3.2.1 Inclusion Champion Governor Training (Norwich Inclusion Charter)</w:t>
      </w:r>
    </w:p>
    <w:tbl>
      <w:tblPr>
        <w:tblStyle w:val="TableGrid"/>
        <w:tblW w:w="10485" w:type="dxa"/>
        <w:tblLook w:val="04A0" w:firstRow="1" w:lastRow="0" w:firstColumn="1" w:lastColumn="0" w:noHBand="0" w:noVBand="1"/>
      </w:tblPr>
      <w:tblGrid>
        <w:gridCol w:w="2263"/>
        <w:gridCol w:w="8222"/>
      </w:tblGrid>
      <w:tr w:rsidR="008A7544" w:rsidRPr="00AD0B3B" w14:paraId="580CFEE4" w14:textId="77777777" w:rsidTr="00CC728D">
        <w:trPr>
          <w:trHeight w:val="536"/>
        </w:trPr>
        <w:tc>
          <w:tcPr>
            <w:tcW w:w="2263" w:type="dxa"/>
            <w:shd w:val="clear" w:color="auto" w:fill="F3FFFF"/>
            <w:vAlign w:val="center"/>
          </w:tcPr>
          <w:p w14:paraId="567728BF" w14:textId="77777777" w:rsidR="008A7544" w:rsidRPr="00AD0B3B" w:rsidRDefault="008A7544" w:rsidP="0050163E">
            <w:pPr>
              <w:rPr>
                <w:rFonts w:asciiTheme="minorHAnsi" w:hAnsiTheme="minorHAnsi" w:cstheme="minorHAnsi"/>
                <w:b/>
                <w:sz w:val="22"/>
                <w:szCs w:val="22"/>
              </w:rPr>
            </w:pPr>
            <w:r w:rsidRPr="00AD0B3B">
              <w:rPr>
                <w:rFonts w:asciiTheme="minorHAnsi" w:hAnsiTheme="minorHAnsi" w:cstheme="minorHAnsi"/>
                <w:b/>
                <w:sz w:val="22"/>
                <w:szCs w:val="22"/>
              </w:rPr>
              <w:t>1. Norwich Opportunity Area Priority</w:t>
            </w:r>
          </w:p>
        </w:tc>
        <w:tc>
          <w:tcPr>
            <w:tcW w:w="8222" w:type="dxa"/>
            <w:vAlign w:val="center"/>
          </w:tcPr>
          <w:p w14:paraId="60F8F8A9" w14:textId="77777777" w:rsidR="00176146" w:rsidRPr="00176146" w:rsidRDefault="00176146" w:rsidP="00176146">
            <w:pPr>
              <w:rPr>
                <w:rFonts w:asciiTheme="minorHAnsi" w:hAnsiTheme="minorHAnsi" w:cstheme="minorHAnsi"/>
                <w:sz w:val="22"/>
                <w:szCs w:val="22"/>
              </w:rPr>
            </w:pPr>
            <w:r w:rsidRPr="00176146">
              <w:rPr>
                <w:rFonts w:asciiTheme="minorHAnsi" w:hAnsiTheme="minorHAnsi" w:cstheme="minorHAnsi"/>
                <w:sz w:val="22"/>
                <w:szCs w:val="22"/>
              </w:rPr>
              <w:t>Norwich Opportunity Area has identified four priorities to improve social mobility.  This activity sits within priority 3:</w:t>
            </w:r>
          </w:p>
          <w:p w14:paraId="4B35917C" w14:textId="523AD761" w:rsidR="00176146" w:rsidRPr="00176146" w:rsidRDefault="00176146" w:rsidP="00176146">
            <w:pPr>
              <w:autoSpaceDE w:val="0"/>
              <w:autoSpaceDN w:val="0"/>
              <w:adjustRightInd w:val="0"/>
              <w:spacing w:after="0"/>
              <w:rPr>
                <w:rFonts w:asciiTheme="minorHAnsi" w:eastAsiaTheme="minorHAnsi" w:hAnsiTheme="minorHAnsi" w:cstheme="minorHAnsi"/>
                <w:b/>
                <w:color w:val="000000"/>
                <w:sz w:val="22"/>
                <w:szCs w:val="22"/>
              </w:rPr>
            </w:pPr>
            <w:r w:rsidRPr="00176146">
              <w:rPr>
                <w:rFonts w:asciiTheme="minorHAnsi" w:eastAsiaTheme="minorHAnsi" w:hAnsiTheme="minorHAnsi" w:cstheme="minorHAnsi"/>
                <w:b/>
                <w:color w:val="000000"/>
                <w:sz w:val="22"/>
                <w:szCs w:val="22"/>
              </w:rPr>
              <w:t xml:space="preserve">3: Support children at risk of exclusion from school </w:t>
            </w:r>
          </w:p>
          <w:p w14:paraId="34631442" w14:textId="45E05BFB" w:rsidR="008A7544" w:rsidRPr="00AD0B3B" w:rsidRDefault="008A7544" w:rsidP="0050163E">
            <w:pPr>
              <w:rPr>
                <w:rFonts w:asciiTheme="minorHAnsi" w:hAnsiTheme="minorHAnsi" w:cstheme="minorHAnsi"/>
                <w:sz w:val="22"/>
                <w:szCs w:val="22"/>
              </w:rPr>
            </w:pPr>
          </w:p>
        </w:tc>
      </w:tr>
      <w:tr w:rsidR="008A7544" w:rsidRPr="00AD0B3B" w14:paraId="027C54C7" w14:textId="77777777" w:rsidTr="00CC728D">
        <w:trPr>
          <w:trHeight w:val="536"/>
        </w:trPr>
        <w:tc>
          <w:tcPr>
            <w:tcW w:w="2263" w:type="dxa"/>
            <w:shd w:val="clear" w:color="auto" w:fill="F3FFFF"/>
            <w:vAlign w:val="center"/>
          </w:tcPr>
          <w:p w14:paraId="059B65A5" w14:textId="77777777" w:rsidR="008A7544" w:rsidRPr="00AD0B3B" w:rsidRDefault="008A7544" w:rsidP="0050163E">
            <w:pPr>
              <w:rPr>
                <w:rFonts w:asciiTheme="minorHAnsi" w:hAnsiTheme="minorHAnsi" w:cstheme="minorHAnsi"/>
                <w:b/>
                <w:sz w:val="22"/>
                <w:szCs w:val="22"/>
              </w:rPr>
            </w:pPr>
            <w:r w:rsidRPr="00AD0B3B">
              <w:rPr>
                <w:rFonts w:asciiTheme="minorHAnsi" w:hAnsiTheme="minorHAnsi" w:cstheme="minorHAnsi"/>
                <w:b/>
                <w:sz w:val="22"/>
                <w:szCs w:val="22"/>
              </w:rPr>
              <w:t>2. Strand</w:t>
            </w:r>
          </w:p>
        </w:tc>
        <w:tc>
          <w:tcPr>
            <w:tcW w:w="8222" w:type="dxa"/>
            <w:vAlign w:val="center"/>
          </w:tcPr>
          <w:p w14:paraId="281C86E0" w14:textId="77777777" w:rsidR="00176146" w:rsidRPr="00176146" w:rsidRDefault="00176146" w:rsidP="00176146">
            <w:pPr>
              <w:spacing w:after="0"/>
              <w:rPr>
                <w:rFonts w:asciiTheme="minorHAnsi" w:hAnsiTheme="minorHAnsi" w:cstheme="minorHAnsi"/>
                <w:color w:val="000000"/>
                <w:sz w:val="22"/>
                <w:szCs w:val="22"/>
              </w:rPr>
            </w:pPr>
            <w:r w:rsidRPr="00176146">
              <w:rPr>
                <w:rFonts w:asciiTheme="minorHAnsi" w:hAnsiTheme="minorHAnsi" w:cstheme="minorHAnsi"/>
                <w:color w:val="000000"/>
                <w:sz w:val="22"/>
                <w:szCs w:val="22"/>
              </w:rPr>
              <w:t xml:space="preserve">3.2:  </w:t>
            </w:r>
            <w:proofErr w:type="gramStart"/>
            <w:r w:rsidRPr="00176146">
              <w:rPr>
                <w:rFonts w:asciiTheme="minorHAnsi" w:hAnsiTheme="minorHAnsi" w:cstheme="minorHAnsi"/>
                <w:color w:val="000000"/>
                <w:sz w:val="22"/>
                <w:szCs w:val="22"/>
              </w:rPr>
              <w:t>In order to</w:t>
            </w:r>
            <w:proofErr w:type="gramEnd"/>
            <w:r w:rsidRPr="00176146">
              <w:rPr>
                <w:rFonts w:asciiTheme="minorHAnsi" w:hAnsiTheme="minorHAnsi" w:cstheme="minorHAnsi"/>
                <w:color w:val="000000"/>
                <w:sz w:val="22"/>
                <w:szCs w:val="22"/>
              </w:rPr>
              <w:t xml:space="preserve"> ensure that no child is excluded unnecessarily, we will work with headteachers, alternative provision providers and the local authority to review approaches to behaviour support, managed moves and temporary alternative provision placements for children at risk of exclusion.  </w:t>
            </w:r>
          </w:p>
          <w:p w14:paraId="696EF70B" w14:textId="77777777" w:rsidR="00176146" w:rsidRPr="00176146" w:rsidRDefault="00176146" w:rsidP="00176146">
            <w:pPr>
              <w:spacing w:after="0"/>
              <w:rPr>
                <w:rFonts w:asciiTheme="minorHAnsi" w:hAnsiTheme="minorHAnsi" w:cstheme="minorHAnsi"/>
                <w:color w:val="000000"/>
                <w:sz w:val="22"/>
                <w:szCs w:val="22"/>
              </w:rPr>
            </w:pPr>
            <w:r w:rsidRPr="00176146">
              <w:rPr>
                <w:rFonts w:asciiTheme="minorHAnsi" w:hAnsiTheme="minorHAnsi" w:cstheme="minorHAnsi"/>
                <w:color w:val="000000"/>
                <w:sz w:val="22"/>
                <w:szCs w:val="22"/>
              </w:rPr>
              <w:t>3.5: We will target new interventions at those children most at risk of exclusion from school. As well as working with schools and the local authority we will seek to work with partners in the voluntary sector and the health sector.</w:t>
            </w:r>
          </w:p>
          <w:p w14:paraId="3597253D" w14:textId="5E70CAAF" w:rsidR="008A7544" w:rsidRPr="00AD0B3B" w:rsidRDefault="008A7544" w:rsidP="00CC728D">
            <w:pPr>
              <w:spacing w:before="240"/>
              <w:rPr>
                <w:rFonts w:asciiTheme="minorHAnsi" w:hAnsiTheme="minorHAnsi" w:cstheme="minorHAnsi"/>
                <w:sz w:val="22"/>
                <w:szCs w:val="22"/>
              </w:rPr>
            </w:pPr>
          </w:p>
        </w:tc>
      </w:tr>
      <w:tr w:rsidR="008A7544" w:rsidRPr="00AD0B3B" w14:paraId="13FDD6A3" w14:textId="77777777" w:rsidTr="00CC728D">
        <w:trPr>
          <w:trHeight w:val="536"/>
        </w:trPr>
        <w:tc>
          <w:tcPr>
            <w:tcW w:w="2263" w:type="dxa"/>
            <w:shd w:val="clear" w:color="auto" w:fill="F3FFFF"/>
            <w:vAlign w:val="center"/>
          </w:tcPr>
          <w:p w14:paraId="76CD11EF" w14:textId="77777777" w:rsidR="008A7544" w:rsidRPr="00AD0B3B" w:rsidRDefault="008A7544" w:rsidP="0050163E">
            <w:pPr>
              <w:rPr>
                <w:rFonts w:asciiTheme="minorHAnsi" w:hAnsiTheme="minorHAnsi" w:cstheme="minorHAnsi"/>
                <w:b/>
                <w:sz w:val="22"/>
                <w:szCs w:val="22"/>
              </w:rPr>
            </w:pPr>
            <w:r w:rsidRPr="00AD0B3B">
              <w:rPr>
                <w:rFonts w:asciiTheme="minorHAnsi" w:hAnsiTheme="minorHAnsi" w:cstheme="minorHAnsi"/>
                <w:b/>
                <w:sz w:val="22"/>
                <w:szCs w:val="22"/>
              </w:rPr>
              <w:t>3. Activity Name</w:t>
            </w:r>
          </w:p>
        </w:tc>
        <w:tc>
          <w:tcPr>
            <w:tcW w:w="8222" w:type="dxa"/>
            <w:vAlign w:val="center"/>
          </w:tcPr>
          <w:p w14:paraId="2D019C63" w14:textId="31D94793" w:rsidR="00176146" w:rsidRPr="00176146" w:rsidRDefault="00176146" w:rsidP="00AD0B3B">
            <w:pPr>
              <w:rPr>
                <w:rFonts w:asciiTheme="minorHAnsi" w:hAnsiTheme="minorHAnsi" w:cstheme="minorHAnsi"/>
                <w:sz w:val="22"/>
                <w:szCs w:val="22"/>
              </w:rPr>
            </w:pPr>
            <w:r w:rsidRPr="00176146">
              <w:rPr>
                <w:rFonts w:asciiTheme="minorHAnsi" w:eastAsiaTheme="minorHAnsi" w:hAnsiTheme="minorHAnsi" w:cstheme="minorHAnsi"/>
                <w:bCs/>
                <w:color w:val="000000"/>
                <w:sz w:val="22"/>
                <w:szCs w:val="22"/>
              </w:rPr>
              <w:t>Inclusion Champion Governor Training (Norwich Inclusion Charter)</w:t>
            </w:r>
          </w:p>
          <w:p w14:paraId="3435EE25" w14:textId="3EDC85B1" w:rsidR="008A7544" w:rsidRPr="00AD0B3B" w:rsidRDefault="008A7544" w:rsidP="00D94463">
            <w:pPr>
              <w:rPr>
                <w:rFonts w:asciiTheme="minorHAnsi" w:hAnsiTheme="minorHAnsi" w:cstheme="minorHAnsi"/>
                <w:sz w:val="22"/>
                <w:szCs w:val="22"/>
              </w:rPr>
            </w:pPr>
          </w:p>
        </w:tc>
      </w:tr>
      <w:tr w:rsidR="008A7544" w:rsidRPr="00AD0B3B" w14:paraId="07242B17" w14:textId="77777777" w:rsidTr="00CC728D">
        <w:trPr>
          <w:trHeight w:val="536"/>
        </w:trPr>
        <w:tc>
          <w:tcPr>
            <w:tcW w:w="2263" w:type="dxa"/>
            <w:shd w:val="clear" w:color="auto" w:fill="F3FFFF"/>
            <w:vAlign w:val="center"/>
          </w:tcPr>
          <w:p w14:paraId="0C1FF2DA" w14:textId="77777777" w:rsidR="008A7544" w:rsidRPr="00AD0B3B" w:rsidRDefault="008A7544" w:rsidP="0050163E">
            <w:pPr>
              <w:rPr>
                <w:rFonts w:asciiTheme="minorHAnsi" w:hAnsiTheme="minorHAnsi" w:cstheme="minorHAnsi"/>
                <w:b/>
                <w:sz w:val="22"/>
                <w:szCs w:val="22"/>
              </w:rPr>
            </w:pPr>
            <w:r w:rsidRPr="00AD0B3B">
              <w:rPr>
                <w:rFonts w:asciiTheme="minorHAnsi" w:hAnsiTheme="minorHAnsi" w:cstheme="minorHAnsi"/>
                <w:b/>
                <w:sz w:val="22"/>
                <w:szCs w:val="22"/>
              </w:rPr>
              <w:t>4. Background</w:t>
            </w:r>
          </w:p>
        </w:tc>
        <w:tc>
          <w:tcPr>
            <w:tcW w:w="8222" w:type="dxa"/>
            <w:vAlign w:val="center"/>
          </w:tcPr>
          <w:p w14:paraId="40B43B2F" w14:textId="77777777" w:rsidR="00A56AB4" w:rsidRPr="00AD0B3B" w:rsidRDefault="00A56AB4" w:rsidP="00A56AB4">
            <w:pPr>
              <w:rPr>
                <w:rFonts w:asciiTheme="minorHAnsi" w:hAnsiTheme="minorHAnsi" w:cstheme="minorHAnsi"/>
                <w:b/>
                <w:sz w:val="22"/>
                <w:szCs w:val="22"/>
              </w:rPr>
            </w:pPr>
            <w:r w:rsidRPr="00AD0B3B">
              <w:rPr>
                <w:rFonts w:asciiTheme="minorHAnsi" w:hAnsiTheme="minorHAnsi" w:cstheme="minorHAnsi"/>
                <w:b/>
                <w:sz w:val="22"/>
                <w:szCs w:val="22"/>
              </w:rPr>
              <w:t>Norwich Opportunity Area</w:t>
            </w:r>
          </w:p>
          <w:p w14:paraId="5D4F576F" w14:textId="77777777" w:rsidR="00A56AB4" w:rsidRPr="00AD0B3B" w:rsidRDefault="00A56AB4" w:rsidP="00A56AB4">
            <w:pPr>
              <w:rPr>
                <w:rFonts w:asciiTheme="minorHAnsi" w:hAnsiTheme="minorHAnsi" w:cstheme="minorHAnsi"/>
                <w:sz w:val="22"/>
                <w:szCs w:val="22"/>
              </w:rPr>
            </w:pPr>
            <w:r w:rsidRPr="00AD0B3B">
              <w:rPr>
                <w:rFonts w:asciiTheme="minorHAnsi" w:hAnsiTheme="minorHAnsi" w:cstheme="minorHAnsi"/>
                <w:color w:val="000000"/>
                <w:sz w:val="22"/>
                <w:szCs w:val="22"/>
              </w:rPr>
              <w:t>Young people in Norwich from disadvantaged backgrounds are less likely than their peers elsewhere in England to leave school with a good level of attainment, go on to study for a level 3 qualification (such as A levels), continue with education or employment from age nineteen, or go to university.</w:t>
            </w:r>
          </w:p>
          <w:p w14:paraId="08C40B24" w14:textId="77777777" w:rsidR="00AD0B3B" w:rsidRPr="00AD0B3B" w:rsidRDefault="00AD0B3B" w:rsidP="00AD0B3B">
            <w:pPr>
              <w:rPr>
                <w:rFonts w:asciiTheme="minorHAnsi" w:hAnsiTheme="minorHAnsi" w:cstheme="minorHAnsi"/>
                <w:sz w:val="22"/>
                <w:szCs w:val="22"/>
              </w:rPr>
            </w:pPr>
            <w:r w:rsidRPr="00AD0B3B">
              <w:rPr>
                <w:rFonts w:asciiTheme="minorHAnsi" w:hAnsiTheme="minorHAnsi" w:cstheme="minorHAnsi"/>
                <w:sz w:val="22"/>
                <w:szCs w:val="22"/>
              </w:rPr>
              <w:t xml:space="preserve">Rates of exclusion are high in Norwich, leading to high numbers of pupils either being educated in alternative provision, or not being in school at all. There is limited understanding of precisely why exclusions are so high relative to the rest of England, however we know that most exclusions are for persistent disruptive behaviour. </w:t>
            </w:r>
          </w:p>
          <w:p w14:paraId="63EC2111" w14:textId="77777777" w:rsidR="00AD0B3B" w:rsidRPr="00AD0B3B" w:rsidRDefault="00AD0B3B" w:rsidP="00AD0B3B">
            <w:pPr>
              <w:rPr>
                <w:rFonts w:asciiTheme="minorHAnsi" w:hAnsiTheme="minorHAnsi" w:cstheme="minorHAnsi"/>
                <w:sz w:val="22"/>
                <w:szCs w:val="22"/>
              </w:rPr>
            </w:pPr>
            <w:r w:rsidRPr="00AD0B3B">
              <w:rPr>
                <w:rFonts w:asciiTheme="minorHAnsi" w:hAnsiTheme="minorHAnsi" w:cstheme="minorHAnsi"/>
                <w:sz w:val="22"/>
                <w:szCs w:val="22"/>
              </w:rPr>
              <w:t xml:space="preserve">A “Norwich Inclusion Charter” has been developed in consultation with schools, local partners and the local authority.  The Charter represents a shared commitment to collaborate to reduce exclusion in the city and will be supported by a range of interventions funded by the Opportunity Area.  </w:t>
            </w:r>
          </w:p>
          <w:p w14:paraId="333804FD" w14:textId="7D43254F" w:rsidR="00576AF5" w:rsidRPr="00AD0B3B" w:rsidRDefault="00AD0B3B" w:rsidP="00576AF5">
            <w:pPr>
              <w:rPr>
                <w:rFonts w:asciiTheme="minorHAnsi" w:hAnsiTheme="minorHAnsi" w:cstheme="minorHAnsi"/>
                <w:sz w:val="22"/>
                <w:szCs w:val="22"/>
              </w:rPr>
            </w:pPr>
            <w:r w:rsidRPr="00AD0B3B">
              <w:rPr>
                <w:rFonts w:asciiTheme="minorHAnsi" w:hAnsiTheme="minorHAnsi" w:cstheme="minorHAnsi"/>
                <w:sz w:val="22"/>
                <w:szCs w:val="22"/>
              </w:rPr>
              <w:t>Inclusion Champion Governor Training is one of these interventions, to enable Governors to support their school in strengthening a culture of inclusion.</w:t>
            </w:r>
          </w:p>
        </w:tc>
      </w:tr>
      <w:tr w:rsidR="008A7544" w:rsidRPr="00AD0B3B" w14:paraId="0B4F6016" w14:textId="77777777" w:rsidTr="00CC728D">
        <w:trPr>
          <w:trHeight w:val="536"/>
        </w:trPr>
        <w:tc>
          <w:tcPr>
            <w:tcW w:w="2263" w:type="dxa"/>
            <w:shd w:val="clear" w:color="auto" w:fill="F3FFFF"/>
            <w:vAlign w:val="center"/>
          </w:tcPr>
          <w:p w14:paraId="1195C848" w14:textId="77777777" w:rsidR="008A7544" w:rsidRPr="00AD0B3B" w:rsidRDefault="008A7544" w:rsidP="0050163E">
            <w:pPr>
              <w:rPr>
                <w:rFonts w:asciiTheme="minorHAnsi" w:hAnsiTheme="minorHAnsi" w:cstheme="minorHAnsi"/>
                <w:b/>
                <w:sz w:val="22"/>
                <w:szCs w:val="22"/>
              </w:rPr>
            </w:pPr>
            <w:r w:rsidRPr="00AD0B3B">
              <w:rPr>
                <w:rFonts w:asciiTheme="minorHAnsi" w:hAnsiTheme="minorHAnsi" w:cstheme="minorHAnsi"/>
                <w:b/>
                <w:sz w:val="22"/>
                <w:szCs w:val="22"/>
              </w:rPr>
              <w:t>5. Targeted individuals/schools</w:t>
            </w:r>
          </w:p>
        </w:tc>
        <w:tc>
          <w:tcPr>
            <w:tcW w:w="8222" w:type="dxa"/>
            <w:vAlign w:val="center"/>
          </w:tcPr>
          <w:p w14:paraId="3A312B1A" w14:textId="356053D1" w:rsidR="00FB1318" w:rsidRPr="00AD0B3B" w:rsidRDefault="00AD0B3B" w:rsidP="00B602DD">
            <w:pPr>
              <w:rPr>
                <w:rFonts w:asciiTheme="minorHAnsi" w:hAnsiTheme="minorHAnsi" w:cstheme="minorHAnsi"/>
                <w:sz w:val="22"/>
                <w:szCs w:val="22"/>
              </w:rPr>
            </w:pPr>
            <w:r w:rsidRPr="00AD0B3B">
              <w:rPr>
                <w:rFonts w:asciiTheme="minorHAnsi" w:hAnsiTheme="minorHAnsi" w:cstheme="minorHAnsi"/>
                <w:sz w:val="22"/>
                <w:szCs w:val="22"/>
              </w:rPr>
              <w:t>Not used</w:t>
            </w:r>
          </w:p>
        </w:tc>
      </w:tr>
      <w:tr w:rsidR="008A7544" w:rsidRPr="00AD0B3B" w14:paraId="01B59FF9" w14:textId="77777777" w:rsidTr="00CC728D">
        <w:trPr>
          <w:trHeight w:val="536"/>
        </w:trPr>
        <w:tc>
          <w:tcPr>
            <w:tcW w:w="2263" w:type="dxa"/>
            <w:shd w:val="clear" w:color="auto" w:fill="F3FFFF"/>
            <w:vAlign w:val="center"/>
          </w:tcPr>
          <w:p w14:paraId="7F25E516" w14:textId="2CE0FDA2" w:rsidR="008A7544" w:rsidRPr="00AD0B3B" w:rsidRDefault="008A7544" w:rsidP="0050163E">
            <w:pPr>
              <w:rPr>
                <w:rFonts w:asciiTheme="minorHAnsi" w:hAnsiTheme="minorHAnsi" w:cstheme="minorHAnsi"/>
                <w:b/>
                <w:sz w:val="22"/>
                <w:szCs w:val="22"/>
              </w:rPr>
            </w:pPr>
            <w:r w:rsidRPr="00AD0B3B">
              <w:rPr>
                <w:rFonts w:asciiTheme="minorHAnsi" w:hAnsiTheme="minorHAnsi" w:cstheme="minorHAnsi"/>
                <w:b/>
                <w:sz w:val="22"/>
                <w:szCs w:val="22"/>
              </w:rPr>
              <w:t xml:space="preserve">6. </w:t>
            </w:r>
            <w:r w:rsidR="00AB0394" w:rsidRPr="00AD0B3B">
              <w:rPr>
                <w:rFonts w:asciiTheme="minorHAnsi" w:hAnsiTheme="minorHAnsi" w:cstheme="minorHAnsi"/>
                <w:b/>
                <w:sz w:val="22"/>
                <w:szCs w:val="22"/>
              </w:rPr>
              <w:t>P</w:t>
            </w:r>
            <w:r w:rsidRPr="00AD0B3B">
              <w:rPr>
                <w:rFonts w:asciiTheme="minorHAnsi" w:hAnsiTheme="minorHAnsi" w:cstheme="minorHAnsi"/>
                <w:b/>
                <w:sz w:val="22"/>
                <w:szCs w:val="22"/>
              </w:rPr>
              <w:t>rice cap</w:t>
            </w:r>
          </w:p>
        </w:tc>
        <w:tc>
          <w:tcPr>
            <w:tcW w:w="8222" w:type="dxa"/>
            <w:vAlign w:val="center"/>
          </w:tcPr>
          <w:p w14:paraId="6BD26690" w14:textId="42AA130C" w:rsidR="008A7544" w:rsidRPr="00AD0B3B" w:rsidRDefault="00576AF5" w:rsidP="0050163E">
            <w:pPr>
              <w:rPr>
                <w:rFonts w:asciiTheme="minorHAnsi" w:hAnsiTheme="minorHAnsi" w:cstheme="minorHAnsi"/>
                <w:sz w:val="22"/>
                <w:szCs w:val="22"/>
              </w:rPr>
            </w:pPr>
            <w:r w:rsidRPr="00AD0B3B">
              <w:rPr>
                <w:rFonts w:asciiTheme="minorHAnsi" w:hAnsiTheme="minorHAnsi" w:cstheme="minorHAnsi"/>
                <w:sz w:val="22"/>
                <w:szCs w:val="22"/>
              </w:rPr>
              <w:t>£</w:t>
            </w:r>
            <w:r w:rsidR="00AD0B3B" w:rsidRPr="00AD0B3B">
              <w:rPr>
                <w:rFonts w:asciiTheme="minorHAnsi" w:hAnsiTheme="minorHAnsi" w:cstheme="minorHAnsi"/>
                <w:sz w:val="22"/>
                <w:szCs w:val="22"/>
              </w:rPr>
              <w:t>3,500</w:t>
            </w:r>
          </w:p>
        </w:tc>
      </w:tr>
      <w:tr w:rsidR="008A7544" w:rsidRPr="00AD0B3B" w14:paraId="31E34691" w14:textId="77777777" w:rsidTr="00CC728D">
        <w:trPr>
          <w:trHeight w:val="536"/>
        </w:trPr>
        <w:tc>
          <w:tcPr>
            <w:tcW w:w="2263" w:type="dxa"/>
            <w:shd w:val="clear" w:color="auto" w:fill="F3FFFF"/>
            <w:vAlign w:val="center"/>
          </w:tcPr>
          <w:p w14:paraId="2FC6B819" w14:textId="77777777" w:rsidR="008A7544" w:rsidRPr="00AD0B3B" w:rsidRDefault="008A7544" w:rsidP="0050163E">
            <w:pPr>
              <w:rPr>
                <w:rFonts w:asciiTheme="minorHAnsi" w:hAnsiTheme="minorHAnsi" w:cstheme="minorHAnsi"/>
                <w:b/>
                <w:sz w:val="22"/>
                <w:szCs w:val="22"/>
              </w:rPr>
            </w:pPr>
            <w:r w:rsidRPr="00AD0B3B">
              <w:rPr>
                <w:rFonts w:asciiTheme="minorHAnsi" w:hAnsiTheme="minorHAnsi" w:cstheme="minorHAnsi"/>
                <w:b/>
                <w:sz w:val="22"/>
                <w:szCs w:val="22"/>
              </w:rPr>
              <w:t>7. Outputs</w:t>
            </w:r>
          </w:p>
        </w:tc>
        <w:tc>
          <w:tcPr>
            <w:tcW w:w="8222" w:type="dxa"/>
          </w:tcPr>
          <w:p w14:paraId="06A8BA41" w14:textId="77777777" w:rsidR="00AD0B3B" w:rsidRPr="00AD0B3B" w:rsidRDefault="00AD0B3B" w:rsidP="00AD0B3B">
            <w:pPr>
              <w:numPr>
                <w:ilvl w:val="0"/>
                <w:numId w:val="12"/>
              </w:numPr>
              <w:spacing w:after="0"/>
              <w:contextualSpacing/>
              <w:rPr>
                <w:rFonts w:asciiTheme="minorHAnsi" w:hAnsiTheme="minorHAnsi" w:cstheme="minorHAnsi"/>
                <w:color w:val="000000"/>
                <w:sz w:val="22"/>
                <w:szCs w:val="22"/>
              </w:rPr>
            </w:pPr>
            <w:r w:rsidRPr="00AD0B3B">
              <w:rPr>
                <w:rFonts w:asciiTheme="minorHAnsi" w:hAnsiTheme="minorHAnsi" w:cstheme="minorHAnsi"/>
                <w:color w:val="000000"/>
                <w:sz w:val="22"/>
                <w:szCs w:val="22"/>
              </w:rPr>
              <w:t>A two-hour training session delivered twice in June 2018 (session 1), once during the day, and repeated in an evening to enable as many governors to attend as possible</w:t>
            </w:r>
          </w:p>
          <w:p w14:paraId="11FE0E68" w14:textId="77777777" w:rsidR="00AD0B3B" w:rsidRPr="00AD0B3B" w:rsidRDefault="00AD0B3B" w:rsidP="00AD0B3B">
            <w:pPr>
              <w:numPr>
                <w:ilvl w:val="0"/>
                <w:numId w:val="12"/>
              </w:numPr>
              <w:spacing w:after="0"/>
              <w:contextualSpacing/>
              <w:rPr>
                <w:rFonts w:asciiTheme="minorHAnsi" w:hAnsiTheme="minorHAnsi" w:cstheme="minorHAnsi"/>
                <w:color w:val="000000"/>
                <w:sz w:val="22"/>
                <w:szCs w:val="22"/>
              </w:rPr>
            </w:pPr>
            <w:r w:rsidRPr="00AD0B3B">
              <w:rPr>
                <w:rFonts w:asciiTheme="minorHAnsi" w:hAnsiTheme="minorHAnsi" w:cstheme="minorHAnsi"/>
                <w:color w:val="000000"/>
                <w:sz w:val="22"/>
                <w:szCs w:val="22"/>
              </w:rPr>
              <w:lastRenderedPageBreak/>
              <w:t xml:space="preserve">A further follow up session, delivered twice as before, in October 2018 (session 2).  </w:t>
            </w:r>
          </w:p>
          <w:p w14:paraId="4B3E6A6C" w14:textId="77777777" w:rsidR="00AD0B3B" w:rsidRPr="00AD0B3B" w:rsidRDefault="00AD0B3B" w:rsidP="00AD0B3B">
            <w:pPr>
              <w:numPr>
                <w:ilvl w:val="0"/>
                <w:numId w:val="12"/>
              </w:numPr>
              <w:spacing w:after="0"/>
              <w:contextualSpacing/>
              <w:rPr>
                <w:rFonts w:asciiTheme="minorHAnsi" w:hAnsiTheme="minorHAnsi" w:cstheme="minorHAnsi"/>
                <w:color w:val="000000"/>
                <w:sz w:val="22"/>
                <w:szCs w:val="22"/>
              </w:rPr>
            </w:pPr>
            <w:r w:rsidRPr="00AD0B3B">
              <w:rPr>
                <w:rFonts w:asciiTheme="minorHAnsi" w:hAnsiTheme="minorHAnsi" w:cstheme="minorHAnsi"/>
                <w:color w:val="000000"/>
                <w:sz w:val="22"/>
                <w:szCs w:val="22"/>
              </w:rPr>
              <w:t>Lead “Inclusion Champion” Governor for each school attends both sessions</w:t>
            </w:r>
          </w:p>
          <w:p w14:paraId="348591AB" w14:textId="77777777" w:rsidR="00AD0B3B" w:rsidRPr="00AD0B3B" w:rsidRDefault="00AD0B3B" w:rsidP="00AD0B3B">
            <w:pPr>
              <w:numPr>
                <w:ilvl w:val="0"/>
                <w:numId w:val="12"/>
              </w:numPr>
              <w:spacing w:after="0"/>
              <w:contextualSpacing/>
              <w:rPr>
                <w:rFonts w:asciiTheme="minorHAnsi" w:hAnsiTheme="minorHAnsi" w:cstheme="minorHAnsi"/>
                <w:color w:val="000000"/>
                <w:sz w:val="22"/>
                <w:szCs w:val="22"/>
              </w:rPr>
            </w:pPr>
            <w:r w:rsidRPr="00AD0B3B">
              <w:rPr>
                <w:rFonts w:asciiTheme="minorHAnsi" w:hAnsiTheme="minorHAnsi" w:cstheme="minorHAnsi"/>
                <w:color w:val="000000"/>
                <w:sz w:val="22"/>
                <w:szCs w:val="22"/>
              </w:rPr>
              <w:t>Additional governor only attends first meeting</w:t>
            </w:r>
          </w:p>
          <w:p w14:paraId="03321E33" w14:textId="77777777" w:rsidR="00AD0B3B" w:rsidRPr="00AD0B3B" w:rsidRDefault="00AD0B3B" w:rsidP="00AD0B3B">
            <w:pPr>
              <w:numPr>
                <w:ilvl w:val="0"/>
                <w:numId w:val="12"/>
              </w:numPr>
              <w:spacing w:after="0"/>
              <w:contextualSpacing/>
              <w:rPr>
                <w:rFonts w:asciiTheme="minorHAnsi" w:hAnsiTheme="minorHAnsi" w:cstheme="minorHAnsi"/>
                <w:color w:val="000000"/>
                <w:sz w:val="22"/>
                <w:szCs w:val="22"/>
              </w:rPr>
            </w:pPr>
            <w:r w:rsidRPr="00AD0B3B">
              <w:rPr>
                <w:rFonts w:asciiTheme="minorHAnsi" w:hAnsiTheme="minorHAnsi" w:cstheme="minorHAnsi"/>
                <w:color w:val="000000"/>
                <w:sz w:val="22"/>
                <w:szCs w:val="22"/>
              </w:rPr>
              <w:t>Promotion, booking and admin of events.</w:t>
            </w:r>
          </w:p>
          <w:p w14:paraId="58545CD1" w14:textId="77777777" w:rsidR="00AD0B3B" w:rsidRPr="00AD0B3B" w:rsidRDefault="00AD0B3B" w:rsidP="00AD0B3B">
            <w:pPr>
              <w:numPr>
                <w:ilvl w:val="0"/>
                <w:numId w:val="12"/>
              </w:numPr>
              <w:spacing w:after="0"/>
              <w:contextualSpacing/>
              <w:rPr>
                <w:rFonts w:asciiTheme="minorHAnsi" w:hAnsiTheme="minorHAnsi" w:cstheme="minorHAnsi"/>
                <w:color w:val="000000"/>
                <w:sz w:val="22"/>
                <w:szCs w:val="22"/>
              </w:rPr>
            </w:pPr>
            <w:r w:rsidRPr="00AD0B3B">
              <w:rPr>
                <w:rFonts w:asciiTheme="minorHAnsi" w:hAnsiTheme="minorHAnsi" w:cstheme="minorHAnsi"/>
                <w:color w:val="000000"/>
                <w:sz w:val="22"/>
                <w:szCs w:val="22"/>
              </w:rPr>
              <w:t>Printed and electronic resources for delegates</w:t>
            </w:r>
          </w:p>
          <w:p w14:paraId="37799DAF" w14:textId="77777777" w:rsidR="00AD0B3B" w:rsidRPr="00AD0B3B" w:rsidRDefault="00AD0B3B" w:rsidP="00AD0B3B">
            <w:pPr>
              <w:spacing w:after="0"/>
              <w:rPr>
                <w:rFonts w:asciiTheme="minorHAnsi" w:hAnsiTheme="minorHAnsi" w:cstheme="minorHAnsi"/>
                <w:color w:val="000000"/>
                <w:sz w:val="22"/>
                <w:szCs w:val="22"/>
              </w:rPr>
            </w:pPr>
          </w:p>
          <w:p w14:paraId="4FA321A8" w14:textId="77777777" w:rsidR="00AD0B3B" w:rsidRPr="00AD0B3B" w:rsidRDefault="00AD0B3B" w:rsidP="00AD0B3B">
            <w:pPr>
              <w:spacing w:after="0"/>
              <w:rPr>
                <w:rFonts w:asciiTheme="minorHAnsi" w:hAnsiTheme="minorHAnsi" w:cstheme="minorHAnsi"/>
                <w:b/>
                <w:color w:val="000000"/>
                <w:sz w:val="22"/>
                <w:szCs w:val="22"/>
              </w:rPr>
            </w:pPr>
            <w:r w:rsidRPr="00AD0B3B">
              <w:rPr>
                <w:rFonts w:asciiTheme="minorHAnsi" w:hAnsiTheme="minorHAnsi" w:cstheme="minorHAnsi"/>
                <w:b/>
                <w:color w:val="000000"/>
                <w:sz w:val="22"/>
                <w:szCs w:val="22"/>
              </w:rPr>
              <w:t>Course Content</w:t>
            </w:r>
          </w:p>
          <w:p w14:paraId="404F1721" w14:textId="77777777" w:rsidR="00AD0B3B" w:rsidRPr="00AD0B3B" w:rsidRDefault="00AD0B3B" w:rsidP="00AD0B3B">
            <w:pPr>
              <w:spacing w:after="0"/>
              <w:rPr>
                <w:rFonts w:asciiTheme="minorHAnsi" w:hAnsiTheme="minorHAnsi" w:cstheme="minorHAnsi"/>
                <w:b/>
                <w:color w:val="000000"/>
                <w:sz w:val="22"/>
                <w:szCs w:val="22"/>
              </w:rPr>
            </w:pPr>
            <w:r w:rsidRPr="00AD0B3B">
              <w:rPr>
                <w:rFonts w:asciiTheme="minorHAnsi" w:hAnsiTheme="minorHAnsi" w:cstheme="minorHAnsi"/>
                <w:b/>
                <w:color w:val="000000"/>
                <w:sz w:val="22"/>
                <w:szCs w:val="22"/>
              </w:rPr>
              <w:t>Session 1</w:t>
            </w:r>
          </w:p>
          <w:p w14:paraId="35371273" w14:textId="77777777" w:rsidR="00AD0B3B" w:rsidRPr="00AD0B3B" w:rsidRDefault="00AD0B3B" w:rsidP="00AD0B3B">
            <w:pPr>
              <w:numPr>
                <w:ilvl w:val="0"/>
                <w:numId w:val="11"/>
              </w:numPr>
              <w:spacing w:after="0"/>
              <w:contextualSpacing/>
              <w:rPr>
                <w:rFonts w:asciiTheme="minorHAnsi" w:hAnsiTheme="minorHAnsi" w:cstheme="minorHAnsi"/>
                <w:sz w:val="22"/>
                <w:szCs w:val="22"/>
              </w:rPr>
            </w:pPr>
            <w:r w:rsidRPr="00AD0B3B">
              <w:rPr>
                <w:rFonts w:asciiTheme="minorHAnsi" w:hAnsiTheme="minorHAnsi" w:cstheme="minorHAnsi"/>
                <w:sz w:val="22"/>
                <w:szCs w:val="22"/>
              </w:rPr>
              <w:t>Background to Norwich Inclusion Charter, expectations and offer (Norwich Opportunity Area team will support this)</w:t>
            </w:r>
          </w:p>
          <w:p w14:paraId="1CCB87DE" w14:textId="77777777" w:rsidR="00AD0B3B" w:rsidRPr="00AD0B3B" w:rsidRDefault="00AD0B3B" w:rsidP="00AD0B3B">
            <w:pPr>
              <w:numPr>
                <w:ilvl w:val="0"/>
                <w:numId w:val="11"/>
              </w:numPr>
              <w:spacing w:after="0"/>
              <w:contextualSpacing/>
              <w:rPr>
                <w:rFonts w:asciiTheme="minorHAnsi" w:hAnsiTheme="minorHAnsi" w:cstheme="minorHAnsi"/>
                <w:sz w:val="22"/>
                <w:szCs w:val="22"/>
              </w:rPr>
            </w:pPr>
            <w:r w:rsidRPr="00AD0B3B">
              <w:rPr>
                <w:rFonts w:asciiTheme="minorHAnsi" w:hAnsiTheme="minorHAnsi" w:cstheme="minorHAnsi"/>
                <w:sz w:val="22"/>
                <w:szCs w:val="22"/>
              </w:rPr>
              <w:t>Legal guidance on exclusions 2017</w:t>
            </w:r>
          </w:p>
          <w:p w14:paraId="47280B11" w14:textId="77777777" w:rsidR="00AD0B3B" w:rsidRPr="00AD0B3B" w:rsidRDefault="00AD0B3B" w:rsidP="00AD0B3B">
            <w:pPr>
              <w:numPr>
                <w:ilvl w:val="0"/>
                <w:numId w:val="11"/>
              </w:numPr>
              <w:spacing w:after="0"/>
              <w:contextualSpacing/>
              <w:rPr>
                <w:rFonts w:asciiTheme="minorHAnsi" w:hAnsiTheme="minorHAnsi" w:cstheme="minorHAnsi"/>
                <w:sz w:val="22"/>
                <w:szCs w:val="22"/>
              </w:rPr>
            </w:pPr>
            <w:r w:rsidRPr="00AD0B3B">
              <w:rPr>
                <w:rFonts w:asciiTheme="minorHAnsi" w:hAnsiTheme="minorHAnsi" w:cstheme="minorHAnsi"/>
                <w:sz w:val="22"/>
                <w:szCs w:val="22"/>
              </w:rPr>
              <w:t>Supporting exclusion panels</w:t>
            </w:r>
          </w:p>
          <w:p w14:paraId="663D6696" w14:textId="77777777" w:rsidR="00AD0B3B" w:rsidRPr="00AD0B3B" w:rsidRDefault="00AD0B3B" w:rsidP="00AD0B3B">
            <w:pPr>
              <w:numPr>
                <w:ilvl w:val="0"/>
                <w:numId w:val="11"/>
              </w:numPr>
              <w:spacing w:after="0"/>
              <w:contextualSpacing/>
              <w:rPr>
                <w:rFonts w:asciiTheme="minorHAnsi" w:hAnsiTheme="minorHAnsi" w:cstheme="minorHAnsi"/>
                <w:sz w:val="22"/>
                <w:szCs w:val="22"/>
              </w:rPr>
            </w:pPr>
            <w:r w:rsidRPr="00AD0B3B">
              <w:rPr>
                <w:rFonts w:asciiTheme="minorHAnsi" w:hAnsiTheme="minorHAnsi" w:cstheme="minorHAnsi"/>
                <w:sz w:val="22"/>
                <w:szCs w:val="22"/>
              </w:rPr>
              <w:t>Creating an inclusive culture in schools</w:t>
            </w:r>
          </w:p>
          <w:p w14:paraId="5C957968" w14:textId="77777777" w:rsidR="00AD0B3B" w:rsidRPr="00AD0B3B" w:rsidRDefault="00AD0B3B" w:rsidP="00AD0B3B">
            <w:pPr>
              <w:numPr>
                <w:ilvl w:val="0"/>
                <w:numId w:val="11"/>
              </w:numPr>
              <w:spacing w:after="0"/>
              <w:contextualSpacing/>
              <w:rPr>
                <w:rFonts w:asciiTheme="minorHAnsi" w:hAnsiTheme="minorHAnsi" w:cstheme="minorHAnsi"/>
                <w:sz w:val="22"/>
                <w:szCs w:val="22"/>
              </w:rPr>
            </w:pPr>
            <w:r w:rsidRPr="00AD0B3B">
              <w:rPr>
                <w:rFonts w:asciiTheme="minorHAnsi" w:hAnsiTheme="minorHAnsi" w:cstheme="minorHAnsi"/>
                <w:sz w:val="22"/>
                <w:szCs w:val="22"/>
              </w:rPr>
              <w:t>Support for students at risk of exclusion</w:t>
            </w:r>
          </w:p>
          <w:p w14:paraId="6D5F80B7" w14:textId="77777777" w:rsidR="00AD0B3B" w:rsidRPr="00AD0B3B" w:rsidRDefault="00AD0B3B" w:rsidP="00AD0B3B">
            <w:pPr>
              <w:spacing w:after="0"/>
              <w:rPr>
                <w:rFonts w:asciiTheme="minorHAnsi" w:hAnsiTheme="minorHAnsi" w:cstheme="minorHAnsi"/>
                <w:b/>
                <w:color w:val="000000"/>
                <w:sz w:val="22"/>
                <w:szCs w:val="22"/>
              </w:rPr>
            </w:pPr>
            <w:r w:rsidRPr="00AD0B3B">
              <w:rPr>
                <w:rFonts w:asciiTheme="minorHAnsi" w:hAnsiTheme="minorHAnsi" w:cstheme="minorHAnsi"/>
                <w:b/>
                <w:color w:val="000000"/>
                <w:sz w:val="22"/>
                <w:szCs w:val="22"/>
              </w:rPr>
              <w:t>Session 2</w:t>
            </w:r>
          </w:p>
          <w:p w14:paraId="03D9E8F1" w14:textId="77777777" w:rsidR="00AD0B3B" w:rsidRPr="00AD0B3B" w:rsidRDefault="00AD0B3B" w:rsidP="00AD0B3B">
            <w:pPr>
              <w:numPr>
                <w:ilvl w:val="0"/>
                <w:numId w:val="11"/>
              </w:numPr>
              <w:spacing w:after="0"/>
              <w:contextualSpacing/>
              <w:rPr>
                <w:rFonts w:asciiTheme="minorHAnsi" w:hAnsiTheme="minorHAnsi" w:cstheme="minorHAnsi"/>
                <w:sz w:val="22"/>
                <w:szCs w:val="22"/>
              </w:rPr>
            </w:pPr>
            <w:r w:rsidRPr="00AD0B3B">
              <w:rPr>
                <w:rFonts w:asciiTheme="minorHAnsi" w:hAnsiTheme="minorHAnsi" w:cstheme="minorHAnsi"/>
                <w:sz w:val="22"/>
                <w:szCs w:val="22"/>
              </w:rPr>
              <w:t>Understanding behaviour policy and behaviour practice</w:t>
            </w:r>
          </w:p>
          <w:p w14:paraId="59CA0DC9" w14:textId="77777777" w:rsidR="00AD0B3B" w:rsidRPr="00AD0B3B" w:rsidRDefault="00AD0B3B" w:rsidP="00AD0B3B">
            <w:pPr>
              <w:numPr>
                <w:ilvl w:val="0"/>
                <w:numId w:val="11"/>
              </w:numPr>
              <w:spacing w:after="0"/>
              <w:contextualSpacing/>
              <w:rPr>
                <w:rFonts w:asciiTheme="minorHAnsi" w:hAnsiTheme="minorHAnsi" w:cstheme="minorHAnsi"/>
                <w:sz w:val="22"/>
                <w:szCs w:val="22"/>
              </w:rPr>
            </w:pPr>
            <w:r w:rsidRPr="00AD0B3B">
              <w:rPr>
                <w:rFonts w:asciiTheme="minorHAnsi" w:hAnsiTheme="minorHAnsi" w:cstheme="minorHAnsi"/>
                <w:sz w:val="22"/>
                <w:szCs w:val="22"/>
              </w:rPr>
              <w:t>Quality Assuring AP choices</w:t>
            </w:r>
          </w:p>
          <w:p w14:paraId="377FC69D" w14:textId="77777777" w:rsidR="00AD0B3B" w:rsidRPr="00AD0B3B" w:rsidRDefault="00AD0B3B" w:rsidP="00AD0B3B">
            <w:pPr>
              <w:numPr>
                <w:ilvl w:val="0"/>
                <w:numId w:val="11"/>
              </w:numPr>
              <w:spacing w:after="0"/>
              <w:contextualSpacing/>
              <w:rPr>
                <w:rFonts w:asciiTheme="minorHAnsi" w:hAnsiTheme="minorHAnsi" w:cstheme="minorHAnsi"/>
                <w:sz w:val="22"/>
                <w:szCs w:val="22"/>
              </w:rPr>
            </w:pPr>
            <w:r w:rsidRPr="00AD0B3B">
              <w:rPr>
                <w:rFonts w:asciiTheme="minorHAnsi" w:hAnsiTheme="minorHAnsi" w:cstheme="minorHAnsi"/>
                <w:sz w:val="22"/>
                <w:szCs w:val="22"/>
              </w:rPr>
              <w:t xml:space="preserve">Understanding the needs of vulnerable and disadvantaged children, </w:t>
            </w:r>
            <w:proofErr w:type="spellStart"/>
            <w:r w:rsidRPr="00AD0B3B">
              <w:rPr>
                <w:rFonts w:asciiTheme="minorHAnsi" w:hAnsiTheme="minorHAnsi" w:cstheme="minorHAnsi"/>
                <w:sz w:val="22"/>
                <w:szCs w:val="22"/>
              </w:rPr>
              <w:t>inc</w:t>
            </w:r>
            <w:proofErr w:type="spellEnd"/>
            <w:r w:rsidRPr="00AD0B3B">
              <w:rPr>
                <w:rFonts w:asciiTheme="minorHAnsi" w:hAnsiTheme="minorHAnsi" w:cstheme="minorHAnsi"/>
                <w:sz w:val="22"/>
                <w:szCs w:val="22"/>
              </w:rPr>
              <w:t xml:space="preserve"> SEND and LAC  </w:t>
            </w:r>
          </w:p>
          <w:p w14:paraId="3BF352C5" w14:textId="77777777" w:rsidR="00AD0B3B" w:rsidRPr="00AD0B3B" w:rsidRDefault="00AD0B3B" w:rsidP="00AD0B3B">
            <w:pPr>
              <w:numPr>
                <w:ilvl w:val="0"/>
                <w:numId w:val="11"/>
              </w:numPr>
              <w:contextualSpacing/>
              <w:rPr>
                <w:rFonts w:asciiTheme="minorHAnsi" w:hAnsiTheme="minorHAnsi" w:cstheme="minorHAnsi"/>
                <w:sz w:val="22"/>
                <w:szCs w:val="22"/>
              </w:rPr>
            </w:pPr>
            <w:r w:rsidRPr="00AD0B3B">
              <w:rPr>
                <w:rFonts w:asciiTheme="minorHAnsi" w:hAnsiTheme="minorHAnsi" w:cstheme="minorHAnsi"/>
                <w:sz w:val="22"/>
                <w:szCs w:val="22"/>
              </w:rPr>
              <w:t>Signposting to support in Norwich and Norfolk</w:t>
            </w:r>
          </w:p>
          <w:p w14:paraId="66A0622D" w14:textId="11A99AD7" w:rsidR="00576AF5" w:rsidRPr="00AD0B3B" w:rsidRDefault="00576AF5" w:rsidP="00AD0B3B">
            <w:pPr>
              <w:rPr>
                <w:rFonts w:cstheme="minorHAnsi"/>
              </w:rPr>
            </w:pPr>
          </w:p>
        </w:tc>
      </w:tr>
      <w:tr w:rsidR="008A7544" w:rsidRPr="00AD0B3B" w14:paraId="2CE94C20" w14:textId="77777777" w:rsidTr="00CC728D">
        <w:trPr>
          <w:trHeight w:val="989"/>
        </w:trPr>
        <w:tc>
          <w:tcPr>
            <w:tcW w:w="2263" w:type="dxa"/>
            <w:shd w:val="clear" w:color="auto" w:fill="F3FFFF"/>
            <w:vAlign w:val="center"/>
          </w:tcPr>
          <w:p w14:paraId="771709EE" w14:textId="77777777" w:rsidR="008A7544" w:rsidRPr="00AD0B3B" w:rsidRDefault="008A7544" w:rsidP="0050163E">
            <w:pPr>
              <w:rPr>
                <w:rFonts w:asciiTheme="minorHAnsi" w:hAnsiTheme="minorHAnsi" w:cstheme="minorHAnsi"/>
                <w:b/>
                <w:sz w:val="22"/>
                <w:szCs w:val="22"/>
              </w:rPr>
            </w:pPr>
            <w:r w:rsidRPr="00AD0B3B">
              <w:rPr>
                <w:rFonts w:asciiTheme="minorHAnsi" w:hAnsiTheme="minorHAnsi" w:cstheme="minorHAnsi"/>
                <w:b/>
                <w:sz w:val="22"/>
                <w:szCs w:val="22"/>
              </w:rPr>
              <w:lastRenderedPageBreak/>
              <w:t>8. Short term outcomes</w:t>
            </w:r>
          </w:p>
        </w:tc>
        <w:tc>
          <w:tcPr>
            <w:tcW w:w="8222" w:type="dxa"/>
            <w:vAlign w:val="center"/>
          </w:tcPr>
          <w:p w14:paraId="507CB24E" w14:textId="77777777" w:rsidR="00AD0B3B" w:rsidRPr="00AD0B3B" w:rsidRDefault="00AD0B3B" w:rsidP="00AD0B3B">
            <w:pPr>
              <w:spacing w:after="0"/>
              <w:rPr>
                <w:rFonts w:asciiTheme="minorHAnsi" w:hAnsiTheme="minorHAnsi" w:cstheme="minorHAnsi"/>
                <w:color w:val="000000"/>
                <w:sz w:val="22"/>
                <w:szCs w:val="22"/>
              </w:rPr>
            </w:pPr>
            <w:r w:rsidRPr="00AD0B3B">
              <w:rPr>
                <w:rFonts w:asciiTheme="minorHAnsi" w:hAnsiTheme="minorHAnsi" w:cstheme="minorHAnsi"/>
                <w:color w:val="000000"/>
                <w:sz w:val="22"/>
                <w:szCs w:val="22"/>
              </w:rPr>
              <w:t>Governors demonstrate:</w:t>
            </w:r>
          </w:p>
          <w:p w14:paraId="5AD131DA" w14:textId="77777777" w:rsidR="00AD0B3B" w:rsidRPr="00AD0B3B" w:rsidRDefault="00AD0B3B" w:rsidP="00AD0B3B">
            <w:pPr>
              <w:pStyle w:val="ListParagraph"/>
              <w:numPr>
                <w:ilvl w:val="0"/>
                <w:numId w:val="4"/>
              </w:numPr>
              <w:spacing w:after="0"/>
              <w:rPr>
                <w:rFonts w:asciiTheme="minorHAnsi" w:hAnsiTheme="minorHAnsi" w:cstheme="minorHAnsi"/>
                <w:sz w:val="22"/>
                <w:szCs w:val="22"/>
              </w:rPr>
            </w:pPr>
            <w:r w:rsidRPr="00AD0B3B">
              <w:rPr>
                <w:rFonts w:asciiTheme="minorHAnsi" w:hAnsiTheme="minorHAnsi" w:cstheme="minorHAnsi"/>
                <w:sz w:val="22"/>
                <w:szCs w:val="22"/>
              </w:rPr>
              <w:t>Improved understanding of support available to children at risk of exclusion</w:t>
            </w:r>
          </w:p>
          <w:p w14:paraId="26725808" w14:textId="77777777" w:rsidR="00AD0B3B" w:rsidRPr="00AD0B3B" w:rsidRDefault="00AD0B3B" w:rsidP="00AD0B3B">
            <w:pPr>
              <w:pStyle w:val="ListParagraph"/>
              <w:numPr>
                <w:ilvl w:val="0"/>
                <w:numId w:val="4"/>
              </w:numPr>
              <w:spacing w:after="0"/>
              <w:rPr>
                <w:rFonts w:asciiTheme="minorHAnsi" w:hAnsiTheme="minorHAnsi" w:cstheme="minorHAnsi"/>
                <w:sz w:val="22"/>
                <w:szCs w:val="22"/>
              </w:rPr>
            </w:pPr>
            <w:r w:rsidRPr="00AD0B3B">
              <w:rPr>
                <w:rFonts w:asciiTheme="minorHAnsi" w:hAnsiTheme="minorHAnsi" w:cstheme="minorHAnsi"/>
                <w:sz w:val="22"/>
                <w:szCs w:val="22"/>
              </w:rPr>
              <w:t>Increased confidence to support Headteacher to reduce exclusion</w:t>
            </w:r>
          </w:p>
          <w:p w14:paraId="0BA7EA99" w14:textId="77777777" w:rsidR="00AD0B3B" w:rsidRPr="00AD0B3B" w:rsidRDefault="00AD0B3B" w:rsidP="00AD0B3B">
            <w:pPr>
              <w:pStyle w:val="ListParagraph"/>
              <w:numPr>
                <w:ilvl w:val="0"/>
                <w:numId w:val="4"/>
              </w:numPr>
              <w:spacing w:after="0"/>
              <w:rPr>
                <w:rFonts w:asciiTheme="minorHAnsi" w:hAnsiTheme="minorHAnsi" w:cstheme="minorHAnsi"/>
                <w:sz w:val="22"/>
                <w:szCs w:val="22"/>
              </w:rPr>
            </w:pPr>
            <w:r w:rsidRPr="00AD0B3B">
              <w:rPr>
                <w:rFonts w:asciiTheme="minorHAnsi" w:hAnsiTheme="minorHAnsi" w:cstheme="minorHAnsi"/>
                <w:sz w:val="22"/>
                <w:szCs w:val="22"/>
              </w:rPr>
              <w:t>Increased confidence to challenge PEX decisions</w:t>
            </w:r>
          </w:p>
          <w:p w14:paraId="43DFB232" w14:textId="77777777" w:rsidR="00AD0B3B" w:rsidRPr="00AD0B3B" w:rsidRDefault="00AD0B3B" w:rsidP="00AD0B3B">
            <w:pPr>
              <w:pStyle w:val="ListParagraph"/>
              <w:numPr>
                <w:ilvl w:val="0"/>
                <w:numId w:val="4"/>
              </w:numPr>
              <w:spacing w:after="160" w:line="252" w:lineRule="auto"/>
              <w:rPr>
                <w:rFonts w:asciiTheme="minorHAnsi" w:hAnsiTheme="minorHAnsi" w:cstheme="minorHAnsi"/>
                <w:b/>
                <w:sz w:val="22"/>
                <w:szCs w:val="22"/>
              </w:rPr>
            </w:pPr>
            <w:r w:rsidRPr="00AD0B3B">
              <w:rPr>
                <w:rFonts w:asciiTheme="minorHAnsi" w:hAnsiTheme="minorHAnsi" w:cstheme="minorHAnsi"/>
                <w:sz w:val="22"/>
                <w:szCs w:val="22"/>
              </w:rPr>
              <w:t>Governors use the inclusion helpline</w:t>
            </w:r>
          </w:p>
          <w:p w14:paraId="6D77EDC3" w14:textId="32A5D7AA" w:rsidR="00576AF5" w:rsidRPr="00AD0B3B" w:rsidRDefault="00576AF5" w:rsidP="00AD0B3B">
            <w:pPr>
              <w:pStyle w:val="ListParagraph"/>
              <w:rPr>
                <w:rFonts w:asciiTheme="minorHAnsi" w:hAnsiTheme="minorHAnsi" w:cstheme="minorHAnsi"/>
                <w:sz w:val="22"/>
                <w:szCs w:val="22"/>
              </w:rPr>
            </w:pPr>
          </w:p>
        </w:tc>
      </w:tr>
      <w:tr w:rsidR="008A7544" w:rsidRPr="00AD0B3B" w14:paraId="00885795" w14:textId="77777777" w:rsidTr="00CC728D">
        <w:trPr>
          <w:trHeight w:val="977"/>
        </w:trPr>
        <w:tc>
          <w:tcPr>
            <w:tcW w:w="2263" w:type="dxa"/>
            <w:shd w:val="clear" w:color="auto" w:fill="F3FFFF"/>
          </w:tcPr>
          <w:p w14:paraId="0D1A2BE3" w14:textId="77777777" w:rsidR="008A7544" w:rsidRPr="00AD0B3B" w:rsidRDefault="008A7544" w:rsidP="0050163E">
            <w:pPr>
              <w:rPr>
                <w:rFonts w:asciiTheme="minorHAnsi" w:hAnsiTheme="minorHAnsi" w:cstheme="minorHAnsi"/>
                <w:b/>
                <w:sz w:val="22"/>
                <w:szCs w:val="22"/>
              </w:rPr>
            </w:pPr>
            <w:r w:rsidRPr="00AD0B3B">
              <w:rPr>
                <w:rFonts w:asciiTheme="minorHAnsi" w:hAnsiTheme="minorHAnsi" w:cstheme="minorHAnsi"/>
                <w:b/>
                <w:sz w:val="22"/>
                <w:szCs w:val="22"/>
              </w:rPr>
              <w:t>9. Long term outcomes</w:t>
            </w:r>
          </w:p>
          <w:p w14:paraId="40126926" w14:textId="77777777" w:rsidR="008A7544" w:rsidRPr="00AD0B3B" w:rsidRDefault="008A7544" w:rsidP="0050163E">
            <w:pPr>
              <w:rPr>
                <w:rFonts w:asciiTheme="minorHAnsi" w:hAnsiTheme="minorHAnsi" w:cstheme="minorHAnsi"/>
                <w:sz w:val="22"/>
                <w:szCs w:val="22"/>
              </w:rPr>
            </w:pPr>
          </w:p>
        </w:tc>
        <w:tc>
          <w:tcPr>
            <w:tcW w:w="8222" w:type="dxa"/>
          </w:tcPr>
          <w:p w14:paraId="10D0475B" w14:textId="77777777" w:rsidR="00AD0B3B" w:rsidRPr="00AD0B3B" w:rsidRDefault="00AD0B3B" w:rsidP="00AD0B3B">
            <w:pPr>
              <w:spacing w:after="0"/>
              <w:rPr>
                <w:rFonts w:asciiTheme="minorHAnsi" w:hAnsiTheme="minorHAnsi" w:cstheme="minorHAnsi"/>
                <w:color w:val="000000"/>
                <w:sz w:val="22"/>
                <w:szCs w:val="22"/>
              </w:rPr>
            </w:pPr>
            <w:r w:rsidRPr="00AD0B3B">
              <w:rPr>
                <w:rFonts w:asciiTheme="minorHAnsi" w:hAnsiTheme="minorHAnsi" w:cstheme="minorHAnsi"/>
                <w:color w:val="000000"/>
                <w:sz w:val="22"/>
                <w:szCs w:val="22"/>
              </w:rPr>
              <w:t>Schools demonstrate:</w:t>
            </w:r>
          </w:p>
          <w:p w14:paraId="214E22E3" w14:textId="77777777" w:rsidR="00AD0B3B" w:rsidRPr="00AD0B3B" w:rsidRDefault="00AD0B3B" w:rsidP="00AD0B3B">
            <w:pPr>
              <w:pStyle w:val="ListParagraph"/>
              <w:numPr>
                <w:ilvl w:val="0"/>
                <w:numId w:val="5"/>
              </w:numPr>
              <w:spacing w:after="0"/>
              <w:rPr>
                <w:rFonts w:asciiTheme="minorHAnsi" w:hAnsiTheme="minorHAnsi" w:cstheme="minorHAnsi"/>
                <w:sz w:val="22"/>
                <w:szCs w:val="22"/>
              </w:rPr>
            </w:pPr>
            <w:r w:rsidRPr="00AD0B3B">
              <w:rPr>
                <w:rFonts w:asciiTheme="minorHAnsi" w:hAnsiTheme="minorHAnsi" w:cstheme="minorHAnsi"/>
                <w:sz w:val="22"/>
                <w:szCs w:val="22"/>
              </w:rPr>
              <w:t>Reduced numbers of FEX and PEX</w:t>
            </w:r>
          </w:p>
          <w:p w14:paraId="4D9D141D" w14:textId="77777777" w:rsidR="00AD0B3B" w:rsidRPr="00AD0B3B" w:rsidRDefault="00AD0B3B" w:rsidP="00AD0B3B">
            <w:pPr>
              <w:pStyle w:val="ListParagraph"/>
              <w:numPr>
                <w:ilvl w:val="0"/>
                <w:numId w:val="5"/>
              </w:numPr>
              <w:spacing w:after="160" w:line="252" w:lineRule="auto"/>
              <w:rPr>
                <w:rFonts w:asciiTheme="minorHAnsi" w:hAnsiTheme="minorHAnsi" w:cstheme="minorHAnsi"/>
                <w:b/>
                <w:sz w:val="22"/>
                <w:szCs w:val="22"/>
              </w:rPr>
            </w:pPr>
            <w:r w:rsidRPr="00AD0B3B">
              <w:rPr>
                <w:rFonts w:asciiTheme="minorHAnsi" w:hAnsiTheme="minorHAnsi" w:cstheme="minorHAnsi"/>
                <w:sz w:val="22"/>
                <w:szCs w:val="22"/>
              </w:rPr>
              <w:t>A more inclusive culture consistent across Norwich Inclusion Charter schools</w:t>
            </w:r>
          </w:p>
          <w:p w14:paraId="6E104086" w14:textId="1F4F5905" w:rsidR="0084295C" w:rsidRPr="00AD0B3B" w:rsidRDefault="0084295C" w:rsidP="00AD0B3B">
            <w:pPr>
              <w:pStyle w:val="ListParagraph"/>
              <w:rPr>
                <w:rFonts w:asciiTheme="minorHAnsi" w:hAnsiTheme="minorHAnsi" w:cstheme="minorHAnsi"/>
                <w:sz w:val="22"/>
                <w:szCs w:val="22"/>
              </w:rPr>
            </w:pPr>
          </w:p>
        </w:tc>
      </w:tr>
      <w:tr w:rsidR="008A7544" w:rsidRPr="00AD0B3B" w14:paraId="61BF4069" w14:textId="77777777" w:rsidTr="00CC728D">
        <w:trPr>
          <w:trHeight w:val="731"/>
        </w:trPr>
        <w:tc>
          <w:tcPr>
            <w:tcW w:w="2263" w:type="dxa"/>
            <w:shd w:val="clear" w:color="auto" w:fill="F3FFFF"/>
          </w:tcPr>
          <w:p w14:paraId="0994AF32" w14:textId="77777777" w:rsidR="008A7544" w:rsidRPr="00AD0B3B" w:rsidRDefault="008A7544" w:rsidP="0050163E">
            <w:pPr>
              <w:rPr>
                <w:rFonts w:asciiTheme="minorHAnsi" w:hAnsiTheme="minorHAnsi" w:cstheme="minorHAnsi"/>
                <w:b/>
                <w:sz w:val="22"/>
                <w:szCs w:val="22"/>
              </w:rPr>
            </w:pPr>
            <w:r w:rsidRPr="00AD0B3B">
              <w:rPr>
                <w:rFonts w:asciiTheme="minorHAnsi" w:hAnsiTheme="minorHAnsi" w:cstheme="minorHAnsi"/>
                <w:b/>
                <w:sz w:val="22"/>
                <w:szCs w:val="22"/>
              </w:rPr>
              <w:t>10. Evidence base</w:t>
            </w:r>
          </w:p>
        </w:tc>
        <w:tc>
          <w:tcPr>
            <w:tcW w:w="8222" w:type="dxa"/>
          </w:tcPr>
          <w:p w14:paraId="1AAC5ED8" w14:textId="56813AFF" w:rsidR="0005112A" w:rsidRPr="00AD0B3B" w:rsidRDefault="00AD0B3B" w:rsidP="0084295C">
            <w:pPr>
              <w:rPr>
                <w:rFonts w:asciiTheme="minorHAnsi" w:hAnsiTheme="minorHAnsi" w:cstheme="minorHAnsi"/>
                <w:sz w:val="22"/>
                <w:szCs w:val="22"/>
              </w:rPr>
            </w:pPr>
            <w:r>
              <w:rPr>
                <w:rFonts w:asciiTheme="minorHAnsi" w:hAnsiTheme="minorHAnsi" w:cstheme="minorHAnsi"/>
                <w:sz w:val="22"/>
                <w:szCs w:val="22"/>
              </w:rPr>
              <w:t>Not used</w:t>
            </w:r>
          </w:p>
        </w:tc>
      </w:tr>
      <w:tr w:rsidR="008A7544" w:rsidRPr="00AD0B3B" w14:paraId="37CFCCAF" w14:textId="77777777" w:rsidTr="00CC728D">
        <w:trPr>
          <w:trHeight w:val="731"/>
        </w:trPr>
        <w:tc>
          <w:tcPr>
            <w:tcW w:w="2263" w:type="dxa"/>
            <w:shd w:val="clear" w:color="auto" w:fill="F3FFFF"/>
          </w:tcPr>
          <w:p w14:paraId="0116E1FA" w14:textId="77777777" w:rsidR="008A7544" w:rsidRPr="00AD0B3B" w:rsidRDefault="008A7544" w:rsidP="0050163E">
            <w:pPr>
              <w:rPr>
                <w:rFonts w:asciiTheme="minorHAnsi" w:hAnsiTheme="minorHAnsi" w:cstheme="minorHAnsi"/>
                <w:b/>
                <w:sz w:val="22"/>
                <w:szCs w:val="22"/>
              </w:rPr>
            </w:pPr>
            <w:r w:rsidRPr="00AD0B3B">
              <w:rPr>
                <w:rFonts w:asciiTheme="minorHAnsi" w:hAnsiTheme="minorHAnsi" w:cstheme="minorHAnsi"/>
                <w:b/>
                <w:sz w:val="22"/>
                <w:szCs w:val="22"/>
              </w:rPr>
              <w:t>11. Prospective providers should meet the following criteria:</w:t>
            </w:r>
          </w:p>
        </w:tc>
        <w:tc>
          <w:tcPr>
            <w:tcW w:w="8222" w:type="dxa"/>
          </w:tcPr>
          <w:p w14:paraId="4CAA46E5" w14:textId="77777777" w:rsidR="00AD0B3B" w:rsidRPr="00AD0B3B" w:rsidRDefault="00AD0B3B" w:rsidP="00AD0B3B">
            <w:pPr>
              <w:spacing w:after="0"/>
              <w:rPr>
                <w:rFonts w:asciiTheme="minorHAnsi" w:hAnsiTheme="minorHAnsi" w:cstheme="minorHAnsi"/>
                <w:b/>
                <w:sz w:val="22"/>
                <w:szCs w:val="22"/>
              </w:rPr>
            </w:pPr>
            <w:r w:rsidRPr="00AD0B3B">
              <w:rPr>
                <w:rFonts w:asciiTheme="minorHAnsi" w:hAnsiTheme="minorHAnsi" w:cstheme="minorHAnsi"/>
                <w:b/>
                <w:sz w:val="22"/>
                <w:szCs w:val="22"/>
              </w:rPr>
              <w:t xml:space="preserve">Expertise: </w:t>
            </w:r>
          </w:p>
          <w:p w14:paraId="3B6E8B2B" w14:textId="77777777" w:rsidR="00AD0B3B" w:rsidRPr="00AD0B3B" w:rsidRDefault="00AD0B3B" w:rsidP="00AD0B3B">
            <w:pPr>
              <w:numPr>
                <w:ilvl w:val="0"/>
                <w:numId w:val="13"/>
              </w:numPr>
              <w:spacing w:after="0"/>
              <w:contextualSpacing/>
              <w:rPr>
                <w:rFonts w:asciiTheme="minorHAnsi" w:hAnsiTheme="minorHAnsi" w:cstheme="minorHAnsi"/>
                <w:sz w:val="22"/>
                <w:szCs w:val="22"/>
              </w:rPr>
            </w:pPr>
            <w:r w:rsidRPr="00AD0B3B">
              <w:rPr>
                <w:rFonts w:asciiTheme="minorHAnsi" w:hAnsiTheme="minorHAnsi" w:cstheme="minorHAnsi"/>
                <w:sz w:val="22"/>
                <w:szCs w:val="22"/>
              </w:rPr>
              <w:t>Education</w:t>
            </w:r>
          </w:p>
          <w:p w14:paraId="1ADDD182" w14:textId="77777777" w:rsidR="00AD0B3B" w:rsidRPr="00AD0B3B" w:rsidRDefault="00AD0B3B" w:rsidP="00AD0B3B">
            <w:pPr>
              <w:numPr>
                <w:ilvl w:val="0"/>
                <w:numId w:val="13"/>
              </w:numPr>
              <w:spacing w:after="0"/>
              <w:contextualSpacing/>
              <w:rPr>
                <w:rFonts w:asciiTheme="minorHAnsi" w:hAnsiTheme="minorHAnsi" w:cstheme="minorHAnsi"/>
                <w:sz w:val="22"/>
                <w:szCs w:val="22"/>
              </w:rPr>
            </w:pPr>
            <w:r w:rsidRPr="00AD0B3B">
              <w:rPr>
                <w:rFonts w:asciiTheme="minorHAnsi" w:hAnsiTheme="minorHAnsi" w:cstheme="minorHAnsi"/>
                <w:sz w:val="22"/>
                <w:szCs w:val="22"/>
              </w:rPr>
              <w:t>Inclusion</w:t>
            </w:r>
          </w:p>
          <w:p w14:paraId="4ABB1662" w14:textId="77777777" w:rsidR="00AD0B3B" w:rsidRPr="00AD0B3B" w:rsidRDefault="00AD0B3B" w:rsidP="00AD0B3B">
            <w:pPr>
              <w:numPr>
                <w:ilvl w:val="0"/>
                <w:numId w:val="13"/>
              </w:numPr>
              <w:spacing w:after="0"/>
              <w:contextualSpacing/>
              <w:rPr>
                <w:rFonts w:asciiTheme="minorHAnsi" w:hAnsiTheme="minorHAnsi" w:cstheme="minorHAnsi"/>
                <w:sz w:val="22"/>
                <w:szCs w:val="22"/>
              </w:rPr>
            </w:pPr>
            <w:r w:rsidRPr="00AD0B3B">
              <w:rPr>
                <w:rFonts w:asciiTheme="minorHAnsi" w:hAnsiTheme="minorHAnsi" w:cstheme="minorHAnsi"/>
                <w:sz w:val="22"/>
                <w:szCs w:val="22"/>
              </w:rPr>
              <w:t>Understanding of different types of governance</w:t>
            </w:r>
          </w:p>
          <w:p w14:paraId="06568340" w14:textId="77777777" w:rsidR="00AD0B3B" w:rsidRPr="00AD0B3B" w:rsidRDefault="00AD0B3B" w:rsidP="00AD0B3B">
            <w:pPr>
              <w:numPr>
                <w:ilvl w:val="0"/>
                <w:numId w:val="13"/>
              </w:numPr>
              <w:spacing w:after="0"/>
              <w:contextualSpacing/>
              <w:rPr>
                <w:rFonts w:asciiTheme="minorHAnsi" w:hAnsiTheme="minorHAnsi" w:cstheme="minorHAnsi"/>
                <w:sz w:val="22"/>
                <w:szCs w:val="22"/>
              </w:rPr>
            </w:pPr>
            <w:r w:rsidRPr="00AD0B3B">
              <w:rPr>
                <w:rFonts w:asciiTheme="minorHAnsi" w:hAnsiTheme="minorHAnsi" w:cstheme="minorHAnsi"/>
                <w:sz w:val="22"/>
                <w:szCs w:val="22"/>
              </w:rPr>
              <w:t xml:space="preserve">Understanding of different types of behaviour challenges and approaches. </w:t>
            </w:r>
          </w:p>
          <w:p w14:paraId="3FF5D2F7" w14:textId="77777777" w:rsidR="00AD0B3B" w:rsidRPr="00AD0B3B" w:rsidRDefault="00AD0B3B" w:rsidP="00AD0B3B">
            <w:pPr>
              <w:numPr>
                <w:ilvl w:val="0"/>
                <w:numId w:val="13"/>
              </w:numPr>
              <w:spacing w:after="0"/>
              <w:contextualSpacing/>
              <w:rPr>
                <w:rFonts w:asciiTheme="minorHAnsi" w:hAnsiTheme="minorHAnsi" w:cstheme="minorHAnsi"/>
                <w:sz w:val="22"/>
                <w:szCs w:val="22"/>
              </w:rPr>
            </w:pPr>
            <w:r w:rsidRPr="00AD0B3B">
              <w:rPr>
                <w:rFonts w:asciiTheme="minorHAnsi" w:hAnsiTheme="minorHAnsi" w:cstheme="minorHAnsi"/>
                <w:sz w:val="22"/>
                <w:szCs w:val="22"/>
              </w:rPr>
              <w:t xml:space="preserve">Good understanding of Norwich Opportunity Area </w:t>
            </w:r>
          </w:p>
          <w:p w14:paraId="54AB27B8" w14:textId="77777777" w:rsidR="00AD0B3B" w:rsidRPr="00AD0B3B" w:rsidRDefault="00AD0B3B" w:rsidP="00AD0B3B">
            <w:pPr>
              <w:numPr>
                <w:ilvl w:val="0"/>
                <w:numId w:val="13"/>
              </w:numPr>
              <w:spacing w:after="0"/>
              <w:contextualSpacing/>
              <w:rPr>
                <w:rFonts w:asciiTheme="minorHAnsi" w:hAnsiTheme="minorHAnsi" w:cstheme="minorHAnsi"/>
                <w:sz w:val="22"/>
                <w:szCs w:val="22"/>
              </w:rPr>
            </w:pPr>
            <w:r w:rsidRPr="00AD0B3B">
              <w:rPr>
                <w:rFonts w:asciiTheme="minorHAnsi" w:hAnsiTheme="minorHAnsi" w:cstheme="minorHAnsi"/>
                <w:sz w:val="22"/>
                <w:szCs w:val="22"/>
              </w:rPr>
              <w:t xml:space="preserve">Understanding of different settings </w:t>
            </w:r>
          </w:p>
          <w:p w14:paraId="451F9D74" w14:textId="77777777" w:rsidR="00AD0B3B" w:rsidRPr="00AD0B3B" w:rsidRDefault="00AD0B3B" w:rsidP="00AD0B3B">
            <w:pPr>
              <w:spacing w:after="0"/>
              <w:ind w:left="360"/>
              <w:contextualSpacing/>
              <w:rPr>
                <w:rFonts w:asciiTheme="minorHAnsi" w:hAnsiTheme="minorHAnsi" w:cstheme="minorHAnsi"/>
                <w:sz w:val="22"/>
                <w:szCs w:val="22"/>
              </w:rPr>
            </w:pPr>
          </w:p>
          <w:p w14:paraId="68E83C49" w14:textId="77777777" w:rsidR="00AD0B3B" w:rsidRPr="00AD0B3B" w:rsidRDefault="00AD0B3B" w:rsidP="00AD0B3B">
            <w:pPr>
              <w:spacing w:after="0"/>
              <w:rPr>
                <w:rFonts w:asciiTheme="minorHAnsi" w:hAnsiTheme="minorHAnsi" w:cstheme="minorHAnsi"/>
                <w:b/>
                <w:sz w:val="22"/>
                <w:szCs w:val="22"/>
              </w:rPr>
            </w:pPr>
            <w:r w:rsidRPr="00AD0B3B">
              <w:rPr>
                <w:rFonts w:asciiTheme="minorHAnsi" w:hAnsiTheme="minorHAnsi" w:cstheme="minorHAnsi"/>
                <w:b/>
                <w:sz w:val="22"/>
                <w:szCs w:val="22"/>
              </w:rPr>
              <w:t xml:space="preserve">Experience: </w:t>
            </w:r>
          </w:p>
          <w:p w14:paraId="305DB1DC" w14:textId="77777777" w:rsidR="00AD0B3B" w:rsidRPr="00AD0B3B" w:rsidRDefault="00AD0B3B" w:rsidP="00AD0B3B">
            <w:pPr>
              <w:numPr>
                <w:ilvl w:val="0"/>
                <w:numId w:val="13"/>
              </w:numPr>
              <w:spacing w:after="0"/>
              <w:contextualSpacing/>
              <w:rPr>
                <w:rFonts w:asciiTheme="minorHAnsi" w:hAnsiTheme="minorHAnsi" w:cstheme="minorHAnsi"/>
                <w:sz w:val="22"/>
                <w:szCs w:val="22"/>
              </w:rPr>
            </w:pPr>
            <w:r w:rsidRPr="00AD0B3B">
              <w:rPr>
                <w:rFonts w:asciiTheme="minorHAnsi" w:hAnsiTheme="minorHAnsi" w:cstheme="minorHAnsi"/>
                <w:sz w:val="22"/>
                <w:szCs w:val="22"/>
              </w:rPr>
              <w:t xml:space="preserve">Delivering high quality training, </w:t>
            </w:r>
          </w:p>
          <w:p w14:paraId="7132756D" w14:textId="269DA5AC" w:rsidR="007F370E" w:rsidRPr="00AD0B3B" w:rsidRDefault="00AD0B3B" w:rsidP="0084295C">
            <w:pPr>
              <w:numPr>
                <w:ilvl w:val="0"/>
                <w:numId w:val="13"/>
              </w:numPr>
              <w:spacing w:after="0"/>
              <w:contextualSpacing/>
              <w:rPr>
                <w:rFonts w:asciiTheme="minorHAnsi" w:hAnsiTheme="minorHAnsi" w:cstheme="minorHAnsi"/>
                <w:sz w:val="22"/>
                <w:szCs w:val="22"/>
              </w:rPr>
            </w:pPr>
            <w:r w:rsidRPr="00AD0B3B">
              <w:rPr>
                <w:rFonts w:asciiTheme="minorHAnsi" w:hAnsiTheme="minorHAnsi" w:cstheme="minorHAnsi"/>
                <w:sz w:val="22"/>
                <w:szCs w:val="22"/>
              </w:rPr>
              <w:t>Supporting school governors/leaders</w:t>
            </w:r>
          </w:p>
        </w:tc>
      </w:tr>
      <w:tr w:rsidR="008A7544" w:rsidRPr="00AD0B3B" w14:paraId="08ED146D" w14:textId="77777777" w:rsidTr="00CC728D">
        <w:trPr>
          <w:trHeight w:val="983"/>
        </w:trPr>
        <w:tc>
          <w:tcPr>
            <w:tcW w:w="2263" w:type="dxa"/>
            <w:shd w:val="clear" w:color="auto" w:fill="F3FFFF"/>
          </w:tcPr>
          <w:p w14:paraId="39EC399B" w14:textId="77777777" w:rsidR="008A7544" w:rsidRPr="00AD0B3B" w:rsidRDefault="008A7544" w:rsidP="0050163E">
            <w:pPr>
              <w:rPr>
                <w:rFonts w:asciiTheme="minorHAnsi" w:hAnsiTheme="minorHAnsi" w:cstheme="minorHAnsi"/>
                <w:b/>
                <w:sz w:val="22"/>
                <w:szCs w:val="22"/>
              </w:rPr>
            </w:pPr>
            <w:r w:rsidRPr="00AD0B3B">
              <w:rPr>
                <w:rFonts w:asciiTheme="minorHAnsi" w:hAnsiTheme="minorHAnsi" w:cstheme="minorHAnsi"/>
                <w:b/>
                <w:sz w:val="22"/>
                <w:szCs w:val="22"/>
              </w:rPr>
              <w:lastRenderedPageBreak/>
              <w:t>12. Prospective providers are invited to submit:</w:t>
            </w:r>
          </w:p>
        </w:tc>
        <w:tc>
          <w:tcPr>
            <w:tcW w:w="8222" w:type="dxa"/>
          </w:tcPr>
          <w:p w14:paraId="3DF359CF" w14:textId="4B230DE2" w:rsidR="00AD0B3B" w:rsidRPr="00AD0B3B" w:rsidRDefault="00AD0B3B" w:rsidP="00AD0B3B">
            <w:pPr>
              <w:numPr>
                <w:ilvl w:val="0"/>
                <w:numId w:val="2"/>
              </w:numPr>
              <w:spacing w:after="0" w:line="360" w:lineRule="auto"/>
              <w:rPr>
                <w:rFonts w:asciiTheme="minorHAnsi" w:hAnsiTheme="minorHAnsi" w:cstheme="minorHAnsi"/>
                <w:sz w:val="22"/>
                <w:szCs w:val="22"/>
              </w:rPr>
            </w:pPr>
            <w:r w:rsidRPr="00AD0B3B">
              <w:rPr>
                <w:rFonts w:asciiTheme="minorHAnsi" w:hAnsiTheme="minorHAnsi" w:cstheme="minorHAnsi"/>
                <w:sz w:val="22"/>
                <w:szCs w:val="22"/>
              </w:rPr>
              <w:t>Evidence of your expertise and experience as stated above (Weighting 35%) no more than 1 side of A4</w:t>
            </w:r>
          </w:p>
          <w:p w14:paraId="3BC91DEF" w14:textId="0D141765" w:rsidR="00AD0B3B" w:rsidRPr="00AD0B3B" w:rsidRDefault="00AD0B3B" w:rsidP="00AD0B3B">
            <w:pPr>
              <w:numPr>
                <w:ilvl w:val="0"/>
                <w:numId w:val="2"/>
              </w:numPr>
              <w:spacing w:after="0" w:line="360" w:lineRule="auto"/>
              <w:rPr>
                <w:rFonts w:asciiTheme="minorHAnsi" w:hAnsiTheme="minorHAnsi" w:cstheme="minorHAnsi"/>
                <w:sz w:val="22"/>
                <w:szCs w:val="22"/>
              </w:rPr>
            </w:pPr>
            <w:r w:rsidRPr="00AD0B3B">
              <w:rPr>
                <w:rFonts w:asciiTheme="minorHAnsi" w:hAnsiTheme="minorHAnsi" w:cstheme="minorHAnsi"/>
                <w:sz w:val="22"/>
                <w:szCs w:val="22"/>
              </w:rPr>
              <w:t>Your approach to this project. (no more than 2 sides of A4</w:t>
            </w:r>
            <w:proofErr w:type="gramStart"/>
            <w:r w:rsidRPr="00AD0B3B">
              <w:rPr>
                <w:rFonts w:asciiTheme="minorHAnsi" w:hAnsiTheme="minorHAnsi" w:cstheme="minorHAnsi"/>
                <w:sz w:val="22"/>
                <w:szCs w:val="22"/>
              </w:rPr>
              <w:t>)  Including</w:t>
            </w:r>
            <w:proofErr w:type="gramEnd"/>
            <w:r w:rsidRPr="00AD0B3B">
              <w:rPr>
                <w:rFonts w:asciiTheme="minorHAnsi" w:hAnsiTheme="minorHAnsi" w:cstheme="minorHAnsi"/>
                <w:sz w:val="22"/>
                <w:szCs w:val="22"/>
              </w:rPr>
              <w:t xml:space="preserve"> staffing, course content, delivery approach, recruitment of delegates, impact measurement and evaluation, and a description of any potential conflicts of interest and how you will deal with them (Weighting 35%)</w:t>
            </w:r>
          </w:p>
          <w:p w14:paraId="2D8E3B75" w14:textId="77777777" w:rsidR="00AD0B3B" w:rsidRPr="00AD0B3B" w:rsidRDefault="00AD0B3B" w:rsidP="00AD0B3B">
            <w:pPr>
              <w:numPr>
                <w:ilvl w:val="0"/>
                <w:numId w:val="2"/>
              </w:numPr>
              <w:spacing w:after="0" w:line="360" w:lineRule="auto"/>
              <w:rPr>
                <w:rFonts w:asciiTheme="minorHAnsi" w:hAnsiTheme="minorHAnsi" w:cstheme="minorHAnsi"/>
                <w:sz w:val="22"/>
                <w:szCs w:val="22"/>
              </w:rPr>
            </w:pPr>
            <w:r w:rsidRPr="00AD0B3B">
              <w:rPr>
                <w:rFonts w:asciiTheme="minorHAnsi" w:hAnsiTheme="minorHAnsi" w:cstheme="minorHAnsi"/>
                <w:sz w:val="22"/>
                <w:szCs w:val="22"/>
              </w:rPr>
              <w:t>Details of your time, fees and expenses required to meet the outcomes and price cap (Weighting 30%)</w:t>
            </w:r>
          </w:p>
          <w:p w14:paraId="49BD943F" w14:textId="379082B6" w:rsidR="008A7544" w:rsidRPr="00AD0B3B" w:rsidRDefault="008A7544" w:rsidP="00AD0B3B">
            <w:pPr>
              <w:spacing w:after="0" w:line="240" w:lineRule="auto"/>
              <w:ind w:left="360"/>
              <w:rPr>
                <w:rFonts w:asciiTheme="minorHAnsi" w:hAnsiTheme="minorHAnsi" w:cstheme="minorHAnsi"/>
                <w:sz w:val="22"/>
                <w:szCs w:val="22"/>
              </w:rPr>
            </w:pPr>
          </w:p>
        </w:tc>
      </w:tr>
      <w:tr w:rsidR="008A7544" w:rsidRPr="00AD0B3B" w14:paraId="726B0C16" w14:textId="77777777" w:rsidTr="00CC728D">
        <w:trPr>
          <w:trHeight w:val="983"/>
        </w:trPr>
        <w:tc>
          <w:tcPr>
            <w:tcW w:w="2263" w:type="dxa"/>
            <w:shd w:val="clear" w:color="auto" w:fill="F3FFFF"/>
          </w:tcPr>
          <w:p w14:paraId="0A353D6B" w14:textId="77777777" w:rsidR="008A7544" w:rsidRPr="00AD0B3B" w:rsidRDefault="008A7544" w:rsidP="0050163E">
            <w:pPr>
              <w:rPr>
                <w:rFonts w:asciiTheme="minorHAnsi" w:hAnsiTheme="minorHAnsi" w:cstheme="minorHAnsi"/>
                <w:b/>
                <w:sz w:val="22"/>
                <w:szCs w:val="22"/>
              </w:rPr>
            </w:pPr>
            <w:r w:rsidRPr="00AD0B3B">
              <w:rPr>
                <w:rFonts w:asciiTheme="minorHAnsi" w:hAnsiTheme="minorHAnsi" w:cstheme="minorHAnsi"/>
                <w:b/>
                <w:sz w:val="22"/>
                <w:szCs w:val="22"/>
              </w:rPr>
              <w:t>13. Timetable</w:t>
            </w:r>
          </w:p>
        </w:tc>
        <w:tc>
          <w:tcPr>
            <w:tcW w:w="8222" w:type="dxa"/>
          </w:tcPr>
          <w:p w14:paraId="134F7B50" w14:textId="77777777" w:rsidR="00AD0B3B" w:rsidRPr="00AD0B3B" w:rsidRDefault="00AD0B3B" w:rsidP="00AD0B3B">
            <w:pPr>
              <w:rPr>
                <w:rFonts w:asciiTheme="minorHAnsi" w:hAnsiTheme="minorHAnsi" w:cstheme="minorHAnsi"/>
                <w:sz w:val="22"/>
                <w:szCs w:val="22"/>
              </w:rPr>
            </w:pPr>
            <w:r w:rsidRPr="00AD0B3B">
              <w:rPr>
                <w:rFonts w:asciiTheme="minorHAnsi" w:hAnsiTheme="minorHAnsi" w:cstheme="minorHAnsi"/>
                <w:sz w:val="22"/>
                <w:szCs w:val="22"/>
              </w:rPr>
              <w:t>Proposals should be submitted by: 25</w:t>
            </w:r>
            <w:r w:rsidRPr="00AD0B3B">
              <w:rPr>
                <w:rFonts w:asciiTheme="minorHAnsi" w:hAnsiTheme="minorHAnsi" w:cstheme="minorHAnsi"/>
                <w:sz w:val="22"/>
                <w:szCs w:val="22"/>
                <w:vertAlign w:val="superscript"/>
              </w:rPr>
              <w:t>th</w:t>
            </w:r>
            <w:r w:rsidRPr="00AD0B3B">
              <w:rPr>
                <w:rFonts w:asciiTheme="minorHAnsi" w:hAnsiTheme="minorHAnsi" w:cstheme="minorHAnsi"/>
                <w:sz w:val="22"/>
                <w:szCs w:val="22"/>
              </w:rPr>
              <w:t xml:space="preserve"> April 2018</w:t>
            </w:r>
          </w:p>
          <w:p w14:paraId="6B3A76D7" w14:textId="77777777" w:rsidR="00AD0B3B" w:rsidRPr="00AD0B3B" w:rsidRDefault="00AD0B3B" w:rsidP="00AD0B3B">
            <w:pPr>
              <w:rPr>
                <w:rFonts w:asciiTheme="minorHAnsi" w:hAnsiTheme="minorHAnsi" w:cstheme="minorHAnsi"/>
                <w:sz w:val="22"/>
                <w:szCs w:val="22"/>
              </w:rPr>
            </w:pPr>
            <w:r w:rsidRPr="00AD0B3B">
              <w:rPr>
                <w:rFonts w:asciiTheme="minorHAnsi" w:hAnsiTheme="minorHAnsi" w:cstheme="minorHAnsi"/>
                <w:sz w:val="22"/>
                <w:szCs w:val="22"/>
              </w:rPr>
              <w:t>Appointment will be notified by: 2</w:t>
            </w:r>
            <w:r w:rsidRPr="00AD0B3B">
              <w:rPr>
                <w:rFonts w:asciiTheme="minorHAnsi" w:hAnsiTheme="minorHAnsi" w:cstheme="minorHAnsi"/>
                <w:sz w:val="22"/>
                <w:szCs w:val="22"/>
                <w:vertAlign w:val="superscript"/>
              </w:rPr>
              <w:t>nd</w:t>
            </w:r>
            <w:r w:rsidRPr="00AD0B3B">
              <w:rPr>
                <w:rFonts w:asciiTheme="minorHAnsi" w:hAnsiTheme="minorHAnsi" w:cstheme="minorHAnsi"/>
                <w:sz w:val="22"/>
                <w:szCs w:val="22"/>
              </w:rPr>
              <w:t xml:space="preserve"> May</w:t>
            </w:r>
          </w:p>
          <w:p w14:paraId="66CA1A97" w14:textId="39AEC421" w:rsidR="008A7544" w:rsidRPr="00AD0B3B" w:rsidRDefault="00AD0B3B" w:rsidP="00AD0B3B">
            <w:pPr>
              <w:rPr>
                <w:rFonts w:asciiTheme="minorHAnsi" w:hAnsiTheme="minorHAnsi" w:cstheme="minorHAnsi"/>
                <w:sz w:val="22"/>
                <w:szCs w:val="22"/>
              </w:rPr>
            </w:pPr>
            <w:r w:rsidRPr="00AD0B3B">
              <w:rPr>
                <w:rFonts w:asciiTheme="minorHAnsi" w:hAnsiTheme="minorHAnsi" w:cstheme="minorHAnsi"/>
                <w:sz w:val="22"/>
                <w:szCs w:val="22"/>
              </w:rPr>
              <w:t>Project should be completed by: June 2018 (event 1) and October 2018 (event 2)</w:t>
            </w:r>
          </w:p>
        </w:tc>
      </w:tr>
      <w:tr w:rsidR="008A7544" w:rsidRPr="00AD0B3B" w14:paraId="6FCF0FE7" w14:textId="77777777" w:rsidTr="00CC728D">
        <w:trPr>
          <w:trHeight w:val="500"/>
        </w:trPr>
        <w:tc>
          <w:tcPr>
            <w:tcW w:w="2263" w:type="dxa"/>
            <w:shd w:val="clear" w:color="auto" w:fill="F3FFFF"/>
          </w:tcPr>
          <w:p w14:paraId="0FBBA427" w14:textId="77777777" w:rsidR="008A7544" w:rsidRPr="00AD0B3B" w:rsidRDefault="008A7544" w:rsidP="0050163E">
            <w:pPr>
              <w:rPr>
                <w:rFonts w:asciiTheme="minorHAnsi" w:hAnsiTheme="minorHAnsi" w:cstheme="minorHAnsi"/>
                <w:b/>
                <w:sz w:val="22"/>
                <w:szCs w:val="22"/>
              </w:rPr>
            </w:pPr>
            <w:r w:rsidRPr="00AD0B3B">
              <w:rPr>
                <w:rFonts w:asciiTheme="minorHAnsi" w:hAnsiTheme="minorHAnsi" w:cstheme="minorHAnsi"/>
                <w:b/>
                <w:sz w:val="22"/>
                <w:szCs w:val="22"/>
              </w:rPr>
              <w:t>14. Additional information</w:t>
            </w:r>
          </w:p>
        </w:tc>
        <w:tc>
          <w:tcPr>
            <w:tcW w:w="8222" w:type="dxa"/>
          </w:tcPr>
          <w:p w14:paraId="2AA6ADA8" w14:textId="77777777" w:rsidR="00AD0B3B" w:rsidRPr="00AD0B3B" w:rsidRDefault="00AD0B3B" w:rsidP="00AD0B3B">
            <w:pPr>
              <w:spacing w:after="0"/>
              <w:rPr>
                <w:rFonts w:asciiTheme="minorHAnsi" w:hAnsiTheme="minorHAnsi" w:cstheme="minorHAnsi"/>
                <w:color w:val="000000"/>
                <w:sz w:val="22"/>
                <w:szCs w:val="22"/>
              </w:rPr>
            </w:pPr>
            <w:r w:rsidRPr="00AD0B3B">
              <w:rPr>
                <w:rFonts w:asciiTheme="minorHAnsi" w:hAnsiTheme="minorHAnsi" w:cstheme="minorHAnsi"/>
                <w:color w:val="000000"/>
                <w:sz w:val="22"/>
                <w:szCs w:val="22"/>
              </w:rPr>
              <w:t>All schools in the Norwich Opportunity Area will be invited to join the Norwich Inclusion Charter:</w:t>
            </w:r>
          </w:p>
          <w:p w14:paraId="5760C44C" w14:textId="77777777" w:rsidR="00AD0B3B" w:rsidRPr="00AD0B3B" w:rsidRDefault="00AD0B3B" w:rsidP="00AD0B3B">
            <w:pPr>
              <w:spacing w:after="0"/>
              <w:ind w:left="720"/>
              <w:rPr>
                <w:rFonts w:asciiTheme="minorHAnsi" w:hAnsiTheme="minorHAnsi" w:cstheme="minorHAnsi"/>
                <w:color w:val="FF0000"/>
                <w:sz w:val="22"/>
                <w:szCs w:val="22"/>
              </w:rPr>
            </w:pPr>
            <w:r w:rsidRPr="00AD0B3B">
              <w:rPr>
                <w:rFonts w:asciiTheme="minorHAnsi" w:hAnsiTheme="minorHAnsi" w:cstheme="minorHAnsi"/>
                <w:color w:val="000000"/>
                <w:sz w:val="22"/>
                <w:szCs w:val="22"/>
              </w:rPr>
              <w:t xml:space="preserve">1 nursery </w:t>
            </w:r>
          </w:p>
          <w:p w14:paraId="36576F47" w14:textId="77777777" w:rsidR="00AD0B3B" w:rsidRPr="00AD0B3B" w:rsidRDefault="00AD0B3B" w:rsidP="00AD0B3B">
            <w:pPr>
              <w:spacing w:after="0"/>
              <w:ind w:left="720"/>
              <w:rPr>
                <w:rFonts w:asciiTheme="minorHAnsi" w:hAnsiTheme="minorHAnsi" w:cstheme="minorHAnsi"/>
                <w:color w:val="000000"/>
                <w:sz w:val="22"/>
                <w:szCs w:val="22"/>
              </w:rPr>
            </w:pPr>
            <w:r w:rsidRPr="00AD0B3B">
              <w:rPr>
                <w:rFonts w:asciiTheme="minorHAnsi" w:hAnsiTheme="minorHAnsi" w:cstheme="minorHAnsi"/>
                <w:color w:val="000000"/>
                <w:sz w:val="22"/>
                <w:szCs w:val="22"/>
              </w:rPr>
              <w:t>33 first/infant/primary schools</w:t>
            </w:r>
          </w:p>
          <w:p w14:paraId="5354BE33" w14:textId="77777777" w:rsidR="00AD0B3B" w:rsidRPr="00AD0B3B" w:rsidRDefault="00AD0B3B" w:rsidP="00AD0B3B">
            <w:pPr>
              <w:spacing w:after="0"/>
              <w:ind w:left="720"/>
              <w:rPr>
                <w:rFonts w:asciiTheme="minorHAnsi" w:hAnsiTheme="minorHAnsi" w:cstheme="minorHAnsi"/>
                <w:color w:val="000000"/>
                <w:sz w:val="22"/>
                <w:szCs w:val="22"/>
              </w:rPr>
            </w:pPr>
            <w:r w:rsidRPr="00AD0B3B">
              <w:rPr>
                <w:rFonts w:asciiTheme="minorHAnsi" w:hAnsiTheme="minorHAnsi" w:cstheme="minorHAnsi"/>
                <w:color w:val="000000"/>
                <w:sz w:val="22"/>
                <w:szCs w:val="22"/>
              </w:rPr>
              <w:t>8 high schools</w:t>
            </w:r>
          </w:p>
          <w:p w14:paraId="75118856" w14:textId="77777777" w:rsidR="00AD0B3B" w:rsidRPr="00AD0B3B" w:rsidRDefault="00AD0B3B" w:rsidP="00AD0B3B">
            <w:pPr>
              <w:spacing w:after="0"/>
              <w:ind w:left="720"/>
              <w:rPr>
                <w:rFonts w:asciiTheme="minorHAnsi" w:hAnsiTheme="minorHAnsi" w:cstheme="minorHAnsi"/>
                <w:color w:val="000000"/>
                <w:sz w:val="22"/>
                <w:szCs w:val="22"/>
              </w:rPr>
            </w:pPr>
            <w:r w:rsidRPr="00AD0B3B">
              <w:rPr>
                <w:rFonts w:asciiTheme="minorHAnsi" w:hAnsiTheme="minorHAnsi" w:cstheme="minorHAnsi"/>
                <w:color w:val="000000"/>
                <w:sz w:val="22"/>
                <w:szCs w:val="22"/>
              </w:rPr>
              <w:t>5 special schools</w:t>
            </w:r>
          </w:p>
          <w:p w14:paraId="3CA834F7" w14:textId="77777777" w:rsidR="00AD0B3B" w:rsidRPr="00AD0B3B" w:rsidRDefault="00AD0B3B" w:rsidP="00AD0B3B">
            <w:pPr>
              <w:spacing w:after="0"/>
              <w:ind w:left="720"/>
              <w:rPr>
                <w:rFonts w:asciiTheme="minorHAnsi" w:hAnsiTheme="minorHAnsi" w:cstheme="minorHAnsi"/>
                <w:color w:val="000000"/>
                <w:sz w:val="22"/>
                <w:szCs w:val="22"/>
              </w:rPr>
            </w:pPr>
            <w:r w:rsidRPr="00AD0B3B">
              <w:rPr>
                <w:rFonts w:asciiTheme="minorHAnsi" w:hAnsiTheme="minorHAnsi" w:cstheme="minorHAnsi"/>
                <w:color w:val="000000"/>
                <w:sz w:val="22"/>
                <w:szCs w:val="22"/>
              </w:rPr>
              <w:t>1 short stay school</w:t>
            </w:r>
          </w:p>
          <w:p w14:paraId="1C04CCF6" w14:textId="77777777" w:rsidR="00AD0B3B" w:rsidRPr="00AD0B3B" w:rsidRDefault="00AD0B3B" w:rsidP="00AD0B3B">
            <w:pPr>
              <w:spacing w:after="0"/>
              <w:ind w:left="720"/>
              <w:rPr>
                <w:rFonts w:asciiTheme="minorHAnsi" w:hAnsiTheme="minorHAnsi" w:cstheme="minorHAnsi"/>
                <w:b/>
                <w:color w:val="000000"/>
                <w:sz w:val="22"/>
                <w:szCs w:val="22"/>
              </w:rPr>
            </w:pPr>
            <w:r w:rsidRPr="00AD0B3B">
              <w:rPr>
                <w:rFonts w:asciiTheme="minorHAnsi" w:hAnsiTheme="minorHAnsi" w:cstheme="minorHAnsi"/>
                <w:b/>
                <w:color w:val="000000"/>
                <w:sz w:val="22"/>
                <w:szCs w:val="22"/>
              </w:rPr>
              <w:t xml:space="preserve">48 schools </w:t>
            </w:r>
          </w:p>
          <w:p w14:paraId="7F37BC0D" w14:textId="77777777" w:rsidR="00AD0B3B" w:rsidRPr="00AD0B3B" w:rsidRDefault="00AD0B3B" w:rsidP="00AD0B3B">
            <w:pPr>
              <w:autoSpaceDE w:val="0"/>
              <w:autoSpaceDN w:val="0"/>
              <w:adjustRightInd w:val="0"/>
              <w:spacing w:after="0"/>
              <w:rPr>
                <w:rFonts w:asciiTheme="minorHAnsi" w:hAnsiTheme="minorHAnsi" w:cstheme="minorHAnsi"/>
                <w:b/>
                <w:sz w:val="22"/>
                <w:szCs w:val="22"/>
              </w:rPr>
            </w:pPr>
          </w:p>
          <w:p w14:paraId="183631E4" w14:textId="77777777" w:rsidR="00AD0B3B" w:rsidRPr="00AD0B3B" w:rsidRDefault="00AD0B3B" w:rsidP="00AD0B3B">
            <w:pPr>
              <w:rPr>
                <w:rFonts w:asciiTheme="minorHAnsi" w:hAnsiTheme="minorHAnsi" w:cstheme="minorHAnsi"/>
                <w:sz w:val="22"/>
                <w:szCs w:val="22"/>
              </w:rPr>
            </w:pPr>
            <w:r w:rsidRPr="00AD0B3B">
              <w:rPr>
                <w:rFonts w:asciiTheme="minorHAnsi" w:hAnsiTheme="minorHAnsi" w:cstheme="minorHAnsi"/>
                <w:sz w:val="22"/>
                <w:szCs w:val="22"/>
              </w:rPr>
              <w:t>If you would like further information before submitting please contact:</w:t>
            </w:r>
          </w:p>
          <w:p w14:paraId="7224B258" w14:textId="77777777" w:rsidR="00AD0B3B" w:rsidRPr="00AD0B3B" w:rsidRDefault="00AD0B3B" w:rsidP="00AD0B3B">
            <w:pPr>
              <w:spacing w:after="0"/>
              <w:rPr>
                <w:rFonts w:asciiTheme="minorHAnsi" w:hAnsiTheme="minorHAnsi" w:cstheme="minorHAnsi"/>
                <w:sz w:val="22"/>
                <w:szCs w:val="22"/>
              </w:rPr>
            </w:pPr>
            <w:r w:rsidRPr="00AD0B3B">
              <w:rPr>
                <w:rFonts w:asciiTheme="minorHAnsi" w:hAnsiTheme="minorHAnsi" w:cstheme="minorHAnsi"/>
                <w:sz w:val="22"/>
                <w:szCs w:val="22"/>
              </w:rPr>
              <w:t xml:space="preserve">Jacqueline </w:t>
            </w:r>
            <w:proofErr w:type="spellStart"/>
            <w:r w:rsidRPr="00AD0B3B">
              <w:rPr>
                <w:rFonts w:asciiTheme="minorHAnsi" w:hAnsiTheme="minorHAnsi" w:cstheme="minorHAnsi"/>
                <w:sz w:val="22"/>
                <w:szCs w:val="22"/>
              </w:rPr>
              <w:t>Bircham</w:t>
            </w:r>
            <w:proofErr w:type="spellEnd"/>
            <w:r w:rsidRPr="00AD0B3B">
              <w:rPr>
                <w:rFonts w:asciiTheme="minorHAnsi" w:hAnsiTheme="minorHAnsi" w:cstheme="minorHAnsi"/>
                <w:sz w:val="22"/>
                <w:szCs w:val="22"/>
              </w:rPr>
              <w:t>, Norwich Opportunity Area Programme Director</w:t>
            </w:r>
          </w:p>
          <w:p w14:paraId="04DAD4DB" w14:textId="77777777" w:rsidR="00AD0B3B" w:rsidRPr="00AD0B3B" w:rsidRDefault="00662865" w:rsidP="00AD0B3B">
            <w:pPr>
              <w:spacing w:after="0"/>
              <w:rPr>
                <w:rFonts w:asciiTheme="minorHAnsi" w:hAnsiTheme="minorHAnsi" w:cstheme="minorHAnsi"/>
                <w:sz w:val="22"/>
                <w:szCs w:val="22"/>
              </w:rPr>
            </w:pPr>
            <w:hyperlink r:id="rId7" w:history="1">
              <w:r w:rsidR="00AD0B3B" w:rsidRPr="00AD0B3B">
                <w:rPr>
                  <w:rFonts w:asciiTheme="minorHAnsi" w:hAnsiTheme="minorHAnsi" w:cstheme="minorHAnsi"/>
                  <w:color w:val="0563C1" w:themeColor="hyperlink"/>
                  <w:sz w:val="22"/>
                  <w:szCs w:val="22"/>
                  <w:u w:val="single"/>
                </w:rPr>
                <w:t>Jacqueline.bircham@newanglia.co.uk</w:t>
              </w:r>
            </w:hyperlink>
          </w:p>
          <w:p w14:paraId="49AC656C" w14:textId="77777777" w:rsidR="00AD0B3B" w:rsidRPr="00AD0B3B" w:rsidRDefault="00AD0B3B" w:rsidP="00AD0B3B">
            <w:pPr>
              <w:rPr>
                <w:rFonts w:asciiTheme="minorHAnsi" w:hAnsiTheme="minorHAnsi" w:cstheme="minorHAnsi"/>
                <w:color w:val="0563C1" w:themeColor="hyperlink"/>
                <w:sz w:val="22"/>
                <w:szCs w:val="22"/>
                <w:u w:val="single"/>
              </w:rPr>
            </w:pPr>
            <w:r w:rsidRPr="00AD0B3B">
              <w:rPr>
                <w:rFonts w:asciiTheme="minorHAnsi" w:hAnsiTheme="minorHAnsi" w:cstheme="minorHAnsi"/>
                <w:sz w:val="22"/>
                <w:szCs w:val="22"/>
              </w:rPr>
              <w:t xml:space="preserve">Information on the Norwich Opportunity Area project can be found </w:t>
            </w:r>
            <w:hyperlink r:id="rId8" w:history="1">
              <w:r w:rsidRPr="00AD0B3B">
                <w:rPr>
                  <w:rFonts w:asciiTheme="minorHAnsi" w:hAnsiTheme="minorHAnsi" w:cstheme="minorHAnsi"/>
                  <w:color w:val="0563C1" w:themeColor="hyperlink"/>
                  <w:sz w:val="22"/>
                  <w:szCs w:val="22"/>
                  <w:u w:val="single"/>
                </w:rPr>
                <w:t>here</w:t>
              </w:r>
            </w:hyperlink>
          </w:p>
          <w:p w14:paraId="75BBB161" w14:textId="77777777" w:rsidR="00AD0B3B" w:rsidRPr="00AD0B3B" w:rsidRDefault="00AD0B3B" w:rsidP="00AD0B3B">
            <w:pPr>
              <w:spacing w:after="0"/>
              <w:rPr>
                <w:rFonts w:asciiTheme="minorHAnsi" w:hAnsiTheme="minorHAnsi" w:cstheme="minorHAnsi"/>
                <w:color w:val="000000"/>
                <w:sz w:val="22"/>
                <w:szCs w:val="22"/>
              </w:rPr>
            </w:pPr>
            <w:r w:rsidRPr="00AD0B3B">
              <w:rPr>
                <w:rFonts w:asciiTheme="minorHAnsi" w:hAnsiTheme="minorHAnsi" w:cstheme="minorHAnsi"/>
                <w:color w:val="000000"/>
                <w:sz w:val="22"/>
                <w:szCs w:val="22"/>
              </w:rPr>
              <w:t>Norwich Research School has produced a summary of research and evidence on reducing school exclusion which is available on request.</w:t>
            </w:r>
          </w:p>
          <w:p w14:paraId="3C90CB94" w14:textId="77777777" w:rsidR="00AD0B3B" w:rsidRPr="00AD0B3B" w:rsidRDefault="00AD0B3B" w:rsidP="00AD0B3B">
            <w:pPr>
              <w:autoSpaceDE w:val="0"/>
              <w:autoSpaceDN w:val="0"/>
              <w:adjustRightInd w:val="0"/>
              <w:spacing w:after="0"/>
              <w:rPr>
                <w:rFonts w:asciiTheme="minorHAnsi" w:eastAsiaTheme="minorHAnsi" w:hAnsiTheme="minorHAnsi" w:cstheme="minorHAnsi"/>
                <w:color w:val="0563C1" w:themeColor="hyperlink"/>
                <w:sz w:val="22"/>
                <w:szCs w:val="22"/>
                <w:u w:val="single"/>
              </w:rPr>
            </w:pPr>
            <w:r w:rsidRPr="00AD0B3B">
              <w:rPr>
                <w:rFonts w:asciiTheme="minorHAnsi" w:eastAsiaTheme="minorHAnsi" w:hAnsiTheme="minorHAnsi" w:cstheme="minorHAnsi"/>
                <w:color w:val="000000"/>
                <w:sz w:val="22"/>
                <w:szCs w:val="22"/>
              </w:rPr>
              <w:t xml:space="preserve">A useful report on the impact of exclusion can be found </w:t>
            </w:r>
            <w:hyperlink r:id="rId9" w:history="1">
              <w:r w:rsidRPr="00AD0B3B">
                <w:rPr>
                  <w:rFonts w:asciiTheme="minorHAnsi" w:eastAsiaTheme="minorHAnsi" w:hAnsiTheme="minorHAnsi" w:cstheme="minorHAnsi"/>
                  <w:color w:val="0563C1" w:themeColor="hyperlink"/>
                  <w:sz w:val="22"/>
                  <w:szCs w:val="22"/>
                  <w:u w:val="single"/>
                </w:rPr>
                <w:t>here</w:t>
              </w:r>
            </w:hyperlink>
          </w:p>
          <w:p w14:paraId="2C951EE5" w14:textId="712B714E" w:rsidR="001D6830" w:rsidRPr="00AD0B3B" w:rsidRDefault="001D6830" w:rsidP="0050163E">
            <w:pPr>
              <w:rPr>
                <w:rFonts w:asciiTheme="minorHAnsi" w:hAnsiTheme="minorHAnsi" w:cstheme="minorHAnsi"/>
                <w:sz w:val="22"/>
                <w:szCs w:val="22"/>
              </w:rPr>
            </w:pPr>
          </w:p>
        </w:tc>
      </w:tr>
    </w:tbl>
    <w:p w14:paraId="75A21384" w14:textId="77777777" w:rsidR="008A7544" w:rsidRPr="004D23E4" w:rsidRDefault="008A7544" w:rsidP="008A7544">
      <w:pPr>
        <w:rPr>
          <w:rFonts w:cstheme="minorHAnsi"/>
          <w:b/>
        </w:rPr>
      </w:pPr>
    </w:p>
    <w:p w14:paraId="42EB2713" w14:textId="77777777" w:rsidR="008A7544" w:rsidRPr="004D23E4" w:rsidRDefault="008A7544" w:rsidP="008A7544">
      <w:pPr>
        <w:rPr>
          <w:rFonts w:cstheme="minorHAnsi"/>
          <w:b/>
        </w:rPr>
      </w:pPr>
    </w:p>
    <w:p w14:paraId="58FDBF7B" w14:textId="6AAE9E69" w:rsidR="00870B39" w:rsidRDefault="00870B39" w:rsidP="00870B39">
      <w:r>
        <w:t xml:space="preserve">Application from providers on the quality questions (not including price) will be scored using the following descriptors. </w:t>
      </w:r>
    </w:p>
    <w:p w14:paraId="19A7B471" w14:textId="77777777" w:rsidR="00870B39" w:rsidRPr="002674EE" w:rsidRDefault="00870B39" w:rsidP="00870B39"/>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bottom w:w="51" w:type="dxa"/>
        </w:tblCellMar>
        <w:tblLook w:val="04A0" w:firstRow="1" w:lastRow="0" w:firstColumn="1" w:lastColumn="0" w:noHBand="0" w:noVBand="1"/>
      </w:tblPr>
      <w:tblGrid>
        <w:gridCol w:w="8500"/>
        <w:gridCol w:w="1106"/>
      </w:tblGrid>
      <w:tr w:rsidR="00870B39" w:rsidRPr="001C734E" w14:paraId="045F8D5A" w14:textId="77777777" w:rsidTr="00EE0264">
        <w:trPr>
          <w:cantSplit/>
          <w:trHeight w:val="487"/>
          <w:tblHeader/>
        </w:trPr>
        <w:tc>
          <w:tcPr>
            <w:tcW w:w="8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215F6" w14:textId="77777777" w:rsidR="00870B39" w:rsidRPr="002674EE" w:rsidRDefault="00870B39" w:rsidP="00EE0264">
            <w:pPr>
              <w:spacing w:after="0" w:line="240" w:lineRule="auto"/>
              <w:rPr>
                <w:b/>
                <w:i/>
                <w:iCs/>
              </w:rPr>
            </w:pPr>
            <w:r w:rsidRPr="002674EE">
              <w:rPr>
                <w:b/>
                <w:i/>
                <w:iCs/>
              </w:rPr>
              <w:t>Descriptor</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16013" w14:textId="77777777" w:rsidR="00870B39" w:rsidRPr="002674EE" w:rsidRDefault="00870B39" w:rsidP="00EE0264">
            <w:pPr>
              <w:spacing w:after="0" w:line="240" w:lineRule="auto"/>
              <w:jc w:val="center"/>
              <w:rPr>
                <w:b/>
                <w:i/>
                <w:iCs/>
              </w:rPr>
            </w:pPr>
            <w:r w:rsidRPr="002674EE">
              <w:rPr>
                <w:b/>
                <w:i/>
                <w:iCs/>
              </w:rPr>
              <w:t>Mark awarded</w:t>
            </w:r>
          </w:p>
        </w:tc>
      </w:tr>
      <w:tr w:rsidR="00870B39" w:rsidRPr="001C734E" w14:paraId="4FE8FB40" w14:textId="77777777" w:rsidTr="00EE0264">
        <w:trPr>
          <w:cantSplit/>
        </w:trPr>
        <w:tc>
          <w:tcPr>
            <w:tcW w:w="8500" w:type="dxa"/>
            <w:tcBorders>
              <w:top w:val="single" w:sz="4" w:space="0" w:color="auto"/>
              <w:left w:val="single" w:sz="4" w:space="0" w:color="auto"/>
              <w:bottom w:val="single" w:sz="4" w:space="0" w:color="auto"/>
              <w:right w:val="single" w:sz="4" w:space="0" w:color="auto"/>
            </w:tcBorders>
            <w:shd w:val="clear" w:color="auto" w:fill="auto"/>
            <w:hideMark/>
          </w:tcPr>
          <w:p w14:paraId="60BE5E01" w14:textId="77777777" w:rsidR="00870B39" w:rsidRPr="002674EE" w:rsidRDefault="00870B39" w:rsidP="00EE0264">
            <w:pPr>
              <w:spacing w:after="0" w:line="240" w:lineRule="auto"/>
            </w:pPr>
            <w:r w:rsidRPr="002674EE">
              <w:t xml:space="preserve">Applicant fails to provide a response or provides a response of such a poor standard as to provide no confidence that the </w:t>
            </w:r>
            <w:r>
              <w:t>A</w:t>
            </w:r>
            <w:r w:rsidRPr="002674EE">
              <w:t xml:space="preserve">pplicant </w:t>
            </w:r>
            <w:r>
              <w:t>could successfully deliver the project</w:t>
            </w:r>
            <w:r w:rsidRPr="002674EE">
              <w:t>.</w:t>
            </w:r>
          </w:p>
          <w:p w14:paraId="022941EE" w14:textId="77777777" w:rsidR="00870B39" w:rsidRPr="002674EE" w:rsidRDefault="00870B39" w:rsidP="00EE0264">
            <w:pPr>
              <w:spacing w:after="0" w:line="240" w:lineRule="auto"/>
              <w:rPr>
                <w:b/>
              </w:rPr>
            </w:pPr>
            <w:r w:rsidRPr="002674EE">
              <w:rPr>
                <w:b/>
              </w:rPr>
              <w:t xml:space="preserve">If </w:t>
            </w:r>
            <w:r>
              <w:rPr>
                <w:b/>
              </w:rPr>
              <w:t>the approach or credentials</w:t>
            </w:r>
            <w:r w:rsidRPr="002674EE">
              <w:rPr>
                <w:b/>
              </w:rPr>
              <w:t xml:space="preserve"> receive a score of ‘0’, the entire submission will be rejected.</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2FAB7" w14:textId="77777777" w:rsidR="00870B39" w:rsidRPr="002674EE" w:rsidRDefault="00870B39" w:rsidP="00EE0264">
            <w:pPr>
              <w:spacing w:after="0" w:line="240" w:lineRule="auto"/>
              <w:jc w:val="center"/>
            </w:pPr>
            <w:r w:rsidRPr="002674EE">
              <w:t>0</w:t>
            </w:r>
          </w:p>
        </w:tc>
      </w:tr>
      <w:tr w:rsidR="00870B39" w:rsidRPr="001C734E" w14:paraId="76C662D1" w14:textId="77777777" w:rsidTr="00EE0264">
        <w:trPr>
          <w:cantSplit/>
        </w:trPr>
        <w:tc>
          <w:tcPr>
            <w:tcW w:w="8500" w:type="dxa"/>
            <w:tcBorders>
              <w:top w:val="single" w:sz="4" w:space="0" w:color="auto"/>
              <w:left w:val="single" w:sz="4" w:space="0" w:color="auto"/>
              <w:bottom w:val="single" w:sz="4" w:space="0" w:color="auto"/>
              <w:right w:val="single" w:sz="4" w:space="0" w:color="auto"/>
            </w:tcBorders>
            <w:shd w:val="clear" w:color="auto" w:fill="auto"/>
            <w:hideMark/>
          </w:tcPr>
          <w:p w14:paraId="37FB9CA2" w14:textId="77777777" w:rsidR="00870B39" w:rsidRDefault="00870B39" w:rsidP="00EE0264">
            <w:pPr>
              <w:spacing w:after="0" w:line="240" w:lineRule="auto"/>
            </w:pPr>
            <w:r w:rsidRPr="002674EE">
              <w:lastRenderedPageBreak/>
              <w:t xml:space="preserve">Applicant provides a response of such a poor standard as to provide little confidence that the Applicant meets the requirements. The response shows </w:t>
            </w:r>
            <w:r w:rsidRPr="00223850">
              <w:rPr>
                <w:b/>
              </w:rPr>
              <w:t xml:space="preserve">many or </w:t>
            </w:r>
            <w:proofErr w:type="gramStart"/>
            <w:r w:rsidRPr="00223850">
              <w:rPr>
                <w:b/>
              </w:rPr>
              <w:t>all</w:t>
            </w:r>
            <w:r w:rsidRPr="002674EE">
              <w:t xml:space="preserve"> of</w:t>
            </w:r>
            <w:proofErr w:type="gramEnd"/>
            <w:r w:rsidRPr="002674EE">
              <w:t xml:space="preserve"> the</w:t>
            </w:r>
            <w:r>
              <w:t xml:space="preserve"> following</w:t>
            </w:r>
            <w:r w:rsidRPr="002674EE">
              <w:t xml:space="preserve"> issues</w:t>
            </w:r>
            <w:r>
              <w:t>:</w:t>
            </w:r>
          </w:p>
          <w:p w14:paraId="4AB4CDF7" w14:textId="77777777" w:rsidR="00870B39" w:rsidRPr="002674EE" w:rsidRDefault="00870B39" w:rsidP="00870B39">
            <w:pPr>
              <w:numPr>
                <w:ilvl w:val="0"/>
                <w:numId w:val="8"/>
              </w:numPr>
              <w:spacing w:after="0" w:line="240" w:lineRule="auto"/>
            </w:pPr>
            <w:r w:rsidRPr="002674EE">
              <w:t>The</w:t>
            </w:r>
            <w:r>
              <w:t xml:space="preserve"> information requested is only partially provided</w:t>
            </w:r>
          </w:p>
          <w:p w14:paraId="154E51C7" w14:textId="77777777" w:rsidR="00870B39" w:rsidRPr="002674EE" w:rsidRDefault="00870B39" w:rsidP="00870B39">
            <w:pPr>
              <w:numPr>
                <w:ilvl w:val="0"/>
                <w:numId w:val="8"/>
              </w:numPr>
              <w:spacing w:after="0" w:line="240" w:lineRule="auto"/>
            </w:pPr>
            <w:r w:rsidRPr="002674EE">
              <w:t xml:space="preserve">The </w:t>
            </w:r>
            <w:r>
              <w:t>response</w:t>
            </w:r>
            <w:r w:rsidRPr="002674EE">
              <w:t xml:space="preserve"> appears</w:t>
            </w:r>
            <w:r>
              <w:t xml:space="preserve"> likely</w:t>
            </w:r>
            <w:r w:rsidRPr="002674EE">
              <w:t xml:space="preserve"> to only partially meet the </w:t>
            </w:r>
            <w:r>
              <w:t>project outcomes</w:t>
            </w:r>
          </w:p>
          <w:p w14:paraId="78A3F8FC" w14:textId="77777777" w:rsidR="00870B39" w:rsidRPr="002674EE" w:rsidRDefault="00870B39" w:rsidP="00870B39">
            <w:pPr>
              <w:numPr>
                <w:ilvl w:val="0"/>
                <w:numId w:val="8"/>
              </w:numPr>
              <w:spacing w:after="0" w:line="240" w:lineRule="auto"/>
            </w:pPr>
            <w:r w:rsidRPr="002674EE">
              <w:t xml:space="preserve">The </w:t>
            </w:r>
            <w:r>
              <w:t>response</w:t>
            </w:r>
            <w:r w:rsidRPr="002674EE">
              <w:t xml:space="preserve"> does not reflect accepted good practice</w:t>
            </w:r>
            <w:r>
              <w:t>/ has a weak evidence base</w:t>
            </w:r>
          </w:p>
          <w:p w14:paraId="4593D681" w14:textId="77777777" w:rsidR="00870B39" w:rsidRPr="002674EE" w:rsidRDefault="00870B39" w:rsidP="00870B39">
            <w:pPr>
              <w:numPr>
                <w:ilvl w:val="0"/>
                <w:numId w:val="8"/>
              </w:numPr>
              <w:spacing w:after="0" w:line="240" w:lineRule="auto"/>
            </w:pPr>
            <w:r w:rsidRPr="002674EE">
              <w:t>The response is insufficiently specific</w:t>
            </w:r>
          </w:p>
          <w:p w14:paraId="5398EF8C" w14:textId="77777777" w:rsidR="00870B39" w:rsidRPr="002674EE" w:rsidRDefault="00870B39" w:rsidP="00870B39">
            <w:pPr>
              <w:numPr>
                <w:ilvl w:val="0"/>
                <w:numId w:val="8"/>
              </w:numPr>
              <w:spacing w:after="0" w:line="240" w:lineRule="auto"/>
            </w:pPr>
            <w:r w:rsidRPr="002674EE">
              <w:t xml:space="preserve">The </w:t>
            </w:r>
            <w:r>
              <w:t>response</w:t>
            </w:r>
            <w:r w:rsidRPr="002674EE">
              <w:t xml:space="preserve"> appears not to deliver expected levels of </w:t>
            </w:r>
            <w:r>
              <w:t>detail</w:t>
            </w:r>
            <w:r w:rsidRPr="002674EE">
              <w:t xml:space="preserve">, performance, </w:t>
            </w:r>
            <w:r>
              <w:t>expertise</w:t>
            </w:r>
            <w:r w:rsidRPr="002674EE">
              <w:t xml:space="preserve">, outcome, </w:t>
            </w:r>
            <w:r>
              <w:t>supporting resources or other relevant characteristics</w:t>
            </w:r>
          </w:p>
          <w:p w14:paraId="2D2AC226" w14:textId="77777777" w:rsidR="00870B39" w:rsidRPr="00223850" w:rsidRDefault="00870B39" w:rsidP="00870B39">
            <w:pPr>
              <w:pStyle w:val="ListParagraph"/>
              <w:numPr>
                <w:ilvl w:val="0"/>
                <w:numId w:val="8"/>
              </w:numPr>
              <w:spacing w:after="0" w:line="240" w:lineRule="auto"/>
            </w:pPr>
            <w:r>
              <w:t>S</w:t>
            </w:r>
            <w:r w:rsidRPr="00223850">
              <w:t>upporting documents (where requested) are of insufficient quality, depth or relevance.</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7020C" w14:textId="77777777" w:rsidR="00870B39" w:rsidRPr="002674EE" w:rsidRDefault="00870B39" w:rsidP="00EE0264">
            <w:pPr>
              <w:spacing w:after="0" w:line="240" w:lineRule="auto"/>
              <w:jc w:val="center"/>
            </w:pPr>
            <w:r w:rsidRPr="002674EE">
              <w:t>1</w:t>
            </w:r>
          </w:p>
        </w:tc>
      </w:tr>
      <w:tr w:rsidR="00870B39" w:rsidRPr="001C734E" w14:paraId="44AFCB90" w14:textId="77777777" w:rsidTr="00EE0264">
        <w:trPr>
          <w:cantSplit/>
        </w:trPr>
        <w:tc>
          <w:tcPr>
            <w:tcW w:w="8500" w:type="dxa"/>
            <w:tcBorders>
              <w:top w:val="single" w:sz="4" w:space="0" w:color="auto"/>
              <w:left w:val="single" w:sz="4" w:space="0" w:color="auto"/>
              <w:bottom w:val="single" w:sz="4" w:space="0" w:color="auto"/>
              <w:right w:val="single" w:sz="4" w:space="0" w:color="auto"/>
            </w:tcBorders>
            <w:shd w:val="clear" w:color="auto" w:fill="auto"/>
            <w:hideMark/>
          </w:tcPr>
          <w:p w14:paraId="33C9F1AD" w14:textId="77777777" w:rsidR="00870B39" w:rsidRPr="002674EE" w:rsidRDefault="00870B39" w:rsidP="00EE0264">
            <w:pPr>
              <w:spacing w:after="0" w:line="240" w:lineRule="auto"/>
            </w:pPr>
            <w:r w:rsidRPr="002674EE">
              <w:t xml:space="preserve">A response with some </w:t>
            </w:r>
            <w:r w:rsidRPr="00C27931">
              <w:rPr>
                <w:b/>
              </w:rPr>
              <w:t>clear strengths</w:t>
            </w:r>
            <w:r w:rsidRPr="002674EE">
              <w:t xml:space="preserve"> but </w:t>
            </w:r>
            <w:r>
              <w:t>demonstrating</w:t>
            </w:r>
            <w:r w:rsidRPr="002674EE">
              <w:t xml:space="preserve"> </w:t>
            </w:r>
            <w:r w:rsidRPr="00223850">
              <w:rPr>
                <w:b/>
              </w:rPr>
              <w:t>some</w:t>
            </w:r>
            <w:r>
              <w:t xml:space="preserve"> of the issues above</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9362A" w14:textId="77777777" w:rsidR="00870B39" w:rsidRPr="002674EE" w:rsidRDefault="00870B39" w:rsidP="00EE0264">
            <w:pPr>
              <w:spacing w:after="0" w:line="240" w:lineRule="auto"/>
              <w:jc w:val="center"/>
            </w:pPr>
            <w:r>
              <w:t>2</w:t>
            </w:r>
          </w:p>
        </w:tc>
      </w:tr>
      <w:tr w:rsidR="00870B39" w:rsidRPr="001C734E" w14:paraId="6C51FA00" w14:textId="77777777" w:rsidTr="00EE0264">
        <w:trPr>
          <w:cantSplit/>
        </w:trPr>
        <w:tc>
          <w:tcPr>
            <w:tcW w:w="8500" w:type="dxa"/>
            <w:tcBorders>
              <w:top w:val="single" w:sz="4" w:space="0" w:color="auto"/>
              <w:left w:val="single" w:sz="4" w:space="0" w:color="auto"/>
              <w:bottom w:val="single" w:sz="4" w:space="0" w:color="auto"/>
              <w:right w:val="single" w:sz="4" w:space="0" w:color="auto"/>
            </w:tcBorders>
            <w:shd w:val="clear" w:color="auto" w:fill="auto"/>
            <w:hideMark/>
          </w:tcPr>
          <w:p w14:paraId="27213924" w14:textId="77777777" w:rsidR="00870B39" w:rsidRPr="002674EE" w:rsidRDefault="00870B39" w:rsidP="00EE0264">
            <w:pPr>
              <w:spacing w:after="0" w:line="240" w:lineRule="auto"/>
            </w:pPr>
            <w:r w:rsidRPr="002674EE">
              <w:t xml:space="preserve">An acceptable response, with </w:t>
            </w:r>
            <w:r w:rsidRPr="00C27931">
              <w:rPr>
                <w:b/>
              </w:rPr>
              <w:t>some degree of weakness</w:t>
            </w:r>
            <w:r w:rsidRPr="002674EE">
              <w:t xml:space="preserve"> but where the weakness does not cause fundamental concerns and is </w:t>
            </w:r>
            <w:r w:rsidRPr="00C27931">
              <w:rPr>
                <w:b/>
              </w:rPr>
              <w:t>outweighed by the strengths.</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9EE26" w14:textId="77777777" w:rsidR="00870B39" w:rsidRPr="002674EE" w:rsidRDefault="00870B39" w:rsidP="00EE0264">
            <w:pPr>
              <w:spacing w:after="0" w:line="240" w:lineRule="auto"/>
              <w:jc w:val="center"/>
            </w:pPr>
            <w:r>
              <w:t>3</w:t>
            </w:r>
          </w:p>
        </w:tc>
      </w:tr>
      <w:tr w:rsidR="00870B39" w:rsidRPr="001C734E" w14:paraId="15332791" w14:textId="77777777" w:rsidTr="00EE0264">
        <w:trPr>
          <w:cantSplit/>
        </w:trPr>
        <w:tc>
          <w:tcPr>
            <w:tcW w:w="8500" w:type="dxa"/>
            <w:tcBorders>
              <w:top w:val="single" w:sz="4" w:space="0" w:color="auto"/>
              <w:left w:val="single" w:sz="4" w:space="0" w:color="auto"/>
              <w:bottom w:val="single" w:sz="4" w:space="0" w:color="auto"/>
              <w:right w:val="single" w:sz="4" w:space="0" w:color="auto"/>
            </w:tcBorders>
            <w:shd w:val="clear" w:color="auto" w:fill="auto"/>
            <w:hideMark/>
          </w:tcPr>
          <w:p w14:paraId="1FF0B5CF" w14:textId="77777777" w:rsidR="00870B39" w:rsidRDefault="00870B39" w:rsidP="00EE0264">
            <w:pPr>
              <w:spacing w:after="0" w:line="240" w:lineRule="auto"/>
            </w:pPr>
            <w:r w:rsidRPr="002674EE">
              <w:t>A good response where the strengths clearly outweigh any minor weakness(</w:t>
            </w:r>
            <w:proofErr w:type="spellStart"/>
            <w:r w:rsidRPr="002674EE">
              <w:t>es</w:t>
            </w:r>
            <w:proofErr w:type="spellEnd"/>
            <w:r w:rsidRPr="002674EE">
              <w:t>), and </w:t>
            </w:r>
            <w:proofErr w:type="gramStart"/>
            <w:r w:rsidRPr="002674EE">
              <w:t xml:space="preserve">the </w:t>
            </w:r>
            <w:r w:rsidRPr="00C27931">
              <w:rPr>
                <w:b/>
              </w:rPr>
              <w:t>majority</w:t>
            </w:r>
            <w:r w:rsidRPr="002674EE">
              <w:t xml:space="preserve"> of</w:t>
            </w:r>
            <w:proofErr w:type="gramEnd"/>
            <w:r w:rsidRPr="002674EE">
              <w:t xml:space="preserve"> aspects below apply: </w:t>
            </w:r>
          </w:p>
          <w:p w14:paraId="707B7793" w14:textId="77777777" w:rsidR="00870B39" w:rsidRPr="002674EE" w:rsidRDefault="00870B39" w:rsidP="00870B39">
            <w:pPr>
              <w:numPr>
                <w:ilvl w:val="0"/>
                <w:numId w:val="8"/>
              </w:numPr>
              <w:spacing w:after="0" w:line="240" w:lineRule="auto"/>
            </w:pPr>
            <w:r w:rsidRPr="002674EE">
              <w:t xml:space="preserve">All </w:t>
            </w:r>
            <w:r>
              <w:t>information requested has been provided in full</w:t>
            </w:r>
          </w:p>
          <w:p w14:paraId="4BA73724" w14:textId="77777777" w:rsidR="00870B39" w:rsidRPr="002674EE" w:rsidRDefault="00870B39" w:rsidP="00870B39">
            <w:pPr>
              <w:numPr>
                <w:ilvl w:val="0"/>
                <w:numId w:val="8"/>
              </w:numPr>
              <w:spacing w:after="0" w:line="240" w:lineRule="auto"/>
            </w:pPr>
            <w:r w:rsidRPr="002674EE">
              <w:t xml:space="preserve">The </w:t>
            </w:r>
            <w:r>
              <w:t>response</w:t>
            </w:r>
            <w:r w:rsidRPr="002674EE">
              <w:t xml:space="preserve"> </w:t>
            </w:r>
            <w:r>
              <w:t>clearly explains how outcomes will be met</w:t>
            </w:r>
          </w:p>
          <w:p w14:paraId="68FB39EA" w14:textId="77777777" w:rsidR="00870B39" w:rsidRPr="002674EE" w:rsidRDefault="00870B39" w:rsidP="00870B39">
            <w:pPr>
              <w:numPr>
                <w:ilvl w:val="0"/>
                <w:numId w:val="8"/>
              </w:numPr>
              <w:spacing w:after="0" w:line="240" w:lineRule="auto"/>
            </w:pPr>
            <w:r w:rsidRPr="002674EE">
              <w:t xml:space="preserve">The </w:t>
            </w:r>
            <w:r>
              <w:t>response</w:t>
            </w:r>
            <w:r w:rsidRPr="002674EE">
              <w:t xml:space="preserve"> reflects accepted good practice</w:t>
            </w:r>
            <w:r>
              <w:t>/has a strong evidence base</w:t>
            </w:r>
          </w:p>
          <w:p w14:paraId="08E9BE0C" w14:textId="77777777" w:rsidR="00870B39" w:rsidRPr="002674EE" w:rsidRDefault="00870B39" w:rsidP="00870B39">
            <w:pPr>
              <w:numPr>
                <w:ilvl w:val="0"/>
                <w:numId w:val="8"/>
              </w:numPr>
              <w:spacing w:after="0" w:line="240" w:lineRule="auto"/>
            </w:pPr>
            <w:r w:rsidRPr="002674EE">
              <w:t>The response is</w:t>
            </w:r>
            <w:r>
              <w:t xml:space="preserve"> well</w:t>
            </w:r>
            <w:r w:rsidRPr="002674EE">
              <w:t xml:space="preserve"> tailored to specific</w:t>
            </w:r>
            <w:r>
              <w:t xml:space="preserve"> stakeholders and</w:t>
            </w:r>
            <w:r w:rsidRPr="002674EE">
              <w:t xml:space="preserve"> circumstances</w:t>
            </w:r>
          </w:p>
          <w:p w14:paraId="0A2C8564" w14:textId="77777777" w:rsidR="00870B39" w:rsidRPr="002674EE" w:rsidRDefault="00870B39" w:rsidP="00870B39">
            <w:pPr>
              <w:numPr>
                <w:ilvl w:val="0"/>
                <w:numId w:val="8"/>
              </w:numPr>
              <w:spacing w:after="0" w:line="240" w:lineRule="auto"/>
            </w:pPr>
            <w:r w:rsidRPr="002674EE">
              <w:t xml:space="preserve">The </w:t>
            </w:r>
            <w:r>
              <w:t>response</w:t>
            </w:r>
            <w:r w:rsidRPr="002674EE">
              <w:t xml:space="preserve"> </w:t>
            </w:r>
            <w:r>
              <w:t>offers</w:t>
            </w:r>
            <w:r w:rsidRPr="002674EE">
              <w:t xml:space="preserve"> good levels of </w:t>
            </w:r>
            <w:r>
              <w:t>detail</w:t>
            </w:r>
            <w:r w:rsidRPr="002674EE">
              <w:t xml:space="preserve">, performance, </w:t>
            </w:r>
            <w:r>
              <w:t>expertise</w:t>
            </w:r>
            <w:r w:rsidRPr="002674EE">
              <w:t xml:space="preserve">, outcome, </w:t>
            </w:r>
            <w:r>
              <w:t>supporting resources or other relevant characteristics</w:t>
            </w:r>
          </w:p>
          <w:p w14:paraId="6905F530" w14:textId="77777777" w:rsidR="00870B39" w:rsidRPr="002674EE" w:rsidRDefault="00870B39" w:rsidP="00870B39">
            <w:pPr>
              <w:numPr>
                <w:ilvl w:val="0"/>
                <w:numId w:val="8"/>
              </w:numPr>
              <w:spacing w:after="0" w:line="240" w:lineRule="auto"/>
            </w:pPr>
            <w:r>
              <w:t>S</w:t>
            </w:r>
            <w:r w:rsidRPr="002674EE">
              <w:t>upporting documents (where requested) are of good quality, relevant and of sufficient depth.</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C248E" w14:textId="77777777" w:rsidR="00870B39" w:rsidRPr="002674EE" w:rsidRDefault="00870B39" w:rsidP="00EE0264">
            <w:pPr>
              <w:spacing w:after="0" w:line="240" w:lineRule="auto"/>
              <w:jc w:val="center"/>
            </w:pPr>
            <w:r>
              <w:t>4</w:t>
            </w:r>
          </w:p>
        </w:tc>
      </w:tr>
      <w:tr w:rsidR="00870B39" w:rsidRPr="001C734E" w14:paraId="049B7939" w14:textId="77777777" w:rsidTr="00EE0264">
        <w:trPr>
          <w:cantSplit/>
        </w:trPr>
        <w:tc>
          <w:tcPr>
            <w:tcW w:w="8500" w:type="dxa"/>
            <w:tcBorders>
              <w:top w:val="single" w:sz="4" w:space="0" w:color="auto"/>
              <w:left w:val="single" w:sz="4" w:space="0" w:color="auto"/>
              <w:bottom w:val="single" w:sz="4" w:space="0" w:color="auto"/>
              <w:right w:val="single" w:sz="4" w:space="0" w:color="auto"/>
            </w:tcBorders>
            <w:shd w:val="clear" w:color="auto" w:fill="auto"/>
            <w:hideMark/>
          </w:tcPr>
          <w:p w14:paraId="6681A031" w14:textId="77777777" w:rsidR="00870B39" w:rsidRPr="002674EE" w:rsidRDefault="00870B39" w:rsidP="00EE0264">
            <w:pPr>
              <w:spacing w:after="0" w:line="240" w:lineRule="auto"/>
            </w:pPr>
            <w:r w:rsidRPr="002674EE">
              <w:t xml:space="preserve">An excellent response with </w:t>
            </w:r>
            <w:r>
              <w:t>no weaknesses, that provides confidence that the project outcomes would be fully met</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B72B0" w14:textId="77777777" w:rsidR="00870B39" w:rsidRPr="002674EE" w:rsidRDefault="00870B39" w:rsidP="00EE0264">
            <w:pPr>
              <w:spacing w:after="0" w:line="240" w:lineRule="auto"/>
              <w:jc w:val="center"/>
            </w:pPr>
            <w:r>
              <w:t>5</w:t>
            </w:r>
          </w:p>
        </w:tc>
      </w:tr>
    </w:tbl>
    <w:p w14:paraId="5B86246C" w14:textId="77777777" w:rsidR="00870B39" w:rsidRPr="00295F82" w:rsidRDefault="00870B39" w:rsidP="00870B39">
      <w:pPr>
        <w:spacing w:before="120" w:after="120"/>
        <w:rPr>
          <w:rFonts w:ascii="Calibri" w:hAnsi="Calibri"/>
        </w:rPr>
      </w:pPr>
      <w:r>
        <w:rPr>
          <w:rFonts w:ascii="Calibri" w:hAnsi="Calibri"/>
        </w:rPr>
        <w:t>Selection Process</w:t>
      </w:r>
    </w:p>
    <w:p w14:paraId="44301D39" w14:textId="77777777" w:rsidR="00870B39" w:rsidRDefault="00870B39" w:rsidP="00870B39">
      <w:pPr>
        <w:pStyle w:val="ListParagraph"/>
        <w:numPr>
          <w:ilvl w:val="0"/>
          <w:numId w:val="9"/>
        </w:numPr>
        <w:spacing w:before="120" w:after="120"/>
        <w:ind w:hanging="578"/>
        <w:rPr>
          <w:rFonts w:ascii="Calibri" w:hAnsi="Calibri"/>
        </w:rPr>
      </w:pPr>
      <w:r w:rsidRPr="000B5E65">
        <w:rPr>
          <w:rFonts w:ascii="Calibri" w:hAnsi="Calibri"/>
        </w:rPr>
        <w:t xml:space="preserve">The score for each question will be divided by the maximum possible score of five (5) and then multiplied by the individual weighting for that question to give a weighted score. For example, if a score of 3 out of 5 is given and the question is worth 10% of total marks (3/5*10), then the weighted score will be 6. </w:t>
      </w:r>
    </w:p>
    <w:p w14:paraId="04DDF352" w14:textId="77777777" w:rsidR="00870B39" w:rsidRDefault="00870B39" w:rsidP="00870B39">
      <w:pPr>
        <w:spacing w:before="120" w:after="120"/>
        <w:rPr>
          <w:rFonts w:ascii="Calibri" w:hAnsi="Calibri"/>
        </w:rPr>
      </w:pPr>
    </w:p>
    <w:p w14:paraId="51CC3B93" w14:textId="77777777" w:rsidR="00870B39" w:rsidRPr="000B5E65" w:rsidRDefault="00870B39" w:rsidP="00870B39">
      <w:pPr>
        <w:pStyle w:val="ListParagraph"/>
        <w:numPr>
          <w:ilvl w:val="0"/>
          <w:numId w:val="9"/>
        </w:numPr>
        <w:spacing w:before="120" w:after="120"/>
        <w:ind w:hanging="578"/>
        <w:rPr>
          <w:rFonts w:ascii="Calibri" w:hAnsi="Calibri"/>
        </w:rPr>
      </w:pPr>
      <w:r w:rsidRPr="000B5E65">
        <w:rPr>
          <w:rFonts w:ascii="Calibri" w:hAnsi="Calibri"/>
        </w:rPr>
        <w:t xml:space="preserve">The formula to be used to calculate the score for price is as follows: </w:t>
      </w:r>
    </w:p>
    <w:p w14:paraId="23164561" w14:textId="77777777" w:rsidR="00870B39" w:rsidRDefault="00870B39" w:rsidP="00870B39">
      <w:pPr>
        <w:pStyle w:val="ListParagraph"/>
        <w:numPr>
          <w:ilvl w:val="1"/>
          <w:numId w:val="10"/>
        </w:numPr>
        <w:spacing w:before="120" w:after="120"/>
        <w:rPr>
          <w:rFonts w:ascii="Calibri" w:hAnsi="Calibri"/>
        </w:rPr>
      </w:pPr>
      <w:r w:rsidRPr="000B5E65">
        <w:rPr>
          <w:rFonts w:ascii="Calibri" w:hAnsi="Calibri"/>
        </w:rPr>
        <w:t>The bid with the lowest total price will be allocated the maximum number of points, with other Bidders being awarded marks in proportion to this price, so that for example a total price that is 30% more expensive will receive 30% fewer marks, one that is 60% more expensive will receive 60% fewer marks etc.</w:t>
      </w:r>
    </w:p>
    <w:p w14:paraId="28705EF3" w14:textId="77777777" w:rsidR="00870B39" w:rsidRDefault="00870B39" w:rsidP="00870B39">
      <w:pPr>
        <w:pStyle w:val="ListParagraph"/>
        <w:numPr>
          <w:ilvl w:val="1"/>
          <w:numId w:val="10"/>
        </w:numPr>
        <w:spacing w:before="120" w:after="120"/>
        <w:rPr>
          <w:rFonts w:ascii="Calibri" w:hAnsi="Calibri"/>
        </w:rPr>
      </w:pPr>
      <w:r w:rsidRPr="000B5E65">
        <w:rPr>
          <w:rFonts w:ascii="Calibri" w:hAnsi="Calibri"/>
        </w:rPr>
        <w:t xml:space="preserve">A total of </w:t>
      </w:r>
      <w:r>
        <w:rPr>
          <w:rFonts w:ascii="Calibri" w:hAnsi="Calibri"/>
        </w:rPr>
        <w:t>30</w:t>
      </w:r>
      <w:r w:rsidRPr="000B5E65">
        <w:rPr>
          <w:rFonts w:ascii="Calibri" w:hAnsi="Calibri"/>
        </w:rPr>
        <w:t>% of the overall score is allocated to Price.</w:t>
      </w:r>
    </w:p>
    <w:p w14:paraId="79F75967" w14:textId="77777777" w:rsidR="00870B39" w:rsidRDefault="00870B39" w:rsidP="00870B39">
      <w:pPr>
        <w:pStyle w:val="ListParagraph"/>
        <w:spacing w:before="120" w:after="120"/>
        <w:ind w:left="1440"/>
        <w:rPr>
          <w:rFonts w:ascii="Calibri" w:hAnsi="Calibri"/>
        </w:rPr>
      </w:pPr>
    </w:p>
    <w:p w14:paraId="212DCF6A" w14:textId="77777777" w:rsidR="00870B39" w:rsidRDefault="00870B39" w:rsidP="00870B39">
      <w:pPr>
        <w:pStyle w:val="ListParagraph"/>
        <w:numPr>
          <w:ilvl w:val="0"/>
          <w:numId w:val="9"/>
        </w:numPr>
        <w:spacing w:before="120" w:after="120"/>
        <w:ind w:hanging="644"/>
        <w:rPr>
          <w:rFonts w:ascii="Calibri" w:hAnsi="Calibri"/>
        </w:rPr>
      </w:pPr>
      <w:r>
        <w:rPr>
          <w:rFonts w:ascii="Calibri" w:hAnsi="Calibri"/>
        </w:rPr>
        <w:t>The contract will be awarded to the person who scores the highest when combining the quality and price score.</w:t>
      </w:r>
    </w:p>
    <w:p w14:paraId="757AC6E2" w14:textId="77777777" w:rsidR="00870B39" w:rsidRDefault="00870B39" w:rsidP="00870B39">
      <w:pPr>
        <w:pStyle w:val="ListParagraph"/>
        <w:spacing w:before="120" w:after="120"/>
        <w:ind w:left="502"/>
        <w:rPr>
          <w:rFonts w:ascii="Calibri" w:hAnsi="Calibri"/>
        </w:rPr>
      </w:pPr>
    </w:p>
    <w:p w14:paraId="022CC0D8" w14:textId="5C1902AD" w:rsidR="00870B39" w:rsidRDefault="00870B39" w:rsidP="00870B39">
      <w:pPr>
        <w:pStyle w:val="ListParagraph"/>
        <w:numPr>
          <w:ilvl w:val="0"/>
          <w:numId w:val="9"/>
        </w:numPr>
        <w:spacing w:before="120" w:after="120"/>
        <w:ind w:hanging="644"/>
        <w:rPr>
          <w:rFonts w:ascii="Calibri" w:hAnsi="Calibri"/>
        </w:rPr>
      </w:pPr>
      <w:r>
        <w:rPr>
          <w:rFonts w:ascii="Calibri" w:hAnsi="Calibri"/>
        </w:rPr>
        <w:t xml:space="preserve">Clarification questions should be sent to </w:t>
      </w:r>
      <w:r w:rsidR="00662865">
        <w:rPr>
          <w:rFonts w:ascii="Calibri" w:hAnsi="Calibri"/>
        </w:rPr>
        <w:t>Annie Southgate</w:t>
      </w:r>
      <w:r>
        <w:rPr>
          <w:rFonts w:ascii="Calibri" w:hAnsi="Calibri"/>
        </w:rPr>
        <w:t xml:space="preserve"> </w:t>
      </w:r>
      <w:hyperlink r:id="rId10" w:history="1">
        <w:r w:rsidR="00662865" w:rsidRPr="00A84724">
          <w:rPr>
            <w:rStyle w:val="Hyperlink"/>
            <w:rFonts w:ascii="Calibri" w:hAnsi="Calibri"/>
          </w:rPr>
          <w:t>annie.southgate@norfolk.gov.uk</w:t>
        </w:r>
      </w:hyperlink>
    </w:p>
    <w:p w14:paraId="09EED1F3" w14:textId="77777777" w:rsidR="00870B39" w:rsidRDefault="00870B39" w:rsidP="00870B39">
      <w:pPr>
        <w:pStyle w:val="ListParagraph"/>
        <w:spacing w:before="120" w:after="120"/>
        <w:ind w:left="502"/>
        <w:rPr>
          <w:rFonts w:ascii="Calibri" w:hAnsi="Calibri"/>
        </w:rPr>
      </w:pPr>
    </w:p>
    <w:p w14:paraId="29F90297" w14:textId="260D3589" w:rsidR="00870B39" w:rsidRPr="00295F82" w:rsidRDefault="00870B39" w:rsidP="00870B39">
      <w:pPr>
        <w:pStyle w:val="ListParagraph"/>
        <w:numPr>
          <w:ilvl w:val="0"/>
          <w:numId w:val="9"/>
        </w:numPr>
        <w:spacing w:before="120" w:after="120"/>
        <w:ind w:hanging="644"/>
        <w:rPr>
          <w:rFonts w:ascii="Calibri" w:hAnsi="Calibri"/>
        </w:rPr>
      </w:pPr>
      <w:r>
        <w:rPr>
          <w:rFonts w:ascii="Calibri" w:hAnsi="Calibri"/>
        </w:rPr>
        <w:t xml:space="preserve">Final bids should be submitted to </w:t>
      </w:r>
      <w:r w:rsidR="00662865">
        <w:rPr>
          <w:rFonts w:ascii="Calibri" w:hAnsi="Calibri"/>
        </w:rPr>
        <w:t xml:space="preserve">Annie Southgate </w:t>
      </w:r>
      <w:hyperlink r:id="rId11" w:history="1">
        <w:r w:rsidR="00662865" w:rsidRPr="00A84724">
          <w:rPr>
            <w:rStyle w:val="Hyperlink"/>
            <w:rFonts w:ascii="Calibri" w:hAnsi="Calibri"/>
          </w:rPr>
          <w:t>annie.southgate@norfolk.gov.uk</w:t>
        </w:r>
      </w:hyperlink>
      <w:bookmarkStart w:id="1" w:name="_GoBack"/>
      <w:bookmarkEnd w:id="1"/>
    </w:p>
    <w:p w14:paraId="2DC64588" w14:textId="77777777" w:rsidR="008A7544" w:rsidRDefault="008A7544" w:rsidP="008A7544">
      <w:pPr>
        <w:rPr>
          <w:rFonts w:cstheme="minorHAnsi"/>
        </w:rPr>
      </w:pPr>
    </w:p>
    <w:sectPr w:rsidR="008A7544" w:rsidSect="00374931">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D907A" w14:textId="77777777" w:rsidR="00BF7B3F" w:rsidRDefault="00BF7B3F" w:rsidP="008A7544">
      <w:pPr>
        <w:spacing w:after="0" w:line="240" w:lineRule="auto"/>
      </w:pPr>
      <w:r>
        <w:separator/>
      </w:r>
    </w:p>
  </w:endnote>
  <w:endnote w:type="continuationSeparator" w:id="0">
    <w:p w14:paraId="332BBAE1" w14:textId="77777777" w:rsidR="00BF7B3F" w:rsidRDefault="00BF7B3F" w:rsidP="008A7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NeueLT Pro 57 Cn">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C253A" w14:textId="77777777" w:rsidR="00BF7B3F" w:rsidRDefault="00BF7B3F" w:rsidP="008A7544">
      <w:pPr>
        <w:spacing w:after="0" w:line="240" w:lineRule="auto"/>
      </w:pPr>
      <w:r>
        <w:separator/>
      </w:r>
    </w:p>
  </w:footnote>
  <w:footnote w:type="continuationSeparator" w:id="0">
    <w:p w14:paraId="533CAD3D" w14:textId="77777777" w:rsidR="00BF7B3F" w:rsidRDefault="00BF7B3F" w:rsidP="008A7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968F0" w14:textId="18EEA39D" w:rsidR="00AD0B3B" w:rsidRPr="009234D2" w:rsidRDefault="00AD0B3B" w:rsidP="009234D2">
    <w:pPr>
      <w:jc w:val="right"/>
      <w:rPr>
        <w:rFonts w:cstheme="minorHAnsi"/>
      </w:rPr>
    </w:pPr>
    <w:r>
      <w:rPr>
        <w:rFonts w:cstheme="minorHAnsi"/>
      </w:rPr>
      <w:t>NCCQ41600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0pt;height:450pt" o:bullet="t">
        <v:imagedata r:id="rId1" o:title="Ic_check_box_outline_blank_48px"/>
      </v:shape>
    </w:pict>
  </w:numPicBullet>
  <w:abstractNum w:abstractNumId="0" w15:restartNumberingAfterBreak="0">
    <w:nsid w:val="0D1B703C"/>
    <w:multiLevelType w:val="hybridMultilevel"/>
    <w:tmpl w:val="19FA1392"/>
    <w:lvl w:ilvl="0" w:tplc="2C68FD32">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2CB2A2D"/>
    <w:multiLevelType w:val="hybridMultilevel"/>
    <w:tmpl w:val="77C4F57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 w15:restartNumberingAfterBreak="0">
    <w:nsid w:val="1A5558FF"/>
    <w:multiLevelType w:val="hybridMultilevel"/>
    <w:tmpl w:val="D00C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A602C"/>
    <w:multiLevelType w:val="hybridMultilevel"/>
    <w:tmpl w:val="8D1C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EC12C1"/>
    <w:multiLevelType w:val="hybridMultilevel"/>
    <w:tmpl w:val="303611AE"/>
    <w:lvl w:ilvl="0" w:tplc="44BC2CFA">
      <w:start w:val="1"/>
      <w:numFmt w:val="bullet"/>
      <w:lvlText w:val="ü"/>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34738E1"/>
    <w:multiLevelType w:val="hybridMultilevel"/>
    <w:tmpl w:val="E8F24A6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E22E16"/>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FF52685"/>
    <w:multiLevelType w:val="hybridMultilevel"/>
    <w:tmpl w:val="9F60D2E0"/>
    <w:lvl w:ilvl="0" w:tplc="5B5A10AE">
      <w:start w:val="1"/>
      <w:numFmt w:val="decimal"/>
      <w:lvlText w:val="%1."/>
      <w:lvlJc w:val="left"/>
      <w:pPr>
        <w:ind w:left="502" w:hanging="360"/>
      </w:pPr>
      <w:rPr>
        <w:rFonts w:ascii="Calibri" w:hAnsi="Calibri" w:hint="default"/>
        <w:b w:val="0"/>
        <w:color w:val="auto"/>
        <w:spacing w:val="0"/>
        <w:sz w:val="22"/>
        <w:szCs w:val="22"/>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F44D3D"/>
    <w:multiLevelType w:val="hybridMultilevel"/>
    <w:tmpl w:val="45F09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AC6417"/>
    <w:multiLevelType w:val="hybridMultilevel"/>
    <w:tmpl w:val="3B06B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B0341A"/>
    <w:multiLevelType w:val="hybridMultilevel"/>
    <w:tmpl w:val="52C4A436"/>
    <w:lvl w:ilvl="0" w:tplc="F1B8DA1A">
      <w:start w:val="1"/>
      <w:numFmt w:val="bullet"/>
      <w:lvlText w:val=""/>
      <w:lvlJc w:val="left"/>
      <w:pPr>
        <w:ind w:left="1440" w:hanging="360"/>
      </w:pPr>
      <w:rPr>
        <w:rFonts w:ascii="Symbol" w:hAnsi="Symbol" w:hint="default"/>
      </w:rPr>
    </w:lvl>
    <w:lvl w:ilvl="1" w:tplc="64F207D6">
      <w:start w:val="1"/>
      <w:numFmt w:val="bullet"/>
      <w:lvlText w:val=""/>
      <w:lvlPicBulletId w:val="0"/>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FE4EA5"/>
    <w:multiLevelType w:val="hybridMultilevel"/>
    <w:tmpl w:val="38DEF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7195826"/>
    <w:multiLevelType w:val="hybridMultilevel"/>
    <w:tmpl w:val="1CA44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9"/>
  </w:num>
  <w:num w:numId="4">
    <w:abstractNumId w:val="2"/>
  </w:num>
  <w:num w:numId="5">
    <w:abstractNumId w:val="3"/>
  </w:num>
  <w:num w:numId="6">
    <w:abstractNumId w:val="1"/>
  </w:num>
  <w:num w:numId="7">
    <w:abstractNumId w:val="4"/>
  </w:num>
  <w:num w:numId="8">
    <w:abstractNumId w:val="5"/>
  </w:num>
  <w:num w:numId="9">
    <w:abstractNumId w:val="7"/>
  </w:num>
  <w:num w:numId="1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544"/>
    <w:rsid w:val="000118B2"/>
    <w:rsid w:val="0005112A"/>
    <w:rsid w:val="00176146"/>
    <w:rsid w:val="001D6830"/>
    <w:rsid w:val="00233186"/>
    <w:rsid w:val="002E5069"/>
    <w:rsid w:val="00374931"/>
    <w:rsid w:val="004107B8"/>
    <w:rsid w:val="004D23E4"/>
    <w:rsid w:val="0053797E"/>
    <w:rsid w:val="00576AF5"/>
    <w:rsid w:val="005B768D"/>
    <w:rsid w:val="005C6F98"/>
    <w:rsid w:val="00662865"/>
    <w:rsid w:val="006722EC"/>
    <w:rsid w:val="006C03E5"/>
    <w:rsid w:val="007F370E"/>
    <w:rsid w:val="0084295C"/>
    <w:rsid w:val="008575F6"/>
    <w:rsid w:val="00870B39"/>
    <w:rsid w:val="008A7544"/>
    <w:rsid w:val="009234D2"/>
    <w:rsid w:val="00A36DB7"/>
    <w:rsid w:val="00A56AB4"/>
    <w:rsid w:val="00AB0394"/>
    <w:rsid w:val="00AD0B3B"/>
    <w:rsid w:val="00B602DD"/>
    <w:rsid w:val="00BF7B3F"/>
    <w:rsid w:val="00CC728D"/>
    <w:rsid w:val="00CE6D89"/>
    <w:rsid w:val="00D94463"/>
    <w:rsid w:val="00DE282C"/>
    <w:rsid w:val="00E4217A"/>
    <w:rsid w:val="00FB1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A20C6A"/>
  <w15:chartTrackingRefBased/>
  <w15:docId w15:val="{78868D93-B499-4F96-AF08-67618DA1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544"/>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8A754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7544"/>
    <w:rPr>
      <w:rFonts w:asciiTheme="majorHAnsi" w:eastAsiaTheme="majorEastAsia" w:hAnsiTheme="majorHAnsi" w:cstheme="majorBidi"/>
      <w:b/>
      <w:bCs/>
      <w:color w:val="4472C4" w:themeColor="accent1"/>
      <w:sz w:val="26"/>
      <w:szCs w:val="26"/>
    </w:rPr>
  </w:style>
  <w:style w:type="paragraph" w:styleId="Footer">
    <w:name w:val="footer"/>
    <w:basedOn w:val="Normal"/>
    <w:link w:val="FooterChar"/>
    <w:uiPriority w:val="99"/>
    <w:unhideWhenUsed/>
    <w:rsid w:val="008A7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544"/>
    <w:rPr>
      <w:rFonts w:eastAsiaTheme="minorEastAsia"/>
    </w:rPr>
  </w:style>
  <w:style w:type="paragraph" w:styleId="ListParagraph">
    <w:name w:val="List Paragraph"/>
    <w:basedOn w:val="Normal"/>
    <w:link w:val="ListParagraphChar"/>
    <w:uiPriority w:val="34"/>
    <w:qFormat/>
    <w:rsid w:val="008A7544"/>
    <w:pPr>
      <w:ind w:left="720"/>
      <w:contextualSpacing/>
    </w:pPr>
  </w:style>
  <w:style w:type="table" w:styleId="TableGrid">
    <w:name w:val="Table Grid"/>
    <w:basedOn w:val="TableNormal"/>
    <w:uiPriority w:val="39"/>
    <w:rsid w:val="008A75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A7544"/>
    <w:rPr>
      <w:rFonts w:eastAsiaTheme="minorEastAsia"/>
    </w:rPr>
  </w:style>
  <w:style w:type="paragraph" w:styleId="Header">
    <w:name w:val="header"/>
    <w:basedOn w:val="Normal"/>
    <w:link w:val="HeaderChar"/>
    <w:uiPriority w:val="99"/>
    <w:unhideWhenUsed/>
    <w:rsid w:val="008A7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544"/>
    <w:rPr>
      <w:rFonts w:eastAsiaTheme="minorEastAsia"/>
    </w:rPr>
  </w:style>
  <w:style w:type="character" w:styleId="Hyperlink">
    <w:name w:val="Hyperlink"/>
    <w:basedOn w:val="DefaultParagraphFont"/>
    <w:uiPriority w:val="99"/>
    <w:unhideWhenUsed/>
    <w:rsid w:val="00A56AB4"/>
    <w:rPr>
      <w:color w:val="0563C1" w:themeColor="hyperlink"/>
      <w:u w:val="single"/>
    </w:rPr>
  </w:style>
  <w:style w:type="paragraph" w:customStyle="1" w:styleId="Default">
    <w:name w:val="Default"/>
    <w:rsid w:val="00CC728D"/>
    <w:pPr>
      <w:autoSpaceDE w:val="0"/>
      <w:autoSpaceDN w:val="0"/>
      <w:adjustRightInd w:val="0"/>
      <w:spacing w:after="0" w:line="240" w:lineRule="auto"/>
    </w:pPr>
    <w:rPr>
      <w:rFonts w:ascii="HelveticaNeueLT Pro 57 Cn" w:hAnsi="HelveticaNeueLT Pro 57 Cn" w:cs="HelveticaNeueLT Pro 57 Cn"/>
      <w:color w:val="000000"/>
      <w:sz w:val="24"/>
      <w:szCs w:val="24"/>
    </w:rPr>
  </w:style>
  <w:style w:type="paragraph" w:customStyle="1" w:styleId="Pa3">
    <w:name w:val="Pa3"/>
    <w:basedOn w:val="Default"/>
    <w:next w:val="Default"/>
    <w:uiPriority w:val="99"/>
    <w:rsid w:val="00CC728D"/>
    <w:pPr>
      <w:spacing w:line="241" w:lineRule="atLeast"/>
    </w:pPr>
    <w:rPr>
      <w:rFonts w:cstheme="minorBidi"/>
      <w:color w:val="auto"/>
    </w:rPr>
  </w:style>
  <w:style w:type="paragraph" w:styleId="NormalWeb">
    <w:name w:val="Normal (Web)"/>
    <w:basedOn w:val="Normal"/>
    <w:uiPriority w:val="99"/>
    <w:semiHidden/>
    <w:unhideWhenUsed/>
    <w:rsid w:val="002331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1D6830"/>
    <w:rPr>
      <w:color w:val="808080"/>
      <w:shd w:val="clear" w:color="auto" w:fill="E6E6E6"/>
    </w:rPr>
  </w:style>
  <w:style w:type="character" w:styleId="UnresolvedMention">
    <w:name w:val="Unresolved Mention"/>
    <w:basedOn w:val="DefaultParagraphFont"/>
    <w:uiPriority w:val="99"/>
    <w:semiHidden/>
    <w:unhideWhenUsed/>
    <w:rsid w:val="0066286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49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650415/Social_Mobility_Delivery_Plan_Norwich.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cqueline.bircham@newanglia.co.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nie.southgate@norfolk.gov.uk" TargetMode="External"/><Relationship Id="rId5" Type="http://schemas.openxmlformats.org/officeDocument/2006/relationships/footnotes" Target="footnotes.xml"/><Relationship Id="rId10" Type="http://schemas.openxmlformats.org/officeDocument/2006/relationships/hyperlink" Target="mailto:annie.southgate@norfolk.gov.uk" TargetMode="External"/><Relationship Id="rId4" Type="http://schemas.openxmlformats.org/officeDocument/2006/relationships/webSettings" Target="webSettings.xml"/><Relationship Id="rId9" Type="http://schemas.openxmlformats.org/officeDocument/2006/relationships/hyperlink" Target="http://webarchive.nationalarchives.gov.uk/20130404090819/https:/www.education.gov.uk/publications/eOrderingDownload/RR405.pdf"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Bircham</dc:creator>
  <cp:keywords/>
  <dc:description/>
  <cp:lastModifiedBy>Southgate, Annie</cp:lastModifiedBy>
  <cp:revision>3</cp:revision>
  <dcterms:created xsi:type="dcterms:W3CDTF">2018-03-28T10:26:00Z</dcterms:created>
  <dcterms:modified xsi:type="dcterms:W3CDTF">2018-03-28T10:28:00Z</dcterms:modified>
</cp:coreProperties>
</file>