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73f60e8e62d489a"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3B77F" w14:textId="77777777" w:rsidR="00657C28" w:rsidRDefault="00657C28" w:rsidP="00820F00">
      <w:pPr>
        <w:spacing w:after="0"/>
      </w:pPr>
    </w:p>
    <w:p w14:paraId="604637AF" w14:textId="77777777" w:rsidR="00250BD1" w:rsidRDefault="00250BD1" w:rsidP="00820F00">
      <w:pPr>
        <w:spacing w:after="0"/>
        <w:rPr>
          <w:rFonts w:cs="Arial"/>
          <w:b/>
          <w:szCs w:val="24"/>
        </w:rPr>
      </w:pPr>
    </w:p>
    <w:p w14:paraId="039E8B7E" w14:textId="77777777" w:rsidR="00250BD1" w:rsidRDefault="00250BD1" w:rsidP="00820F00">
      <w:pPr>
        <w:spacing w:after="0"/>
        <w:rPr>
          <w:rFonts w:cs="Arial"/>
          <w:b/>
          <w:szCs w:val="24"/>
        </w:rPr>
      </w:pPr>
      <w:r>
        <w:rPr>
          <w:rFonts w:cs="Arial"/>
          <w:b/>
          <w:szCs w:val="24"/>
        </w:rPr>
        <w:t>OVERVIEW – Summary Information</w:t>
      </w:r>
    </w:p>
    <w:p w14:paraId="030D2AAB" w14:textId="745A1658" w:rsidR="00657C28" w:rsidRDefault="00657C28" w:rsidP="00820F00">
      <w:pPr>
        <w:spacing w:after="0"/>
        <w:rPr>
          <w:rFonts w:cs="Arial"/>
          <w:b/>
          <w:szCs w:val="24"/>
        </w:rPr>
      </w:pPr>
      <w:bookmarkStart w:id="0" w:name="_GoBack"/>
      <w:bookmarkEnd w:id="0"/>
      <w:r>
        <w:rPr>
          <w:rFonts w:cs="Arial"/>
          <w:b/>
          <w:szCs w:val="24"/>
        </w:rPr>
        <w:t xml:space="preserve">Provision of a Summative Assessment for </w:t>
      </w:r>
      <w:r w:rsidRPr="00820F00">
        <w:rPr>
          <w:rFonts w:cs="Arial"/>
          <w:b/>
          <w:szCs w:val="24"/>
        </w:rPr>
        <w:t>SOUTH EAST CREATIVE CULTURAL AND DIGITAL SUPPORT (SECCADS)</w:t>
      </w:r>
    </w:p>
    <w:p w14:paraId="37157B7C" w14:textId="77777777" w:rsidR="00657C28" w:rsidRDefault="00657C28" w:rsidP="00820F00">
      <w:pPr>
        <w:spacing w:after="0"/>
      </w:pPr>
    </w:p>
    <w:p w14:paraId="04EBD639" w14:textId="5CA362AB" w:rsidR="00820F00" w:rsidRPr="00960B0B" w:rsidRDefault="00820F00" w:rsidP="00820F00">
      <w:pPr>
        <w:spacing w:after="0"/>
      </w:pPr>
      <w:r w:rsidRPr="00960B0B">
        <w:t>The SECCADS programme is a comprehensive business support programme tailored to meet the needs of the Creative, Cultural and Digital Sector.  The programme includes a number of different strands including:</w:t>
      </w:r>
    </w:p>
    <w:p w14:paraId="6685EB9F" w14:textId="77777777" w:rsidR="00820F00" w:rsidRPr="00960B0B" w:rsidRDefault="00820F00" w:rsidP="00820F00">
      <w:pPr>
        <w:spacing w:after="0"/>
      </w:pPr>
    </w:p>
    <w:p w14:paraId="3AAD2554" w14:textId="77777777" w:rsidR="00820F00" w:rsidRPr="00960B0B" w:rsidRDefault="00820F00" w:rsidP="00820F00">
      <w:pPr>
        <w:numPr>
          <w:ilvl w:val="0"/>
          <w:numId w:val="2"/>
        </w:numPr>
        <w:spacing w:after="0"/>
        <w:contextualSpacing/>
      </w:pPr>
      <w:r w:rsidRPr="00960B0B">
        <w:t>Engagement, initial diagnostics, on-going client management and signposting to support carried out by a network of local co-ordinators</w:t>
      </w:r>
    </w:p>
    <w:p w14:paraId="1F7DD6F1" w14:textId="77777777" w:rsidR="00820F00" w:rsidRPr="00960B0B" w:rsidRDefault="00820F00" w:rsidP="00820F00">
      <w:pPr>
        <w:numPr>
          <w:ilvl w:val="0"/>
          <w:numId w:val="2"/>
        </w:numPr>
        <w:spacing w:after="0"/>
        <w:contextualSpacing/>
      </w:pPr>
      <w:r w:rsidRPr="00960B0B">
        <w:t>Specialist advice services provided by the University of Essex and by a range of business support organisations in different localities across the South East LEP area</w:t>
      </w:r>
    </w:p>
    <w:p w14:paraId="39ABA3B5" w14:textId="77777777" w:rsidR="00820F00" w:rsidRDefault="00820F00" w:rsidP="00820F00">
      <w:pPr>
        <w:numPr>
          <w:ilvl w:val="0"/>
          <w:numId w:val="2"/>
        </w:numPr>
        <w:spacing w:after="0"/>
        <w:contextualSpacing/>
      </w:pPr>
      <w:r w:rsidRPr="00960B0B">
        <w:t xml:space="preserve">A business support grants programme  </w:t>
      </w:r>
    </w:p>
    <w:p w14:paraId="08B42D86" w14:textId="77777777" w:rsidR="00820F00" w:rsidRPr="00690B09" w:rsidRDefault="00690B09" w:rsidP="00902F6E">
      <w:pPr>
        <w:numPr>
          <w:ilvl w:val="0"/>
          <w:numId w:val="2"/>
        </w:numPr>
        <w:spacing w:after="0"/>
        <w:contextualSpacing/>
        <w:rPr>
          <w:rFonts w:cs="Arial"/>
          <w:szCs w:val="24"/>
        </w:rPr>
      </w:pPr>
      <w:r>
        <w:t>A workshops and mentoring programme</w:t>
      </w:r>
    </w:p>
    <w:p w14:paraId="03432E32" w14:textId="77777777" w:rsidR="00820F00" w:rsidRDefault="00820F00" w:rsidP="00820F00">
      <w:pPr>
        <w:spacing w:after="0"/>
        <w:rPr>
          <w:rFonts w:cs="Arial"/>
          <w:szCs w:val="24"/>
        </w:rPr>
      </w:pPr>
    </w:p>
    <w:p w14:paraId="434FF6B3" w14:textId="77777777" w:rsidR="00820F00" w:rsidRPr="00820F00" w:rsidRDefault="00820F00" w:rsidP="00820F00">
      <w:pPr>
        <w:spacing w:after="0"/>
        <w:rPr>
          <w:rFonts w:cs="Arial"/>
          <w:szCs w:val="24"/>
        </w:rPr>
      </w:pPr>
      <w:r w:rsidRPr="00820F00">
        <w:rPr>
          <w:rFonts w:cs="Arial"/>
          <w:szCs w:val="24"/>
        </w:rPr>
        <w:t>Thurrock Council is seeking a provider who will deliver:</w:t>
      </w:r>
    </w:p>
    <w:p w14:paraId="6DB81641" w14:textId="77777777" w:rsidR="00820F00" w:rsidRPr="00820F00" w:rsidRDefault="00820F00" w:rsidP="00820F00">
      <w:pPr>
        <w:spacing w:after="0"/>
        <w:rPr>
          <w:rFonts w:cs="Arial"/>
          <w:szCs w:val="24"/>
        </w:rPr>
      </w:pPr>
    </w:p>
    <w:p w14:paraId="4A3ABBAA" w14:textId="77777777" w:rsidR="00820F00" w:rsidRPr="00820F00" w:rsidRDefault="00820F00" w:rsidP="00820F00">
      <w:pPr>
        <w:rPr>
          <w:rFonts w:cs="Arial"/>
          <w:szCs w:val="24"/>
        </w:rPr>
      </w:pPr>
      <w:r w:rsidRPr="00820F00">
        <w:rPr>
          <w:rFonts w:cs="Arial"/>
          <w:szCs w:val="24"/>
        </w:rPr>
        <w:t xml:space="preserve">Summative Assessment to be undertaken between Nov 2019-July 2020 with a final approved report to be completed in September 2020 on behalf of </w:t>
      </w:r>
      <w:r w:rsidRPr="00820F00">
        <w:rPr>
          <w:rFonts w:cs="Arial"/>
          <w:b/>
          <w:szCs w:val="24"/>
        </w:rPr>
        <w:t>SOUTH EAST CREATIVE CULTURAL AND DIGITAL SUPPORT (SECCADS), a project part funded by the European Regional Development Fund</w:t>
      </w:r>
      <w:r w:rsidR="00690B09">
        <w:rPr>
          <w:rFonts w:cs="Arial"/>
          <w:b/>
          <w:szCs w:val="24"/>
        </w:rPr>
        <w:t>.</w:t>
      </w:r>
    </w:p>
    <w:p w14:paraId="4A3E52EE" w14:textId="77777777" w:rsidR="00820F00" w:rsidRPr="00820F00" w:rsidRDefault="00820F00" w:rsidP="00820F00">
      <w:pPr>
        <w:pStyle w:val="Level2"/>
        <w:spacing w:after="0"/>
        <w:jc w:val="left"/>
        <w:rPr>
          <w:rStyle w:val="Level2asHeadingtext"/>
          <w:rFonts w:cs="Arial"/>
          <w:b/>
          <w:sz w:val="24"/>
          <w:szCs w:val="24"/>
          <w:lang w:eastAsia="ja-JP"/>
        </w:rPr>
      </w:pPr>
      <w:r w:rsidRPr="00820F00">
        <w:rPr>
          <w:rStyle w:val="Level2asHeadingtext"/>
          <w:rFonts w:cs="Arial"/>
          <w:b/>
          <w:sz w:val="24"/>
          <w:szCs w:val="24"/>
          <w:lang w:eastAsia="ja-JP"/>
        </w:rPr>
        <w:t xml:space="preserve">The summative assessment </w:t>
      </w:r>
      <w:r w:rsidRPr="00820F00">
        <w:rPr>
          <w:rStyle w:val="Level2asHeadingtext"/>
          <w:rFonts w:cs="Arial"/>
          <w:sz w:val="24"/>
          <w:szCs w:val="24"/>
          <w:lang w:eastAsia="ja-JP"/>
        </w:rPr>
        <w:t>is required to provide</w:t>
      </w:r>
      <w:r w:rsidRPr="00820F00">
        <w:rPr>
          <w:rStyle w:val="Level2asHeadingtext"/>
          <w:rFonts w:cs="Arial"/>
          <w:b/>
          <w:sz w:val="24"/>
          <w:szCs w:val="24"/>
          <w:lang w:eastAsia="ja-JP"/>
        </w:rPr>
        <w:t xml:space="preserve"> insights into:</w:t>
      </w:r>
    </w:p>
    <w:p w14:paraId="54005D0F" w14:textId="77777777" w:rsidR="00820F00" w:rsidRPr="00820F00" w:rsidRDefault="00820F00" w:rsidP="00820F00">
      <w:pPr>
        <w:pStyle w:val="Level2"/>
        <w:numPr>
          <w:ilvl w:val="0"/>
          <w:numId w:val="1"/>
        </w:numPr>
        <w:spacing w:after="0" w:line="240" w:lineRule="auto"/>
        <w:jc w:val="left"/>
        <w:rPr>
          <w:rStyle w:val="Level2asHeadingtext"/>
          <w:rFonts w:cs="Arial"/>
          <w:b/>
          <w:sz w:val="24"/>
          <w:szCs w:val="24"/>
          <w:lang w:eastAsia="ja-JP"/>
        </w:rPr>
      </w:pPr>
      <w:r w:rsidRPr="00820F00">
        <w:rPr>
          <w:rStyle w:val="Level2asHeadingtext"/>
          <w:rFonts w:cs="Arial"/>
          <w:b/>
          <w:sz w:val="24"/>
          <w:szCs w:val="24"/>
          <w:lang w:eastAsia="ja-JP"/>
        </w:rPr>
        <w:t>project performance to enhance future implementation</w:t>
      </w:r>
    </w:p>
    <w:p w14:paraId="2CFEF82B" w14:textId="77777777" w:rsidR="00820F00" w:rsidRPr="00820F00" w:rsidRDefault="00820F00" w:rsidP="00820F00">
      <w:pPr>
        <w:pStyle w:val="Level2"/>
        <w:numPr>
          <w:ilvl w:val="0"/>
          <w:numId w:val="1"/>
        </w:numPr>
        <w:spacing w:after="0" w:line="240" w:lineRule="auto"/>
        <w:jc w:val="left"/>
        <w:rPr>
          <w:rStyle w:val="Level2asHeadingtext"/>
          <w:rFonts w:cs="Arial"/>
          <w:b/>
          <w:sz w:val="24"/>
          <w:szCs w:val="24"/>
          <w:lang w:eastAsia="ja-JP"/>
        </w:rPr>
      </w:pPr>
      <w:r w:rsidRPr="00820F00">
        <w:rPr>
          <w:rStyle w:val="Level2asHeadingtext"/>
          <w:rFonts w:cs="Arial"/>
          <w:b/>
          <w:sz w:val="24"/>
          <w:szCs w:val="24"/>
          <w:lang w:eastAsia="ja-JP"/>
        </w:rPr>
        <w:t>reliable evidence of the efficiency, effectiveness and value for money of the project</w:t>
      </w:r>
    </w:p>
    <w:p w14:paraId="4C835CCB" w14:textId="77777777" w:rsidR="00820F00" w:rsidRPr="00820F00" w:rsidRDefault="00820F00" w:rsidP="00820F00">
      <w:pPr>
        <w:pStyle w:val="Level2"/>
        <w:numPr>
          <w:ilvl w:val="0"/>
          <w:numId w:val="1"/>
        </w:numPr>
        <w:spacing w:after="0" w:line="240" w:lineRule="auto"/>
        <w:jc w:val="left"/>
        <w:rPr>
          <w:rStyle w:val="Level2asHeadingtext"/>
          <w:rFonts w:cs="Arial"/>
          <w:sz w:val="24"/>
          <w:szCs w:val="24"/>
          <w:lang w:eastAsia="ja-JP"/>
        </w:rPr>
      </w:pPr>
      <w:r w:rsidRPr="00820F00">
        <w:rPr>
          <w:rStyle w:val="Level2asHeadingtext"/>
          <w:rFonts w:cs="Arial"/>
          <w:b/>
          <w:sz w:val="24"/>
          <w:szCs w:val="24"/>
          <w:lang w:eastAsia="ja-JP"/>
        </w:rPr>
        <w:t>insights into what and why interventions work (or not) and lessons for the future</w:t>
      </w:r>
    </w:p>
    <w:p w14:paraId="668BA30C" w14:textId="77777777" w:rsidR="00820F00" w:rsidRPr="00820F00" w:rsidRDefault="00820F00" w:rsidP="00820F00">
      <w:pPr>
        <w:pStyle w:val="Level2"/>
        <w:spacing w:after="0"/>
        <w:jc w:val="left"/>
        <w:rPr>
          <w:rStyle w:val="Level2asHeadingtext"/>
          <w:rFonts w:cs="Arial"/>
          <w:b/>
          <w:sz w:val="24"/>
          <w:szCs w:val="24"/>
          <w:lang w:eastAsia="ja-JP"/>
        </w:rPr>
      </w:pPr>
    </w:p>
    <w:p w14:paraId="15FAF242" w14:textId="77777777" w:rsidR="00820F00" w:rsidRPr="00820F00" w:rsidRDefault="00820F00" w:rsidP="00820F00">
      <w:pPr>
        <w:pStyle w:val="Level2"/>
        <w:spacing w:after="0" w:line="240" w:lineRule="auto"/>
        <w:jc w:val="left"/>
        <w:rPr>
          <w:rStyle w:val="Level2asHeadingtext"/>
          <w:rFonts w:cs="Arial"/>
          <w:sz w:val="24"/>
          <w:szCs w:val="24"/>
          <w:lang w:eastAsia="ja-JP"/>
        </w:rPr>
      </w:pPr>
      <w:r w:rsidRPr="00820F00">
        <w:rPr>
          <w:rStyle w:val="Level2asHeadingtext"/>
          <w:rFonts w:cs="Arial"/>
          <w:b/>
          <w:sz w:val="24"/>
          <w:szCs w:val="24"/>
          <w:lang w:eastAsia="ja-JP"/>
        </w:rPr>
        <w:t xml:space="preserve">It will also provide project level evidence which, when combined with national evidence of progress and impact, will result in stronger evidence of the overall impact and effectiveness of the ERDF operational programme across England. The evidence will also be particularly helpful for making the case for delivery approaches in the future or making the case for future funding. </w:t>
      </w:r>
    </w:p>
    <w:p w14:paraId="572C7ADC" w14:textId="77777777" w:rsidR="00820F00" w:rsidRPr="00820F00" w:rsidRDefault="00820F00" w:rsidP="00820F00">
      <w:pPr>
        <w:pStyle w:val="Level2"/>
        <w:spacing w:after="0" w:line="240" w:lineRule="auto"/>
        <w:jc w:val="left"/>
        <w:rPr>
          <w:rStyle w:val="Level2asHeadingtext"/>
          <w:rFonts w:cs="Arial"/>
          <w:sz w:val="24"/>
          <w:szCs w:val="24"/>
          <w:lang w:eastAsia="ja-JP"/>
        </w:rPr>
      </w:pPr>
    </w:p>
    <w:p w14:paraId="60721C31" w14:textId="61743BF8" w:rsidR="00820F00" w:rsidRPr="00820F00" w:rsidRDefault="00820F00" w:rsidP="00820F00">
      <w:pPr>
        <w:pStyle w:val="Level2"/>
        <w:spacing w:line="240" w:lineRule="auto"/>
        <w:jc w:val="left"/>
        <w:outlineLvl w:val="9"/>
        <w:rPr>
          <w:rFonts w:cs="Arial"/>
          <w:b w:val="0"/>
          <w:sz w:val="24"/>
          <w:szCs w:val="24"/>
          <w:lang w:eastAsia="ja-JP"/>
        </w:rPr>
      </w:pPr>
      <w:r w:rsidRPr="00820F00">
        <w:rPr>
          <w:rFonts w:cs="Arial"/>
          <w:b w:val="0"/>
          <w:sz w:val="24"/>
          <w:szCs w:val="24"/>
          <w:lang w:eastAsia="ja-JP"/>
        </w:rPr>
        <w:t>The final outputs of this work will be a Summative Assessment that evaluates the SECCADS programme based on the outputs, outcomes and impacts laid out in the Summative Assessment Logic (</w:t>
      </w:r>
      <w:r w:rsidRPr="00820F00">
        <w:rPr>
          <w:rFonts w:cs="Arial"/>
          <w:sz w:val="24"/>
          <w:szCs w:val="24"/>
          <w:lang w:eastAsia="ja-JP"/>
        </w:rPr>
        <w:t xml:space="preserve">see Appendix </w:t>
      </w:r>
      <w:r w:rsidR="00657C28">
        <w:rPr>
          <w:rFonts w:cs="Arial"/>
          <w:sz w:val="24"/>
          <w:szCs w:val="24"/>
          <w:lang w:eastAsia="ja-JP"/>
        </w:rPr>
        <w:t>A</w:t>
      </w:r>
      <w:r w:rsidRPr="00820F00">
        <w:rPr>
          <w:rFonts w:cs="Arial"/>
          <w:b w:val="0"/>
          <w:sz w:val="24"/>
          <w:szCs w:val="24"/>
          <w:lang w:eastAsia="ja-JP"/>
        </w:rPr>
        <w:t>) and meets the wider objectives, aims and approach outlined in the Summative Assessment Plan</w:t>
      </w:r>
      <w:r>
        <w:rPr>
          <w:rFonts w:cs="Arial"/>
          <w:b w:val="0"/>
          <w:sz w:val="24"/>
          <w:szCs w:val="24"/>
          <w:lang w:eastAsia="ja-JP"/>
        </w:rPr>
        <w:t xml:space="preserve"> (</w:t>
      </w:r>
      <w:r w:rsidRPr="00820F00">
        <w:rPr>
          <w:rFonts w:cs="Arial"/>
          <w:sz w:val="24"/>
          <w:szCs w:val="24"/>
          <w:lang w:eastAsia="ja-JP"/>
        </w:rPr>
        <w:t xml:space="preserve">see Appendix </w:t>
      </w:r>
      <w:r w:rsidR="00657C28">
        <w:rPr>
          <w:rFonts w:cs="Arial"/>
          <w:sz w:val="24"/>
          <w:szCs w:val="24"/>
          <w:lang w:eastAsia="ja-JP"/>
        </w:rPr>
        <w:t>B</w:t>
      </w:r>
      <w:r w:rsidRPr="00820F00">
        <w:rPr>
          <w:rFonts w:cs="Arial"/>
          <w:b w:val="0"/>
          <w:sz w:val="24"/>
          <w:szCs w:val="24"/>
          <w:lang w:eastAsia="ja-JP"/>
        </w:rPr>
        <w:t>). The successful contractor will be expected to work closely with the SECCADS project team to ensure that the data management, stakeholder contacts and approaches are agreed in an assessment methodology. A draft Summative Assessment plan must be prepared during August 2020 and a final approved version, in a format suitable for both online and print, available to the SECCADS project team no later than the 23</w:t>
      </w:r>
      <w:r w:rsidRPr="00820F00">
        <w:rPr>
          <w:rFonts w:cs="Arial"/>
          <w:b w:val="0"/>
          <w:sz w:val="24"/>
          <w:szCs w:val="24"/>
          <w:vertAlign w:val="superscript"/>
          <w:lang w:eastAsia="ja-JP"/>
        </w:rPr>
        <w:t>rd</w:t>
      </w:r>
      <w:r w:rsidRPr="00820F00">
        <w:rPr>
          <w:rFonts w:cs="Arial"/>
          <w:b w:val="0"/>
          <w:sz w:val="24"/>
          <w:szCs w:val="24"/>
          <w:lang w:eastAsia="ja-JP"/>
        </w:rPr>
        <w:t xml:space="preserve"> September 2020. An executive summary, suitable for dissemination to a wide stakeholder base, must also be approved and available no later than the 23</w:t>
      </w:r>
      <w:r w:rsidRPr="00820F00">
        <w:rPr>
          <w:rFonts w:cs="Arial"/>
          <w:b w:val="0"/>
          <w:sz w:val="24"/>
          <w:szCs w:val="24"/>
          <w:vertAlign w:val="superscript"/>
          <w:lang w:eastAsia="ja-JP"/>
        </w:rPr>
        <w:t>rd</w:t>
      </w:r>
      <w:r w:rsidRPr="00820F00">
        <w:rPr>
          <w:rFonts w:cs="Arial"/>
          <w:b w:val="0"/>
          <w:sz w:val="24"/>
          <w:szCs w:val="24"/>
          <w:lang w:eastAsia="ja-JP"/>
        </w:rPr>
        <w:t xml:space="preserve"> September. The contractor must ensure that the final invoice for this work is presented at the same time as the final approved documents are supplied. </w:t>
      </w:r>
    </w:p>
    <w:p w14:paraId="14B06E94" w14:textId="77777777" w:rsidR="00820F00" w:rsidRPr="00820F00" w:rsidRDefault="00820F00" w:rsidP="00820F00">
      <w:pPr>
        <w:pStyle w:val="Level2"/>
        <w:spacing w:after="0"/>
        <w:jc w:val="left"/>
        <w:rPr>
          <w:rStyle w:val="Level2asHeadingtext"/>
          <w:rFonts w:cs="Arial"/>
          <w:b/>
          <w:sz w:val="24"/>
          <w:szCs w:val="24"/>
          <w:lang w:eastAsia="ja-JP"/>
        </w:rPr>
      </w:pPr>
    </w:p>
    <w:p w14:paraId="4F8ED106" w14:textId="77777777" w:rsidR="00820F00" w:rsidRPr="00820F00" w:rsidRDefault="00820F00" w:rsidP="00820F00">
      <w:pPr>
        <w:pStyle w:val="Level2"/>
        <w:spacing w:line="240" w:lineRule="auto"/>
        <w:jc w:val="left"/>
        <w:outlineLvl w:val="9"/>
        <w:rPr>
          <w:rStyle w:val="Level2asHeadingtext"/>
          <w:rFonts w:cs="Arial"/>
          <w:sz w:val="24"/>
          <w:szCs w:val="24"/>
        </w:rPr>
      </w:pPr>
      <w:r w:rsidRPr="00820F00">
        <w:rPr>
          <w:rStyle w:val="Level2asHeadingtext"/>
          <w:rFonts w:cs="Arial"/>
          <w:b/>
          <w:sz w:val="24"/>
          <w:szCs w:val="24"/>
        </w:rPr>
        <w:lastRenderedPageBreak/>
        <w:t>There is no set approach to the methodology to be implemented</w:t>
      </w:r>
      <w:r w:rsidRPr="00820F00">
        <w:rPr>
          <w:rStyle w:val="Level2asHeadingtext"/>
          <w:rFonts w:cs="Arial"/>
          <w:sz w:val="24"/>
          <w:szCs w:val="24"/>
        </w:rPr>
        <w:t xml:space="preserve">. </w:t>
      </w:r>
      <w:r w:rsidRPr="00820F00">
        <w:rPr>
          <w:rStyle w:val="Level2asHeadingtext"/>
          <w:rFonts w:cs="Arial"/>
          <w:b/>
          <w:sz w:val="24"/>
          <w:szCs w:val="24"/>
        </w:rPr>
        <w:t xml:space="preserve">However, ERDF offer guidance and methods that should be considered to add value to national evidence. </w:t>
      </w:r>
      <w:r w:rsidRPr="00820F00">
        <w:rPr>
          <w:rStyle w:val="Level2asHeadingtext"/>
          <w:rFonts w:cs="Arial"/>
          <w:sz w:val="24"/>
          <w:szCs w:val="24"/>
        </w:rPr>
        <w:t xml:space="preserve">These can be found at </w:t>
      </w:r>
    </w:p>
    <w:p w14:paraId="34F5A1EE" w14:textId="77777777" w:rsidR="00820F00" w:rsidRPr="00820F00" w:rsidRDefault="00820F00" w:rsidP="00820F00">
      <w:pPr>
        <w:pStyle w:val="Level2"/>
        <w:spacing w:line="240" w:lineRule="auto"/>
        <w:jc w:val="left"/>
        <w:outlineLvl w:val="9"/>
        <w:rPr>
          <w:rFonts w:cs="Arial"/>
          <w:b w:val="0"/>
          <w:sz w:val="24"/>
          <w:szCs w:val="24"/>
        </w:rPr>
      </w:pPr>
      <w:r w:rsidRPr="00820F00">
        <w:rPr>
          <w:rStyle w:val="Level2asHeadingtext"/>
          <w:rFonts w:cs="Arial"/>
          <w:sz w:val="24"/>
          <w:szCs w:val="24"/>
        </w:rPr>
        <w:t xml:space="preserve">Summative Assessment Guidance   - April 2019:  </w:t>
      </w:r>
    </w:p>
    <w:p w14:paraId="4E51FDA1" w14:textId="77777777" w:rsidR="00820F00" w:rsidRPr="00820F00" w:rsidRDefault="004A0AC6" w:rsidP="00820F00">
      <w:pPr>
        <w:pStyle w:val="Level2"/>
        <w:spacing w:line="240" w:lineRule="auto"/>
        <w:jc w:val="left"/>
        <w:outlineLvl w:val="9"/>
        <w:rPr>
          <w:rFonts w:cs="Arial"/>
          <w:b w:val="0"/>
          <w:sz w:val="24"/>
          <w:szCs w:val="24"/>
          <w:lang w:eastAsia="ja-JP"/>
        </w:rPr>
      </w:pPr>
      <w:hyperlink r:id="rId5" w:history="1">
        <w:r w:rsidR="00820F00" w:rsidRPr="00820F00">
          <w:rPr>
            <w:rStyle w:val="Hyperlink"/>
            <w:rFonts w:cs="Arial"/>
            <w:b w:val="0"/>
            <w:sz w:val="24"/>
            <w:szCs w:val="24"/>
            <w:lang w:eastAsia="ja-JP"/>
          </w:rPr>
          <w:t>https://assets.publishing.service.gov.uk/government/uploads/system/uploads/attachment_data/file/795499/ESIF-GN-1-033_ERDF_Summative_Assessment_Guidance_v3.pdf</w:t>
        </w:r>
      </w:hyperlink>
    </w:p>
    <w:p w14:paraId="3A7BDEFB" w14:textId="77777777" w:rsidR="00820F00" w:rsidRPr="00820F00" w:rsidRDefault="00820F00" w:rsidP="00820F00">
      <w:pPr>
        <w:pStyle w:val="Level2"/>
        <w:spacing w:line="240" w:lineRule="auto"/>
        <w:jc w:val="left"/>
        <w:outlineLvl w:val="9"/>
        <w:rPr>
          <w:rFonts w:cs="Arial"/>
          <w:b w:val="0"/>
          <w:sz w:val="24"/>
          <w:szCs w:val="24"/>
          <w:lang w:eastAsia="ja-JP"/>
        </w:rPr>
      </w:pPr>
      <w:r w:rsidRPr="00820F00">
        <w:rPr>
          <w:rFonts w:cs="Arial"/>
          <w:b w:val="0"/>
          <w:sz w:val="24"/>
          <w:szCs w:val="24"/>
          <w:lang w:eastAsia="ja-JP"/>
        </w:rPr>
        <w:t xml:space="preserve">Summative </w:t>
      </w:r>
      <w:proofErr w:type="spellStart"/>
      <w:r w:rsidRPr="00820F00">
        <w:rPr>
          <w:rFonts w:cs="Arial"/>
          <w:b w:val="0"/>
          <w:sz w:val="24"/>
          <w:szCs w:val="24"/>
          <w:lang w:eastAsia="ja-JP"/>
        </w:rPr>
        <w:t>Assement</w:t>
      </w:r>
      <w:proofErr w:type="spellEnd"/>
      <w:r w:rsidRPr="00820F00">
        <w:rPr>
          <w:rFonts w:cs="Arial"/>
          <w:b w:val="0"/>
          <w:sz w:val="24"/>
          <w:szCs w:val="24"/>
          <w:lang w:eastAsia="ja-JP"/>
        </w:rPr>
        <w:t xml:space="preserve"> Guidance, Appendices – April 2019:  </w:t>
      </w:r>
    </w:p>
    <w:p w14:paraId="3D2626B0" w14:textId="77777777" w:rsidR="00820F00" w:rsidRPr="00820F00" w:rsidRDefault="004A0AC6" w:rsidP="00820F00">
      <w:pPr>
        <w:pStyle w:val="Level2"/>
        <w:spacing w:line="240" w:lineRule="auto"/>
        <w:jc w:val="left"/>
        <w:outlineLvl w:val="9"/>
        <w:rPr>
          <w:rFonts w:cs="Arial"/>
          <w:b w:val="0"/>
          <w:sz w:val="24"/>
          <w:szCs w:val="24"/>
          <w:lang w:eastAsia="ja-JP"/>
        </w:rPr>
      </w:pPr>
      <w:hyperlink r:id="rId6" w:history="1">
        <w:r w:rsidR="00820F00" w:rsidRPr="00820F00">
          <w:rPr>
            <w:rFonts w:cs="Arial"/>
            <w:b w:val="0"/>
            <w:color w:val="0000FF"/>
            <w:sz w:val="24"/>
            <w:szCs w:val="24"/>
            <w:u w:val="single"/>
            <w:lang w:eastAsia="ja-JP"/>
          </w:rPr>
          <w:t>https://assets.publishing.service.gov.uk/government/uploads/system/uploads/attachment_data/file/809976/ESIF-GN-1-034_ERDF_Summative_Assessment_Guidance_Appendices_v3__2_.pdf</w:t>
        </w:r>
      </w:hyperlink>
    </w:p>
    <w:p w14:paraId="5324207B" w14:textId="77777777" w:rsidR="00820F00" w:rsidRPr="00820F00" w:rsidRDefault="00820F00" w:rsidP="00820F00">
      <w:pPr>
        <w:spacing w:after="0"/>
        <w:rPr>
          <w:rFonts w:cs="Arial"/>
          <w:szCs w:val="24"/>
        </w:rPr>
      </w:pPr>
      <w:r w:rsidRPr="00820F00">
        <w:rPr>
          <w:rFonts w:cs="Arial"/>
          <w:szCs w:val="24"/>
        </w:rPr>
        <w:t xml:space="preserve">The key performance indicators for this contract will be:  </w:t>
      </w:r>
    </w:p>
    <w:p w14:paraId="2BFEE707" w14:textId="77777777" w:rsidR="00820F00" w:rsidRPr="00820F00" w:rsidRDefault="00820F00" w:rsidP="00820F00">
      <w:pPr>
        <w:rPr>
          <w:rFonts w:cs="Arial"/>
          <w:szCs w:val="24"/>
        </w:rPr>
      </w:pPr>
    </w:p>
    <w:tbl>
      <w:tblPr>
        <w:tblW w:w="9771" w:type="dxa"/>
        <w:tblCellMar>
          <w:left w:w="0" w:type="dxa"/>
          <w:right w:w="0" w:type="dxa"/>
        </w:tblCellMar>
        <w:tblLook w:val="04A0" w:firstRow="1" w:lastRow="0" w:firstColumn="1" w:lastColumn="0" w:noHBand="0" w:noVBand="1"/>
      </w:tblPr>
      <w:tblGrid>
        <w:gridCol w:w="2324"/>
        <w:gridCol w:w="3195"/>
        <w:gridCol w:w="1606"/>
        <w:gridCol w:w="2646"/>
      </w:tblGrid>
      <w:tr w:rsidR="00820F00" w:rsidRPr="00820F00" w14:paraId="2278D0D3" w14:textId="77777777" w:rsidTr="00657C28">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1B0F0" w14:textId="77777777" w:rsidR="00820F00" w:rsidRPr="00820F00" w:rsidRDefault="00820F00" w:rsidP="00820F00">
            <w:pPr>
              <w:spacing w:line="276" w:lineRule="auto"/>
              <w:rPr>
                <w:rFonts w:eastAsia="Calibri" w:cs="Arial"/>
                <w:b/>
                <w:bCs/>
                <w:szCs w:val="24"/>
                <w:lang w:eastAsia="en-US"/>
              </w:rPr>
            </w:pPr>
            <w:r w:rsidRPr="00820F00">
              <w:rPr>
                <w:rFonts w:cs="Arial"/>
                <w:b/>
                <w:bCs/>
                <w:szCs w:val="24"/>
              </w:rPr>
              <w:t>Objective</w:t>
            </w:r>
          </w:p>
        </w:tc>
        <w:tc>
          <w:tcPr>
            <w:tcW w:w="3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1DC646" w14:textId="77777777" w:rsidR="00820F00" w:rsidRPr="00820F00" w:rsidRDefault="00820F00" w:rsidP="00820F00">
            <w:pPr>
              <w:spacing w:line="276" w:lineRule="auto"/>
              <w:rPr>
                <w:rFonts w:eastAsia="Calibri" w:cs="Arial"/>
                <w:b/>
                <w:bCs/>
                <w:szCs w:val="24"/>
                <w:lang w:eastAsia="en-US"/>
              </w:rPr>
            </w:pPr>
            <w:r w:rsidRPr="00820F00">
              <w:rPr>
                <w:rFonts w:cs="Arial"/>
                <w:b/>
                <w:bCs/>
                <w:szCs w:val="24"/>
              </w:rPr>
              <w:t>Performance Measure</w:t>
            </w:r>
          </w:p>
        </w:tc>
        <w:tc>
          <w:tcPr>
            <w:tcW w:w="1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C323E" w14:textId="77777777" w:rsidR="00820F00" w:rsidRPr="00820F00" w:rsidRDefault="00820F00" w:rsidP="00820F00">
            <w:pPr>
              <w:spacing w:line="276" w:lineRule="auto"/>
              <w:rPr>
                <w:rFonts w:eastAsia="Calibri" w:cs="Arial"/>
                <w:b/>
                <w:bCs/>
                <w:szCs w:val="24"/>
                <w:lang w:eastAsia="en-US"/>
              </w:rPr>
            </w:pPr>
            <w:r w:rsidRPr="00820F00">
              <w:rPr>
                <w:rFonts w:cs="Arial"/>
                <w:b/>
                <w:bCs/>
                <w:szCs w:val="24"/>
              </w:rPr>
              <w:t>Target</w:t>
            </w:r>
          </w:p>
        </w:tc>
        <w:tc>
          <w:tcPr>
            <w:tcW w:w="26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01A95" w14:textId="77777777" w:rsidR="00820F00" w:rsidRPr="00820F00" w:rsidRDefault="00820F00" w:rsidP="00820F00">
            <w:pPr>
              <w:spacing w:line="276" w:lineRule="auto"/>
              <w:rPr>
                <w:rFonts w:eastAsia="Calibri" w:cs="Arial"/>
                <w:b/>
                <w:bCs/>
                <w:szCs w:val="24"/>
                <w:lang w:eastAsia="en-US"/>
              </w:rPr>
            </w:pPr>
            <w:r w:rsidRPr="00820F00">
              <w:rPr>
                <w:rFonts w:cs="Arial"/>
                <w:b/>
                <w:bCs/>
                <w:szCs w:val="24"/>
              </w:rPr>
              <w:t>Reporting Frequency</w:t>
            </w:r>
          </w:p>
        </w:tc>
      </w:tr>
      <w:tr w:rsidR="00820F00" w:rsidRPr="00820F00" w14:paraId="7A2582F7" w14:textId="77777777" w:rsidTr="00657C28">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EFEA86" w14:textId="77777777" w:rsidR="00820F00" w:rsidRPr="00820F00" w:rsidRDefault="00820F00" w:rsidP="00820F00">
            <w:pPr>
              <w:spacing w:line="276" w:lineRule="auto"/>
              <w:rPr>
                <w:rFonts w:cs="Arial"/>
                <w:b/>
                <w:bCs/>
                <w:szCs w:val="24"/>
              </w:rPr>
            </w:pPr>
            <w:r w:rsidRPr="00820F00">
              <w:rPr>
                <w:rFonts w:eastAsia="Calibri" w:cs="Arial"/>
                <w:szCs w:val="24"/>
                <w:lang w:eastAsia="en-US"/>
              </w:rPr>
              <w:t>Methodology and project plan</w:t>
            </w:r>
          </w:p>
        </w:tc>
        <w:tc>
          <w:tcPr>
            <w:tcW w:w="31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04CF2E" w14:textId="77777777" w:rsidR="00820F00" w:rsidRPr="00820F00" w:rsidRDefault="00820F00" w:rsidP="00820F00">
            <w:pPr>
              <w:spacing w:line="276" w:lineRule="auto"/>
              <w:rPr>
                <w:rFonts w:cs="Arial"/>
                <w:bCs/>
                <w:szCs w:val="24"/>
              </w:rPr>
            </w:pPr>
            <w:r w:rsidRPr="00820F00">
              <w:rPr>
                <w:rFonts w:cs="Arial"/>
                <w:bCs/>
                <w:szCs w:val="24"/>
              </w:rPr>
              <w:t xml:space="preserve">Provide documentation to the Project Manager </w:t>
            </w:r>
          </w:p>
        </w:tc>
        <w:tc>
          <w:tcPr>
            <w:tcW w:w="16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8CC98B" w14:textId="77777777" w:rsidR="00820F00" w:rsidRPr="00820F00" w:rsidRDefault="00820F00" w:rsidP="00820F00">
            <w:pPr>
              <w:spacing w:line="276" w:lineRule="auto"/>
              <w:rPr>
                <w:rFonts w:cs="Arial"/>
                <w:b/>
                <w:bCs/>
                <w:szCs w:val="24"/>
              </w:rPr>
            </w:pPr>
            <w:r w:rsidRPr="00820F00">
              <w:rPr>
                <w:rFonts w:eastAsia="Calibri" w:cs="Arial"/>
                <w:szCs w:val="24"/>
                <w:lang w:eastAsia="en-US"/>
              </w:rPr>
              <w:t>100% met</w:t>
            </w:r>
          </w:p>
        </w:tc>
        <w:tc>
          <w:tcPr>
            <w:tcW w:w="26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1C84F4" w14:textId="77777777" w:rsidR="00820F00" w:rsidRPr="00820F00" w:rsidRDefault="00820F00" w:rsidP="00820F00">
            <w:pPr>
              <w:spacing w:line="276" w:lineRule="auto"/>
              <w:rPr>
                <w:rFonts w:cs="Arial"/>
                <w:b/>
                <w:bCs/>
                <w:szCs w:val="24"/>
              </w:rPr>
            </w:pPr>
            <w:r w:rsidRPr="00820F00">
              <w:rPr>
                <w:rFonts w:eastAsia="Calibri" w:cs="Arial"/>
                <w:szCs w:val="24"/>
                <w:lang w:eastAsia="en-US"/>
              </w:rPr>
              <w:t>January 2020</w:t>
            </w:r>
          </w:p>
        </w:tc>
      </w:tr>
      <w:tr w:rsidR="00820F00" w:rsidRPr="00820F00" w14:paraId="73B7D30D" w14:textId="77777777" w:rsidTr="00657C28">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1E4787" w14:textId="77777777" w:rsidR="00820F00" w:rsidRPr="00820F00" w:rsidRDefault="00820F00" w:rsidP="00820F00">
            <w:pPr>
              <w:rPr>
                <w:rFonts w:eastAsia="Calibri" w:cs="Arial"/>
                <w:szCs w:val="24"/>
                <w:lang w:eastAsia="en-US"/>
              </w:rPr>
            </w:pPr>
            <w:r w:rsidRPr="00820F00">
              <w:rPr>
                <w:rFonts w:eastAsia="Calibri" w:cs="Arial"/>
                <w:szCs w:val="24"/>
                <w:lang w:eastAsia="en-US"/>
              </w:rPr>
              <w:t>Approved Summative Assessment Exec Summary for publication</w:t>
            </w:r>
          </w:p>
        </w:tc>
        <w:tc>
          <w:tcPr>
            <w:tcW w:w="31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AABB05" w14:textId="77777777" w:rsidR="00820F00" w:rsidRPr="00820F00" w:rsidRDefault="00820F00" w:rsidP="00820F00">
            <w:pPr>
              <w:rPr>
                <w:rFonts w:eastAsia="Calibri" w:cs="Arial"/>
                <w:szCs w:val="24"/>
                <w:lang w:eastAsia="en-US"/>
              </w:rPr>
            </w:pPr>
            <w:r w:rsidRPr="00820F00">
              <w:rPr>
                <w:rFonts w:eastAsia="Calibri" w:cs="Arial"/>
                <w:szCs w:val="24"/>
                <w:lang w:eastAsia="en-US"/>
              </w:rPr>
              <w:t>Provision of executive summary as a standalone document for publication to a wide range of public and private sector stakeholders. To be provided in a format that can be published online and printed (if required).</w:t>
            </w:r>
          </w:p>
          <w:p w14:paraId="30D57267" w14:textId="77777777" w:rsidR="00820F00" w:rsidRPr="00820F00" w:rsidRDefault="00820F00" w:rsidP="00820F00">
            <w:pPr>
              <w:rPr>
                <w:rFonts w:eastAsia="Calibri" w:cs="Arial"/>
                <w:szCs w:val="24"/>
                <w:lang w:eastAsia="en-US"/>
              </w:rPr>
            </w:pPr>
            <w:r w:rsidRPr="00820F00">
              <w:rPr>
                <w:rFonts w:eastAsia="Calibri" w:cs="Arial"/>
                <w:szCs w:val="24"/>
                <w:lang w:eastAsia="en-US"/>
              </w:rPr>
              <w:t>Deadline for summary - latest 23.7.19</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92AD1E" w14:textId="77777777" w:rsidR="00820F00" w:rsidRPr="00820F00" w:rsidRDefault="00820F00" w:rsidP="00820F00">
            <w:pPr>
              <w:rPr>
                <w:rFonts w:eastAsia="Calibri" w:cs="Arial"/>
                <w:szCs w:val="24"/>
                <w:lang w:eastAsia="en-US"/>
              </w:rPr>
            </w:pPr>
            <w:r w:rsidRPr="00820F00">
              <w:rPr>
                <w:rFonts w:eastAsia="Calibri" w:cs="Arial"/>
                <w:szCs w:val="24"/>
                <w:lang w:eastAsia="en-US"/>
              </w:rPr>
              <w:t>100% met</w:t>
            </w:r>
          </w:p>
          <w:p w14:paraId="210812C2" w14:textId="77777777" w:rsidR="00820F00" w:rsidRPr="00820F00" w:rsidRDefault="00820F00" w:rsidP="00820F00">
            <w:pPr>
              <w:rPr>
                <w:rFonts w:eastAsia="Calibri" w:cs="Arial"/>
                <w:szCs w:val="24"/>
                <w:lang w:eastAsia="en-US"/>
              </w:rPr>
            </w:pPr>
          </w:p>
          <w:p w14:paraId="4DC456CF" w14:textId="77777777" w:rsidR="00820F00" w:rsidRPr="00820F00" w:rsidRDefault="00820F00" w:rsidP="00820F00">
            <w:pPr>
              <w:rPr>
                <w:rFonts w:eastAsia="Calibri" w:cs="Arial"/>
                <w:szCs w:val="24"/>
                <w:lang w:eastAsia="en-US"/>
              </w:rPr>
            </w:pPr>
          </w:p>
          <w:p w14:paraId="0043197C" w14:textId="77777777" w:rsidR="00820F00" w:rsidRPr="00820F00" w:rsidRDefault="00820F00" w:rsidP="00820F00">
            <w:pPr>
              <w:rPr>
                <w:rFonts w:eastAsia="Calibri" w:cs="Arial"/>
                <w:szCs w:val="24"/>
                <w:lang w:eastAsia="en-US"/>
              </w:rPr>
            </w:pPr>
          </w:p>
          <w:p w14:paraId="29355069" w14:textId="77777777" w:rsidR="00820F00" w:rsidRPr="00820F00" w:rsidRDefault="00820F00" w:rsidP="00820F00">
            <w:pPr>
              <w:rPr>
                <w:rFonts w:eastAsia="Calibri" w:cs="Arial"/>
                <w:szCs w:val="24"/>
                <w:lang w:eastAsia="en-US"/>
              </w:rPr>
            </w:pPr>
          </w:p>
          <w:p w14:paraId="7D5AA5FB" w14:textId="77777777" w:rsidR="00820F00" w:rsidRPr="00820F00" w:rsidRDefault="00820F00" w:rsidP="00820F00">
            <w:pPr>
              <w:rPr>
                <w:rFonts w:eastAsia="Calibri" w:cs="Arial"/>
                <w:szCs w:val="24"/>
                <w:lang w:eastAsia="en-US"/>
              </w:rPr>
            </w:pPr>
          </w:p>
        </w:tc>
        <w:tc>
          <w:tcPr>
            <w:tcW w:w="2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9E949C" w14:textId="77777777" w:rsidR="00820F00" w:rsidRPr="00820F00" w:rsidRDefault="00820F00" w:rsidP="00820F00">
            <w:pPr>
              <w:rPr>
                <w:rFonts w:eastAsia="Calibri" w:cs="Arial"/>
                <w:szCs w:val="24"/>
                <w:lang w:eastAsia="en-US"/>
              </w:rPr>
            </w:pPr>
            <w:commentRangeStart w:id="1"/>
            <w:r w:rsidRPr="00820F00">
              <w:rPr>
                <w:rFonts w:eastAsia="Calibri" w:cs="Arial"/>
                <w:szCs w:val="24"/>
                <w:lang w:eastAsia="en-US"/>
              </w:rPr>
              <w:t>23</w:t>
            </w:r>
            <w:r w:rsidRPr="00820F00">
              <w:rPr>
                <w:rFonts w:eastAsia="Calibri" w:cs="Arial"/>
                <w:szCs w:val="24"/>
                <w:vertAlign w:val="superscript"/>
                <w:lang w:eastAsia="en-US"/>
              </w:rPr>
              <w:t>rd</w:t>
            </w:r>
            <w:r w:rsidRPr="00820F00">
              <w:rPr>
                <w:rFonts w:eastAsia="Calibri" w:cs="Arial"/>
                <w:szCs w:val="24"/>
                <w:lang w:eastAsia="en-US"/>
              </w:rPr>
              <w:t xml:space="preserve"> September 2020 latest</w:t>
            </w:r>
            <w:commentRangeEnd w:id="1"/>
            <w:r w:rsidRPr="00820F00">
              <w:rPr>
                <w:rStyle w:val="CommentReference"/>
                <w:rFonts w:eastAsia="Times New Roman" w:cs="Arial"/>
                <w:sz w:val="24"/>
                <w:szCs w:val="24"/>
                <w:lang w:eastAsia="en-GB"/>
              </w:rPr>
              <w:commentReference w:id="1"/>
            </w:r>
          </w:p>
        </w:tc>
      </w:tr>
      <w:tr w:rsidR="00820F00" w:rsidRPr="00820F00" w14:paraId="3E2D38E7" w14:textId="77777777" w:rsidTr="00657C28">
        <w:tc>
          <w:tcPr>
            <w:tcW w:w="23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288445" w14:textId="77777777" w:rsidR="00820F00" w:rsidRPr="00820F00" w:rsidRDefault="00820F00" w:rsidP="00820F00">
            <w:pPr>
              <w:rPr>
                <w:rFonts w:eastAsia="Calibri" w:cs="Arial"/>
                <w:szCs w:val="24"/>
                <w:lang w:eastAsia="en-US"/>
              </w:rPr>
            </w:pPr>
            <w:r w:rsidRPr="00820F00">
              <w:rPr>
                <w:rFonts w:eastAsia="Calibri" w:cs="Arial"/>
                <w:szCs w:val="24"/>
                <w:lang w:eastAsia="en-US"/>
              </w:rPr>
              <w:t xml:space="preserve">Final Summative Assessment report </w:t>
            </w:r>
          </w:p>
        </w:tc>
        <w:tc>
          <w:tcPr>
            <w:tcW w:w="31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67304C" w14:textId="77777777" w:rsidR="00820F00" w:rsidRPr="00820F00" w:rsidRDefault="00820F00" w:rsidP="00820F00">
            <w:pPr>
              <w:rPr>
                <w:rFonts w:eastAsia="Calibri" w:cs="Arial"/>
                <w:szCs w:val="24"/>
                <w:lang w:eastAsia="en-US"/>
              </w:rPr>
            </w:pPr>
            <w:r w:rsidRPr="00820F00">
              <w:rPr>
                <w:rFonts w:eastAsia="Calibri" w:cs="Arial"/>
                <w:szCs w:val="24"/>
                <w:lang w:eastAsia="en-US"/>
              </w:rPr>
              <w:t>Provide a final copy of the Summative Assessment Report, approved by the Thurrock project team, no later than the 23</w:t>
            </w:r>
            <w:r w:rsidRPr="00820F00">
              <w:rPr>
                <w:rFonts w:eastAsia="Calibri" w:cs="Arial"/>
                <w:szCs w:val="24"/>
                <w:vertAlign w:val="superscript"/>
                <w:lang w:eastAsia="en-US"/>
              </w:rPr>
              <w:t>rd</w:t>
            </w:r>
            <w:r w:rsidRPr="00820F00">
              <w:rPr>
                <w:rFonts w:eastAsia="Calibri" w:cs="Arial"/>
                <w:szCs w:val="24"/>
                <w:lang w:eastAsia="en-US"/>
              </w:rPr>
              <w:t xml:space="preserve"> September  2020</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B4965F" w14:textId="77777777" w:rsidR="00820F00" w:rsidRPr="00820F00" w:rsidRDefault="00820F00" w:rsidP="00820F00">
            <w:pPr>
              <w:rPr>
                <w:rFonts w:eastAsia="Calibri" w:cs="Arial"/>
                <w:szCs w:val="24"/>
                <w:lang w:eastAsia="en-US"/>
              </w:rPr>
            </w:pPr>
            <w:r w:rsidRPr="00820F00">
              <w:rPr>
                <w:rFonts w:eastAsia="Calibri" w:cs="Arial"/>
                <w:szCs w:val="24"/>
                <w:lang w:eastAsia="en-US"/>
              </w:rPr>
              <w:t xml:space="preserve">100% met </w:t>
            </w:r>
          </w:p>
          <w:p w14:paraId="52F98E48" w14:textId="77777777" w:rsidR="00820F00" w:rsidRPr="00820F00" w:rsidRDefault="00820F00" w:rsidP="00820F00">
            <w:pPr>
              <w:rPr>
                <w:rFonts w:eastAsia="Calibri" w:cs="Arial"/>
                <w:szCs w:val="24"/>
                <w:lang w:eastAsia="en-US"/>
              </w:rPr>
            </w:pPr>
          </w:p>
          <w:p w14:paraId="4AD43CD8" w14:textId="77777777" w:rsidR="00820F00" w:rsidRPr="00820F00" w:rsidRDefault="00820F00" w:rsidP="00820F00">
            <w:pPr>
              <w:rPr>
                <w:rFonts w:eastAsia="Calibri" w:cs="Arial"/>
                <w:szCs w:val="24"/>
                <w:lang w:eastAsia="en-US"/>
              </w:rPr>
            </w:pPr>
          </w:p>
          <w:p w14:paraId="63FC10EF" w14:textId="77777777" w:rsidR="00820F00" w:rsidRPr="00820F00" w:rsidRDefault="00820F00" w:rsidP="00820F00">
            <w:pPr>
              <w:rPr>
                <w:rFonts w:eastAsia="Calibri" w:cs="Arial"/>
                <w:szCs w:val="24"/>
                <w:lang w:eastAsia="en-US"/>
              </w:rPr>
            </w:pPr>
            <w:r w:rsidRPr="00820F00">
              <w:rPr>
                <w:rFonts w:eastAsia="Calibri" w:cs="Arial"/>
                <w:szCs w:val="24"/>
                <w:lang w:eastAsia="en-US"/>
              </w:rPr>
              <w:t>All documents provided</w:t>
            </w:r>
          </w:p>
        </w:tc>
        <w:tc>
          <w:tcPr>
            <w:tcW w:w="2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227D49" w14:textId="77777777" w:rsidR="00820F00" w:rsidRPr="00820F00" w:rsidRDefault="00820F00" w:rsidP="00820F00">
            <w:pPr>
              <w:rPr>
                <w:rFonts w:eastAsia="Calibri" w:cs="Arial"/>
                <w:szCs w:val="24"/>
                <w:lang w:eastAsia="en-US"/>
              </w:rPr>
            </w:pPr>
            <w:r w:rsidRPr="00820F00">
              <w:rPr>
                <w:rFonts w:eastAsia="Calibri" w:cs="Arial"/>
                <w:szCs w:val="24"/>
                <w:lang w:eastAsia="en-US"/>
              </w:rPr>
              <w:t>23</w:t>
            </w:r>
            <w:r w:rsidRPr="00820F00">
              <w:rPr>
                <w:rFonts w:eastAsia="Calibri" w:cs="Arial"/>
                <w:szCs w:val="24"/>
                <w:vertAlign w:val="superscript"/>
                <w:lang w:eastAsia="en-US"/>
              </w:rPr>
              <w:t>rd</w:t>
            </w:r>
            <w:r w:rsidRPr="00820F00">
              <w:rPr>
                <w:rFonts w:eastAsia="Calibri" w:cs="Arial"/>
                <w:szCs w:val="24"/>
                <w:lang w:eastAsia="en-US"/>
              </w:rPr>
              <w:t xml:space="preserve"> September 2020 latest</w:t>
            </w:r>
          </w:p>
        </w:tc>
      </w:tr>
      <w:tr w:rsidR="00820F00" w:rsidRPr="00820F00" w14:paraId="51036854" w14:textId="77777777" w:rsidTr="00657C28">
        <w:tc>
          <w:tcPr>
            <w:tcW w:w="2324"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67ECD886" w14:textId="77777777" w:rsidR="00820F00" w:rsidRPr="00820F00" w:rsidRDefault="00820F00" w:rsidP="00820F00">
            <w:pPr>
              <w:rPr>
                <w:rFonts w:eastAsia="Calibri" w:cs="Arial"/>
                <w:szCs w:val="24"/>
                <w:lang w:eastAsia="en-US"/>
              </w:rPr>
            </w:pPr>
            <w:r w:rsidRPr="00820F00">
              <w:rPr>
                <w:rFonts w:eastAsia="Calibri" w:cs="Arial"/>
                <w:szCs w:val="24"/>
                <w:lang w:eastAsia="en-US"/>
              </w:rPr>
              <w:t>Final invoice must be sent to Thurrock Council no later than 23</w:t>
            </w:r>
            <w:r w:rsidRPr="00820F00">
              <w:rPr>
                <w:rFonts w:eastAsia="Calibri" w:cs="Arial"/>
                <w:szCs w:val="24"/>
                <w:vertAlign w:val="superscript"/>
                <w:lang w:eastAsia="en-US"/>
              </w:rPr>
              <w:t>rd</w:t>
            </w:r>
            <w:r w:rsidRPr="00820F00">
              <w:rPr>
                <w:rFonts w:eastAsia="Calibri" w:cs="Arial"/>
                <w:szCs w:val="24"/>
                <w:lang w:eastAsia="en-US"/>
              </w:rPr>
              <w:t xml:space="preserve"> September 2020</w:t>
            </w:r>
          </w:p>
        </w:tc>
        <w:tc>
          <w:tcPr>
            <w:tcW w:w="3195" w:type="dxa"/>
            <w:tcBorders>
              <w:top w:val="nil"/>
              <w:left w:val="nil"/>
              <w:bottom w:val="nil"/>
              <w:right w:val="single" w:sz="8" w:space="0" w:color="auto"/>
            </w:tcBorders>
            <w:shd w:val="clear" w:color="auto" w:fill="auto"/>
            <w:tcMar>
              <w:top w:w="0" w:type="dxa"/>
              <w:left w:w="108" w:type="dxa"/>
              <w:bottom w:w="0" w:type="dxa"/>
              <w:right w:w="108" w:type="dxa"/>
            </w:tcMar>
          </w:tcPr>
          <w:p w14:paraId="043B6805" w14:textId="77777777" w:rsidR="00820F00" w:rsidRPr="00820F00" w:rsidRDefault="00820F00" w:rsidP="00820F00">
            <w:pPr>
              <w:rPr>
                <w:rFonts w:eastAsia="Calibri" w:cs="Arial"/>
                <w:szCs w:val="24"/>
                <w:lang w:eastAsia="en-US"/>
              </w:rPr>
            </w:pPr>
            <w:r w:rsidRPr="00820F00">
              <w:rPr>
                <w:rFonts w:eastAsia="Calibri" w:cs="Arial"/>
                <w:szCs w:val="24"/>
                <w:lang w:eastAsia="en-US"/>
              </w:rPr>
              <w:t>Invoice information correct ad presented on time</w:t>
            </w:r>
          </w:p>
        </w:tc>
        <w:tc>
          <w:tcPr>
            <w:tcW w:w="1606" w:type="dxa"/>
            <w:tcBorders>
              <w:top w:val="nil"/>
              <w:left w:val="nil"/>
              <w:bottom w:val="nil"/>
              <w:right w:val="single" w:sz="8" w:space="0" w:color="auto"/>
            </w:tcBorders>
            <w:shd w:val="clear" w:color="auto" w:fill="auto"/>
            <w:tcMar>
              <w:top w:w="0" w:type="dxa"/>
              <w:left w:w="108" w:type="dxa"/>
              <w:bottom w:w="0" w:type="dxa"/>
              <w:right w:w="108" w:type="dxa"/>
            </w:tcMar>
          </w:tcPr>
          <w:p w14:paraId="76124B66" w14:textId="77777777" w:rsidR="00820F00" w:rsidRPr="00820F00" w:rsidRDefault="00820F00" w:rsidP="00820F00">
            <w:pPr>
              <w:rPr>
                <w:rFonts w:eastAsia="Calibri" w:cs="Arial"/>
                <w:szCs w:val="24"/>
                <w:lang w:eastAsia="en-US"/>
              </w:rPr>
            </w:pPr>
            <w:r w:rsidRPr="00820F00">
              <w:rPr>
                <w:rFonts w:eastAsia="Calibri" w:cs="Arial"/>
                <w:szCs w:val="24"/>
                <w:lang w:eastAsia="en-US"/>
              </w:rPr>
              <w:t>100% met</w:t>
            </w:r>
          </w:p>
        </w:tc>
        <w:tc>
          <w:tcPr>
            <w:tcW w:w="2646" w:type="dxa"/>
            <w:tcBorders>
              <w:top w:val="nil"/>
              <w:left w:val="nil"/>
              <w:bottom w:val="nil"/>
              <w:right w:val="single" w:sz="8" w:space="0" w:color="auto"/>
            </w:tcBorders>
            <w:shd w:val="clear" w:color="auto" w:fill="auto"/>
            <w:tcMar>
              <w:top w:w="0" w:type="dxa"/>
              <w:left w:w="108" w:type="dxa"/>
              <w:bottom w:w="0" w:type="dxa"/>
              <w:right w:w="108" w:type="dxa"/>
            </w:tcMar>
          </w:tcPr>
          <w:p w14:paraId="36E3821D" w14:textId="6D2AD761" w:rsidR="00820F00" w:rsidRPr="00820F00" w:rsidRDefault="00820F00" w:rsidP="00820F00">
            <w:pPr>
              <w:rPr>
                <w:rFonts w:eastAsia="Calibri" w:cs="Arial"/>
                <w:szCs w:val="24"/>
                <w:lang w:eastAsia="en-US"/>
              </w:rPr>
            </w:pPr>
            <w:r w:rsidRPr="00820F00">
              <w:rPr>
                <w:rFonts w:eastAsia="Calibri" w:cs="Arial"/>
                <w:szCs w:val="24"/>
                <w:lang w:eastAsia="en-US"/>
              </w:rPr>
              <w:t>23</w:t>
            </w:r>
            <w:r w:rsidRPr="00820F00">
              <w:rPr>
                <w:rFonts w:eastAsia="Calibri" w:cs="Arial"/>
                <w:szCs w:val="24"/>
                <w:vertAlign w:val="superscript"/>
                <w:lang w:eastAsia="en-US"/>
              </w:rPr>
              <w:t>rd</w:t>
            </w:r>
            <w:r w:rsidRPr="00820F00">
              <w:rPr>
                <w:rFonts w:eastAsia="Calibri" w:cs="Arial"/>
                <w:szCs w:val="24"/>
                <w:lang w:eastAsia="en-US"/>
              </w:rPr>
              <w:t xml:space="preserve"> September </w:t>
            </w:r>
            <w:r w:rsidR="00657C28">
              <w:rPr>
                <w:rFonts w:eastAsia="Calibri" w:cs="Arial"/>
                <w:szCs w:val="24"/>
                <w:lang w:eastAsia="en-US"/>
              </w:rPr>
              <w:t xml:space="preserve">2020 </w:t>
            </w:r>
            <w:r w:rsidRPr="00820F00">
              <w:rPr>
                <w:rFonts w:eastAsia="Calibri" w:cs="Arial"/>
                <w:szCs w:val="24"/>
                <w:lang w:eastAsia="en-US"/>
              </w:rPr>
              <w:t>latest</w:t>
            </w:r>
          </w:p>
        </w:tc>
      </w:tr>
    </w:tbl>
    <w:p w14:paraId="0AC63789" w14:textId="77777777" w:rsidR="00820F00" w:rsidRPr="00820F00" w:rsidRDefault="00820F00" w:rsidP="00820F00">
      <w:pPr>
        <w:rPr>
          <w:rFonts w:cs="Arial"/>
          <w:szCs w:val="24"/>
        </w:rPr>
      </w:pPr>
    </w:p>
    <w:p w14:paraId="714D2E26" w14:textId="77777777" w:rsidR="00820F00" w:rsidRPr="00820F00" w:rsidRDefault="00820F00" w:rsidP="00820F00">
      <w:pPr>
        <w:rPr>
          <w:rFonts w:cs="Arial"/>
          <w:szCs w:val="24"/>
        </w:rPr>
      </w:pPr>
    </w:p>
    <w:p w14:paraId="38F06E87" w14:textId="77777777" w:rsidR="00820F00" w:rsidRPr="00820F00" w:rsidRDefault="00820F00" w:rsidP="00820F00">
      <w:pPr>
        <w:rPr>
          <w:rFonts w:cs="Arial"/>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4664"/>
        <w:gridCol w:w="1376"/>
        <w:gridCol w:w="1687"/>
      </w:tblGrid>
      <w:tr w:rsidR="00820F00" w:rsidRPr="00820F00" w14:paraId="24D16CAD" w14:textId="77777777" w:rsidTr="000409C4">
        <w:trPr>
          <w:trHeight w:val="363"/>
          <w:jc w:val="center"/>
        </w:trPr>
        <w:tc>
          <w:tcPr>
            <w:tcW w:w="9680" w:type="dxa"/>
            <w:gridSpan w:val="4"/>
            <w:tcBorders>
              <w:top w:val="single" w:sz="4" w:space="0" w:color="auto"/>
              <w:left w:val="single" w:sz="4" w:space="0" w:color="auto"/>
              <w:bottom w:val="single" w:sz="4" w:space="0" w:color="auto"/>
            </w:tcBorders>
            <w:shd w:val="clear" w:color="auto" w:fill="F2F2F2"/>
            <w:vAlign w:val="center"/>
          </w:tcPr>
          <w:p w14:paraId="7ACCFB4B" w14:textId="77777777" w:rsidR="00820F00" w:rsidRPr="00820F00" w:rsidRDefault="00820F00" w:rsidP="00820F00">
            <w:pPr>
              <w:pStyle w:val="Level1Heading"/>
              <w:rPr>
                <w:rFonts w:cs="Arial"/>
                <w:sz w:val="24"/>
                <w:szCs w:val="24"/>
              </w:rPr>
            </w:pPr>
            <w:bookmarkStart w:id="2" w:name="_Toc447100888"/>
            <w:bookmarkStart w:id="3" w:name="_Toc14779231"/>
            <w:r w:rsidRPr="00820F00">
              <w:rPr>
                <w:rFonts w:cs="Arial"/>
                <w:sz w:val="24"/>
                <w:szCs w:val="24"/>
              </w:rPr>
              <w:t>TECHNICAL AND QUALITY QUESTIONS</w:t>
            </w:r>
            <w:bookmarkEnd w:id="2"/>
            <w:bookmarkEnd w:id="3"/>
          </w:p>
        </w:tc>
      </w:tr>
      <w:tr w:rsidR="00820F00" w:rsidRPr="00820F00" w14:paraId="7B6E16EA" w14:textId="77777777" w:rsidTr="000409C4">
        <w:trPr>
          <w:trHeight w:val="555"/>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tcPr>
          <w:p w14:paraId="1142E937" w14:textId="77777777" w:rsidR="00820F00" w:rsidRPr="00820F00" w:rsidRDefault="00820F00" w:rsidP="00820F00">
            <w:pPr>
              <w:spacing w:after="0"/>
              <w:rPr>
                <w:rFonts w:cs="Arial"/>
                <w:b/>
                <w:szCs w:val="24"/>
              </w:rPr>
            </w:pPr>
            <w:r w:rsidRPr="00820F00">
              <w:rPr>
                <w:rFonts w:cs="Arial"/>
                <w:b/>
                <w:szCs w:val="24"/>
              </w:rPr>
              <w:t>Question</w:t>
            </w:r>
          </w:p>
          <w:p w14:paraId="4EF99794" w14:textId="77777777" w:rsidR="00820F00" w:rsidRPr="00820F00" w:rsidRDefault="00820F00" w:rsidP="00820F00">
            <w:pPr>
              <w:spacing w:after="0"/>
              <w:rPr>
                <w:rFonts w:cs="Arial"/>
                <w:b/>
                <w:szCs w:val="24"/>
              </w:rPr>
            </w:pPr>
          </w:p>
        </w:tc>
        <w:tc>
          <w:tcPr>
            <w:tcW w:w="4725" w:type="dxa"/>
            <w:tcBorders>
              <w:top w:val="single" w:sz="4" w:space="0" w:color="auto"/>
              <w:left w:val="single" w:sz="6" w:space="0" w:color="auto"/>
              <w:bottom w:val="single" w:sz="4" w:space="0" w:color="auto"/>
              <w:right w:val="single" w:sz="4" w:space="0" w:color="auto"/>
            </w:tcBorders>
            <w:shd w:val="clear" w:color="auto" w:fill="F2F2F2"/>
          </w:tcPr>
          <w:p w14:paraId="5838F63C" w14:textId="77777777" w:rsidR="00820F00" w:rsidRPr="00820F00" w:rsidRDefault="00820F00" w:rsidP="00820F00">
            <w:pPr>
              <w:spacing w:after="0"/>
              <w:rPr>
                <w:rFonts w:cs="Arial"/>
                <w:b/>
                <w:szCs w:val="24"/>
              </w:rPr>
            </w:pPr>
            <w:r w:rsidRPr="00820F00">
              <w:rPr>
                <w:rFonts w:cs="Arial"/>
                <w:b/>
                <w:szCs w:val="24"/>
              </w:rPr>
              <w:t>Bidder Response</w:t>
            </w:r>
          </w:p>
        </w:tc>
        <w:tc>
          <w:tcPr>
            <w:tcW w:w="1305" w:type="dxa"/>
            <w:tcBorders>
              <w:left w:val="single" w:sz="4" w:space="0" w:color="auto"/>
              <w:bottom w:val="single" w:sz="4" w:space="0" w:color="auto"/>
            </w:tcBorders>
            <w:shd w:val="clear" w:color="auto" w:fill="F2F2F2"/>
          </w:tcPr>
          <w:p w14:paraId="1C4B4419" w14:textId="77777777" w:rsidR="00820F00" w:rsidRPr="00820F00" w:rsidRDefault="00820F00" w:rsidP="00820F00">
            <w:pPr>
              <w:spacing w:after="0"/>
              <w:rPr>
                <w:rFonts w:cs="Arial"/>
                <w:b/>
                <w:szCs w:val="24"/>
              </w:rPr>
            </w:pPr>
            <w:r w:rsidRPr="00820F00">
              <w:rPr>
                <w:rFonts w:cs="Arial"/>
                <w:b/>
                <w:szCs w:val="24"/>
              </w:rPr>
              <w:t>Weighting (%)</w:t>
            </w:r>
          </w:p>
          <w:p w14:paraId="0E8046EE" w14:textId="77777777" w:rsidR="00820F00" w:rsidRPr="00820F00" w:rsidRDefault="00820F00" w:rsidP="00820F00">
            <w:pPr>
              <w:spacing w:after="0"/>
              <w:rPr>
                <w:rFonts w:cs="Arial"/>
                <w:b/>
                <w:szCs w:val="24"/>
              </w:rPr>
            </w:pPr>
          </w:p>
        </w:tc>
        <w:tc>
          <w:tcPr>
            <w:tcW w:w="1695" w:type="dxa"/>
            <w:tcBorders>
              <w:bottom w:val="single" w:sz="4" w:space="0" w:color="auto"/>
            </w:tcBorders>
            <w:shd w:val="clear" w:color="auto" w:fill="F2F2F2"/>
          </w:tcPr>
          <w:p w14:paraId="6A2DD5C0" w14:textId="77777777" w:rsidR="00820F00" w:rsidRPr="00820F00" w:rsidRDefault="00820F00" w:rsidP="00820F00">
            <w:pPr>
              <w:spacing w:after="0"/>
              <w:rPr>
                <w:rFonts w:cs="Arial"/>
                <w:b/>
                <w:szCs w:val="24"/>
              </w:rPr>
            </w:pPr>
            <w:r w:rsidRPr="00820F00">
              <w:rPr>
                <w:rFonts w:cs="Arial"/>
                <w:b/>
                <w:szCs w:val="24"/>
              </w:rPr>
              <w:t>Marks available</w:t>
            </w:r>
          </w:p>
        </w:tc>
      </w:tr>
      <w:tr w:rsidR="00820F00" w:rsidRPr="00820F00" w14:paraId="5A7D4219" w14:textId="77777777" w:rsidTr="000409C4">
        <w:trPr>
          <w:trHeight w:val="2108"/>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vAlign w:val="center"/>
          </w:tcPr>
          <w:p w14:paraId="49720BFD" w14:textId="77777777" w:rsidR="00820F00" w:rsidRPr="00820F00" w:rsidRDefault="00820F00" w:rsidP="00820F00">
            <w:pPr>
              <w:spacing w:after="0"/>
              <w:rPr>
                <w:rFonts w:cs="Arial"/>
                <w:szCs w:val="24"/>
              </w:rPr>
            </w:pPr>
          </w:p>
          <w:p w14:paraId="3742C1DA" w14:textId="77777777" w:rsidR="00820F00" w:rsidRPr="00820F00" w:rsidRDefault="00820F00" w:rsidP="00820F00">
            <w:pPr>
              <w:spacing w:after="0"/>
              <w:rPr>
                <w:rFonts w:cs="Arial"/>
                <w:szCs w:val="24"/>
              </w:rPr>
            </w:pPr>
          </w:p>
          <w:p w14:paraId="171392FA" w14:textId="77777777" w:rsidR="00820F00" w:rsidRPr="00820F00" w:rsidRDefault="00820F00" w:rsidP="00820F00">
            <w:pPr>
              <w:spacing w:after="0"/>
              <w:rPr>
                <w:rFonts w:cs="Arial"/>
                <w:szCs w:val="24"/>
              </w:rPr>
            </w:pPr>
            <w:r w:rsidRPr="00820F00">
              <w:rPr>
                <w:rFonts w:cs="Arial"/>
                <w:szCs w:val="24"/>
              </w:rPr>
              <w:t xml:space="preserve">Using examples, provide your experience of ERDF project evaluation and summative assessment techniques </w:t>
            </w:r>
          </w:p>
          <w:p w14:paraId="64FA3EEF" w14:textId="77777777" w:rsidR="00820F00" w:rsidRPr="00820F00" w:rsidRDefault="00820F00" w:rsidP="00820F00">
            <w:pPr>
              <w:spacing w:after="0"/>
              <w:rPr>
                <w:rFonts w:cs="Arial"/>
                <w:szCs w:val="24"/>
              </w:rPr>
            </w:pPr>
          </w:p>
          <w:p w14:paraId="6F4D46EA" w14:textId="77777777" w:rsidR="00820F00" w:rsidRPr="00820F00" w:rsidRDefault="00820F00" w:rsidP="00820F00">
            <w:pPr>
              <w:spacing w:after="0"/>
              <w:rPr>
                <w:rFonts w:cs="Arial"/>
                <w:szCs w:val="24"/>
              </w:rPr>
            </w:pPr>
            <w:r w:rsidRPr="00820F00">
              <w:rPr>
                <w:rFonts w:cs="Arial"/>
                <w:szCs w:val="24"/>
              </w:rPr>
              <w:t>Max 1000 words</w:t>
            </w:r>
          </w:p>
          <w:p w14:paraId="02A67506" w14:textId="77777777" w:rsidR="00820F00" w:rsidRPr="00820F00" w:rsidRDefault="00820F00" w:rsidP="00820F00">
            <w:pPr>
              <w:spacing w:after="0"/>
              <w:rPr>
                <w:rFonts w:cs="Arial"/>
                <w:szCs w:val="24"/>
              </w:rPr>
            </w:pPr>
          </w:p>
        </w:tc>
        <w:tc>
          <w:tcPr>
            <w:tcW w:w="4725" w:type="dxa"/>
            <w:tcBorders>
              <w:top w:val="single" w:sz="4" w:space="0" w:color="auto"/>
              <w:left w:val="single" w:sz="6" w:space="0" w:color="auto"/>
              <w:bottom w:val="single" w:sz="4" w:space="0" w:color="auto"/>
              <w:right w:val="single" w:sz="4" w:space="0" w:color="auto"/>
            </w:tcBorders>
            <w:shd w:val="clear" w:color="auto" w:fill="auto"/>
          </w:tcPr>
          <w:p w14:paraId="46E41DF4" w14:textId="77777777" w:rsidR="00820F00" w:rsidRPr="00820F00" w:rsidRDefault="00820F00" w:rsidP="00820F00">
            <w:pPr>
              <w:spacing w:after="0"/>
              <w:rPr>
                <w:rFonts w:cs="Arial"/>
                <w:szCs w:val="24"/>
              </w:rPr>
            </w:pPr>
          </w:p>
        </w:tc>
        <w:tc>
          <w:tcPr>
            <w:tcW w:w="1305" w:type="dxa"/>
            <w:tcBorders>
              <w:left w:val="single" w:sz="4" w:space="0" w:color="auto"/>
            </w:tcBorders>
            <w:shd w:val="clear" w:color="auto" w:fill="F2F2F2"/>
            <w:vAlign w:val="center"/>
          </w:tcPr>
          <w:p w14:paraId="385DEB04" w14:textId="77777777" w:rsidR="00820F00" w:rsidRPr="00820F00" w:rsidRDefault="00820F00" w:rsidP="00820F00">
            <w:pPr>
              <w:spacing w:after="0"/>
              <w:rPr>
                <w:rFonts w:cs="Arial"/>
                <w:szCs w:val="24"/>
              </w:rPr>
            </w:pPr>
            <w:r w:rsidRPr="00820F00">
              <w:rPr>
                <w:rFonts w:cs="Arial"/>
                <w:szCs w:val="24"/>
              </w:rPr>
              <w:t>25</w:t>
            </w:r>
          </w:p>
        </w:tc>
        <w:tc>
          <w:tcPr>
            <w:tcW w:w="1695" w:type="dxa"/>
            <w:shd w:val="clear" w:color="auto" w:fill="F2F2F2"/>
            <w:vAlign w:val="center"/>
          </w:tcPr>
          <w:p w14:paraId="060DCCFA" w14:textId="77777777" w:rsidR="00820F00" w:rsidRPr="00820F00" w:rsidRDefault="00820F00" w:rsidP="00820F00">
            <w:pPr>
              <w:spacing w:after="0"/>
              <w:rPr>
                <w:rFonts w:cs="Arial"/>
                <w:szCs w:val="24"/>
              </w:rPr>
            </w:pPr>
            <w:r w:rsidRPr="00820F00">
              <w:rPr>
                <w:rFonts w:cs="Arial"/>
                <w:szCs w:val="24"/>
              </w:rPr>
              <w:t>5</w:t>
            </w:r>
          </w:p>
        </w:tc>
      </w:tr>
      <w:tr w:rsidR="00820F00" w:rsidRPr="00820F00" w14:paraId="11360D2A" w14:textId="77777777" w:rsidTr="000409C4">
        <w:trPr>
          <w:trHeight w:val="416"/>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vAlign w:val="center"/>
          </w:tcPr>
          <w:p w14:paraId="125DAA87" w14:textId="77777777" w:rsidR="00820F00" w:rsidRPr="00820F00" w:rsidRDefault="00820F00" w:rsidP="00820F00">
            <w:pPr>
              <w:spacing w:after="0"/>
              <w:rPr>
                <w:rFonts w:cs="Arial"/>
                <w:szCs w:val="24"/>
              </w:rPr>
            </w:pPr>
          </w:p>
          <w:p w14:paraId="2E63B0AC" w14:textId="77777777" w:rsidR="00820F00" w:rsidRPr="00820F00" w:rsidRDefault="00820F00" w:rsidP="00820F00">
            <w:pPr>
              <w:spacing w:after="0"/>
              <w:rPr>
                <w:rFonts w:cs="Arial"/>
                <w:szCs w:val="24"/>
              </w:rPr>
            </w:pPr>
          </w:p>
          <w:p w14:paraId="417D6FBB" w14:textId="77777777" w:rsidR="00820F00" w:rsidRPr="00820F00" w:rsidRDefault="00820F00" w:rsidP="00820F00">
            <w:pPr>
              <w:spacing w:after="0"/>
              <w:rPr>
                <w:rFonts w:cs="Arial"/>
                <w:szCs w:val="24"/>
              </w:rPr>
            </w:pPr>
            <w:r w:rsidRPr="00820F00">
              <w:rPr>
                <w:rFonts w:cs="Arial"/>
                <w:szCs w:val="24"/>
              </w:rPr>
              <w:t xml:space="preserve">Please outline your approach to the delivery of the summative assessment requirements outlined in the summative assessment plan, and how you will ensure you deliver on time. </w:t>
            </w:r>
          </w:p>
          <w:p w14:paraId="04342A16" w14:textId="77777777" w:rsidR="00820F00" w:rsidRPr="00820F00" w:rsidRDefault="00820F00" w:rsidP="00820F00">
            <w:pPr>
              <w:spacing w:after="0"/>
              <w:rPr>
                <w:rFonts w:cs="Arial"/>
                <w:szCs w:val="24"/>
              </w:rPr>
            </w:pPr>
          </w:p>
          <w:p w14:paraId="603F369A" w14:textId="77777777" w:rsidR="00820F00" w:rsidRPr="00820F00" w:rsidRDefault="00820F00" w:rsidP="00820F00">
            <w:pPr>
              <w:spacing w:after="0"/>
              <w:rPr>
                <w:rFonts w:cs="Arial"/>
                <w:szCs w:val="24"/>
              </w:rPr>
            </w:pPr>
            <w:r w:rsidRPr="00820F00">
              <w:rPr>
                <w:rFonts w:cs="Arial"/>
                <w:szCs w:val="24"/>
              </w:rPr>
              <w:t>(Max 1000 words)</w:t>
            </w:r>
          </w:p>
        </w:tc>
        <w:tc>
          <w:tcPr>
            <w:tcW w:w="4725" w:type="dxa"/>
            <w:tcBorders>
              <w:top w:val="single" w:sz="4" w:space="0" w:color="auto"/>
              <w:left w:val="single" w:sz="6" w:space="0" w:color="auto"/>
              <w:bottom w:val="single" w:sz="4" w:space="0" w:color="auto"/>
              <w:right w:val="single" w:sz="4" w:space="0" w:color="auto"/>
            </w:tcBorders>
            <w:shd w:val="clear" w:color="auto" w:fill="auto"/>
          </w:tcPr>
          <w:p w14:paraId="741E9D04" w14:textId="77777777" w:rsidR="00820F00" w:rsidRPr="00820F00" w:rsidRDefault="00820F00" w:rsidP="00820F00">
            <w:pPr>
              <w:spacing w:after="0"/>
              <w:rPr>
                <w:rFonts w:cs="Arial"/>
                <w:szCs w:val="24"/>
              </w:rPr>
            </w:pPr>
          </w:p>
        </w:tc>
        <w:tc>
          <w:tcPr>
            <w:tcW w:w="1305" w:type="dxa"/>
            <w:tcBorders>
              <w:left w:val="single" w:sz="4" w:space="0" w:color="auto"/>
            </w:tcBorders>
            <w:shd w:val="clear" w:color="auto" w:fill="F2F2F2"/>
            <w:vAlign w:val="center"/>
          </w:tcPr>
          <w:p w14:paraId="557A91F2" w14:textId="77777777" w:rsidR="00820F00" w:rsidRPr="00820F00" w:rsidRDefault="00820F00" w:rsidP="00820F00">
            <w:pPr>
              <w:spacing w:after="0"/>
              <w:rPr>
                <w:rFonts w:cs="Arial"/>
                <w:szCs w:val="24"/>
              </w:rPr>
            </w:pPr>
            <w:r w:rsidRPr="00820F00">
              <w:rPr>
                <w:rFonts w:cs="Arial"/>
                <w:szCs w:val="24"/>
              </w:rPr>
              <w:t>20</w:t>
            </w:r>
          </w:p>
        </w:tc>
        <w:tc>
          <w:tcPr>
            <w:tcW w:w="1695" w:type="dxa"/>
            <w:shd w:val="clear" w:color="auto" w:fill="F2F2F2"/>
            <w:vAlign w:val="center"/>
          </w:tcPr>
          <w:p w14:paraId="5A3DD58B" w14:textId="77777777" w:rsidR="00820F00" w:rsidRPr="00820F00" w:rsidRDefault="00820F00" w:rsidP="00820F00">
            <w:pPr>
              <w:spacing w:after="0"/>
              <w:rPr>
                <w:rFonts w:cs="Arial"/>
                <w:szCs w:val="24"/>
              </w:rPr>
            </w:pPr>
            <w:r w:rsidRPr="00820F00">
              <w:rPr>
                <w:rFonts w:cs="Arial"/>
                <w:szCs w:val="24"/>
              </w:rPr>
              <w:t>5</w:t>
            </w:r>
          </w:p>
        </w:tc>
      </w:tr>
      <w:tr w:rsidR="00820F00" w:rsidRPr="00820F00" w14:paraId="625462B0" w14:textId="77777777" w:rsidTr="000409C4">
        <w:trPr>
          <w:trHeight w:val="2108"/>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vAlign w:val="center"/>
          </w:tcPr>
          <w:p w14:paraId="61A3CBAA" w14:textId="77777777" w:rsidR="00820F00" w:rsidRPr="00820F00" w:rsidRDefault="00820F00" w:rsidP="00820F00">
            <w:pPr>
              <w:spacing w:after="0"/>
              <w:rPr>
                <w:rFonts w:cs="Arial"/>
                <w:szCs w:val="24"/>
              </w:rPr>
            </w:pPr>
            <w:r w:rsidRPr="00820F00">
              <w:rPr>
                <w:rFonts w:cs="Arial"/>
                <w:szCs w:val="24"/>
              </w:rPr>
              <w:lastRenderedPageBreak/>
              <w:t>Please outline your knowledge of the CC&amp;D sector and ERDF.  State your approach to working with a wide range of CC&amp;D stakeholders.</w:t>
            </w:r>
          </w:p>
          <w:p w14:paraId="63C91691" w14:textId="77777777" w:rsidR="00820F00" w:rsidRPr="00820F00" w:rsidRDefault="00820F00" w:rsidP="00820F00">
            <w:pPr>
              <w:spacing w:after="0"/>
              <w:rPr>
                <w:rFonts w:cs="Arial"/>
                <w:szCs w:val="24"/>
              </w:rPr>
            </w:pPr>
          </w:p>
          <w:p w14:paraId="3473A267" w14:textId="77777777" w:rsidR="00820F00" w:rsidRPr="00820F00" w:rsidRDefault="00820F00" w:rsidP="00820F00">
            <w:pPr>
              <w:spacing w:after="0"/>
              <w:rPr>
                <w:rFonts w:cs="Arial"/>
                <w:szCs w:val="24"/>
              </w:rPr>
            </w:pPr>
            <w:r w:rsidRPr="00820F00">
              <w:rPr>
                <w:rFonts w:cs="Arial"/>
                <w:szCs w:val="24"/>
              </w:rPr>
              <w:t>(Max 500) words</w:t>
            </w:r>
          </w:p>
        </w:tc>
        <w:tc>
          <w:tcPr>
            <w:tcW w:w="4725" w:type="dxa"/>
            <w:tcBorders>
              <w:top w:val="single" w:sz="4" w:space="0" w:color="auto"/>
              <w:left w:val="single" w:sz="6" w:space="0" w:color="auto"/>
              <w:bottom w:val="single" w:sz="4" w:space="0" w:color="auto"/>
              <w:right w:val="single" w:sz="4" w:space="0" w:color="auto"/>
            </w:tcBorders>
            <w:shd w:val="clear" w:color="auto" w:fill="auto"/>
          </w:tcPr>
          <w:p w14:paraId="532A0835" w14:textId="77777777" w:rsidR="00820F00" w:rsidRPr="00820F00" w:rsidRDefault="00820F00" w:rsidP="00820F00">
            <w:pPr>
              <w:spacing w:after="0"/>
              <w:rPr>
                <w:rFonts w:cs="Arial"/>
                <w:szCs w:val="24"/>
              </w:rPr>
            </w:pPr>
          </w:p>
        </w:tc>
        <w:tc>
          <w:tcPr>
            <w:tcW w:w="1305" w:type="dxa"/>
            <w:tcBorders>
              <w:left w:val="single" w:sz="4" w:space="0" w:color="auto"/>
            </w:tcBorders>
            <w:shd w:val="clear" w:color="auto" w:fill="F2F2F2"/>
            <w:vAlign w:val="center"/>
          </w:tcPr>
          <w:p w14:paraId="0E89BB57" w14:textId="77777777" w:rsidR="00820F00" w:rsidRPr="00820F00" w:rsidRDefault="00820F00" w:rsidP="00820F00">
            <w:pPr>
              <w:spacing w:after="0"/>
              <w:rPr>
                <w:rFonts w:cs="Arial"/>
                <w:szCs w:val="24"/>
              </w:rPr>
            </w:pPr>
            <w:r w:rsidRPr="00820F00">
              <w:rPr>
                <w:rFonts w:cs="Arial"/>
                <w:szCs w:val="24"/>
              </w:rPr>
              <w:t>20</w:t>
            </w:r>
          </w:p>
        </w:tc>
        <w:tc>
          <w:tcPr>
            <w:tcW w:w="1695" w:type="dxa"/>
            <w:shd w:val="clear" w:color="auto" w:fill="F2F2F2"/>
            <w:vAlign w:val="center"/>
          </w:tcPr>
          <w:p w14:paraId="54E4A32A" w14:textId="77777777" w:rsidR="00820F00" w:rsidRPr="00820F00" w:rsidRDefault="00820F00" w:rsidP="00820F00">
            <w:pPr>
              <w:spacing w:after="0"/>
              <w:rPr>
                <w:rFonts w:cs="Arial"/>
                <w:szCs w:val="24"/>
              </w:rPr>
            </w:pPr>
            <w:r w:rsidRPr="00820F00">
              <w:rPr>
                <w:rFonts w:cs="Arial"/>
                <w:szCs w:val="24"/>
              </w:rPr>
              <w:t>5</w:t>
            </w:r>
          </w:p>
        </w:tc>
      </w:tr>
      <w:tr w:rsidR="00820F00" w:rsidRPr="00820F00" w14:paraId="345F6EB8" w14:textId="77777777" w:rsidTr="000409C4">
        <w:trPr>
          <w:trHeight w:val="2108"/>
          <w:jc w:val="center"/>
        </w:trPr>
        <w:tc>
          <w:tcPr>
            <w:tcW w:w="1955" w:type="dxa"/>
            <w:tcBorders>
              <w:top w:val="single" w:sz="4" w:space="0" w:color="auto"/>
              <w:left w:val="single" w:sz="4" w:space="0" w:color="auto"/>
              <w:bottom w:val="single" w:sz="4" w:space="0" w:color="auto"/>
              <w:right w:val="single" w:sz="6" w:space="0" w:color="auto"/>
            </w:tcBorders>
            <w:shd w:val="clear" w:color="auto" w:fill="F2F2F2"/>
            <w:vAlign w:val="center"/>
          </w:tcPr>
          <w:p w14:paraId="5A5AF15F" w14:textId="77777777" w:rsidR="00820F00" w:rsidRPr="00820F00" w:rsidRDefault="00820F00" w:rsidP="00820F00">
            <w:pPr>
              <w:spacing w:before="120" w:after="120"/>
              <w:rPr>
                <w:rFonts w:cs="Arial"/>
                <w:szCs w:val="24"/>
              </w:rPr>
            </w:pPr>
            <w:r w:rsidRPr="00820F00">
              <w:rPr>
                <w:rFonts w:cs="Arial"/>
                <w:szCs w:val="24"/>
              </w:rPr>
              <w:t>Thurrock is committed to</w:t>
            </w:r>
          </w:p>
          <w:p w14:paraId="6DEAB7E1" w14:textId="77777777" w:rsidR="00820F00" w:rsidRPr="00820F00" w:rsidRDefault="00820F00" w:rsidP="00820F00">
            <w:pPr>
              <w:spacing w:before="120" w:after="120"/>
              <w:rPr>
                <w:rFonts w:cs="Arial"/>
                <w:szCs w:val="24"/>
              </w:rPr>
            </w:pPr>
            <w:r w:rsidRPr="00820F00">
              <w:rPr>
                <w:rFonts w:cs="Arial"/>
                <w:szCs w:val="24"/>
              </w:rPr>
              <w:t xml:space="preserve"> </w:t>
            </w:r>
            <w:proofErr w:type="gramStart"/>
            <w:r w:rsidRPr="00820F00">
              <w:rPr>
                <w:rFonts w:cs="Arial"/>
                <w:szCs w:val="24"/>
              </w:rPr>
              <w:t>the</w:t>
            </w:r>
            <w:proofErr w:type="gramEnd"/>
            <w:r w:rsidRPr="00820F00">
              <w:rPr>
                <w:rFonts w:cs="Arial"/>
                <w:szCs w:val="24"/>
              </w:rPr>
              <w:t xml:space="preserve"> implementation of the legislation introduced by the Public Services (Social Value) Act 2012.   </w:t>
            </w:r>
          </w:p>
          <w:p w14:paraId="609D21EE" w14:textId="77777777" w:rsidR="00820F00" w:rsidRPr="00820F00" w:rsidRDefault="00820F00" w:rsidP="00820F00">
            <w:pPr>
              <w:spacing w:after="0"/>
              <w:rPr>
                <w:rFonts w:cs="Arial"/>
                <w:szCs w:val="24"/>
              </w:rPr>
            </w:pPr>
            <w:r w:rsidRPr="00820F00">
              <w:rPr>
                <w:rFonts w:cs="Arial"/>
                <w:szCs w:val="24"/>
              </w:rPr>
              <w:t xml:space="preserve">Please provide details of your proposal to deliver benefits to the communities you will be working in.       </w:t>
            </w:r>
          </w:p>
          <w:p w14:paraId="072B9695" w14:textId="77777777" w:rsidR="00820F00" w:rsidRPr="00820F00" w:rsidRDefault="00820F00" w:rsidP="00820F00">
            <w:pPr>
              <w:spacing w:after="0"/>
              <w:rPr>
                <w:rFonts w:cs="Arial"/>
                <w:szCs w:val="24"/>
              </w:rPr>
            </w:pPr>
          </w:p>
          <w:p w14:paraId="2E3C93EB" w14:textId="77777777" w:rsidR="00820F00" w:rsidRPr="00820F00" w:rsidRDefault="00820F00" w:rsidP="00820F00">
            <w:pPr>
              <w:spacing w:after="0"/>
              <w:rPr>
                <w:rFonts w:cs="Arial"/>
                <w:szCs w:val="24"/>
              </w:rPr>
            </w:pPr>
            <w:r w:rsidRPr="00820F00">
              <w:rPr>
                <w:rFonts w:cs="Arial"/>
                <w:szCs w:val="24"/>
              </w:rPr>
              <w:t xml:space="preserve">(Max 150 words)  </w:t>
            </w:r>
          </w:p>
        </w:tc>
        <w:tc>
          <w:tcPr>
            <w:tcW w:w="4725" w:type="dxa"/>
            <w:tcBorders>
              <w:top w:val="single" w:sz="4" w:space="0" w:color="auto"/>
              <w:left w:val="single" w:sz="6" w:space="0" w:color="auto"/>
              <w:bottom w:val="single" w:sz="4" w:space="0" w:color="auto"/>
              <w:right w:val="single" w:sz="4" w:space="0" w:color="auto"/>
            </w:tcBorders>
            <w:shd w:val="clear" w:color="auto" w:fill="auto"/>
          </w:tcPr>
          <w:p w14:paraId="65036447" w14:textId="77777777" w:rsidR="00820F00" w:rsidRPr="00820F00" w:rsidRDefault="00820F00" w:rsidP="00820F00">
            <w:pPr>
              <w:spacing w:after="0"/>
              <w:rPr>
                <w:rFonts w:cs="Arial"/>
                <w:szCs w:val="24"/>
              </w:rPr>
            </w:pPr>
          </w:p>
        </w:tc>
        <w:tc>
          <w:tcPr>
            <w:tcW w:w="1305" w:type="dxa"/>
            <w:tcBorders>
              <w:left w:val="single" w:sz="4" w:space="0" w:color="auto"/>
            </w:tcBorders>
            <w:shd w:val="clear" w:color="auto" w:fill="F2F2F2"/>
            <w:vAlign w:val="center"/>
          </w:tcPr>
          <w:p w14:paraId="4E2AE3B0" w14:textId="77777777" w:rsidR="00820F00" w:rsidRPr="00820F00" w:rsidRDefault="00820F00" w:rsidP="00820F00">
            <w:pPr>
              <w:spacing w:after="0"/>
              <w:rPr>
                <w:rFonts w:cs="Arial"/>
                <w:szCs w:val="24"/>
              </w:rPr>
            </w:pPr>
            <w:r w:rsidRPr="00820F00">
              <w:rPr>
                <w:rFonts w:cs="Arial"/>
                <w:szCs w:val="24"/>
              </w:rPr>
              <w:t>5</w:t>
            </w:r>
          </w:p>
        </w:tc>
        <w:tc>
          <w:tcPr>
            <w:tcW w:w="1695" w:type="dxa"/>
            <w:shd w:val="clear" w:color="auto" w:fill="F2F2F2"/>
            <w:vAlign w:val="center"/>
          </w:tcPr>
          <w:p w14:paraId="5E6DC65B" w14:textId="77777777" w:rsidR="00820F00" w:rsidRPr="00820F00" w:rsidRDefault="00820F00" w:rsidP="00820F00">
            <w:pPr>
              <w:spacing w:after="0"/>
              <w:rPr>
                <w:rFonts w:cs="Arial"/>
                <w:szCs w:val="24"/>
              </w:rPr>
            </w:pPr>
            <w:r w:rsidRPr="00820F00">
              <w:rPr>
                <w:rFonts w:cs="Arial"/>
                <w:szCs w:val="24"/>
              </w:rPr>
              <w:t>5</w:t>
            </w:r>
          </w:p>
        </w:tc>
      </w:tr>
      <w:tr w:rsidR="00820F00" w:rsidRPr="00820F00" w14:paraId="78080649" w14:textId="77777777" w:rsidTr="000409C4">
        <w:trPr>
          <w:trHeight w:val="555"/>
          <w:jc w:val="center"/>
        </w:trPr>
        <w:tc>
          <w:tcPr>
            <w:tcW w:w="6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C2764A1" w14:textId="77777777" w:rsidR="00820F00" w:rsidRPr="00820F00" w:rsidRDefault="00820F00" w:rsidP="00820F00">
            <w:pPr>
              <w:spacing w:after="0"/>
              <w:rPr>
                <w:rFonts w:cs="Arial"/>
                <w:szCs w:val="24"/>
              </w:rPr>
            </w:pPr>
            <w:r w:rsidRPr="00820F00">
              <w:rPr>
                <w:rFonts w:cs="Arial"/>
                <w:szCs w:val="24"/>
              </w:rPr>
              <w:t>TOTAL</w:t>
            </w:r>
          </w:p>
        </w:tc>
        <w:tc>
          <w:tcPr>
            <w:tcW w:w="1305" w:type="dxa"/>
            <w:tcBorders>
              <w:left w:val="single" w:sz="4" w:space="0" w:color="auto"/>
              <w:bottom w:val="single" w:sz="4" w:space="0" w:color="auto"/>
            </w:tcBorders>
            <w:shd w:val="clear" w:color="auto" w:fill="F2F2F2"/>
            <w:vAlign w:val="center"/>
          </w:tcPr>
          <w:p w14:paraId="1E4C61E3" w14:textId="77777777" w:rsidR="00820F00" w:rsidRPr="00820F00" w:rsidRDefault="00820F00" w:rsidP="00820F00">
            <w:pPr>
              <w:spacing w:after="0"/>
              <w:rPr>
                <w:rFonts w:cs="Arial"/>
                <w:szCs w:val="24"/>
              </w:rPr>
            </w:pPr>
            <w:r w:rsidRPr="00820F00">
              <w:rPr>
                <w:rFonts w:cs="Arial"/>
                <w:szCs w:val="24"/>
              </w:rPr>
              <w:t>70</w:t>
            </w:r>
          </w:p>
        </w:tc>
        <w:tc>
          <w:tcPr>
            <w:tcW w:w="1695" w:type="dxa"/>
            <w:shd w:val="clear" w:color="auto" w:fill="F2F2F2"/>
            <w:vAlign w:val="center"/>
          </w:tcPr>
          <w:p w14:paraId="7353FC6E" w14:textId="77777777" w:rsidR="00820F00" w:rsidRPr="00820F00" w:rsidRDefault="00820F00" w:rsidP="00820F00">
            <w:pPr>
              <w:spacing w:after="0"/>
              <w:rPr>
                <w:rFonts w:cs="Arial"/>
                <w:szCs w:val="24"/>
              </w:rPr>
            </w:pPr>
            <w:r w:rsidRPr="00820F00">
              <w:rPr>
                <w:rFonts w:cs="Arial"/>
                <w:szCs w:val="24"/>
              </w:rPr>
              <w:t>20</w:t>
            </w:r>
          </w:p>
        </w:tc>
      </w:tr>
    </w:tbl>
    <w:p w14:paraId="66E62850" w14:textId="77777777" w:rsidR="00820F00" w:rsidRPr="00820F00" w:rsidRDefault="00820F00" w:rsidP="00820F00">
      <w:pPr>
        <w:rPr>
          <w:rFonts w:cs="Arial"/>
          <w:szCs w:val="24"/>
        </w:rPr>
      </w:pPr>
    </w:p>
    <w:p w14:paraId="26A56067" w14:textId="77777777" w:rsidR="00820F00" w:rsidRPr="00820F00" w:rsidRDefault="00820F00" w:rsidP="00820F00">
      <w:pPr>
        <w:rPr>
          <w:rFonts w:cs="Arial"/>
          <w:szCs w:val="24"/>
        </w:rPr>
      </w:pPr>
    </w:p>
    <w:p w14:paraId="31701301" w14:textId="77777777" w:rsidR="00820F00" w:rsidRPr="00820F00" w:rsidRDefault="00820F00" w:rsidP="00820F00">
      <w:pPr>
        <w:rPr>
          <w:rFonts w:cs="Arial"/>
          <w:szCs w:val="24"/>
        </w:rPr>
      </w:pPr>
    </w:p>
    <w:sectPr w:rsidR="00820F00" w:rsidRPr="00820F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a Russell" w:date="2019-07-23T14:05:00Z" w:initials="ER">
    <w:p w14:paraId="73C17A84" w14:textId="77777777" w:rsidR="00820F00" w:rsidRDefault="00820F00" w:rsidP="00820F00">
      <w:pPr>
        <w:pStyle w:val="CommentText"/>
      </w:pPr>
      <w:r>
        <w:rPr>
          <w:rStyle w:val="CommentReference"/>
        </w:rPr>
        <w:annotationRef/>
      </w:r>
      <w:r>
        <w:t>We used this as the last date for the final approved copy of the exec summary and full report. Assume the invoice would need to be in by the end of the month – does it need to be paid by 30</w:t>
      </w:r>
      <w:r w:rsidRPr="00E43EB1">
        <w:rPr>
          <w:vertAlign w:val="superscript"/>
        </w:rPr>
        <w:t>th</w:t>
      </w:r>
      <w:r>
        <w:t xml:space="preserve"> Sept?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17A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3A4"/>
    <w:multiLevelType w:val="hybridMultilevel"/>
    <w:tmpl w:val="1A663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4763BC"/>
    <w:multiLevelType w:val="hybridMultilevel"/>
    <w:tmpl w:val="CA8C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00"/>
    <w:rsid w:val="000D0B38"/>
    <w:rsid w:val="00250BD1"/>
    <w:rsid w:val="004A0AC6"/>
    <w:rsid w:val="00657C28"/>
    <w:rsid w:val="00690B09"/>
    <w:rsid w:val="007E2003"/>
    <w:rsid w:val="00820F00"/>
    <w:rsid w:val="00FA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F61F"/>
  <w15:chartTrackingRefBased/>
  <w15:docId w15:val="{0144A110-2E0C-4086-81EE-D4596CCC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F00"/>
    <w:pPr>
      <w:spacing w:after="200" w:line="240" w:lineRule="auto"/>
    </w:pPr>
    <w:rPr>
      <w:rFonts w:ascii="Arial" w:eastAsia="MS Mincho" w:hAnsi="Arial"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link w:val="Level2Char"/>
    <w:rsid w:val="00820F00"/>
    <w:pPr>
      <w:spacing w:after="240" w:line="312" w:lineRule="auto"/>
      <w:jc w:val="both"/>
      <w:outlineLvl w:val="1"/>
    </w:pPr>
    <w:rPr>
      <w:b/>
      <w:sz w:val="22"/>
      <w:lang w:eastAsia="en-GB"/>
    </w:rPr>
  </w:style>
  <w:style w:type="character" w:customStyle="1" w:styleId="Level2Char">
    <w:name w:val="Level 2 Char"/>
    <w:link w:val="Level2"/>
    <w:rsid w:val="00820F00"/>
    <w:rPr>
      <w:rFonts w:ascii="Arial" w:eastAsia="MS Mincho" w:hAnsi="Arial" w:cs="Times New Roman"/>
      <w:b/>
      <w:szCs w:val="20"/>
      <w:lang w:eastAsia="en-GB"/>
    </w:rPr>
  </w:style>
  <w:style w:type="character" w:styleId="Hyperlink">
    <w:name w:val="Hyperlink"/>
    <w:uiPriority w:val="99"/>
    <w:rsid w:val="00820F00"/>
    <w:rPr>
      <w:color w:val="0000FF"/>
      <w:u w:val="single"/>
    </w:rPr>
  </w:style>
  <w:style w:type="paragraph" w:styleId="CommentText">
    <w:name w:val="annotation text"/>
    <w:basedOn w:val="Normal"/>
    <w:link w:val="CommentTextChar"/>
    <w:semiHidden/>
    <w:rsid w:val="00820F00"/>
    <w:pPr>
      <w:spacing w:after="0"/>
      <w:jc w:val="both"/>
    </w:pPr>
    <w:rPr>
      <w:rFonts w:ascii="Verdana" w:eastAsia="Times New Roman" w:hAnsi="Verdana"/>
      <w:sz w:val="20"/>
      <w:lang w:eastAsia="en-GB"/>
    </w:rPr>
  </w:style>
  <w:style w:type="character" w:customStyle="1" w:styleId="CommentTextChar">
    <w:name w:val="Comment Text Char"/>
    <w:basedOn w:val="DefaultParagraphFont"/>
    <w:link w:val="CommentText"/>
    <w:semiHidden/>
    <w:rsid w:val="00820F00"/>
    <w:rPr>
      <w:rFonts w:ascii="Verdana" w:eastAsia="Times New Roman" w:hAnsi="Verdana" w:cs="Times New Roman"/>
      <w:sz w:val="20"/>
      <w:szCs w:val="20"/>
      <w:lang w:eastAsia="en-GB"/>
    </w:rPr>
  </w:style>
  <w:style w:type="character" w:customStyle="1" w:styleId="Level2asHeadingtext">
    <w:name w:val="Level 2 as Heading (text)"/>
    <w:rsid w:val="00820F00"/>
    <w:rPr>
      <w:b/>
    </w:rPr>
  </w:style>
  <w:style w:type="character" w:styleId="CommentReference">
    <w:name w:val="annotation reference"/>
    <w:rsid w:val="00820F00"/>
    <w:rPr>
      <w:sz w:val="16"/>
      <w:szCs w:val="16"/>
    </w:rPr>
  </w:style>
  <w:style w:type="paragraph" w:styleId="BalloonText">
    <w:name w:val="Balloon Text"/>
    <w:basedOn w:val="Normal"/>
    <w:link w:val="BalloonTextChar"/>
    <w:uiPriority w:val="99"/>
    <w:semiHidden/>
    <w:unhideWhenUsed/>
    <w:rsid w:val="00820F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F00"/>
    <w:rPr>
      <w:rFonts w:ascii="Segoe UI" w:eastAsia="MS Mincho" w:hAnsi="Segoe UI" w:cs="Segoe UI"/>
      <w:sz w:val="18"/>
      <w:szCs w:val="18"/>
      <w:lang w:eastAsia="ja-JP"/>
    </w:rPr>
  </w:style>
  <w:style w:type="paragraph" w:customStyle="1" w:styleId="Level1Heading">
    <w:name w:val="Level 1 Heading"/>
    <w:basedOn w:val="Normal"/>
    <w:next w:val="Normal"/>
    <w:autoRedefine/>
    <w:rsid w:val="00820F00"/>
    <w:pPr>
      <w:keepNext/>
      <w:spacing w:after="0"/>
      <w:outlineLvl w:val="0"/>
    </w:pPr>
    <w:rPr>
      <w:b/>
      <w:caps/>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assets.publishing.service.gov.uk/government/uploads/system/uploads/attachment_data/file/809976/ESIF-GN-1-034_ERDF_Summative_Assessment_Guidance_Appendices_v3__2_.pdf" TargetMode="External" Id="rId6" /><Relationship Type="http://schemas.openxmlformats.org/officeDocument/2006/relationships/hyperlink" Target="https://assets.publishing.service.gov.uk/government/uploads/system/uploads/attachment_data/file/795499/ESIF-GN-1-033_ERDF_Summative_Assessment_Guidance_v3.pdf"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2db0e14312c645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200D98310CAD465FB48C3A62E91DFCBC" version="1.0.0">
  <systemFields>
    <field name="Objective-Id">
      <value order="0">A5357259</value>
    </field>
    <field name="Objective-Title">
      <value order="0">SECCADS Summative Assessment - procurement summary information - LRicketts - 191008</value>
    </field>
    <field name="Objective-Description">
      <value order="0"/>
    </field>
    <field name="Objective-CreationStamp">
      <value order="0">2019-10-09T13:26:31Z</value>
    </field>
    <field name="Objective-IsApproved">
      <value order="0">false</value>
    </field>
    <field name="Objective-IsPublished">
      <value order="0">true</value>
    </field>
    <field name="Objective-DatePublished">
      <value order="0">2019-10-09T15:23:49Z</value>
    </field>
    <field name="Objective-ModificationStamp">
      <value order="0">2019-10-09T15:23:49Z</value>
    </field>
    <field name="Objective-Owner">
      <value order="0">Gozna, Margaret</value>
    </field>
    <field name="Objective-Path">
      <value order="0">Thurrock Global Folder:Thurrock Corporate File Plan:Procurement:Tendering:Quick Calls:Quick Quotes 2019:PS/2019/257 Summative Assessment for SECCADS</value>
    </field>
    <field name="Objective-Parent">
      <value order="0">PS/2019/257 Summative Assessment for SECCADS</value>
    </field>
    <field name="Objective-State">
      <value order="0">Published</value>
    </field>
    <field name="Objective-VersionId">
      <value order="0">vA8078571</value>
    </field>
    <field name="Objective-Version">
      <value order="0">1.0</value>
    </field>
    <field name="Objective-VersionNumber">
      <value order="0">2</value>
    </field>
    <field name="Objective-VersionComment">
      <value order="0"/>
    </field>
    <field name="Objective-FileNumber">
      <value order="0">qA351984</value>
    </field>
    <field name="Objective-Classification">
      <value order="0"/>
    </field>
    <field name="Objective-Caveats">
      <value order="0">Active Users</value>
    </field>
  </systemFields>
  <catalogues/>
</metadata>
</file>

<file path=customXML/itemProps.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Ricketts, Lisa</dc:creator>
  <cp:keywords/>
  <dc:description/>
  <cp:lastModifiedBy>Gozna, Margaret</cp:lastModifiedBy>
  <cp:revision>3</cp:revision>
  <dcterms:created xsi:type="dcterms:W3CDTF">2019-10-09T13:26:00Z</dcterms:created>
  <dcterms:modified xsi:type="dcterms:W3CDTF">2019-10-09T15:23:00Z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A5357259</vt:lpwstr>
  </property>
  <property fmtid="{D5CDD505-2E9C-101B-9397-08002B2CF9AE}" pid="4" name="Objective-Title">
    <vt:lpwstr>SECCADS Summative Assessment - procurement summary information - LRicketts - 191008</vt:lpwstr>
  </property>
  <property fmtid="{D5CDD505-2E9C-101B-9397-08002B2CF9AE}" pid="5" name="Objective-Description">
    <vt:lpwstr/>
  </property>
  <property fmtid="{D5CDD505-2E9C-101B-9397-08002B2CF9AE}" pid="6" name="Objective-CreationStamp">
    <vt:filetime>2019-10-09T13:26:38Z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2019-10-09T15:23:49Z</vt:filetime>
  </property>
  <property fmtid="{D5CDD505-2E9C-101B-9397-08002B2CF9AE}" pid="10" name="Objective-ModificationStamp">
    <vt:filetime>2019-10-09T15:23:49Z</vt:filetime>
  </property>
  <property fmtid="{D5CDD505-2E9C-101B-9397-08002B2CF9AE}" pid="11" name="Objective-Owner">
    <vt:lpwstr>Gozna, Margaret</vt:lpwstr>
  </property>
  <property fmtid="{D5CDD505-2E9C-101B-9397-08002B2CF9AE}" pid="12" name="Objective-Path">
    <vt:lpwstr>Thurrock Global Folder:Thurrock Corporate File Plan:Procurement:Tendering:Quick Calls:Quick Quotes 2019:PS/2019/257 Summative Assessment for SECCADS:</vt:lpwstr>
  </property>
  <property fmtid="{D5CDD505-2E9C-101B-9397-08002B2CF9AE}" pid="13" name="Objective-Parent">
    <vt:lpwstr>PS/2019/257 Summative Assessment for SECCADS</vt:lpwstr>
  </property>
  <property fmtid="{D5CDD505-2E9C-101B-9397-08002B2CF9AE}" pid="14" name="Objective-State">
    <vt:lpwstr>Published</vt:lpwstr>
  </property>
  <property fmtid="{D5CDD505-2E9C-101B-9397-08002B2CF9AE}" pid="15" name="Objective-VersionId">
    <vt:lpwstr>vA8078571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