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36B" w:rsidRDefault="005C5EC3" w:rsidP="00AB6F5E">
      <w:pPr>
        <w:pStyle w:val="Heading1"/>
      </w:pPr>
      <w:r>
        <w:t xml:space="preserve">Note on Catchment </w:t>
      </w:r>
      <w:r w:rsidR="00AD7280">
        <w:t xml:space="preserve">Management </w:t>
      </w:r>
      <w:r>
        <w:t>Statistics</w:t>
      </w:r>
    </w:p>
    <w:p w:rsidR="005C5EC3" w:rsidRDefault="005C5EC3"/>
    <w:p w:rsidR="00AB6F5E" w:rsidRDefault="00AB6F5E" w:rsidP="00AB6F5E">
      <w:pPr>
        <w:pStyle w:val="Heading1"/>
      </w:pPr>
      <w:r>
        <w:t>1</w:t>
      </w:r>
      <w:r>
        <w:tab/>
        <w:t>Purpose</w:t>
      </w:r>
    </w:p>
    <w:p w:rsidR="00AB6F5E" w:rsidRPr="00AB6F5E" w:rsidRDefault="00AB6F5E" w:rsidP="00AB6F5E"/>
    <w:p w:rsidR="005C5EC3" w:rsidRDefault="005C5EC3">
      <w:r>
        <w:t>The purpose of this note is to define what we mean by catchment statistics</w:t>
      </w:r>
      <w:r w:rsidR="009E713E">
        <w:t>, as applied in SIMCAT modelling for WFD and N2K sites</w:t>
      </w:r>
      <w:r>
        <w:t>.</w:t>
      </w:r>
    </w:p>
    <w:p w:rsidR="00AB6F5E" w:rsidRDefault="00AB6F5E" w:rsidP="00AB6F5E">
      <w:pPr>
        <w:pStyle w:val="Heading1"/>
      </w:pPr>
      <w:r>
        <w:t>2</w:t>
      </w:r>
      <w:r>
        <w:tab/>
        <w:t>Basic Concepts</w:t>
      </w:r>
    </w:p>
    <w:p w:rsidR="00AB6F5E" w:rsidRDefault="00AB6F5E"/>
    <w:p w:rsidR="005C5EC3" w:rsidRDefault="005C5EC3">
      <w:r>
        <w:t>The basic concepts are</w:t>
      </w:r>
      <w:r w:rsidR="009E713E">
        <w:t>:</w:t>
      </w:r>
    </w:p>
    <w:p w:rsidR="005C5EC3" w:rsidRDefault="005C5EC3" w:rsidP="00AD7280">
      <w:pPr>
        <w:pStyle w:val="ListParagraph"/>
        <w:numPr>
          <w:ilvl w:val="0"/>
          <w:numId w:val="1"/>
        </w:numPr>
      </w:pPr>
      <w:r>
        <w:t xml:space="preserve">Impact concentration </w:t>
      </w:r>
    </w:p>
    <w:p w:rsidR="00A5770D" w:rsidRDefault="00AD7280" w:rsidP="00AD7280">
      <w:pPr>
        <w:pStyle w:val="ListParagraph"/>
        <w:numPr>
          <w:ilvl w:val="1"/>
          <w:numId w:val="1"/>
        </w:numPr>
      </w:pPr>
      <w:proofErr w:type="spellStart"/>
      <w:r w:rsidRPr="00A5770D">
        <w:rPr>
          <w:i/>
        </w:rPr>
        <w:t>C</w:t>
      </w:r>
      <w:r w:rsidRPr="00A5770D">
        <w:rPr>
          <w:i/>
          <w:vertAlign w:val="subscript"/>
        </w:rPr>
        <w:t>S</w:t>
      </w:r>
      <w:r w:rsidR="00A5770D" w:rsidRPr="00A5770D">
        <w:rPr>
          <w:i/>
          <w:vertAlign w:val="subscript"/>
        </w:rPr>
        <w:t>i</w:t>
      </w:r>
      <w:proofErr w:type="spellEnd"/>
      <w:r>
        <w:t xml:space="preserve">  </w:t>
      </w:r>
      <w:r>
        <w:tab/>
      </w:r>
      <w:r w:rsidR="00FE0BD3">
        <w:t>Spot</w:t>
      </w:r>
      <w:r w:rsidR="005C5EC3">
        <w:t xml:space="preserve"> impact</w:t>
      </w:r>
      <w:r w:rsidR="002A69C5">
        <w:t>,</w:t>
      </w:r>
      <w:r w:rsidR="005C5EC3">
        <w:t xml:space="preserve"> being the concentration at a point in the catchment</w:t>
      </w:r>
      <w:r w:rsidR="00A5770D">
        <w:t xml:space="preserve">, for a </w:t>
      </w:r>
    </w:p>
    <w:p w:rsidR="005C5EC3" w:rsidRDefault="00A5770D" w:rsidP="00A5770D">
      <w:pPr>
        <w:pStyle w:val="ListParagraph"/>
        <w:ind w:left="1440"/>
      </w:pPr>
      <w:r>
        <w:tab/>
      </w:r>
      <w:proofErr w:type="gramStart"/>
      <w:r>
        <w:t>sector</w:t>
      </w:r>
      <w:proofErr w:type="gramEnd"/>
      <w:r>
        <w:t xml:space="preserve">, </w:t>
      </w:r>
      <w:proofErr w:type="spellStart"/>
      <w:r w:rsidRPr="00A5770D">
        <w:rPr>
          <w:i/>
        </w:rPr>
        <w:t>i</w:t>
      </w:r>
      <w:proofErr w:type="spellEnd"/>
      <w:r w:rsidRPr="00A5770D">
        <w:rPr>
          <w:i/>
        </w:rPr>
        <w:t>.</w:t>
      </w:r>
    </w:p>
    <w:p w:rsidR="00A5770D" w:rsidRDefault="00AD7280" w:rsidP="00AD7280">
      <w:pPr>
        <w:pStyle w:val="ListParagraph"/>
        <w:numPr>
          <w:ilvl w:val="1"/>
          <w:numId w:val="1"/>
        </w:numPr>
      </w:pPr>
      <w:proofErr w:type="spellStart"/>
      <w:r w:rsidRPr="00A5770D">
        <w:rPr>
          <w:i/>
        </w:rPr>
        <w:t>C</w:t>
      </w:r>
      <w:r w:rsidRPr="009E713E">
        <w:rPr>
          <w:i/>
          <w:vertAlign w:val="subscript"/>
        </w:rPr>
        <w:t>C</w:t>
      </w:r>
      <w:r w:rsidR="00A5770D" w:rsidRPr="009E713E">
        <w:rPr>
          <w:i/>
          <w:vertAlign w:val="subscript"/>
        </w:rPr>
        <w:t>i</w:t>
      </w:r>
      <w:proofErr w:type="spellEnd"/>
      <w:r>
        <w:t xml:space="preserve"> </w:t>
      </w:r>
      <w:r>
        <w:tab/>
      </w:r>
      <w:r w:rsidR="005C5EC3">
        <w:t>Catchment impact</w:t>
      </w:r>
      <w:r w:rsidR="002A69C5">
        <w:t>,</w:t>
      </w:r>
      <w:r w:rsidR="005C5EC3">
        <w:t xml:space="preserve"> being a representative concentration for the catchment </w:t>
      </w:r>
    </w:p>
    <w:p w:rsidR="005C5EC3" w:rsidRDefault="005C5EC3" w:rsidP="00A5770D">
      <w:pPr>
        <w:pStyle w:val="ListParagraph"/>
        <w:ind w:left="1440" w:firstLine="720"/>
      </w:pPr>
      <w:proofErr w:type="gramStart"/>
      <w:r>
        <w:t>as</w:t>
      </w:r>
      <w:proofErr w:type="gramEnd"/>
      <w:r>
        <w:t xml:space="preserve"> a whole</w:t>
      </w:r>
      <w:r w:rsidR="00A5770D">
        <w:t xml:space="preserve">, for a sector, </w:t>
      </w:r>
      <w:proofErr w:type="spellStart"/>
      <w:r w:rsidR="00A5770D" w:rsidRPr="00A5770D">
        <w:rPr>
          <w:i/>
        </w:rPr>
        <w:t>i</w:t>
      </w:r>
      <w:proofErr w:type="spellEnd"/>
      <w:r w:rsidR="00A5770D" w:rsidRPr="00A5770D">
        <w:rPr>
          <w:i/>
        </w:rPr>
        <w:t>.</w:t>
      </w:r>
    </w:p>
    <w:p w:rsidR="005C5EC3" w:rsidRDefault="005C5EC3" w:rsidP="00A5770D">
      <w:pPr>
        <w:pStyle w:val="ListParagraph"/>
        <w:ind w:left="1440"/>
      </w:pPr>
    </w:p>
    <w:p w:rsidR="005C5EC3" w:rsidRDefault="005C5EC3" w:rsidP="00AD7280">
      <w:pPr>
        <w:pStyle w:val="ListParagraph"/>
        <w:numPr>
          <w:ilvl w:val="0"/>
          <w:numId w:val="1"/>
        </w:numPr>
      </w:pPr>
      <w:r>
        <w:t xml:space="preserve">Share </w:t>
      </w:r>
    </w:p>
    <w:p w:rsidR="00AD7280" w:rsidRDefault="00AD7280" w:rsidP="00AD7280">
      <w:pPr>
        <w:pStyle w:val="ListParagraph"/>
        <w:numPr>
          <w:ilvl w:val="1"/>
          <w:numId w:val="1"/>
        </w:numPr>
        <w:ind w:left="1418"/>
      </w:pPr>
      <w:proofErr w:type="spellStart"/>
      <w:r w:rsidRPr="00A5770D">
        <w:rPr>
          <w:i/>
        </w:rPr>
        <w:t>S</w:t>
      </w:r>
      <w:r w:rsidRPr="00A5770D">
        <w:rPr>
          <w:i/>
          <w:vertAlign w:val="subscript"/>
        </w:rPr>
        <w:t>S</w:t>
      </w:r>
      <w:r w:rsidR="00A5770D" w:rsidRPr="00A5770D">
        <w:rPr>
          <w:i/>
          <w:vertAlign w:val="subscript"/>
        </w:rPr>
        <w:t>i</w:t>
      </w:r>
      <w:proofErr w:type="spellEnd"/>
      <w:r w:rsidRPr="00AD7280">
        <w:rPr>
          <w:vertAlign w:val="subscript"/>
        </w:rPr>
        <w:t xml:space="preserve"> </w:t>
      </w:r>
      <w:r>
        <w:rPr>
          <w:vertAlign w:val="subscript"/>
        </w:rPr>
        <w:tab/>
      </w:r>
      <w:r w:rsidR="00FE0BD3">
        <w:t>Spot share</w:t>
      </w:r>
      <w:r w:rsidR="002A69C5">
        <w:t>,</w:t>
      </w:r>
      <w:r w:rsidR="00FE0BD3">
        <w:t xml:space="preserve"> being a sector share of the target concentration at a point in the</w:t>
      </w:r>
    </w:p>
    <w:p w:rsidR="00FE0BD3" w:rsidRDefault="00A5770D" w:rsidP="00AD7280">
      <w:pPr>
        <w:pStyle w:val="ListParagraph"/>
        <w:ind w:left="2138" w:firstLine="22"/>
      </w:pPr>
      <w:r>
        <w:t>C</w:t>
      </w:r>
      <w:r w:rsidR="00FE0BD3">
        <w:t>atchment</w:t>
      </w:r>
      <w:r>
        <w:t xml:space="preserve">, for a sector, </w:t>
      </w:r>
      <w:proofErr w:type="spellStart"/>
      <w:r w:rsidRPr="00A5770D">
        <w:rPr>
          <w:i/>
        </w:rPr>
        <w:t>i</w:t>
      </w:r>
      <w:proofErr w:type="spellEnd"/>
      <w:r w:rsidRPr="00A5770D">
        <w:rPr>
          <w:i/>
        </w:rPr>
        <w:t>.</w:t>
      </w:r>
    </w:p>
    <w:p w:rsidR="002A69C5" w:rsidRDefault="00AD7280" w:rsidP="00AD7280">
      <w:pPr>
        <w:pStyle w:val="ListParagraph"/>
        <w:numPr>
          <w:ilvl w:val="1"/>
          <w:numId w:val="1"/>
        </w:numPr>
      </w:pPr>
      <w:proofErr w:type="spellStart"/>
      <w:r w:rsidRPr="00A5770D">
        <w:rPr>
          <w:i/>
        </w:rPr>
        <w:t>S</w:t>
      </w:r>
      <w:r w:rsidRPr="009E713E">
        <w:rPr>
          <w:i/>
          <w:vertAlign w:val="subscript"/>
        </w:rPr>
        <w:t>C</w:t>
      </w:r>
      <w:r w:rsidR="00A5770D" w:rsidRPr="009E713E">
        <w:rPr>
          <w:i/>
          <w:vertAlign w:val="subscript"/>
        </w:rPr>
        <w:t>i</w:t>
      </w:r>
      <w:proofErr w:type="spellEnd"/>
      <w:r>
        <w:t xml:space="preserve"> </w:t>
      </w:r>
      <w:r>
        <w:tab/>
      </w:r>
      <w:r w:rsidR="00FE0BD3">
        <w:t>Catchment share</w:t>
      </w:r>
      <w:r w:rsidR="002A69C5">
        <w:t>,</w:t>
      </w:r>
      <w:r w:rsidR="00FE0BD3">
        <w:t xml:space="preserve"> being the sector share of the target concentration. </w:t>
      </w:r>
    </w:p>
    <w:p w:rsidR="00FE0BD3" w:rsidRDefault="00FE0BD3" w:rsidP="00A5770D">
      <w:pPr>
        <w:pStyle w:val="ListParagraph"/>
        <w:ind w:left="1440" w:firstLine="720"/>
      </w:pPr>
      <w:r>
        <w:t>This is a single value applied across the whole catchment</w:t>
      </w:r>
      <w:r w:rsidR="009E713E">
        <w:t>, for a sector</w:t>
      </w:r>
      <w:r w:rsidR="00A5770D">
        <w:t>,</w:t>
      </w:r>
      <w:r w:rsidR="009E713E">
        <w:t xml:space="preserve"> </w:t>
      </w:r>
      <w:proofErr w:type="spellStart"/>
      <w:r w:rsidR="00A5770D" w:rsidRPr="00A5770D">
        <w:rPr>
          <w:i/>
        </w:rPr>
        <w:t>i</w:t>
      </w:r>
      <w:proofErr w:type="spellEnd"/>
      <w:r w:rsidR="00A5770D" w:rsidRPr="00A5770D">
        <w:rPr>
          <w:i/>
        </w:rPr>
        <w:t>.</w:t>
      </w:r>
    </w:p>
    <w:p w:rsidR="00FE0BD3" w:rsidRDefault="00FE0BD3" w:rsidP="00AD7280">
      <w:pPr>
        <w:pStyle w:val="ListParagraph"/>
        <w:numPr>
          <w:ilvl w:val="0"/>
          <w:numId w:val="1"/>
        </w:numPr>
      </w:pPr>
      <w:r>
        <w:t xml:space="preserve">Target </w:t>
      </w:r>
    </w:p>
    <w:p w:rsidR="00FE0BD3" w:rsidRDefault="00AD7280" w:rsidP="00AD7280">
      <w:pPr>
        <w:pStyle w:val="ListParagraph"/>
        <w:numPr>
          <w:ilvl w:val="1"/>
          <w:numId w:val="1"/>
        </w:numPr>
      </w:pPr>
      <w:r w:rsidRPr="00A5770D">
        <w:rPr>
          <w:i/>
        </w:rPr>
        <w:t>T</w:t>
      </w:r>
      <w:r w:rsidRPr="00A5770D">
        <w:rPr>
          <w:i/>
          <w:vertAlign w:val="subscript"/>
        </w:rPr>
        <w:t>S</w:t>
      </w:r>
      <w:r>
        <w:t xml:space="preserve"> </w:t>
      </w:r>
      <w:r>
        <w:tab/>
      </w:r>
      <w:r w:rsidR="00FE0BD3">
        <w:t>Spot target</w:t>
      </w:r>
      <w:r w:rsidR="002A69C5">
        <w:t>,</w:t>
      </w:r>
      <w:r w:rsidR="00FE0BD3">
        <w:t xml:space="preserve"> being the target concentration</w:t>
      </w:r>
      <w:r w:rsidR="00A5770D">
        <w:t xml:space="preserve"> (EQS)</w:t>
      </w:r>
      <w:r w:rsidR="00FE0BD3">
        <w:t xml:space="preserve"> at a point in the catchment</w:t>
      </w:r>
    </w:p>
    <w:p w:rsidR="00FE0BD3" w:rsidRDefault="00AD7280" w:rsidP="00AD7280">
      <w:pPr>
        <w:pStyle w:val="ListParagraph"/>
        <w:numPr>
          <w:ilvl w:val="1"/>
          <w:numId w:val="1"/>
        </w:numPr>
      </w:pPr>
      <w:r w:rsidRPr="00A5770D">
        <w:rPr>
          <w:i/>
        </w:rPr>
        <w:t>T</w:t>
      </w:r>
      <w:r w:rsidRPr="00A5770D">
        <w:rPr>
          <w:i/>
          <w:vertAlign w:val="subscript"/>
        </w:rPr>
        <w:t>C</w:t>
      </w:r>
      <w:r>
        <w:t xml:space="preserve"> </w:t>
      </w:r>
      <w:r>
        <w:tab/>
      </w:r>
      <w:r w:rsidR="00FE0BD3">
        <w:t>Catchment target</w:t>
      </w:r>
      <w:r w:rsidR="002A69C5">
        <w:t>,</w:t>
      </w:r>
      <w:r w:rsidR="00FE0BD3">
        <w:t xml:space="preserve"> being the average target </w:t>
      </w:r>
      <w:r w:rsidR="00A5770D">
        <w:t xml:space="preserve">(EQS) </w:t>
      </w:r>
      <w:r w:rsidR="00FE0BD3">
        <w:t>across the catchment</w:t>
      </w:r>
    </w:p>
    <w:p w:rsidR="00A5770D" w:rsidRDefault="00A5770D" w:rsidP="00A5770D">
      <w:pPr>
        <w:pStyle w:val="ListParagraph"/>
        <w:numPr>
          <w:ilvl w:val="1"/>
          <w:numId w:val="1"/>
        </w:numPr>
      </w:pPr>
      <w:proofErr w:type="spellStart"/>
      <w:r w:rsidRPr="00A5770D">
        <w:rPr>
          <w:i/>
        </w:rPr>
        <w:t>T</w:t>
      </w:r>
      <w:r w:rsidRPr="00A5770D">
        <w:rPr>
          <w:i/>
          <w:vertAlign w:val="subscript"/>
        </w:rPr>
        <w:t>Si</w:t>
      </w:r>
      <w:proofErr w:type="spellEnd"/>
      <w:r>
        <w:t xml:space="preserve"> </w:t>
      </w:r>
      <w:r>
        <w:tab/>
        <w:t xml:space="preserve">Spot target being the target concentration at a point in the catchment, </w:t>
      </w:r>
    </w:p>
    <w:p w:rsidR="00A5770D" w:rsidRDefault="00A5770D" w:rsidP="00A5770D">
      <w:pPr>
        <w:pStyle w:val="ListParagraph"/>
        <w:ind w:left="1440"/>
      </w:pPr>
      <w:r>
        <w:tab/>
      </w:r>
      <w:proofErr w:type="gramStart"/>
      <w:r w:rsidR="00C51E3F">
        <w:t>f</w:t>
      </w:r>
      <w:r>
        <w:t>or</w:t>
      </w:r>
      <w:proofErr w:type="gramEnd"/>
      <w:r>
        <w:t xml:space="preserve"> sector, </w:t>
      </w:r>
      <w:proofErr w:type="spellStart"/>
      <w:r w:rsidRPr="00A5770D">
        <w:rPr>
          <w:i/>
        </w:rPr>
        <w:t>i</w:t>
      </w:r>
      <w:proofErr w:type="spellEnd"/>
      <w:r w:rsidRPr="00A5770D">
        <w:rPr>
          <w:i/>
        </w:rPr>
        <w:t>.</w:t>
      </w:r>
    </w:p>
    <w:p w:rsidR="00C51E3F" w:rsidRDefault="00A5770D" w:rsidP="00A5770D">
      <w:pPr>
        <w:pStyle w:val="ListParagraph"/>
        <w:numPr>
          <w:ilvl w:val="1"/>
          <w:numId w:val="1"/>
        </w:numPr>
      </w:pPr>
      <w:proofErr w:type="spellStart"/>
      <w:r w:rsidRPr="00A5770D">
        <w:rPr>
          <w:i/>
        </w:rPr>
        <w:t>T</w:t>
      </w:r>
      <w:r w:rsidRPr="00A5770D">
        <w:rPr>
          <w:i/>
          <w:vertAlign w:val="subscript"/>
        </w:rPr>
        <w:t>Ci</w:t>
      </w:r>
      <w:proofErr w:type="spellEnd"/>
      <w:r>
        <w:t xml:space="preserve"> </w:t>
      </w:r>
      <w:r>
        <w:tab/>
        <w:t>Catchment target</w:t>
      </w:r>
      <w:r w:rsidR="002A69C5">
        <w:t>,</w:t>
      </w:r>
      <w:r>
        <w:t xml:space="preserve"> being the average target across the catchment</w:t>
      </w:r>
      <w:r w:rsidR="00C51E3F">
        <w:t xml:space="preserve">, for </w:t>
      </w:r>
    </w:p>
    <w:p w:rsidR="00A5770D" w:rsidRDefault="00C51E3F" w:rsidP="00C51E3F">
      <w:pPr>
        <w:pStyle w:val="ListParagraph"/>
        <w:ind w:left="1440"/>
      </w:pPr>
      <w:r>
        <w:rPr>
          <w:i/>
        </w:rPr>
        <w:tab/>
      </w:r>
      <w:proofErr w:type="gramStart"/>
      <w:r>
        <w:t>sector</w:t>
      </w:r>
      <w:proofErr w:type="gramEnd"/>
      <w:r>
        <w:t xml:space="preserve">, </w:t>
      </w:r>
      <w:proofErr w:type="spellStart"/>
      <w:r w:rsidRPr="00C51E3F">
        <w:rPr>
          <w:i/>
        </w:rPr>
        <w:t>i</w:t>
      </w:r>
      <w:proofErr w:type="spellEnd"/>
      <w:r>
        <w:t>.</w:t>
      </w:r>
    </w:p>
    <w:p w:rsidR="00FE0BD3" w:rsidRDefault="00FE0BD3" w:rsidP="00AD7280">
      <w:pPr>
        <w:pStyle w:val="ListParagraph"/>
        <w:numPr>
          <w:ilvl w:val="0"/>
          <w:numId w:val="1"/>
        </w:numPr>
      </w:pPr>
      <w:r>
        <w:t>Reduction</w:t>
      </w:r>
    </w:p>
    <w:p w:rsidR="009E713E" w:rsidRDefault="00AD7280" w:rsidP="00AD7280">
      <w:pPr>
        <w:pStyle w:val="ListParagraph"/>
        <w:numPr>
          <w:ilvl w:val="1"/>
          <w:numId w:val="1"/>
        </w:numPr>
      </w:pPr>
      <w:proofErr w:type="spellStart"/>
      <w:r w:rsidRPr="00A5770D">
        <w:rPr>
          <w:i/>
        </w:rPr>
        <w:t>R</w:t>
      </w:r>
      <w:r w:rsidRPr="00A5770D">
        <w:rPr>
          <w:i/>
          <w:vertAlign w:val="subscript"/>
        </w:rPr>
        <w:t>S</w:t>
      </w:r>
      <w:r w:rsidR="009E713E">
        <w:rPr>
          <w:i/>
          <w:vertAlign w:val="subscript"/>
        </w:rPr>
        <w:t>i</w:t>
      </w:r>
      <w:proofErr w:type="spellEnd"/>
      <w:r>
        <w:t xml:space="preserve"> </w:t>
      </w:r>
      <w:r>
        <w:tab/>
      </w:r>
      <w:r w:rsidR="00FE0BD3">
        <w:t>Spot reduction</w:t>
      </w:r>
      <w:r w:rsidR="002A69C5">
        <w:t>,</w:t>
      </w:r>
      <w:r w:rsidR="00FE0BD3">
        <w:t xml:space="preserve"> being the ratio of the spot concentration to the spot target</w:t>
      </w:r>
      <w:r w:rsidR="009E713E">
        <w:t xml:space="preserve"> </w:t>
      </w:r>
    </w:p>
    <w:p w:rsidR="00FE0BD3" w:rsidRDefault="009E713E" w:rsidP="00AD7280">
      <w:pPr>
        <w:pStyle w:val="ListParagraph"/>
        <w:numPr>
          <w:ilvl w:val="1"/>
          <w:numId w:val="1"/>
        </w:numPr>
      </w:pPr>
      <w:r>
        <w:rPr>
          <w:i/>
        </w:rPr>
        <w:tab/>
      </w:r>
      <w:r>
        <w:t>(</w:t>
      </w:r>
      <w:proofErr w:type="gramStart"/>
      <w:r>
        <w:t>by</w:t>
      </w:r>
      <w:proofErr w:type="gramEnd"/>
      <w:r>
        <w:t xml:space="preserve"> sector).</w:t>
      </w:r>
    </w:p>
    <w:p w:rsidR="002A69C5" w:rsidRDefault="00AD7280" w:rsidP="00AD7280">
      <w:pPr>
        <w:pStyle w:val="ListParagraph"/>
        <w:numPr>
          <w:ilvl w:val="1"/>
          <w:numId w:val="1"/>
        </w:numPr>
      </w:pPr>
      <w:proofErr w:type="spellStart"/>
      <w:r w:rsidRPr="00A5770D">
        <w:rPr>
          <w:i/>
        </w:rPr>
        <w:t>R</w:t>
      </w:r>
      <w:r w:rsidRPr="00A5770D">
        <w:rPr>
          <w:i/>
          <w:vertAlign w:val="subscript"/>
        </w:rPr>
        <w:t>C</w:t>
      </w:r>
      <w:r w:rsidR="009E713E">
        <w:rPr>
          <w:i/>
          <w:vertAlign w:val="subscript"/>
        </w:rPr>
        <w:t>i</w:t>
      </w:r>
      <w:proofErr w:type="spellEnd"/>
      <w:r>
        <w:t xml:space="preserve"> </w:t>
      </w:r>
      <w:r>
        <w:tab/>
      </w:r>
      <w:r w:rsidR="00FE0BD3">
        <w:t>Catchment reduction</w:t>
      </w:r>
      <w:r w:rsidR="002A69C5">
        <w:t>,</w:t>
      </w:r>
      <w:r w:rsidR="00FE0BD3">
        <w:t xml:space="preserve"> being the ratio of the </w:t>
      </w:r>
      <w:r>
        <w:t xml:space="preserve">catchment </w:t>
      </w:r>
      <w:r w:rsidR="009E713E">
        <w:t xml:space="preserve">impact </w:t>
      </w:r>
    </w:p>
    <w:p w:rsidR="00FE0BD3" w:rsidRDefault="002A69C5" w:rsidP="009E713E">
      <w:pPr>
        <w:pStyle w:val="ListParagraph"/>
        <w:ind w:left="1440"/>
      </w:pPr>
      <w:r>
        <w:rPr>
          <w:i/>
        </w:rPr>
        <w:tab/>
      </w:r>
      <w:proofErr w:type="gramStart"/>
      <w:r w:rsidR="00AD7280">
        <w:t>concentration</w:t>
      </w:r>
      <w:proofErr w:type="gramEnd"/>
      <w:r w:rsidR="00AD7280">
        <w:t xml:space="preserve"> </w:t>
      </w:r>
      <w:r w:rsidR="009E713E">
        <w:t>t</w:t>
      </w:r>
      <w:r w:rsidR="00AD7280">
        <w:t>o the catchment target</w:t>
      </w:r>
      <w:r w:rsidR="009E713E">
        <w:t xml:space="preserve"> (by sector).</w:t>
      </w:r>
    </w:p>
    <w:p w:rsidR="00A5770D" w:rsidRDefault="00AD7280" w:rsidP="00AD7280">
      <w:pPr>
        <w:pStyle w:val="ListParagraph"/>
        <w:numPr>
          <w:ilvl w:val="1"/>
          <w:numId w:val="1"/>
        </w:numPr>
      </w:pPr>
      <w:proofErr w:type="spellStart"/>
      <w:r w:rsidRPr="00A5770D">
        <w:rPr>
          <w:i/>
        </w:rPr>
        <w:t>R</w:t>
      </w:r>
      <w:r w:rsidRPr="00A5770D">
        <w:rPr>
          <w:i/>
          <w:vertAlign w:val="subscript"/>
        </w:rPr>
        <w:t>H</w:t>
      </w:r>
      <w:r w:rsidR="009E713E">
        <w:rPr>
          <w:i/>
          <w:vertAlign w:val="subscript"/>
        </w:rPr>
        <w:t>i</w:t>
      </w:r>
      <w:proofErr w:type="spellEnd"/>
      <w:r w:rsidRPr="00A5770D">
        <w:rPr>
          <w:i/>
        </w:rPr>
        <w:t xml:space="preserve"> </w:t>
      </w:r>
      <w:r>
        <w:tab/>
        <w:t>Hybrid reduction</w:t>
      </w:r>
      <w:r w:rsidR="002A69C5">
        <w:t>,</w:t>
      </w:r>
      <w:r>
        <w:t xml:space="preserve"> being the ratio of the spot concentration to catchment </w:t>
      </w:r>
    </w:p>
    <w:p w:rsidR="00AD7280" w:rsidRDefault="00AD7280" w:rsidP="00A5770D">
      <w:pPr>
        <w:pStyle w:val="ListParagraph"/>
        <w:ind w:left="1440" w:firstLine="720"/>
      </w:pPr>
      <w:proofErr w:type="gramStart"/>
      <w:r>
        <w:t>target</w:t>
      </w:r>
      <w:proofErr w:type="gramEnd"/>
      <w:r w:rsidR="009E713E">
        <w:t xml:space="preserve"> (by sector).</w:t>
      </w:r>
    </w:p>
    <w:p w:rsidR="00AD7280" w:rsidRDefault="00AD7280"/>
    <w:p w:rsidR="00AB6F5E" w:rsidRDefault="00AB6F5E">
      <w:pPr>
        <w:rPr>
          <w:rFonts w:asciiTheme="majorHAnsi" w:eastAsiaTheme="majorEastAsia" w:hAnsiTheme="majorHAnsi" w:cstheme="majorBidi"/>
          <w:color w:val="2E74B5" w:themeColor="accent1" w:themeShade="BF"/>
          <w:sz w:val="32"/>
          <w:szCs w:val="32"/>
        </w:rPr>
      </w:pPr>
      <w:r>
        <w:br w:type="page"/>
      </w:r>
    </w:p>
    <w:p w:rsidR="00FE0BD3" w:rsidRDefault="00AB6F5E" w:rsidP="00AB6F5E">
      <w:pPr>
        <w:pStyle w:val="Heading1"/>
      </w:pPr>
      <w:r>
        <w:lastRenderedPageBreak/>
        <w:t>3</w:t>
      </w:r>
      <w:r>
        <w:tab/>
      </w:r>
      <w:r w:rsidR="00AB0C45">
        <w:t>Application</w:t>
      </w:r>
    </w:p>
    <w:p w:rsidR="00AB6F5E" w:rsidRDefault="00AB6F5E"/>
    <w:p w:rsidR="00AB0C45" w:rsidRDefault="00AB6F5E" w:rsidP="00AB6F5E">
      <w:pPr>
        <w:pStyle w:val="Heading2"/>
      </w:pPr>
      <w:r>
        <w:t>3.1</w:t>
      </w:r>
      <w:r>
        <w:tab/>
      </w:r>
      <w:r w:rsidR="00AB0C45">
        <w:t>Fair share, WFD</w:t>
      </w:r>
    </w:p>
    <w:p w:rsidR="00AB6F5E" w:rsidRDefault="00AB6F5E"/>
    <w:p w:rsidR="0083471A" w:rsidRPr="00AB6F5E" w:rsidRDefault="0083471A">
      <w:pPr>
        <w:rPr>
          <w:color w:val="5B9BD5" w:themeColor="accent1"/>
        </w:rPr>
      </w:pPr>
      <w:r w:rsidRPr="00AB6F5E">
        <w:rPr>
          <w:color w:val="5B9BD5" w:themeColor="accent1"/>
        </w:rPr>
        <w:t>Calculating Impact</w:t>
      </w:r>
    </w:p>
    <w:p w:rsidR="00AB0C45" w:rsidRDefault="00AB0C45" w:rsidP="00AB6F5E">
      <w:pPr>
        <w:ind w:firstLine="720"/>
        <w:rPr>
          <w:i/>
          <w:vertAlign w:val="subscript"/>
        </w:rPr>
      </w:pPr>
      <w:r>
        <w:t xml:space="preserve">For diffuse sector   </w:t>
      </w:r>
    </w:p>
    <w:p w:rsidR="00AB0C45" w:rsidRDefault="00AB0C45">
      <m:oMathPara>
        <m:oMath>
          <m:sSub>
            <m:sSubPr>
              <m:ctrlPr>
                <w:rPr>
                  <w:rFonts w:ascii="Cambria Math" w:hAnsi="Cambria Math"/>
                  <w:i/>
                </w:rPr>
              </m:ctrlPr>
            </m:sSubPr>
            <m:e>
              <m:r>
                <w:rPr>
                  <w:rFonts w:ascii="Cambria Math" w:hAnsi="Cambria Math"/>
                </w:rPr>
                <m:t>C</m:t>
              </m:r>
            </m:e>
            <m:sub>
              <m:r>
                <w:rPr>
                  <w:rFonts w:ascii="Cambria Math" w:hAnsi="Cambria Math"/>
                </w:rPr>
                <m:t>C_diffuse</m:t>
              </m:r>
            </m:sub>
          </m:sSub>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C</m:t>
                      </m:r>
                    </m:e>
                    <m:sub>
                      <m:r>
                        <w:rPr>
                          <w:rFonts w:ascii="Cambria Math" w:hAnsi="Cambria Math"/>
                        </w:rPr>
                        <m:t>S</m:t>
                      </m:r>
                      <m:r>
                        <w:rPr>
                          <w:rFonts w:ascii="Cambria Math" w:hAnsi="Cambria Math"/>
                        </w:rPr>
                        <m:t>_diffuse</m:t>
                      </m:r>
                    </m:sub>
                  </m:sSub>
                </m:e>
              </m:nary>
            </m:num>
            <m:den>
              <m:r>
                <w:rPr>
                  <w:rFonts w:ascii="Cambria Math" w:hAnsi="Cambria Math"/>
                </w:rPr>
                <m:t>n</m:t>
              </m:r>
            </m:den>
          </m:f>
        </m:oMath>
      </m:oMathPara>
    </w:p>
    <w:p w:rsidR="00AB0C45" w:rsidRDefault="00AB0C45" w:rsidP="00AB6F5E">
      <w:pPr>
        <w:ind w:firstLine="720"/>
      </w:pPr>
      <w:r>
        <w:t>For point sector</w:t>
      </w:r>
    </w:p>
    <w:p w:rsidR="00AB0C45" w:rsidRDefault="00AB0C45">
      <m:oMathPara>
        <m:oMath>
          <m:sSub>
            <m:sSubPr>
              <m:ctrlPr>
                <w:rPr>
                  <w:rFonts w:ascii="Cambria Math" w:hAnsi="Cambria Math"/>
                  <w:i/>
                </w:rPr>
              </m:ctrlPr>
            </m:sSubPr>
            <m:e>
              <m:r>
                <w:rPr>
                  <w:rFonts w:ascii="Cambria Math" w:hAnsi="Cambria Math"/>
                </w:rPr>
                <m:t>C</m:t>
              </m:r>
            </m:e>
            <m:sub>
              <m:r>
                <w:rPr>
                  <w:rFonts w:ascii="Cambria Math" w:hAnsi="Cambria Math"/>
                </w:rPr>
                <m:t>C_point</m:t>
              </m:r>
            </m:sub>
          </m:sSub>
          <m:r>
            <m:rPr>
              <m:sty m:val="p"/>
            </m:rPr>
            <w:rPr>
              <w:rFonts w:ascii="Cambria Math" w:hAnsi="Cambria Math"/>
            </w:rPr>
            <m:t xml:space="preserve"> </m:t>
          </m:r>
          <m:r>
            <m:rPr>
              <m:sty m:val="p"/>
            </m:rPr>
            <w:rPr>
              <w:rFonts w:ascii="Cambria Math" w:hAnsi="Cambria Math"/>
            </w:rPr>
            <m:t xml:space="preserve"> =</m:t>
          </m:r>
          <m:r>
            <w:rPr>
              <w:rFonts w:ascii="Cambria Math" w:hAnsi="Cambria Math"/>
            </w:rPr>
            <m:t>percentile(</m:t>
          </m:r>
          <m:sSub>
            <m:sSubPr>
              <m:ctrlPr>
                <w:rPr>
                  <w:rFonts w:ascii="Cambria Math" w:hAnsi="Cambria Math"/>
                  <w:i/>
                </w:rPr>
              </m:ctrlPr>
            </m:sSubPr>
            <m:e>
              <m:r>
                <w:rPr>
                  <w:rFonts w:ascii="Cambria Math" w:hAnsi="Cambria Math"/>
                </w:rPr>
                <m:t>C</m:t>
              </m:r>
            </m:e>
            <m:sub>
              <m:r>
                <w:rPr>
                  <w:rFonts w:ascii="Cambria Math" w:hAnsi="Cambria Math"/>
                </w:rPr>
                <m:t>S_point</m:t>
              </m:r>
            </m:sub>
          </m:sSub>
          <m:r>
            <w:rPr>
              <w:rFonts w:ascii="Cambria Math" w:hAnsi="Cambria Math"/>
            </w:rPr>
            <m:t>)</m:t>
          </m:r>
        </m:oMath>
      </m:oMathPara>
    </w:p>
    <w:p w:rsidR="00AB0C45" w:rsidRDefault="00AB0C45"/>
    <w:p w:rsidR="002623FA" w:rsidRDefault="0083471A">
      <w:r>
        <w:t>Notes</w:t>
      </w:r>
    </w:p>
    <w:p w:rsidR="0083471A" w:rsidRDefault="0083471A" w:rsidP="00AB6F5E">
      <w:pPr>
        <w:pStyle w:val="ListParagraph"/>
        <w:numPr>
          <w:ilvl w:val="0"/>
          <w:numId w:val="1"/>
        </w:numPr>
      </w:pPr>
      <w:r>
        <w:t>This is predicated on the understanding that</w:t>
      </w:r>
      <w:r w:rsidR="009E713E">
        <w:t>:</w:t>
      </w:r>
    </w:p>
    <w:p w:rsidR="0083471A" w:rsidRDefault="0083471A" w:rsidP="009E713E">
      <w:pPr>
        <w:pStyle w:val="ListParagraph"/>
        <w:numPr>
          <w:ilvl w:val="1"/>
          <w:numId w:val="1"/>
        </w:numPr>
      </w:pPr>
      <w:r>
        <w:t>Diffuse concentrations are reasonably homogeneous over an operational catchment.</w:t>
      </w:r>
    </w:p>
    <w:p w:rsidR="00C51E3F" w:rsidRDefault="00C51E3F" w:rsidP="009E713E">
      <w:pPr>
        <w:pStyle w:val="ListParagraph"/>
        <w:numPr>
          <w:ilvl w:val="1"/>
          <w:numId w:val="1"/>
        </w:numPr>
      </w:pPr>
      <w:r>
        <w:t xml:space="preserve">The target concentrations are also reasonably </w:t>
      </w:r>
      <w:proofErr w:type="spellStart"/>
      <w:r>
        <w:t>homongeneous</w:t>
      </w:r>
      <w:proofErr w:type="spellEnd"/>
      <w:r>
        <w:t>.</w:t>
      </w:r>
    </w:p>
    <w:p w:rsidR="0083471A" w:rsidRDefault="0083471A" w:rsidP="009E713E">
      <w:pPr>
        <w:pStyle w:val="ListParagraph"/>
        <w:numPr>
          <w:ilvl w:val="1"/>
          <w:numId w:val="1"/>
        </w:numPr>
      </w:pPr>
      <w:r>
        <w:t>Point sources are spatially impulsive. So averaging their impact would penalise them.</w:t>
      </w:r>
    </w:p>
    <w:p w:rsidR="0083471A" w:rsidRDefault="0083471A" w:rsidP="00AB6F5E">
      <w:pPr>
        <w:pStyle w:val="ListParagraph"/>
        <w:numPr>
          <w:ilvl w:val="0"/>
          <w:numId w:val="1"/>
        </w:numPr>
      </w:pPr>
      <w:r>
        <w:t>The recommended percentile is the 85</w:t>
      </w:r>
      <w:r w:rsidRPr="00AB6F5E">
        <w:rPr>
          <w:vertAlign w:val="superscript"/>
        </w:rPr>
        <w:t>th</w:t>
      </w:r>
      <w:r>
        <w:t>. (This is consistent with earlier guidance on aiming for compliance in water bodies.)</w:t>
      </w:r>
    </w:p>
    <w:p w:rsidR="0083471A" w:rsidRDefault="0083471A" w:rsidP="00AB6F5E">
      <w:pPr>
        <w:pStyle w:val="ListParagraph"/>
        <w:numPr>
          <w:ilvl w:val="0"/>
          <w:numId w:val="1"/>
        </w:numPr>
      </w:pPr>
      <w:r>
        <w:t>(Other percentiles could be examined, with a view to achieving higher, or lower catchment compliance.)</w:t>
      </w:r>
    </w:p>
    <w:p w:rsidR="00AB6F5E" w:rsidRDefault="00AB6F5E"/>
    <w:p w:rsidR="0083471A" w:rsidRPr="00AB6F5E" w:rsidRDefault="0083471A">
      <w:pPr>
        <w:rPr>
          <w:color w:val="5B9BD5" w:themeColor="accent1"/>
        </w:rPr>
      </w:pPr>
      <w:r w:rsidRPr="00AB6F5E">
        <w:rPr>
          <w:color w:val="5B9BD5" w:themeColor="accent1"/>
        </w:rPr>
        <w:t>Calculating Sector Share</w:t>
      </w:r>
    </w:p>
    <w:p w:rsidR="0083471A" w:rsidRDefault="0083471A" w:rsidP="00AB6F5E">
      <w:pPr>
        <w:ind w:firstLine="720"/>
      </w:pPr>
      <w:r>
        <w:t>For diffuse sector</w:t>
      </w:r>
      <w:r w:rsidR="009E713E">
        <w:t>:</w:t>
      </w:r>
    </w:p>
    <w:p w:rsidR="0083471A" w:rsidRDefault="0083471A">
      <m:oMathPara>
        <m:oMath>
          <m:sSub>
            <m:sSubPr>
              <m:ctrlPr>
                <w:rPr>
                  <w:rFonts w:ascii="Cambria Math" w:hAnsi="Cambria Math"/>
                  <w:i/>
                </w:rPr>
              </m:ctrlPr>
            </m:sSubPr>
            <m:e>
              <m:r>
                <w:rPr>
                  <w:rFonts w:ascii="Cambria Math" w:hAnsi="Cambria Math"/>
                </w:rPr>
                <m:t>S</m:t>
              </m:r>
            </m:e>
            <m:sub>
              <m:r>
                <w:rPr>
                  <w:rFonts w:ascii="Cambria Math" w:hAnsi="Cambria Math"/>
                </w:rPr>
                <m:t>C_Diffuse</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C_diffuse</m:t>
                  </m:r>
                </m:sub>
              </m:sSub>
            </m:num>
            <m:den>
              <m:sSub>
                <m:sSubPr>
                  <m:ctrlPr>
                    <w:rPr>
                      <w:rFonts w:ascii="Cambria Math" w:hAnsi="Cambria Math"/>
                      <w:i/>
                    </w:rPr>
                  </m:ctrlPr>
                </m:sSubPr>
                <m:e>
                  <m:r>
                    <w:rPr>
                      <w:rFonts w:ascii="Cambria Math" w:hAnsi="Cambria Math"/>
                    </w:rPr>
                    <m:t>C</m:t>
                  </m:r>
                </m:e>
                <m:sub>
                  <m:r>
                    <w:rPr>
                      <w:rFonts w:ascii="Cambria Math" w:hAnsi="Cambria Math"/>
                    </w:rPr>
                    <m:t>C_diffuse</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C_point</m:t>
                  </m:r>
                </m:sub>
              </m:sSub>
            </m:den>
          </m:f>
        </m:oMath>
      </m:oMathPara>
    </w:p>
    <w:p w:rsidR="0083471A" w:rsidRDefault="002623FA" w:rsidP="00AB6F5E">
      <w:pPr>
        <w:ind w:firstLine="720"/>
      </w:pPr>
      <w:r>
        <w:t>(For Point Sector</w:t>
      </w:r>
    </w:p>
    <w:p w:rsidR="002623FA" w:rsidRDefault="002623FA">
      <m:oMathPara>
        <m:oMath>
          <m:sSub>
            <m:sSubPr>
              <m:ctrlPr>
                <w:rPr>
                  <w:rFonts w:ascii="Cambria Math" w:hAnsi="Cambria Math"/>
                  <w:i/>
                </w:rPr>
              </m:ctrlPr>
            </m:sSubPr>
            <m:e>
              <m:r>
                <w:rPr>
                  <w:rFonts w:ascii="Cambria Math" w:hAnsi="Cambria Math"/>
                </w:rPr>
                <m:t>S</m:t>
              </m:r>
            </m:e>
            <m:sub>
              <m:r>
                <w:rPr>
                  <w:rFonts w:ascii="Cambria Math" w:hAnsi="Cambria Math"/>
                </w:rPr>
                <m:t>C_Point</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C_point</m:t>
                  </m:r>
                </m:sub>
              </m:sSub>
            </m:num>
            <m:den>
              <m:sSub>
                <m:sSubPr>
                  <m:ctrlPr>
                    <w:rPr>
                      <w:rFonts w:ascii="Cambria Math" w:hAnsi="Cambria Math"/>
                      <w:i/>
                    </w:rPr>
                  </m:ctrlPr>
                </m:sSubPr>
                <m:e>
                  <m:r>
                    <w:rPr>
                      <w:rFonts w:ascii="Cambria Math" w:hAnsi="Cambria Math"/>
                    </w:rPr>
                    <m:t>C</m:t>
                  </m:r>
                </m:e>
                <m:sub>
                  <m:r>
                    <w:rPr>
                      <w:rFonts w:ascii="Cambria Math" w:hAnsi="Cambria Math"/>
                    </w:rPr>
                    <m:t>C_diffuse</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C_point</m:t>
                  </m:r>
                </m:sub>
              </m:sSub>
            </m:den>
          </m:f>
        </m:oMath>
      </m:oMathPara>
    </w:p>
    <w:p w:rsidR="0083471A" w:rsidRDefault="002623FA" w:rsidP="00AB6F5E">
      <w:pPr>
        <w:ind w:firstLine="720"/>
      </w:pPr>
      <w:proofErr w:type="gramStart"/>
      <w:r>
        <w:t>but</w:t>
      </w:r>
      <w:proofErr w:type="gramEnd"/>
      <w:r>
        <w:t xml:space="preserve"> this is equivalent to PR19 analysis and so </w:t>
      </w:r>
      <w:r w:rsidR="009E713E">
        <w:t>not</w:t>
      </w:r>
      <w:r>
        <w:t xml:space="preserve"> considered/applied further.)</w:t>
      </w:r>
    </w:p>
    <w:p w:rsidR="005C5EC3" w:rsidRDefault="005C5EC3"/>
    <w:p w:rsidR="005C5EC3" w:rsidRDefault="00AB6F5E" w:rsidP="00AB6F5E">
      <w:r>
        <w:t>Note</w:t>
      </w:r>
    </w:p>
    <w:p w:rsidR="00AB6F5E" w:rsidRPr="009E713E" w:rsidRDefault="002623FA" w:rsidP="009E713E">
      <w:pPr>
        <w:pStyle w:val="ListParagraph"/>
        <w:numPr>
          <w:ilvl w:val="0"/>
          <w:numId w:val="2"/>
        </w:numPr>
      </w:pPr>
      <w:r>
        <w:t xml:space="preserve">It is tempting to define the catchment share as being the average of the spot shares. </w:t>
      </w:r>
      <w:r w:rsidR="00C51E3F">
        <w:t xml:space="preserve">This should be avoided because it is not consistent with the PR19 guidance and it is difficult to relate to our catchment impact concentrations. </w:t>
      </w:r>
    </w:p>
    <w:p w:rsidR="002623FA" w:rsidRPr="00AB6F5E" w:rsidRDefault="00C51E3F">
      <w:pPr>
        <w:rPr>
          <w:color w:val="5B9BD5" w:themeColor="accent1"/>
        </w:rPr>
      </w:pPr>
      <w:r w:rsidRPr="00AB6F5E">
        <w:rPr>
          <w:color w:val="5B9BD5" w:themeColor="accent1"/>
        </w:rPr>
        <w:lastRenderedPageBreak/>
        <w:t>Calculating Sector Target</w:t>
      </w:r>
    </w:p>
    <w:p w:rsidR="00C51E3F" w:rsidRDefault="00C51E3F" w:rsidP="00AB6F5E">
      <w:pPr>
        <w:ind w:firstLine="720"/>
      </w:pPr>
      <w:r>
        <w:t>For diffuse sector</w:t>
      </w:r>
      <w:r w:rsidR="009E713E">
        <w:t>:</w:t>
      </w:r>
    </w:p>
    <w:p w:rsidR="00C51E3F" w:rsidRPr="00C51E3F" w:rsidRDefault="00C51E3F">
      <w:pPr>
        <w:rPr>
          <w:rFonts w:eastAsiaTheme="minorEastAsia"/>
        </w:rPr>
      </w:pPr>
      <m:oMathPara>
        <m:oMath>
          <m:sSub>
            <m:sSubPr>
              <m:ctrlPr>
                <w:rPr>
                  <w:rFonts w:ascii="Cambria Math" w:hAnsi="Cambria Math"/>
                  <w:i/>
                </w:rPr>
              </m:ctrlPr>
            </m:sSubPr>
            <m:e>
              <m:r>
                <w:rPr>
                  <w:rFonts w:ascii="Cambria Math" w:hAnsi="Cambria Math"/>
                </w:rPr>
                <m:t>T</m:t>
              </m:r>
              <m:r>
                <m:rPr>
                  <m:sty m:val="p"/>
                </m:rPr>
                <w:rPr>
                  <w:rFonts w:ascii="Cambria Math" w:hAnsi="Cambria Math"/>
                </w:rPr>
                <m:t xml:space="preserve"> </m:t>
              </m:r>
            </m:e>
            <m:sub>
              <m:r>
                <w:rPr>
                  <w:rFonts w:ascii="Cambria Math" w:hAnsi="Cambria Math"/>
                </w:rPr>
                <m:t>C_diffuse</m:t>
              </m:r>
            </m:sub>
          </m:sSub>
          <m:r>
            <w:rPr>
              <w:rFonts w:ascii="Cambria Math" w:hAnsi="Cambria Math"/>
            </w:rPr>
            <m:t xml:space="preserve">  = </m:t>
          </m:r>
          <m:sSub>
            <m:sSubPr>
              <m:ctrlPr>
                <w:rPr>
                  <w:rFonts w:ascii="Cambria Math" w:hAnsi="Cambria Math"/>
                  <w:i/>
                </w:rPr>
              </m:ctrlPr>
            </m:sSubPr>
            <m:e>
              <m:r>
                <w:rPr>
                  <w:rFonts w:ascii="Cambria Math" w:hAnsi="Cambria Math"/>
                </w:rPr>
                <m:t>S</m:t>
              </m:r>
            </m:e>
            <m:sub>
              <m:r>
                <w:rPr>
                  <w:rFonts w:ascii="Cambria Math" w:hAnsi="Cambria Math"/>
                </w:rPr>
                <m:t>C_Diffuse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m:oMathPara>
    </w:p>
    <w:p w:rsidR="00C51E3F" w:rsidRDefault="00C51E3F" w:rsidP="00AB6F5E">
      <w:pPr>
        <w:ind w:firstLine="720"/>
        <w:rPr>
          <w:rFonts w:eastAsiaTheme="minorEastAsia"/>
        </w:rPr>
      </w:pPr>
      <w:r>
        <w:rPr>
          <w:rFonts w:eastAsiaTheme="minorEastAsia"/>
        </w:rPr>
        <w:t>(</w:t>
      </w:r>
      <w:proofErr w:type="gramStart"/>
      <w:r>
        <w:rPr>
          <w:rFonts w:eastAsiaTheme="minorEastAsia"/>
        </w:rPr>
        <w:t>and</w:t>
      </w:r>
      <w:proofErr w:type="gramEnd"/>
      <w:r>
        <w:rPr>
          <w:rFonts w:eastAsiaTheme="minorEastAsia"/>
        </w:rPr>
        <w:t xml:space="preserve"> similarly for point target).</w:t>
      </w:r>
    </w:p>
    <w:p w:rsidR="00702A26" w:rsidRDefault="00702A26">
      <w:pPr>
        <w:rPr>
          <w:rFonts w:eastAsiaTheme="minorEastAsia"/>
        </w:rPr>
      </w:pPr>
    </w:p>
    <w:p w:rsidR="00702A26" w:rsidRPr="00AB6F5E" w:rsidRDefault="00702A26">
      <w:pPr>
        <w:rPr>
          <w:rFonts w:eastAsiaTheme="minorEastAsia"/>
          <w:color w:val="5B9BD5" w:themeColor="accent1"/>
        </w:rPr>
      </w:pPr>
      <w:r w:rsidRPr="00AB6F5E">
        <w:rPr>
          <w:rFonts w:eastAsiaTheme="minorEastAsia"/>
          <w:color w:val="5B9BD5" w:themeColor="accent1"/>
        </w:rPr>
        <w:t xml:space="preserve">Calculating </w:t>
      </w:r>
      <w:r w:rsidR="00AB6F5E">
        <w:rPr>
          <w:rFonts w:eastAsiaTheme="minorEastAsia"/>
          <w:color w:val="5B9BD5" w:themeColor="accent1"/>
        </w:rPr>
        <w:t>R</w:t>
      </w:r>
      <w:r w:rsidRPr="00AB6F5E">
        <w:rPr>
          <w:rFonts w:eastAsiaTheme="minorEastAsia"/>
          <w:color w:val="5B9BD5" w:themeColor="accent1"/>
        </w:rPr>
        <w:t>eduction</w:t>
      </w:r>
    </w:p>
    <w:p w:rsidR="00702A26" w:rsidRDefault="00702A26" w:rsidP="00AB6F5E">
      <w:pPr>
        <w:ind w:firstLine="720"/>
        <w:rPr>
          <w:rFonts w:eastAsiaTheme="minorEastAsia"/>
        </w:rPr>
      </w:pPr>
      <w:r>
        <w:rPr>
          <w:rFonts w:eastAsiaTheme="minorEastAsia"/>
        </w:rPr>
        <w:t>For diffuse sector</w:t>
      </w:r>
    </w:p>
    <w:p w:rsidR="00702A26" w:rsidRPr="00702A26" w:rsidRDefault="00702A26">
      <w:pPr>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C</m:t>
              </m:r>
              <m:r>
                <w:rPr>
                  <w:rFonts w:ascii="Cambria Math" w:hAnsi="Cambria Math"/>
                </w:rPr>
                <m:t>_diffuse</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C_diffuse</m:t>
                  </m:r>
                </m:sub>
              </m:sSub>
            </m:num>
            <m:den>
              <m:sSub>
                <m:sSubPr>
                  <m:ctrlPr>
                    <w:rPr>
                      <w:rFonts w:ascii="Cambria Math" w:hAnsi="Cambria Math"/>
                      <w:i/>
                    </w:rPr>
                  </m:ctrlPr>
                </m:sSubPr>
                <m:e>
                  <m:r>
                    <w:rPr>
                      <w:rFonts w:ascii="Cambria Math" w:hAnsi="Cambria Math"/>
                    </w:rPr>
                    <m:t>T</m:t>
                  </m:r>
                  <m:r>
                    <m:rPr>
                      <m:sty m:val="p"/>
                    </m:rPr>
                    <w:rPr>
                      <w:rFonts w:ascii="Cambria Math" w:hAnsi="Cambria Math"/>
                    </w:rPr>
                    <m:t xml:space="preserve"> </m:t>
                  </m:r>
                </m:e>
                <m:sub>
                  <m:r>
                    <w:rPr>
                      <w:rFonts w:ascii="Cambria Math" w:hAnsi="Cambria Math"/>
                    </w:rPr>
                    <m:t>C_diffuse</m:t>
                  </m:r>
                </m:sub>
              </m:sSub>
              <m:r>
                <w:rPr>
                  <w:rFonts w:ascii="Cambria Math" w:hAnsi="Cambria Math"/>
                </w:rPr>
                <m:t xml:space="preserve"> </m:t>
              </m:r>
            </m:den>
          </m:f>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C</m:t>
              </m:r>
              <m:r>
                <w:rPr>
                  <w:rFonts w:ascii="Cambria Math" w:hAnsi="Cambria Math"/>
                </w:rPr>
                <m:t>_diffuse</m:t>
              </m:r>
            </m:sub>
          </m:sSub>
          <m:r>
            <w:rPr>
              <w:rFonts w:ascii="Cambria Math" w:hAnsi="Cambria Math"/>
            </w:rPr>
            <m:t xml:space="preserve">=  1  if  </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C_diffuse</m:t>
                  </m:r>
                </m:e>
                <m:sub/>
              </m:sSub>
            </m:sub>
          </m:sSub>
          <m:r>
            <w:rPr>
              <w:rFonts w:ascii="Cambria Math" w:hAnsi="Cambria Math"/>
            </w:rPr>
            <m:t>&lt;</m:t>
          </m:r>
          <m:sSub>
            <m:sSubPr>
              <m:ctrlPr>
                <w:rPr>
                  <w:rFonts w:ascii="Cambria Math" w:hAnsi="Cambria Math"/>
                  <w:i/>
                </w:rPr>
              </m:ctrlPr>
            </m:sSubPr>
            <m:e>
              <m:r>
                <w:rPr>
                  <w:rFonts w:ascii="Cambria Math" w:hAnsi="Cambria Math"/>
                </w:rPr>
                <m:t>T</m:t>
              </m:r>
              <m:r>
                <m:rPr>
                  <m:sty m:val="p"/>
                </m:rPr>
                <w:rPr>
                  <w:rFonts w:ascii="Cambria Math" w:hAnsi="Cambria Math"/>
                </w:rPr>
                <m:t xml:space="preserve"> </m:t>
              </m:r>
            </m:e>
            <m:sub>
              <m:r>
                <w:rPr>
                  <w:rFonts w:ascii="Cambria Math" w:hAnsi="Cambria Math"/>
                </w:rPr>
                <m:t>C_diffuse</m:t>
              </m:r>
            </m:sub>
          </m:sSub>
          <m:r>
            <w:rPr>
              <w:rFonts w:ascii="Cambria Math" w:hAnsi="Cambria Math"/>
            </w:rPr>
            <m:t>)</m:t>
          </m:r>
        </m:oMath>
      </m:oMathPara>
    </w:p>
    <w:p w:rsidR="00702A26" w:rsidRDefault="00702A26">
      <w:pPr>
        <w:rPr>
          <w:rFonts w:eastAsiaTheme="minorEastAsia"/>
        </w:rPr>
      </w:pPr>
    </w:p>
    <w:p w:rsidR="00702A26" w:rsidRDefault="00702A26" w:rsidP="00AB6F5E">
      <w:pPr>
        <w:ind w:firstLine="720"/>
        <w:rPr>
          <w:rFonts w:eastAsiaTheme="minorEastAsia"/>
        </w:rPr>
      </w:pPr>
      <w:r>
        <w:rPr>
          <w:rFonts w:eastAsiaTheme="minorEastAsia"/>
        </w:rPr>
        <w:t xml:space="preserve">(Similarly for point, but </w:t>
      </w:r>
      <w:r w:rsidR="009E713E">
        <w:rPr>
          <w:rFonts w:eastAsiaTheme="minorEastAsia"/>
        </w:rPr>
        <w:t>this has essentially been done i</w:t>
      </w:r>
      <w:r>
        <w:rPr>
          <w:rFonts w:eastAsiaTheme="minorEastAsia"/>
        </w:rPr>
        <w:t>n PR19).</w:t>
      </w:r>
    </w:p>
    <w:p w:rsidR="00AB6F5E" w:rsidRDefault="00AB6F5E" w:rsidP="00AB6F5E">
      <w:pPr>
        <w:ind w:firstLine="720"/>
        <w:rPr>
          <w:rFonts w:eastAsiaTheme="minorEastAsia"/>
        </w:rPr>
      </w:pPr>
    </w:p>
    <w:p w:rsidR="00702A26" w:rsidRDefault="00AB6F5E" w:rsidP="00AB6F5E">
      <w:pPr>
        <w:ind w:firstLine="720"/>
        <w:rPr>
          <w:rFonts w:eastAsiaTheme="minorEastAsia"/>
        </w:rPr>
      </w:pPr>
      <w:r>
        <w:rPr>
          <w:rFonts w:eastAsiaTheme="minorEastAsia"/>
        </w:rPr>
        <w:t>(</w:t>
      </w:r>
      <w:r w:rsidR="00702A26">
        <w:rPr>
          <w:rFonts w:eastAsiaTheme="minorEastAsia"/>
        </w:rPr>
        <w:t>For diffuse sector – hybrid</w:t>
      </w:r>
    </w:p>
    <w:p w:rsidR="00702A26" w:rsidRDefault="00702A26" w:rsidP="00AB6F5E">
      <w:pPr>
        <w:ind w:left="709"/>
      </w:pPr>
      <w:r>
        <w:t>As noted above, this approach is predicated on the assumption that the diffuse concentrations are homogeneous across the catchment. There may however be hotspots</w:t>
      </w:r>
      <w:r w:rsidR="00AB6F5E">
        <w:t xml:space="preserve"> (or low spots)</w:t>
      </w:r>
      <w:r>
        <w:t>, where greater</w:t>
      </w:r>
      <w:r w:rsidR="00AB6F5E">
        <w:t xml:space="preserve"> (or lesser)</w:t>
      </w:r>
      <w:r>
        <w:t xml:space="preserve"> reduction is required. This reduction is given by</w:t>
      </w:r>
    </w:p>
    <w:p w:rsidR="00702A26" w:rsidRPr="00702A26" w:rsidRDefault="00702A26">
      <w:pPr>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H</m:t>
              </m:r>
              <m:r>
                <w:rPr>
                  <w:rFonts w:ascii="Cambria Math" w:hAnsi="Cambria Math"/>
                </w:rPr>
                <m:t>_diffuse</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S_diffuse</m:t>
                  </m:r>
                </m:sub>
              </m:sSub>
            </m:num>
            <m:den>
              <m:sSub>
                <m:sSubPr>
                  <m:ctrlPr>
                    <w:rPr>
                      <w:rFonts w:ascii="Cambria Math" w:hAnsi="Cambria Math"/>
                      <w:i/>
                    </w:rPr>
                  </m:ctrlPr>
                </m:sSubPr>
                <m:e>
                  <m:r>
                    <w:rPr>
                      <w:rFonts w:ascii="Cambria Math" w:hAnsi="Cambria Math"/>
                    </w:rPr>
                    <m:t>T</m:t>
                  </m:r>
                  <m:r>
                    <m:rPr>
                      <m:sty m:val="p"/>
                    </m:rPr>
                    <w:rPr>
                      <w:rFonts w:ascii="Cambria Math" w:hAnsi="Cambria Math"/>
                    </w:rPr>
                    <m:t xml:space="preserve"> </m:t>
                  </m:r>
                </m:e>
                <m:sub>
                  <m:r>
                    <w:rPr>
                      <w:rFonts w:ascii="Cambria Math" w:hAnsi="Cambria Math"/>
                    </w:rPr>
                    <m:t>C_diffuse</m:t>
                  </m:r>
                </m:sub>
              </m:sSub>
              <m:r>
                <w:rPr>
                  <w:rFonts w:ascii="Cambria Math" w:hAnsi="Cambria Math"/>
                </w:rPr>
                <m:t xml:space="preserve"> </m:t>
              </m:r>
            </m:den>
          </m:f>
        </m:oMath>
      </m:oMathPara>
    </w:p>
    <w:p w:rsidR="00AB6F5E" w:rsidRDefault="00702A26" w:rsidP="00AB6F5E">
      <w:pPr>
        <w:ind w:firstLine="720"/>
        <w:rPr>
          <w:rFonts w:eastAsiaTheme="minorEastAsia"/>
        </w:rPr>
      </w:pPr>
      <w:r>
        <w:rPr>
          <w:rFonts w:eastAsiaTheme="minorEastAsia"/>
        </w:rPr>
        <w:t xml:space="preserve">Note that </w:t>
      </w:r>
      <w:r w:rsidR="00AB6F5E">
        <w:rPr>
          <w:rFonts w:eastAsiaTheme="minorEastAsia"/>
        </w:rPr>
        <w:t>where greater reduction is required, the target is still the same for all.)</w:t>
      </w:r>
    </w:p>
    <w:p w:rsidR="00702A26" w:rsidRPr="000D0ABF" w:rsidRDefault="00AB6F5E" w:rsidP="00AB6F5E">
      <w:r w:rsidRPr="00AB6F5E">
        <w:rPr>
          <w:color w:val="5B9BD5" w:themeColor="accent1"/>
        </w:rPr>
        <w:t>Comments</w:t>
      </w:r>
    </w:p>
    <w:p w:rsidR="00AB6F5E" w:rsidRPr="000D0ABF" w:rsidRDefault="00AB6F5E" w:rsidP="000D0ABF">
      <w:pPr>
        <w:pStyle w:val="ListParagraph"/>
        <w:numPr>
          <w:ilvl w:val="0"/>
          <w:numId w:val="3"/>
        </w:numPr>
        <w:rPr>
          <w:color w:val="000000" w:themeColor="text1"/>
        </w:rPr>
      </w:pPr>
      <w:r w:rsidRPr="000D0ABF">
        <w:rPr>
          <w:color w:val="000000" w:themeColor="text1"/>
        </w:rPr>
        <w:t>The above allows us to separate out the diffuse and point share ob</w:t>
      </w:r>
      <w:r w:rsidR="00400AE8" w:rsidRPr="000D0ABF">
        <w:rPr>
          <w:color w:val="000000" w:themeColor="text1"/>
        </w:rPr>
        <w:t>ligations and hence manage them independently</w:t>
      </w:r>
      <w:r w:rsidR="002A69C5">
        <w:rPr>
          <w:color w:val="000000" w:themeColor="text1"/>
        </w:rPr>
        <w:t xml:space="preserve"> and so more easily and clearly</w:t>
      </w:r>
      <w:r w:rsidR="00400AE8" w:rsidRPr="000D0ABF">
        <w:rPr>
          <w:color w:val="000000" w:themeColor="text1"/>
        </w:rPr>
        <w:t>.</w:t>
      </w:r>
    </w:p>
    <w:p w:rsidR="00AB6F5E" w:rsidRPr="000D0ABF" w:rsidRDefault="00AB6F5E" w:rsidP="000D0ABF">
      <w:pPr>
        <w:pStyle w:val="ListParagraph"/>
        <w:numPr>
          <w:ilvl w:val="0"/>
          <w:numId w:val="3"/>
        </w:numPr>
        <w:rPr>
          <w:color w:val="000000" w:themeColor="text1"/>
        </w:rPr>
      </w:pPr>
      <w:r w:rsidRPr="000D0ABF">
        <w:rPr>
          <w:color w:val="000000" w:themeColor="text1"/>
        </w:rPr>
        <w:t>In particular identifying catchment averaged targets</w:t>
      </w:r>
      <w:r w:rsidR="00F94C78" w:rsidRPr="000D0ABF">
        <w:rPr>
          <w:color w:val="000000" w:themeColor="text1"/>
        </w:rPr>
        <w:t xml:space="preserve"> for </w:t>
      </w:r>
      <w:r w:rsidR="009E713E">
        <w:rPr>
          <w:color w:val="000000" w:themeColor="text1"/>
        </w:rPr>
        <w:t xml:space="preserve">a </w:t>
      </w:r>
      <w:r w:rsidR="00F94C78" w:rsidRPr="000D0ABF">
        <w:rPr>
          <w:color w:val="000000" w:themeColor="text1"/>
        </w:rPr>
        <w:t>sector</w:t>
      </w:r>
      <w:r w:rsidRPr="000D0ABF">
        <w:rPr>
          <w:color w:val="000000" w:themeColor="text1"/>
        </w:rPr>
        <w:t xml:space="preserve"> greatly simplifies the problem, whilst ensuring equity</w:t>
      </w:r>
      <w:r w:rsidR="00F94C78" w:rsidRPr="000D0ABF">
        <w:rPr>
          <w:color w:val="000000" w:themeColor="text1"/>
        </w:rPr>
        <w:t xml:space="preserve"> within sectors</w:t>
      </w:r>
      <w:r w:rsidR="00400AE8" w:rsidRPr="000D0ABF">
        <w:rPr>
          <w:color w:val="000000" w:themeColor="text1"/>
        </w:rPr>
        <w:t xml:space="preserve"> (</w:t>
      </w:r>
      <w:proofErr w:type="spellStart"/>
      <w:r w:rsidR="00400AE8" w:rsidRPr="000D0ABF">
        <w:rPr>
          <w:color w:val="000000" w:themeColor="text1"/>
        </w:rPr>
        <w:t>eg</w:t>
      </w:r>
      <w:proofErr w:type="spellEnd"/>
      <w:r w:rsidR="00400AE8" w:rsidRPr="000D0ABF">
        <w:rPr>
          <w:color w:val="000000" w:themeColor="text1"/>
        </w:rPr>
        <w:t xml:space="preserve"> SAFFO agricultural measures are uniformly applied across a catchment)</w:t>
      </w:r>
      <w:r w:rsidR="009E713E">
        <w:rPr>
          <w:color w:val="000000" w:themeColor="text1"/>
        </w:rPr>
        <w:t>.</w:t>
      </w:r>
    </w:p>
    <w:p w:rsidR="00F94C78" w:rsidRPr="000D0ABF" w:rsidRDefault="00F94C78" w:rsidP="000D0ABF">
      <w:pPr>
        <w:pStyle w:val="ListParagraph"/>
        <w:numPr>
          <w:ilvl w:val="0"/>
          <w:numId w:val="3"/>
        </w:numPr>
        <w:rPr>
          <w:color w:val="000000" w:themeColor="text1"/>
        </w:rPr>
      </w:pPr>
      <w:r w:rsidRPr="000D0ABF">
        <w:rPr>
          <w:color w:val="000000" w:themeColor="text1"/>
        </w:rPr>
        <w:t xml:space="preserve">This does not rule out the potential for collaboration between sectors. </w:t>
      </w:r>
    </w:p>
    <w:p w:rsidR="00F94C78" w:rsidRPr="000D0ABF" w:rsidRDefault="00F94C78" w:rsidP="000D0ABF">
      <w:pPr>
        <w:pStyle w:val="ListParagraph"/>
        <w:numPr>
          <w:ilvl w:val="0"/>
          <w:numId w:val="3"/>
        </w:numPr>
        <w:rPr>
          <w:color w:val="000000" w:themeColor="text1"/>
        </w:rPr>
      </w:pPr>
      <w:r w:rsidRPr="000D0ABF">
        <w:rPr>
          <w:color w:val="000000" w:themeColor="text1"/>
        </w:rPr>
        <w:t>The use of the percentile is powerful. From the specified percentile, we know that a corresponding percentage of the catch</w:t>
      </w:r>
      <w:bookmarkStart w:id="0" w:name="_GoBack"/>
      <w:bookmarkEnd w:id="0"/>
      <w:r w:rsidRPr="000D0ABF">
        <w:rPr>
          <w:color w:val="000000" w:themeColor="text1"/>
        </w:rPr>
        <w:t>ment will be compliant if the diffuse reduction measures are applied. Where the diffuse reduction measures are unattainable, we can look at the attainable measures and find the corresponding percentile, which will indicate how much of the catchment will be compliant.</w:t>
      </w:r>
    </w:p>
    <w:p w:rsidR="00F94C78" w:rsidRPr="000D0ABF" w:rsidRDefault="00F94C78" w:rsidP="000D0ABF">
      <w:pPr>
        <w:pStyle w:val="ListParagraph"/>
        <w:numPr>
          <w:ilvl w:val="0"/>
          <w:numId w:val="3"/>
        </w:numPr>
        <w:rPr>
          <w:color w:val="000000" w:themeColor="text1"/>
        </w:rPr>
      </w:pPr>
      <w:r w:rsidRPr="000D0ABF">
        <w:rPr>
          <w:color w:val="000000" w:themeColor="text1"/>
        </w:rPr>
        <w:t>The limitation of taking catchment statistics and using them to manage catchments is that ‘phase’ or location specific information is missing. So the effect of the presumed reductions should be calculated through SIMCAT and mapped out. This would be to check we are not over-egging the red</w:t>
      </w:r>
      <w:r w:rsidR="00400AE8" w:rsidRPr="000D0ABF">
        <w:rPr>
          <w:color w:val="000000" w:themeColor="text1"/>
        </w:rPr>
        <w:t>uc</w:t>
      </w:r>
      <w:r w:rsidRPr="000D0ABF">
        <w:rPr>
          <w:color w:val="000000" w:themeColor="text1"/>
        </w:rPr>
        <w:t xml:space="preserve">tions which could occur </w:t>
      </w:r>
      <w:r w:rsidR="00400AE8" w:rsidRPr="000D0ABF">
        <w:rPr>
          <w:color w:val="000000" w:themeColor="text1"/>
        </w:rPr>
        <w:t>i</w:t>
      </w:r>
      <w:r w:rsidRPr="000D0ABF">
        <w:rPr>
          <w:color w:val="000000" w:themeColor="text1"/>
        </w:rPr>
        <w:t>f the STWs are preferentially located towards the head of the catchments. In short, if t</w:t>
      </w:r>
      <w:r w:rsidR="00400AE8" w:rsidRPr="000D0ABF">
        <w:rPr>
          <w:color w:val="000000" w:themeColor="text1"/>
        </w:rPr>
        <w:t>h</w:t>
      </w:r>
      <w:r w:rsidRPr="000D0ABF">
        <w:rPr>
          <w:color w:val="000000" w:themeColor="text1"/>
        </w:rPr>
        <w:t>is were the case, th</w:t>
      </w:r>
      <w:r w:rsidR="00400AE8" w:rsidRPr="000D0ABF">
        <w:rPr>
          <w:color w:val="000000" w:themeColor="text1"/>
        </w:rPr>
        <w:t>en we could probably lessen the reductions needed in the lower catchment (or equivalently, find a local solution at the head of catchment).</w:t>
      </w:r>
    </w:p>
    <w:p w:rsidR="000D0ABF" w:rsidRDefault="00400AE8" w:rsidP="000D0ABF">
      <w:pPr>
        <w:pStyle w:val="ListParagraph"/>
        <w:numPr>
          <w:ilvl w:val="0"/>
          <w:numId w:val="3"/>
        </w:numPr>
        <w:rPr>
          <w:color w:val="000000" w:themeColor="text1"/>
        </w:rPr>
      </w:pPr>
      <w:r w:rsidRPr="000D0ABF">
        <w:rPr>
          <w:color w:val="000000" w:themeColor="text1"/>
        </w:rPr>
        <w:t>As always, none of this should get in the way of common sense.</w:t>
      </w:r>
    </w:p>
    <w:p w:rsidR="000D0ABF" w:rsidRDefault="000D0ABF" w:rsidP="000D0ABF">
      <w:pPr>
        <w:pStyle w:val="Heading2"/>
      </w:pPr>
      <w:r>
        <w:lastRenderedPageBreak/>
        <w:t>3.2</w:t>
      </w:r>
      <w:r>
        <w:tab/>
        <w:t>N2K sites</w:t>
      </w:r>
    </w:p>
    <w:p w:rsidR="000D0ABF" w:rsidRDefault="000D0ABF" w:rsidP="000D0ABF">
      <w:pPr>
        <w:rPr>
          <w:color w:val="000000" w:themeColor="text1"/>
        </w:rPr>
      </w:pPr>
    </w:p>
    <w:p w:rsidR="000D0ABF" w:rsidRDefault="000D0ABF" w:rsidP="000D0ABF">
      <w:pPr>
        <w:rPr>
          <w:color w:val="000000" w:themeColor="text1"/>
        </w:rPr>
      </w:pPr>
      <w:r>
        <w:rPr>
          <w:color w:val="000000" w:themeColor="text1"/>
        </w:rPr>
        <w:t>There is an interest in understanding the implications of fair share to N2K sites.</w:t>
      </w:r>
    </w:p>
    <w:p w:rsidR="000D0ABF" w:rsidRDefault="000D0ABF" w:rsidP="000D0ABF">
      <w:pPr>
        <w:rPr>
          <w:color w:val="000000" w:themeColor="text1"/>
        </w:rPr>
      </w:pPr>
      <w:r>
        <w:rPr>
          <w:color w:val="000000" w:themeColor="text1"/>
        </w:rPr>
        <w:t>The peculiar features of N2K sites which will distinguish them for the above WFD approach are:</w:t>
      </w:r>
    </w:p>
    <w:p w:rsidR="000D0ABF" w:rsidRPr="001C11C3" w:rsidRDefault="000D0ABF" w:rsidP="001C11C3">
      <w:pPr>
        <w:pStyle w:val="ListParagraph"/>
        <w:numPr>
          <w:ilvl w:val="0"/>
          <w:numId w:val="2"/>
        </w:numPr>
        <w:rPr>
          <w:color w:val="000000" w:themeColor="text1"/>
        </w:rPr>
      </w:pPr>
      <w:r w:rsidRPr="001C11C3">
        <w:rPr>
          <w:color w:val="000000" w:themeColor="text1"/>
        </w:rPr>
        <w:t>N2K sites do not cover a whole catchment; in particular upstream areas may not be part of the site.</w:t>
      </w:r>
    </w:p>
    <w:p w:rsidR="000D0ABF" w:rsidRPr="001C11C3" w:rsidRDefault="000D0ABF" w:rsidP="001C11C3">
      <w:pPr>
        <w:pStyle w:val="ListParagraph"/>
        <w:numPr>
          <w:ilvl w:val="0"/>
          <w:numId w:val="2"/>
        </w:numPr>
        <w:rPr>
          <w:color w:val="000000" w:themeColor="text1"/>
        </w:rPr>
      </w:pPr>
      <w:r w:rsidRPr="001C11C3">
        <w:rPr>
          <w:color w:val="000000" w:themeColor="text1"/>
        </w:rPr>
        <w:t>Targets have greater variability in N2K</w:t>
      </w:r>
    </w:p>
    <w:p w:rsidR="000D0ABF" w:rsidRPr="001C11C3" w:rsidRDefault="000D0ABF" w:rsidP="000D0ABF">
      <w:pPr>
        <w:rPr>
          <w:color w:val="5B9BD5" w:themeColor="accent1"/>
        </w:rPr>
      </w:pPr>
      <w:r w:rsidRPr="001C11C3">
        <w:rPr>
          <w:color w:val="5B9BD5" w:themeColor="accent1"/>
        </w:rPr>
        <w:t>Upstream Areas</w:t>
      </w:r>
    </w:p>
    <w:p w:rsidR="000D0ABF" w:rsidRDefault="000D0ABF" w:rsidP="000D0ABF">
      <w:pPr>
        <w:rPr>
          <w:color w:val="000000" w:themeColor="text1"/>
        </w:rPr>
      </w:pPr>
      <w:r>
        <w:rPr>
          <w:color w:val="000000" w:themeColor="text1"/>
        </w:rPr>
        <w:t>Under Habitats Directive, all sources impacting on a site are to be considered. Therefore, the simplest way to address upstream areas is to give them the same target as the adjacent downstream areas.</w:t>
      </w:r>
    </w:p>
    <w:p w:rsidR="000D0ABF" w:rsidRPr="001C11C3" w:rsidRDefault="000D0ABF" w:rsidP="000D0ABF">
      <w:pPr>
        <w:rPr>
          <w:color w:val="5B9BD5" w:themeColor="accent1"/>
        </w:rPr>
      </w:pPr>
      <w:r w:rsidRPr="001C11C3">
        <w:rPr>
          <w:color w:val="5B9BD5" w:themeColor="accent1"/>
        </w:rPr>
        <w:t>Target variability</w:t>
      </w:r>
    </w:p>
    <w:p w:rsidR="000D0ABF" w:rsidRDefault="006B6F79" w:rsidP="000D0ABF">
      <w:pPr>
        <w:rPr>
          <w:color w:val="000000" w:themeColor="text1"/>
        </w:rPr>
      </w:pPr>
      <w:r>
        <w:rPr>
          <w:color w:val="000000" w:themeColor="text1"/>
        </w:rPr>
        <w:t>It would be complex to develop a reliable algorithmic approach to a solution. Therefor a more exploratory approach is preferred, through the following steps, using the WFD methodology described above:</w:t>
      </w:r>
    </w:p>
    <w:p w:rsidR="006B6F79" w:rsidRPr="001C11C3" w:rsidRDefault="006B6F79" w:rsidP="001C11C3">
      <w:pPr>
        <w:pStyle w:val="ListParagraph"/>
        <w:numPr>
          <w:ilvl w:val="0"/>
          <w:numId w:val="4"/>
        </w:numPr>
        <w:rPr>
          <w:color w:val="000000" w:themeColor="text1"/>
        </w:rPr>
      </w:pPr>
      <w:r w:rsidRPr="001C11C3">
        <w:rPr>
          <w:color w:val="000000" w:themeColor="text1"/>
        </w:rPr>
        <w:t xml:space="preserve">Calculate the required reductions for minimum, average and maximum target. </w:t>
      </w:r>
    </w:p>
    <w:p w:rsidR="006B6F79" w:rsidRPr="001C11C3" w:rsidRDefault="006B6F79" w:rsidP="001C11C3">
      <w:pPr>
        <w:pStyle w:val="ListParagraph"/>
        <w:numPr>
          <w:ilvl w:val="0"/>
          <w:numId w:val="4"/>
        </w:numPr>
        <w:rPr>
          <w:color w:val="000000" w:themeColor="text1"/>
        </w:rPr>
      </w:pPr>
      <w:r w:rsidRPr="001C11C3">
        <w:rPr>
          <w:color w:val="000000" w:themeColor="text1"/>
        </w:rPr>
        <w:t>Compare them with the 10% (CSF), 30% (optimistic) 60% (maximum) categories. If they lie within the same category, recognising that there is probably a 20% uncertainty margin (t</w:t>
      </w:r>
      <w:r w:rsidR="001C11C3" w:rsidRPr="001C11C3">
        <w:rPr>
          <w:color w:val="000000" w:themeColor="text1"/>
        </w:rPr>
        <w:t xml:space="preserve">here is available info on this), then the result would be that the same measures would be applied anyway. </w:t>
      </w:r>
    </w:p>
    <w:p w:rsidR="001C11C3" w:rsidRPr="001C11C3" w:rsidRDefault="001C11C3" w:rsidP="001C11C3">
      <w:pPr>
        <w:pStyle w:val="ListParagraph"/>
        <w:numPr>
          <w:ilvl w:val="0"/>
          <w:numId w:val="4"/>
        </w:numPr>
        <w:rPr>
          <w:color w:val="000000" w:themeColor="text1"/>
        </w:rPr>
      </w:pPr>
      <w:r w:rsidRPr="001C11C3">
        <w:rPr>
          <w:color w:val="000000" w:themeColor="text1"/>
        </w:rPr>
        <w:t>Map out, using SIMCAT the implications of applying these reductions. Choose minimum, average or maximum, or all three depending on circumstances. Apply the logic in comment 5 above to evaluate.</w:t>
      </w:r>
    </w:p>
    <w:p w:rsidR="006B6F79" w:rsidRDefault="006B6F79" w:rsidP="000D0ABF">
      <w:pPr>
        <w:rPr>
          <w:color w:val="000000" w:themeColor="text1"/>
        </w:rPr>
      </w:pPr>
    </w:p>
    <w:p w:rsidR="006B6F79" w:rsidRPr="000D0ABF" w:rsidRDefault="006B6F79" w:rsidP="000D0ABF">
      <w:pPr>
        <w:rPr>
          <w:color w:val="000000" w:themeColor="text1"/>
        </w:rPr>
      </w:pPr>
    </w:p>
    <w:sectPr w:rsidR="006B6F79" w:rsidRPr="000D0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0752F"/>
    <w:multiLevelType w:val="hybridMultilevel"/>
    <w:tmpl w:val="FDE61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A63E0A"/>
    <w:multiLevelType w:val="hybridMultilevel"/>
    <w:tmpl w:val="2902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B44FC"/>
    <w:multiLevelType w:val="hybridMultilevel"/>
    <w:tmpl w:val="6954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94378F"/>
    <w:multiLevelType w:val="hybridMultilevel"/>
    <w:tmpl w:val="75F00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C3"/>
    <w:rsid w:val="000D0ABF"/>
    <w:rsid w:val="001C11C3"/>
    <w:rsid w:val="002623FA"/>
    <w:rsid w:val="002A69C5"/>
    <w:rsid w:val="00400AE8"/>
    <w:rsid w:val="005C5EC3"/>
    <w:rsid w:val="006B6F79"/>
    <w:rsid w:val="00702A26"/>
    <w:rsid w:val="0083471A"/>
    <w:rsid w:val="009C636B"/>
    <w:rsid w:val="009E713E"/>
    <w:rsid w:val="00A5770D"/>
    <w:rsid w:val="00AB0C45"/>
    <w:rsid w:val="00AB6F5E"/>
    <w:rsid w:val="00AD7280"/>
    <w:rsid w:val="00C51E3F"/>
    <w:rsid w:val="00F94C78"/>
    <w:rsid w:val="00FE0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F2D3A-E458-4ACE-9FEE-CAB0936C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6F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6F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280"/>
    <w:pPr>
      <w:ind w:left="720"/>
      <w:contextualSpacing/>
    </w:pPr>
  </w:style>
  <w:style w:type="character" w:styleId="PlaceholderText">
    <w:name w:val="Placeholder Text"/>
    <w:basedOn w:val="DefaultParagraphFont"/>
    <w:uiPriority w:val="99"/>
    <w:semiHidden/>
    <w:rsid w:val="00AB0C45"/>
    <w:rPr>
      <w:color w:val="808080"/>
    </w:rPr>
  </w:style>
  <w:style w:type="character" w:customStyle="1" w:styleId="Heading1Char">
    <w:name w:val="Heading 1 Char"/>
    <w:basedOn w:val="DefaultParagraphFont"/>
    <w:link w:val="Heading1"/>
    <w:uiPriority w:val="9"/>
    <w:rsid w:val="00AB6F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6F5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E7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F4A280C4.dotm</Template>
  <TotalTime>218</TotalTime>
  <Pages>4</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Murdoch, Neil</dc:creator>
  <cp:keywords/>
  <dc:description/>
  <cp:lastModifiedBy>Murdoch, Neil</cp:lastModifiedBy>
  <cp:revision>4</cp:revision>
  <cp:lastPrinted>2018-07-04T09:52:00Z</cp:lastPrinted>
  <dcterms:created xsi:type="dcterms:W3CDTF">2018-07-04T06:33:00Z</dcterms:created>
  <dcterms:modified xsi:type="dcterms:W3CDTF">2018-07-04T10:11:00Z</dcterms:modified>
</cp:coreProperties>
</file>