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C93" w:rsidRPr="00947C93" w:rsidRDefault="00B00A60" w:rsidP="00BA3F39">
      <w:pPr>
        <w:tabs>
          <w:tab w:val="left" w:pos="0"/>
        </w:tabs>
        <w:suppressAutoHyphens/>
        <w:jc w:val="center"/>
        <w:rPr>
          <w:rFonts w:ascii="Arial" w:hAnsi="Arial"/>
          <w:b/>
          <w:sz w:val="28"/>
          <w:szCs w:val="28"/>
          <w:lang w:val="en-US"/>
        </w:rPr>
      </w:pPr>
      <w:r>
        <w:rPr>
          <w:rFonts w:ascii="Arial" w:hAnsi="Arial"/>
          <w:b/>
          <w:sz w:val="28"/>
          <w:szCs w:val="28"/>
          <w:lang w:val="en-US"/>
        </w:rPr>
        <w:t>NEIGHBOURHOOD</w:t>
      </w:r>
      <w:r w:rsidR="00BA3F39">
        <w:rPr>
          <w:rFonts w:ascii="Arial" w:hAnsi="Arial"/>
          <w:b/>
          <w:sz w:val="28"/>
          <w:szCs w:val="28"/>
          <w:lang w:val="en-US"/>
        </w:rPr>
        <w:t xml:space="preserve"> PROFESSIONAL WITNESS SERVICES</w:t>
      </w:r>
      <w:r>
        <w:rPr>
          <w:rFonts w:ascii="Arial" w:hAnsi="Arial"/>
          <w:b/>
          <w:sz w:val="28"/>
          <w:szCs w:val="28"/>
          <w:lang w:val="en-US"/>
        </w:rPr>
        <w:t xml:space="preserve"> </w:t>
      </w:r>
    </w:p>
    <w:p w:rsidR="003308C7" w:rsidRPr="00E25778" w:rsidRDefault="003308C7" w:rsidP="00247D3B">
      <w:pPr>
        <w:pStyle w:val="Heading1"/>
        <w:numPr>
          <w:ilvl w:val="0"/>
          <w:numId w:val="33"/>
        </w:numPr>
        <w:spacing w:before="120" w:after="120"/>
        <w:ind w:right="691"/>
        <w:jc w:val="both"/>
        <w:rPr>
          <w:rFonts w:cs="Arial"/>
          <w:bCs/>
          <w:sz w:val="22"/>
          <w:szCs w:val="22"/>
        </w:rPr>
      </w:pPr>
      <w:r w:rsidRPr="00E25778">
        <w:rPr>
          <w:rFonts w:cs="Arial"/>
          <w:bCs/>
          <w:sz w:val="22"/>
          <w:szCs w:val="22"/>
        </w:rPr>
        <w:t>Introduction</w:t>
      </w:r>
    </w:p>
    <w:p w:rsidR="00924657" w:rsidRPr="00247D3B" w:rsidRDefault="00924657" w:rsidP="00247D3B">
      <w:pPr>
        <w:numPr>
          <w:ilvl w:val="1"/>
          <w:numId w:val="33"/>
        </w:numPr>
        <w:spacing w:before="120" w:after="120"/>
        <w:ind w:left="709" w:hanging="709"/>
        <w:jc w:val="both"/>
        <w:rPr>
          <w:rFonts w:ascii="Arial" w:hAnsi="Arial" w:cs="Arial"/>
          <w:sz w:val="22"/>
          <w:szCs w:val="22"/>
        </w:rPr>
      </w:pPr>
      <w:r w:rsidRPr="00247D3B">
        <w:rPr>
          <w:rFonts w:ascii="Arial" w:hAnsi="Arial" w:cs="Arial"/>
          <w:sz w:val="22"/>
          <w:szCs w:val="22"/>
        </w:rPr>
        <w:t>This service shall deliver a</w:t>
      </w:r>
      <w:r w:rsidR="002E05DE">
        <w:rPr>
          <w:rFonts w:ascii="Arial" w:hAnsi="Arial" w:cs="Arial"/>
          <w:sz w:val="22"/>
          <w:szCs w:val="22"/>
        </w:rPr>
        <w:t>n effective and credible</w:t>
      </w:r>
      <w:r w:rsidR="0018386B" w:rsidRPr="00247D3B">
        <w:rPr>
          <w:rFonts w:ascii="Arial" w:hAnsi="Arial" w:cs="Arial"/>
          <w:sz w:val="22"/>
          <w:szCs w:val="22"/>
        </w:rPr>
        <w:t xml:space="preserve"> professional witness</w:t>
      </w:r>
      <w:r w:rsidRPr="00247D3B">
        <w:rPr>
          <w:rFonts w:ascii="Arial" w:hAnsi="Arial" w:cs="Arial"/>
          <w:sz w:val="22"/>
          <w:szCs w:val="22"/>
        </w:rPr>
        <w:t xml:space="preserve"> service for tenants and leaseholders of Southwark Council. The service shall respond appr</w:t>
      </w:r>
      <w:r w:rsidR="00BA3F39">
        <w:rPr>
          <w:rFonts w:ascii="Arial" w:hAnsi="Arial" w:cs="Arial"/>
          <w:sz w:val="22"/>
          <w:szCs w:val="22"/>
        </w:rPr>
        <w:t>opriately to referrals for anti</w:t>
      </w:r>
      <w:r w:rsidRPr="00247D3B">
        <w:rPr>
          <w:rFonts w:ascii="Arial" w:hAnsi="Arial" w:cs="Arial"/>
          <w:sz w:val="22"/>
          <w:szCs w:val="22"/>
        </w:rPr>
        <w:t>social behaviour involving reported noise disturbance</w:t>
      </w:r>
      <w:r w:rsidR="00D33BAA" w:rsidRPr="00247D3B">
        <w:rPr>
          <w:rFonts w:ascii="Arial" w:hAnsi="Arial" w:cs="Arial"/>
          <w:sz w:val="22"/>
          <w:szCs w:val="22"/>
        </w:rPr>
        <w:t>. The Provider shall</w:t>
      </w:r>
      <w:r w:rsidR="00947C93">
        <w:rPr>
          <w:rFonts w:ascii="Arial" w:hAnsi="Arial" w:cs="Arial"/>
          <w:sz w:val="22"/>
          <w:szCs w:val="22"/>
        </w:rPr>
        <w:t xml:space="preserve"> </w:t>
      </w:r>
      <w:r w:rsidR="00D33BAA" w:rsidRPr="00247D3B">
        <w:rPr>
          <w:rFonts w:ascii="Arial" w:hAnsi="Arial" w:cs="Arial"/>
          <w:sz w:val="22"/>
          <w:szCs w:val="22"/>
        </w:rPr>
        <w:t>c</w:t>
      </w:r>
      <w:r w:rsidR="00947C93">
        <w:rPr>
          <w:rFonts w:ascii="Arial" w:hAnsi="Arial" w:cs="Arial"/>
          <w:sz w:val="22"/>
          <w:szCs w:val="22"/>
        </w:rPr>
        <w:t>arry out professional witness visits</w:t>
      </w:r>
      <w:r w:rsidR="00D33BAA" w:rsidRPr="00247D3B">
        <w:rPr>
          <w:rFonts w:ascii="Arial" w:hAnsi="Arial" w:cs="Arial"/>
          <w:sz w:val="22"/>
          <w:szCs w:val="22"/>
        </w:rPr>
        <w:t xml:space="preserve"> to enable the Council to identify perpetrators or vexatious complainants</w:t>
      </w:r>
      <w:r w:rsidRPr="00247D3B">
        <w:rPr>
          <w:rFonts w:ascii="Arial" w:hAnsi="Arial" w:cs="Arial"/>
          <w:sz w:val="22"/>
          <w:szCs w:val="22"/>
        </w:rPr>
        <w:t>.</w:t>
      </w:r>
    </w:p>
    <w:p w:rsidR="002E05DE" w:rsidRPr="002E05DE" w:rsidRDefault="00924657" w:rsidP="00247D3B">
      <w:pPr>
        <w:numPr>
          <w:ilvl w:val="1"/>
          <w:numId w:val="33"/>
        </w:numPr>
        <w:spacing w:before="120" w:after="120"/>
        <w:ind w:left="709" w:hanging="709"/>
        <w:jc w:val="both"/>
        <w:rPr>
          <w:rFonts w:ascii="Arial" w:hAnsi="Arial" w:cs="Arial"/>
          <w:sz w:val="22"/>
          <w:szCs w:val="22"/>
        </w:rPr>
      </w:pPr>
      <w:r w:rsidRPr="00247D3B">
        <w:rPr>
          <w:rFonts w:ascii="Arial" w:hAnsi="Arial" w:cs="Arial"/>
          <w:sz w:val="22"/>
          <w:szCs w:val="22"/>
        </w:rPr>
        <w:t>Following case closure the Provider shall send case notes</w:t>
      </w:r>
      <w:r w:rsidR="00D33BAA" w:rsidRPr="00247D3B">
        <w:rPr>
          <w:rFonts w:ascii="Arial" w:hAnsi="Arial" w:cs="Arial"/>
          <w:sz w:val="22"/>
          <w:szCs w:val="22"/>
        </w:rPr>
        <w:t xml:space="preserve"> and evidence records</w:t>
      </w:r>
      <w:r w:rsidRPr="00247D3B">
        <w:rPr>
          <w:rFonts w:ascii="Arial" w:hAnsi="Arial" w:cs="Arial"/>
          <w:sz w:val="22"/>
          <w:szCs w:val="22"/>
        </w:rPr>
        <w:t xml:space="preserve"> to the Council with feedback and recommendations for further action</w:t>
      </w:r>
      <w:r w:rsidR="0018386B" w:rsidRPr="00247D3B">
        <w:rPr>
          <w:rFonts w:ascii="Arial" w:hAnsi="Arial" w:cs="Arial"/>
          <w:sz w:val="22"/>
          <w:szCs w:val="22"/>
        </w:rPr>
        <w:t>, or in support of legal enforcement action by the Council.</w:t>
      </w:r>
      <w:r w:rsidR="002E05DE">
        <w:rPr>
          <w:rFonts w:ascii="Arial" w:hAnsi="Arial" w:cs="Arial"/>
          <w:sz w:val="22"/>
          <w:szCs w:val="22"/>
        </w:rPr>
        <w:t xml:space="preserve"> The Provider shall attend court to give evidence of their observations as required by the Council.</w:t>
      </w:r>
    </w:p>
    <w:p w:rsidR="003308C7" w:rsidRDefault="003308C7" w:rsidP="00247D3B">
      <w:pPr>
        <w:pStyle w:val="Heading1"/>
        <w:numPr>
          <w:ilvl w:val="0"/>
          <w:numId w:val="33"/>
        </w:numPr>
        <w:spacing w:before="120" w:after="120"/>
        <w:ind w:right="691"/>
        <w:jc w:val="both"/>
        <w:rPr>
          <w:rFonts w:cs="Arial"/>
          <w:bCs/>
          <w:sz w:val="22"/>
          <w:szCs w:val="22"/>
        </w:rPr>
      </w:pPr>
      <w:r w:rsidRPr="00E25778">
        <w:rPr>
          <w:rFonts w:cs="Arial"/>
          <w:bCs/>
          <w:sz w:val="22"/>
          <w:szCs w:val="22"/>
        </w:rPr>
        <w:t>Price</w:t>
      </w:r>
    </w:p>
    <w:p w:rsidR="000944B6" w:rsidRPr="00143842" w:rsidRDefault="000944B6" w:rsidP="00143842">
      <w:pPr>
        <w:numPr>
          <w:ilvl w:val="1"/>
          <w:numId w:val="33"/>
        </w:numPr>
        <w:spacing w:before="120" w:after="120"/>
        <w:ind w:left="709" w:hanging="709"/>
        <w:jc w:val="both"/>
        <w:rPr>
          <w:rFonts w:ascii="Arial" w:hAnsi="Arial" w:cs="Arial"/>
          <w:sz w:val="22"/>
          <w:szCs w:val="22"/>
        </w:rPr>
      </w:pPr>
      <w:r w:rsidRPr="00143842">
        <w:rPr>
          <w:rFonts w:ascii="Arial" w:hAnsi="Arial" w:cs="Arial"/>
          <w:sz w:val="22"/>
          <w:szCs w:val="22"/>
        </w:rPr>
        <w:t>The Provider quotation shall set a fixed price/case (based on the Provider’s average cost</w:t>
      </w:r>
      <w:r w:rsidR="006D6B72" w:rsidRPr="00143842">
        <w:rPr>
          <w:rFonts w:ascii="Arial" w:hAnsi="Arial" w:cs="Arial"/>
          <w:sz w:val="22"/>
          <w:szCs w:val="22"/>
        </w:rPr>
        <w:t>s). The case price shall comprise</w:t>
      </w:r>
      <w:r w:rsidRPr="00143842">
        <w:rPr>
          <w:rFonts w:ascii="Arial" w:hAnsi="Arial" w:cs="Arial"/>
          <w:sz w:val="22"/>
          <w:szCs w:val="22"/>
        </w:rPr>
        <w:t xml:space="preserve"> all of the Provider’s costs between referral and the achievement of an expected outcome, and shall include at least</w:t>
      </w:r>
      <w:r w:rsidR="00F243A6" w:rsidRPr="00143842">
        <w:rPr>
          <w:rFonts w:ascii="Arial" w:hAnsi="Arial" w:cs="Arial"/>
          <w:sz w:val="22"/>
          <w:szCs w:val="22"/>
        </w:rPr>
        <w:t xml:space="preserve"> two witness visits each lasting for at least two hours.</w:t>
      </w:r>
    </w:p>
    <w:p w:rsidR="00143842" w:rsidRPr="00143842" w:rsidRDefault="003308C7" w:rsidP="00143842">
      <w:pPr>
        <w:pStyle w:val="Heading1"/>
        <w:numPr>
          <w:ilvl w:val="0"/>
          <w:numId w:val="33"/>
        </w:numPr>
        <w:spacing w:before="120" w:after="120"/>
        <w:ind w:right="691"/>
        <w:jc w:val="both"/>
        <w:rPr>
          <w:rFonts w:cs="Arial"/>
          <w:bCs/>
          <w:sz w:val="22"/>
          <w:szCs w:val="22"/>
        </w:rPr>
      </w:pPr>
      <w:r w:rsidRPr="00E25778">
        <w:rPr>
          <w:rFonts w:cs="Arial"/>
          <w:bCs/>
          <w:sz w:val="22"/>
          <w:szCs w:val="22"/>
        </w:rPr>
        <w:t>Outcomes expected</w:t>
      </w:r>
    </w:p>
    <w:p w:rsidR="0059429C" w:rsidRDefault="00204DA9" w:rsidP="00143842">
      <w:pPr>
        <w:numPr>
          <w:ilvl w:val="1"/>
          <w:numId w:val="33"/>
        </w:numPr>
        <w:spacing w:before="120" w:after="120"/>
        <w:ind w:left="709" w:hanging="709"/>
        <w:jc w:val="both"/>
        <w:rPr>
          <w:rFonts w:ascii="Arial" w:hAnsi="Arial" w:cs="Arial"/>
          <w:sz w:val="22"/>
          <w:szCs w:val="22"/>
        </w:rPr>
      </w:pPr>
      <w:r w:rsidRPr="00143842">
        <w:rPr>
          <w:rFonts w:ascii="Arial" w:hAnsi="Arial" w:cs="Arial"/>
          <w:sz w:val="22"/>
          <w:szCs w:val="22"/>
        </w:rPr>
        <w:t>All c</w:t>
      </w:r>
      <w:r w:rsidR="0018386B" w:rsidRPr="00143842">
        <w:rPr>
          <w:rFonts w:ascii="Arial" w:hAnsi="Arial" w:cs="Arial"/>
          <w:sz w:val="22"/>
          <w:szCs w:val="22"/>
        </w:rPr>
        <w:t>ase</w:t>
      </w:r>
      <w:r w:rsidRPr="00143842">
        <w:rPr>
          <w:rFonts w:ascii="Arial" w:hAnsi="Arial" w:cs="Arial"/>
          <w:sz w:val="22"/>
          <w:szCs w:val="22"/>
        </w:rPr>
        <w:t>s</w:t>
      </w:r>
      <w:r w:rsidR="0018386B" w:rsidRPr="00143842">
        <w:rPr>
          <w:rFonts w:ascii="Arial" w:hAnsi="Arial" w:cs="Arial"/>
          <w:sz w:val="22"/>
          <w:szCs w:val="22"/>
        </w:rPr>
        <w:t xml:space="preserve"> </w:t>
      </w:r>
      <w:r w:rsidRPr="00143842">
        <w:rPr>
          <w:rFonts w:ascii="Arial" w:hAnsi="Arial" w:cs="Arial"/>
          <w:sz w:val="22"/>
          <w:szCs w:val="22"/>
        </w:rPr>
        <w:t xml:space="preserve">are to be </w:t>
      </w:r>
      <w:r w:rsidR="0018386B" w:rsidRPr="00143842">
        <w:rPr>
          <w:rFonts w:ascii="Arial" w:hAnsi="Arial" w:cs="Arial"/>
          <w:sz w:val="22"/>
          <w:szCs w:val="22"/>
        </w:rPr>
        <w:t>closed with a recommendation</w:t>
      </w:r>
      <w:r w:rsidR="00947C93" w:rsidRPr="00143842">
        <w:rPr>
          <w:rFonts w:ascii="Arial" w:hAnsi="Arial" w:cs="Arial"/>
          <w:sz w:val="22"/>
          <w:szCs w:val="22"/>
        </w:rPr>
        <w:t xml:space="preserve"> </w:t>
      </w:r>
      <w:r w:rsidR="0056700A" w:rsidRPr="00143842">
        <w:rPr>
          <w:rFonts w:ascii="Arial" w:hAnsi="Arial" w:cs="Arial"/>
          <w:sz w:val="22"/>
          <w:szCs w:val="22"/>
        </w:rPr>
        <w:t>accompanied by</w:t>
      </w:r>
      <w:r w:rsidR="00E1680F" w:rsidRPr="00143842">
        <w:rPr>
          <w:rFonts w:ascii="Arial" w:hAnsi="Arial" w:cs="Arial"/>
          <w:sz w:val="22"/>
          <w:szCs w:val="22"/>
        </w:rPr>
        <w:t xml:space="preserve"> docume</w:t>
      </w:r>
      <w:r w:rsidR="00947C93" w:rsidRPr="00143842">
        <w:rPr>
          <w:rFonts w:ascii="Arial" w:hAnsi="Arial" w:cs="Arial"/>
          <w:sz w:val="22"/>
          <w:szCs w:val="22"/>
        </w:rPr>
        <w:t>ntary or corroborative evidence</w:t>
      </w:r>
      <w:r w:rsidR="0018386B" w:rsidRPr="00143842">
        <w:rPr>
          <w:rFonts w:ascii="Arial" w:hAnsi="Arial" w:cs="Arial"/>
          <w:sz w:val="22"/>
          <w:szCs w:val="22"/>
        </w:rPr>
        <w:t xml:space="preserve"> for further action or referral</w:t>
      </w:r>
      <w:r w:rsidRPr="00143842">
        <w:rPr>
          <w:rFonts w:ascii="Arial" w:hAnsi="Arial" w:cs="Arial"/>
          <w:sz w:val="22"/>
          <w:szCs w:val="22"/>
        </w:rPr>
        <w:t>, or a recommendation for no further action due to lack of evidence.</w:t>
      </w:r>
      <w:r w:rsidR="00E1680F" w:rsidRPr="00143842">
        <w:rPr>
          <w:rFonts w:ascii="Arial" w:hAnsi="Arial" w:cs="Arial"/>
          <w:sz w:val="22"/>
          <w:szCs w:val="22"/>
        </w:rPr>
        <w:t xml:space="preserve"> E</w:t>
      </w:r>
      <w:r w:rsidRPr="00143842">
        <w:rPr>
          <w:rFonts w:ascii="Arial" w:hAnsi="Arial" w:cs="Arial"/>
          <w:sz w:val="22"/>
          <w:szCs w:val="22"/>
        </w:rPr>
        <w:t>vidence</w:t>
      </w:r>
      <w:r w:rsidR="00F411A3" w:rsidRPr="00143842">
        <w:rPr>
          <w:rFonts w:ascii="Arial" w:hAnsi="Arial" w:cs="Arial"/>
          <w:sz w:val="22"/>
          <w:szCs w:val="22"/>
        </w:rPr>
        <w:t xml:space="preserve"> gathered</w:t>
      </w:r>
      <w:r w:rsidRPr="00143842">
        <w:rPr>
          <w:rFonts w:ascii="Arial" w:hAnsi="Arial" w:cs="Arial"/>
          <w:sz w:val="22"/>
          <w:szCs w:val="22"/>
        </w:rPr>
        <w:t xml:space="preserve"> of noise nuisance should be </w:t>
      </w:r>
      <w:r w:rsidR="00E1680F" w:rsidRPr="00143842">
        <w:rPr>
          <w:rFonts w:ascii="Arial" w:hAnsi="Arial" w:cs="Arial"/>
          <w:sz w:val="22"/>
          <w:szCs w:val="22"/>
        </w:rPr>
        <w:t>sufficient and</w:t>
      </w:r>
      <w:r w:rsidR="00F243A6" w:rsidRPr="00143842">
        <w:rPr>
          <w:rFonts w:ascii="Arial" w:hAnsi="Arial" w:cs="Arial"/>
          <w:sz w:val="22"/>
          <w:szCs w:val="22"/>
        </w:rPr>
        <w:t xml:space="preserve"> suitable</w:t>
      </w:r>
      <w:r w:rsidR="005D3B92" w:rsidRPr="00143842">
        <w:rPr>
          <w:rFonts w:ascii="Arial" w:hAnsi="Arial" w:cs="Arial"/>
          <w:sz w:val="22"/>
          <w:szCs w:val="22"/>
        </w:rPr>
        <w:t xml:space="preserve"> for use in</w:t>
      </w:r>
      <w:r w:rsidR="0059429C" w:rsidRPr="00143842">
        <w:rPr>
          <w:rFonts w:ascii="Arial" w:hAnsi="Arial" w:cs="Arial"/>
          <w:sz w:val="22"/>
          <w:szCs w:val="22"/>
        </w:rPr>
        <w:t xml:space="preserve"> </w:t>
      </w:r>
      <w:r w:rsidR="002E05DE" w:rsidRPr="00143842">
        <w:rPr>
          <w:rFonts w:ascii="Arial" w:hAnsi="Arial" w:cs="Arial"/>
          <w:sz w:val="22"/>
          <w:szCs w:val="22"/>
        </w:rPr>
        <w:t>support</w:t>
      </w:r>
      <w:r w:rsidR="005D3B92" w:rsidRPr="00143842">
        <w:rPr>
          <w:rFonts w:ascii="Arial" w:hAnsi="Arial" w:cs="Arial"/>
          <w:sz w:val="22"/>
          <w:szCs w:val="22"/>
        </w:rPr>
        <w:t xml:space="preserve"> of</w:t>
      </w:r>
      <w:r w:rsidR="002E05DE" w:rsidRPr="00143842">
        <w:rPr>
          <w:rFonts w:ascii="Arial" w:hAnsi="Arial" w:cs="Arial"/>
          <w:sz w:val="22"/>
          <w:szCs w:val="22"/>
        </w:rPr>
        <w:t xml:space="preserve"> legal</w:t>
      </w:r>
      <w:r w:rsidR="0059429C" w:rsidRPr="00143842">
        <w:rPr>
          <w:rFonts w:ascii="Arial" w:hAnsi="Arial" w:cs="Arial"/>
          <w:sz w:val="22"/>
          <w:szCs w:val="22"/>
        </w:rPr>
        <w:t xml:space="preserve"> enforcement action</w:t>
      </w:r>
      <w:r w:rsidR="002E05DE" w:rsidRPr="00143842">
        <w:rPr>
          <w:rFonts w:ascii="Arial" w:hAnsi="Arial" w:cs="Arial"/>
          <w:sz w:val="22"/>
          <w:szCs w:val="22"/>
        </w:rPr>
        <w:t xml:space="preserve"> by the Council.</w:t>
      </w:r>
    </w:p>
    <w:p w:rsidR="0018386B" w:rsidRPr="00143842" w:rsidRDefault="0018386B" w:rsidP="00143842">
      <w:pPr>
        <w:numPr>
          <w:ilvl w:val="1"/>
          <w:numId w:val="33"/>
        </w:numPr>
        <w:spacing w:before="120" w:after="120"/>
        <w:ind w:left="709" w:hanging="709"/>
        <w:jc w:val="both"/>
        <w:rPr>
          <w:rFonts w:ascii="Arial" w:hAnsi="Arial" w:cs="Arial"/>
          <w:sz w:val="22"/>
          <w:szCs w:val="22"/>
        </w:rPr>
      </w:pPr>
      <w:r w:rsidRPr="00143842">
        <w:rPr>
          <w:rFonts w:ascii="Arial" w:hAnsi="Arial" w:cs="Arial"/>
          <w:sz w:val="22"/>
          <w:szCs w:val="22"/>
        </w:rPr>
        <w:t>The Provider shall record the case outcome</w:t>
      </w:r>
      <w:r w:rsidR="0059429C" w:rsidRPr="00143842">
        <w:rPr>
          <w:rFonts w:ascii="Arial" w:hAnsi="Arial" w:cs="Arial"/>
          <w:sz w:val="22"/>
          <w:szCs w:val="22"/>
        </w:rPr>
        <w:t>s</w:t>
      </w:r>
      <w:r w:rsidRPr="00143842">
        <w:rPr>
          <w:rFonts w:ascii="Arial" w:hAnsi="Arial" w:cs="Arial"/>
          <w:sz w:val="22"/>
          <w:szCs w:val="22"/>
        </w:rPr>
        <w:t xml:space="preserve"> in a </w:t>
      </w:r>
      <w:r w:rsidR="0056700A" w:rsidRPr="00143842">
        <w:rPr>
          <w:rFonts w:ascii="Arial" w:hAnsi="Arial" w:cs="Arial"/>
          <w:sz w:val="22"/>
          <w:szCs w:val="22"/>
        </w:rPr>
        <w:t>written</w:t>
      </w:r>
      <w:r w:rsidRPr="00143842">
        <w:rPr>
          <w:rFonts w:ascii="Arial" w:hAnsi="Arial" w:cs="Arial"/>
          <w:sz w:val="22"/>
          <w:szCs w:val="22"/>
        </w:rPr>
        <w:t xml:space="preserve"> case rep</w:t>
      </w:r>
      <w:r w:rsidR="00947C93" w:rsidRPr="00143842">
        <w:rPr>
          <w:rFonts w:ascii="Arial" w:hAnsi="Arial" w:cs="Arial"/>
          <w:sz w:val="22"/>
          <w:szCs w:val="22"/>
        </w:rPr>
        <w:t>ort to be sent to the relevant C</w:t>
      </w:r>
      <w:r w:rsidRPr="00143842">
        <w:rPr>
          <w:rFonts w:ascii="Arial" w:hAnsi="Arial" w:cs="Arial"/>
          <w:sz w:val="22"/>
          <w:szCs w:val="22"/>
        </w:rPr>
        <w:t xml:space="preserve">ouncil officer following case closure. This shall be sent within </w:t>
      </w:r>
      <w:r w:rsidR="0056700A" w:rsidRPr="00143842">
        <w:rPr>
          <w:rFonts w:ascii="Arial" w:hAnsi="Arial" w:cs="Arial"/>
          <w:sz w:val="22"/>
          <w:szCs w:val="22"/>
        </w:rPr>
        <w:t>10</w:t>
      </w:r>
      <w:r w:rsidRPr="00143842">
        <w:rPr>
          <w:rFonts w:ascii="Arial" w:hAnsi="Arial" w:cs="Arial"/>
          <w:sz w:val="22"/>
          <w:szCs w:val="22"/>
        </w:rPr>
        <w:t xml:space="preserve"> working days of case closure.</w:t>
      </w:r>
    </w:p>
    <w:p w:rsidR="0056700A" w:rsidRPr="00947C93" w:rsidRDefault="0056700A" w:rsidP="00947C93">
      <w:pPr>
        <w:numPr>
          <w:ilvl w:val="1"/>
          <w:numId w:val="33"/>
        </w:numPr>
        <w:spacing w:before="120" w:after="120"/>
        <w:ind w:left="709" w:hanging="709"/>
        <w:jc w:val="both"/>
        <w:rPr>
          <w:rFonts w:ascii="Arial" w:hAnsi="Arial" w:cs="Arial"/>
          <w:sz w:val="22"/>
          <w:szCs w:val="22"/>
        </w:rPr>
      </w:pPr>
      <w:r w:rsidRPr="00247D3B">
        <w:rPr>
          <w:rFonts w:ascii="Arial" w:hAnsi="Arial" w:cs="Arial"/>
          <w:sz w:val="22"/>
          <w:szCs w:val="22"/>
        </w:rPr>
        <w:t xml:space="preserve">This shall record </w:t>
      </w:r>
      <w:r w:rsidR="004438BA">
        <w:rPr>
          <w:rFonts w:ascii="Arial" w:hAnsi="Arial" w:cs="Arial"/>
          <w:sz w:val="22"/>
          <w:szCs w:val="22"/>
        </w:rPr>
        <w:t xml:space="preserve">the </w:t>
      </w:r>
      <w:r w:rsidR="00A80253">
        <w:rPr>
          <w:rFonts w:ascii="Arial" w:hAnsi="Arial" w:cs="Arial"/>
          <w:sz w:val="22"/>
          <w:szCs w:val="22"/>
        </w:rPr>
        <w:t>degree</w:t>
      </w:r>
      <w:r w:rsidR="004438BA">
        <w:rPr>
          <w:rFonts w:ascii="Arial" w:hAnsi="Arial" w:cs="Arial"/>
          <w:sz w:val="22"/>
          <w:szCs w:val="22"/>
        </w:rPr>
        <w:t>, frequency</w:t>
      </w:r>
      <w:r w:rsidR="00A80253">
        <w:rPr>
          <w:rFonts w:ascii="Arial" w:hAnsi="Arial" w:cs="Arial"/>
          <w:sz w:val="22"/>
          <w:szCs w:val="22"/>
        </w:rPr>
        <w:t xml:space="preserve"> and description of the noise accompanied by </w:t>
      </w:r>
      <w:r w:rsidRPr="00247D3B">
        <w:rPr>
          <w:rFonts w:ascii="Arial" w:hAnsi="Arial" w:cs="Arial"/>
          <w:sz w:val="22"/>
          <w:szCs w:val="22"/>
        </w:rPr>
        <w:t>recommendations for further action or referral</w:t>
      </w:r>
      <w:r w:rsidR="00A80253">
        <w:rPr>
          <w:rFonts w:ascii="Arial" w:hAnsi="Arial" w:cs="Arial"/>
          <w:sz w:val="22"/>
          <w:szCs w:val="22"/>
        </w:rPr>
        <w:t xml:space="preserve"> and</w:t>
      </w:r>
      <w:r w:rsidRPr="00247D3B">
        <w:rPr>
          <w:rFonts w:ascii="Arial" w:hAnsi="Arial" w:cs="Arial"/>
          <w:sz w:val="22"/>
          <w:szCs w:val="22"/>
        </w:rPr>
        <w:t xml:space="preserve"> with evidence that may be used by the Council to pursue legal enforcement action.</w:t>
      </w:r>
      <w:bookmarkStart w:id="0" w:name="_GoBack"/>
      <w:bookmarkEnd w:id="0"/>
    </w:p>
    <w:p w:rsidR="003308C7" w:rsidRPr="00E25778" w:rsidRDefault="003308C7" w:rsidP="00247D3B">
      <w:pPr>
        <w:pStyle w:val="Heading1"/>
        <w:numPr>
          <w:ilvl w:val="0"/>
          <w:numId w:val="33"/>
        </w:numPr>
        <w:spacing w:before="120" w:after="120"/>
        <w:ind w:right="691"/>
        <w:jc w:val="both"/>
        <w:rPr>
          <w:rFonts w:cs="Arial"/>
          <w:bCs/>
          <w:sz w:val="22"/>
          <w:szCs w:val="22"/>
        </w:rPr>
      </w:pPr>
      <w:r w:rsidRPr="00E25778">
        <w:rPr>
          <w:rFonts w:cs="Arial"/>
          <w:bCs/>
          <w:sz w:val="22"/>
          <w:szCs w:val="22"/>
        </w:rPr>
        <w:t>Process for accessing the services</w:t>
      </w:r>
    </w:p>
    <w:p w:rsidR="003308C7" w:rsidRPr="00E25778" w:rsidRDefault="0059429C" w:rsidP="00247D3B">
      <w:pPr>
        <w:numPr>
          <w:ilvl w:val="1"/>
          <w:numId w:val="33"/>
        </w:numPr>
        <w:spacing w:before="120" w:after="120"/>
        <w:ind w:left="709" w:hanging="709"/>
        <w:jc w:val="both"/>
        <w:rPr>
          <w:rFonts w:ascii="Arial" w:hAnsi="Arial" w:cs="Arial"/>
          <w:bCs/>
          <w:sz w:val="22"/>
          <w:szCs w:val="22"/>
        </w:rPr>
      </w:pPr>
      <w:r w:rsidRPr="00E25778">
        <w:rPr>
          <w:rFonts w:ascii="Arial" w:hAnsi="Arial" w:cs="Arial"/>
          <w:bCs/>
          <w:sz w:val="22"/>
          <w:szCs w:val="22"/>
        </w:rPr>
        <w:t>Residents</w:t>
      </w:r>
      <w:r w:rsidR="003308C7" w:rsidRPr="00E25778">
        <w:rPr>
          <w:rFonts w:ascii="Arial" w:hAnsi="Arial" w:cs="Arial"/>
          <w:bCs/>
          <w:sz w:val="22"/>
          <w:szCs w:val="22"/>
        </w:rPr>
        <w:t xml:space="preserve"> shall</w:t>
      </w:r>
      <w:r w:rsidRPr="00E25778">
        <w:rPr>
          <w:rFonts w:ascii="Arial" w:hAnsi="Arial" w:cs="Arial"/>
          <w:bCs/>
          <w:sz w:val="22"/>
          <w:szCs w:val="22"/>
        </w:rPr>
        <w:t xml:space="preserve"> be notified by</w:t>
      </w:r>
      <w:r w:rsidR="003308C7" w:rsidRPr="00E25778">
        <w:rPr>
          <w:rFonts w:ascii="Arial" w:hAnsi="Arial" w:cs="Arial"/>
          <w:bCs/>
          <w:sz w:val="22"/>
          <w:szCs w:val="22"/>
        </w:rPr>
        <w:t xml:space="preserve"> the Council</w:t>
      </w:r>
      <w:r w:rsidRPr="00E25778">
        <w:rPr>
          <w:rFonts w:ascii="Arial" w:hAnsi="Arial" w:cs="Arial"/>
          <w:bCs/>
          <w:sz w:val="22"/>
          <w:szCs w:val="22"/>
        </w:rPr>
        <w:t xml:space="preserve"> that</w:t>
      </w:r>
      <w:r w:rsidR="003308C7" w:rsidRPr="00E25778">
        <w:rPr>
          <w:rFonts w:ascii="Arial" w:hAnsi="Arial" w:cs="Arial"/>
          <w:bCs/>
          <w:sz w:val="22"/>
          <w:szCs w:val="22"/>
        </w:rPr>
        <w:t xml:space="preserve"> the case</w:t>
      </w:r>
      <w:r w:rsidRPr="00E25778">
        <w:rPr>
          <w:rFonts w:ascii="Arial" w:hAnsi="Arial" w:cs="Arial"/>
          <w:bCs/>
          <w:sz w:val="22"/>
          <w:szCs w:val="22"/>
        </w:rPr>
        <w:t xml:space="preserve"> is</w:t>
      </w:r>
      <w:r w:rsidR="003308C7" w:rsidRPr="00E25778">
        <w:rPr>
          <w:rFonts w:ascii="Arial" w:hAnsi="Arial" w:cs="Arial"/>
          <w:bCs/>
          <w:sz w:val="22"/>
          <w:szCs w:val="22"/>
        </w:rPr>
        <w:t xml:space="preserve"> to be ref</w:t>
      </w:r>
      <w:r w:rsidRPr="00E25778">
        <w:rPr>
          <w:rFonts w:ascii="Arial" w:hAnsi="Arial" w:cs="Arial"/>
          <w:bCs/>
          <w:sz w:val="22"/>
          <w:szCs w:val="22"/>
        </w:rPr>
        <w:t>erred for professional witnessing</w:t>
      </w:r>
      <w:r w:rsidR="003308C7" w:rsidRPr="00E25778">
        <w:rPr>
          <w:rFonts w:ascii="Arial" w:hAnsi="Arial" w:cs="Arial"/>
          <w:bCs/>
          <w:sz w:val="22"/>
          <w:szCs w:val="22"/>
        </w:rPr>
        <w:t>. An authorised officer (or officer designated by the authorised officer) of the Council shall then send a s</w:t>
      </w:r>
      <w:r w:rsidR="00F243A6">
        <w:rPr>
          <w:rFonts w:ascii="Arial" w:hAnsi="Arial" w:cs="Arial"/>
          <w:bCs/>
          <w:sz w:val="22"/>
          <w:szCs w:val="22"/>
        </w:rPr>
        <w:t>ervice request referral to the Provider</w:t>
      </w:r>
      <w:r w:rsidR="003308C7" w:rsidRPr="00E25778">
        <w:rPr>
          <w:rFonts w:ascii="Arial" w:hAnsi="Arial" w:cs="Arial"/>
          <w:bCs/>
          <w:sz w:val="22"/>
          <w:szCs w:val="22"/>
        </w:rPr>
        <w:t xml:space="preserve"> for a case to be opened.</w:t>
      </w:r>
    </w:p>
    <w:p w:rsidR="003308C7" w:rsidRPr="00E25778" w:rsidRDefault="003308C7" w:rsidP="00247D3B">
      <w:pPr>
        <w:numPr>
          <w:ilvl w:val="1"/>
          <w:numId w:val="33"/>
        </w:numPr>
        <w:spacing w:before="120" w:after="120"/>
        <w:ind w:left="709" w:hanging="709"/>
        <w:jc w:val="both"/>
        <w:rPr>
          <w:rFonts w:ascii="Arial" w:hAnsi="Arial" w:cs="Arial"/>
          <w:bCs/>
          <w:sz w:val="22"/>
          <w:szCs w:val="22"/>
        </w:rPr>
      </w:pPr>
      <w:r w:rsidRPr="00E25778">
        <w:rPr>
          <w:rFonts w:ascii="Arial" w:hAnsi="Arial" w:cs="Arial"/>
          <w:bCs/>
          <w:sz w:val="22"/>
          <w:szCs w:val="22"/>
        </w:rPr>
        <w:t>Service requests accompanied by a completed referral form shall be sent</w:t>
      </w:r>
      <w:r w:rsidR="00D95677" w:rsidRPr="00E25778">
        <w:rPr>
          <w:rFonts w:ascii="Arial" w:hAnsi="Arial" w:cs="Arial"/>
          <w:bCs/>
          <w:sz w:val="22"/>
          <w:szCs w:val="22"/>
        </w:rPr>
        <w:t xml:space="preserve"> by email</w:t>
      </w:r>
      <w:r w:rsidRPr="00E25778">
        <w:rPr>
          <w:rFonts w:ascii="Arial" w:hAnsi="Arial" w:cs="Arial"/>
          <w:bCs/>
          <w:sz w:val="22"/>
          <w:szCs w:val="22"/>
        </w:rPr>
        <w:t xml:space="preserve"> from the authorised officer of the Council (or officer designated by the authorised officer) to the Provider, authorising the opening of a case. </w:t>
      </w:r>
      <w:r w:rsidR="00D95677" w:rsidRPr="00247D3B">
        <w:rPr>
          <w:rFonts w:ascii="Arial" w:hAnsi="Arial" w:cs="Arial"/>
          <w:bCs/>
          <w:sz w:val="22"/>
          <w:szCs w:val="22"/>
        </w:rPr>
        <w:t>The referral shall include contact details of the parties involved, a summary of the ca</w:t>
      </w:r>
      <w:r w:rsidR="00E10446" w:rsidRPr="00247D3B">
        <w:rPr>
          <w:rFonts w:ascii="Arial" w:hAnsi="Arial" w:cs="Arial"/>
          <w:bCs/>
          <w:sz w:val="22"/>
          <w:szCs w:val="22"/>
        </w:rPr>
        <w:t>se history and any risk factors</w:t>
      </w:r>
      <w:r w:rsidR="006752CF">
        <w:rPr>
          <w:rFonts w:ascii="Arial" w:hAnsi="Arial" w:cs="Arial"/>
          <w:bCs/>
          <w:sz w:val="22"/>
          <w:szCs w:val="22"/>
        </w:rPr>
        <w:t xml:space="preserve"> which may be disclosed</w:t>
      </w:r>
      <w:r w:rsidR="00E10446" w:rsidRPr="00247D3B">
        <w:rPr>
          <w:rFonts w:ascii="Arial" w:hAnsi="Arial" w:cs="Arial"/>
          <w:bCs/>
          <w:sz w:val="22"/>
          <w:szCs w:val="22"/>
        </w:rPr>
        <w:t>.</w:t>
      </w:r>
      <w:r w:rsidR="00D95677" w:rsidRPr="00247D3B">
        <w:rPr>
          <w:rFonts w:ascii="Arial" w:hAnsi="Arial" w:cs="Arial"/>
          <w:bCs/>
          <w:sz w:val="22"/>
          <w:szCs w:val="22"/>
        </w:rPr>
        <w:t xml:space="preserve"> </w:t>
      </w:r>
      <w:r w:rsidRPr="00E25778">
        <w:rPr>
          <w:rFonts w:ascii="Arial" w:hAnsi="Arial" w:cs="Arial"/>
          <w:bCs/>
          <w:sz w:val="22"/>
          <w:szCs w:val="22"/>
        </w:rPr>
        <w:t>On receipt of the information provided by the Council, the Provider shall email an acknowledgement to the Council.</w:t>
      </w:r>
    </w:p>
    <w:p w:rsidR="0059429C" w:rsidRDefault="0059429C" w:rsidP="00247D3B">
      <w:pPr>
        <w:numPr>
          <w:ilvl w:val="1"/>
          <w:numId w:val="33"/>
        </w:numPr>
        <w:spacing w:before="120" w:after="120"/>
        <w:ind w:left="709" w:hanging="709"/>
        <w:jc w:val="both"/>
        <w:rPr>
          <w:rFonts w:ascii="Arial" w:hAnsi="Arial" w:cs="Arial"/>
          <w:sz w:val="22"/>
          <w:szCs w:val="22"/>
        </w:rPr>
      </w:pPr>
      <w:r w:rsidRPr="00247D3B">
        <w:rPr>
          <w:rFonts w:ascii="Arial" w:hAnsi="Arial" w:cs="Arial"/>
          <w:bCs/>
          <w:sz w:val="22"/>
          <w:szCs w:val="22"/>
        </w:rPr>
        <w:t xml:space="preserve">The Provider shall then </w:t>
      </w:r>
      <w:r w:rsidR="00D95677" w:rsidRPr="00247D3B">
        <w:rPr>
          <w:rFonts w:ascii="Arial" w:hAnsi="Arial" w:cs="Arial"/>
          <w:bCs/>
          <w:sz w:val="22"/>
          <w:szCs w:val="22"/>
        </w:rPr>
        <w:t>notify</w:t>
      </w:r>
      <w:r w:rsidRPr="00247D3B">
        <w:rPr>
          <w:rFonts w:ascii="Arial" w:hAnsi="Arial" w:cs="Arial"/>
          <w:bCs/>
          <w:sz w:val="22"/>
          <w:szCs w:val="22"/>
        </w:rPr>
        <w:t xml:space="preserve"> all </w:t>
      </w:r>
      <w:r w:rsidR="00D95677" w:rsidRPr="00247D3B">
        <w:rPr>
          <w:rFonts w:ascii="Arial" w:hAnsi="Arial" w:cs="Arial"/>
          <w:bCs/>
          <w:sz w:val="22"/>
          <w:szCs w:val="22"/>
        </w:rPr>
        <w:t>parties that professional witnessing is to be carried out</w:t>
      </w:r>
      <w:r w:rsidR="00033968">
        <w:rPr>
          <w:rFonts w:ascii="Arial" w:hAnsi="Arial" w:cs="Arial"/>
          <w:bCs/>
          <w:sz w:val="22"/>
          <w:szCs w:val="22"/>
        </w:rPr>
        <w:t xml:space="preserve"> and to arrange a witness visit with the complainant</w:t>
      </w:r>
      <w:r w:rsidRPr="00247D3B">
        <w:rPr>
          <w:rFonts w:ascii="Arial" w:hAnsi="Arial" w:cs="Arial"/>
          <w:sz w:val="22"/>
          <w:szCs w:val="22"/>
        </w:rPr>
        <w:t>. Initial contact shall be made by letter</w:t>
      </w:r>
      <w:r w:rsidR="00D95677" w:rsidRPr="00247D3B">
        <w:rPr>
          <w:rFonts w:ascii="Arial" w:hAnsi="Arial" w:cs="Arial"/>
          <w:sz w:val="22"/>
          <w:szCs w:val="22"/>
        </w:rPr>
        <w:t xml:space="preserve"> with all parties</w:t>
      </w:r>
      <w:r w:rsidRPr="00247D3B">
        <w:rPr>
          <w:rFonts w:ascii="Arial" w:hAnsi="Arial" w:cs="Arial"/>
          <w:sz w:val="22"/>
          <w:szCs w:val="22"/>
        </w:rPr>
        <w:t xml:space="preserve"> within five working days of the referr</w:t>
      </w:r>
      <w:r w:rsidR="00033968">
        <w:rPr>
          <w:rFonts w:ascii="Arial" w:hAnsi="Arial" w:cs="Arial"/>
          <w:sz w:val="22"/>
          <w:szCs w:val="22"/>
        </w:rPr>
        <w:t>al.</w:t>
      </w:r>
    </w:p>
    <w:p w:rsidR="000A2A35" w:rsidRDefault="000A2A35" w:rsidP="00247D3B">
      <w:pPr>
        <w:numPr>
          <w:ilvl w:val="1"/>
          <w:numId w:val="33"/>
        </w:numPr>
        <w:spacing w:before="120" w:after="120"/>
        <w:ind w:left="709" w:hanging="709"/>
        <w:jc w:val="both"/>
        <w:rPr>
          <w:rFonts w:ascii="Arial" w:hAnsi="Arial" w:cs="Arial"/>
          <w:sz w:val="22"/>
          <w:szCs w:val="22"/>
        </w:rPr>
      </w:pPr>
      <w:r>
        <w:rPr>
          <w:rFonts w:ascii="Arial" w:hAnsi="Arial" w:cs="Arial"/>
          <w:bCs/>
          <w:sz w:val="22"/>
          <w:szCs w:val="22"/>
        </w:rPr>
        <w:t xml:space="preserve">Where, </w:t>
      </w:r>
      <w:r w:rsidRPr="00A47A61">
        <w:rPr>
          <w:rFonts w:ascii="Arial" w:hAnsi="Arial" w:cs="Arial"/>
          <w:bCs/>
          <w:sz w:val="22"/>
          <w:szCs w:val="22"/>
        </w:rPr>
        <w:t>after three attempts</w:t>
      </w:r>
      <w:r>
        <w:rPr>
          <w:rFonts w:ascii="Arial" w:hAnsi="Arial" w:cs="Arial"/>
          <w:bCs/>
          <w:sz w:val="22"/>
          <w:szCs w:val="22"/>
        </w:rPr>
        <w:t xml:space="preserve">, the complainant refuses to engage with the Provider in order to arrange a witness visit, the case shall be closed with a recommendation for no further action due to lack of evidence (vexatious complaint). </w:t>
      </w:r>
    </w:p>
    <w:p w:rsidR="00033968" w:rsidRPr="00F243A6" w:rsidRDefault="001C498C" w:rsidP="000A2A35">
      <w:pPr>
        <w:numPr>
          <w:ilvl w:val="1"/>
          <w:numId w:val="33"/>
        </w:numPr>
        <w:spacing w:before="120" w:after="120"/>
        <w:ind w:left="709" w:hanging="709"/>
        <w:jc w:val="both"/>
        <w:rPr>
          <w:rFonts w:ascii="Arial" w:hAnsi="Arial" w:cs="Arial"/>
          <w:sz w:val="22"/>
          <w:szCs w:val="22"/>
        </w:rPr>
      </w:pPr>
      <w:r w:rsidRPr="00F243A6">
        <w:rPr>
          <w:rFonts w:ascii="Arial" w:hAnsi="Arial" w:cs="Arial"/>
          <w:bCs/>
          <w:sz w:val="22"/>
          <w:szCs w:val="22"/>
        </w:rPr>
        <w:t>Once contact with the parties has been made t</w:t>
      </w:r>
      <w:r w:rsidR="00033968" w:rsidRPr="00F243A6">
        <w:rPr>
          <w:rFonts w:ascii="Arial" w:hAnsi="Arial" w:cs="Arial"/>
          <w:bCs/>
          <w:sz w:val="22"/>
          <w:szCs w:val="22"/>
        </w:rPr>
        <w:t>he Provider shall be available at short notice to act as a professional witness</w:t>
      </w:r>
      <w:r w:rsidRPr="00F243A6">
        <w:rPr>
          <w:rFonts w:ascii="Arial" w:hAnsi="Arial" w:cs="Arial"/>
          <w:bCs/>
          <w:sz w:val="22"/>
          <w:szCs w:val="22"/>
        </w:rPr>
        <w:t xml:space="preserve"> </w:t>
      </w:r>
      <w:r w:rsidR="00033968" w:rsidRPr="00F243A6">
        <w:rPr>
          <w:rFonts w:ascii="Arial" w:hAnsi="Arial" w:cs="Arial"/>
          <w:bCs/>
          <w:sz w:val="22"/>
          <w:szCs w:val="22"/>
        </w:rPr>
        <w:t xml:space="preserve">in the </w:t>
      </w:r>
      <w:r w:rsidR="00947C93" w:rsidRPr="00F243A6">
        <w:rPr>
          <w:rFonts w:ascii="Arial" w:hAnsi="Arial" w:cs="Arial"/>
          <w:bCs/>
          <w:sz w:val="22"/>
          <w:szCs w:val="22"/>
        </w:rPr>
        <w:t>event of notification</w:t>
      </w:r>
      <w:r w:rsidR="00033968" w:rsidRPr="00F243A6">
        <w:rPr>
          <w:rFonts w:ascii="Arial" w:hAnsi="Arial" w:cs="Arial"/>
          <w:bCs/>
          <w:sz w:val="22"/>
          <w:szCs w:val="22"/>
        </w:rPr>
        <w:t xml:space="preserve"> of noise disturbance.</w:t>
      </w:r>
    </w:p>
    <w:p w:rsidR="003308C7" w:rsidRPr="00E25778" w:rsidRDefault="003308C7" w:rsidP="00247D3B">
      <w:pPr>
        <w:pStyle w:val="Heading1"/>
        <w:numPr>
          <w:ilvl w:val="0"/>
          <w:numId w:val="33"/>
        </w:numPr>
        <w:spacing w:before="120" w:after="120"/>
        <w:ind w:right="691"/>
        <w:jc w:val="both"/>
        <w:rPr>
          <w:rFonts w:cs="Arial"/>
          <w:bCs/>
          <w:sz w:val="22"/>
          <w:szCs w:val="22"/>
        </w:rPr>
      </w:pPr>
      <w:r w:rsidRPr="00E25778">
        <w:rPr>
          <w:rFonts w:cs="Arial"/>
          <w:bCs/>
          <w:sz w:val="22"/>
          <w:szCs w:val="22"/>
        </w:rPr>
        <w:t>Timing of referrals</w:t>
      </w:r>
    </w:p>
    <w:p w:rsidR="003308C7" w:rsidRPr="00E25778" w:rsidRDefault="003308C7" w:rsidP="00247D3B">
      <w:pPr>
        <w:numPr>
          <w:ilvl w:val="1"/>
          <w:numId w:val="33"/>
        </w:numPr>
        <w:spacing w:before="120" w:after="120"/>
        <w:ind w:left="709" w:hanging="709"/>
        <w:jc w:val="both"/>
        <w:rPr>
          <w:rFonts w:ascii="Arial" w:hAnsi="Arial" w:cs="Arial"/>
          <w:sz w:val="22"/>
          <w:szCs w:val="22"/>
        </w:rPr>
      </w:pPr>
      <w:r w:rsidRPr="00E25778">
        <w:rPr>
          <w:rFonts w:ascii="Arial" w:hAnsi="Arial" w:cs="Arial"/>
          <w:sz w:val="22"/>
          <w:szCs w:val="22"/>
        </w:rPr>
        <w:t xml:space="preserve">All service request referrals shall be made during Council </w:t>
      </w:r>
      <w:r w:rsidR="0095179B">
        <w:rPr>
          <w:rFonts w:ascii="Arial" w:hAnsi="Arial" w:cs="Arial"/>
          <w:sz w:val="22"/>
          <w:szCs w:val="22"/>
        </w:rPr>
        <w:t xml:space="preserve">office hours (9am – 5pm). </w:t>
      </w:r>
      <w:r w:rsidRPr="00E25778">
        <w:rPr>
          <w:rFonts w:ascii="Arial" w:hAnsi="Arial" w:cs="Arial"/>
          <w:sz w:val="22"/>
          <w:szCs w:val="22"/>
        </w:rPr>
        <w:t xml:space="preserve">It is likely that the number of referrals will increase during summer and Christmas holiday periods. </w:t>
      </w:r>
    </w:p>
    <w:p w:rsidR="003308C7" w:rsidRPr="00E25778" w:rsidRDefault="003308C7" w:rsidP="00247D3B">
      <w:pPr>
        <w:pStyle w:val="Heading1"/>
        <w:numPr>
          <w:ilvl w:val="0"/>
          <w:numId w:val="33"/>
        </w:numPr>
        <w:spacing w:before="120" w:after="120"/>
        <w:ind w:right="691"/>
        <w:jc w:val="both"/>
        <w:rPr>
          <w:rFonts w:cs="Arial"/>
          <w:bCs/>
          <w:sz w:val="22"/>
          <w:szCs w:val="22"/>
        </w:rPr>
      </w:pPr>
      <w:r w:rsidRPr="00E25778">
        <w:rPr>
          <w:rFonts w:cs="Arial"/>
          <w:bCs/>
          <w:sz w:val="22"/>
          <w:szCs w:val="22"/>
        </w:rPr>
        <w:lastRenderedPageBreak/>
        <w:t xml:space="preserve">Meeting the service users’ needs </w:t>
      </w:r>
    </w:p>
    <w:p w:rsidR="00A80253" w:rsidRPr="00947C93" w:rsidRDefault="005D3B92" w:rsidP="00947C93">
      <w:pPr>
        <w:numPr>
          <w:ilvl w:val="1"/>
          <w:numId w:val="33"/>
        </w:numPr>
        <w:spacing w:before="120" w:after="120"/>
        <w:ind w:left="709" w:hanging="709"/>
        <w:jc w:val="both"/>
        <w:rPr>
          <w:rFonts w:ascii="Arial" w:hAnsi="Arial" w:cs="Arial"/>
          <w:sz w:val="22"/>
          <w:szCs w:val="22"/>
        </w:rPr>
      </w:pPr>
      <w:r>
        <w:rPr>
          <w:rFonts w:ascii="Arial" w:hAnsi="Arial" w:cs="Arial"/>
          <w:sz w:val="22"/>
          <w:szCs w:val="22"/>
        </w:rPr>
        <w:t>T</w:t>
      </w:r>
      <w:r w:rsidR="002E05DE">
        <w:rPr>
          <w:rFonts w:ascii="Arial" w:hAnsi="Arial" w:cs="Arial"/>
          <w:sz w:val="22"/>
          <w:szCs w:val="22"/>
        </w:rPr>
        <w:t xml:space="preserve">he Provider shall act as a professional witness, including providing witness services outside Council office hours, to observe and record incidents of </w:t>
      </w:r>
      <w:r w:rsidR="00A80253">
        <w:rPr>
          <w:rFonts w:ascii="Arial" w:hAnsi="Arial" w:cs="Arial"/>
          <w:sz w:val="22"/>
          <w:szCs w:val="22"/>
        </w:rPr>
        <w:t>noise disturbance from a neighbouring property or from a communal area of the housing block.</w:t>
      </w:r>
    </w:p>
    <w:p w:rsidR="0069353E" w:rsidRPr="0069353E" w:rsidRDefault="0069353E" w:rsidP="0069353E">
      <w:pPr>
        <w:numPr>
          <w:ilvl w:val="1"/>
          <w:numId w:val="33"/>
        </w:numPr>
        <w:spacing w:before="120" w:after="120"/>
        <w:ind w:left="709" w:hanging="709"/>
        <w:jc w:val="both"/>
        <w:rPr>
          <w:rFonts w:ascii="Arial" w:hAnsi="Arial" w:cs="Arial"/>
          <w:sz w:val="22"/>
          <w:szCs w:val="22"/>
        </w:rPr>
      </w:pPr>
      <w:r w:rsidRPr="0069353E">
        <w:rPr>
          <w:rFonts w:ascii="Arial" w:hAnsi="Arial" w:cs="Arial"/>
          <w:sz w:val="22"/>
          <w:szCs w:val="22"/>
        </w:rPr>
        <w:t>The Provider shall agree a service monitoring process with the authorised officer of the Council (or officer designated by the authorised officer),</w:t>
      </w:r>
      <w:r w:rsidR="005D3B92">
        <w:rPr>
          <w:rFonts w:ascii="Arial" w:hAnsi="Arial" w:cs="Arial"/>
          <w:sz w:val="22"/>
          <w:szCs w:val="22"/>
        </w:rPr>
        <w:t xml:space="preserve"> including requirements for monthly reporting and collection of </w:t>
      </w:r>
      <w:r w:rsidR="00F243A6">
        <w:rPr>
          <w:rFonts w:ascii="Arial" w:hAnsi="Arial" w:cs="Arial"/>
          <w:sz w:val="22"/>
          <w:szCs w:val="22"/>
        </w:rPr>
        <w:t xml:space="preserve">service </w:t>
      </w:r>
      <w:r w:rsidR="005D3B92">
        <w:rPr>
          <w:rFonts w:ascii="Arial" w:hAnsi="Arial" w:cs="Arial"/>
          <w:sz w:val="22"/>
          <w:szCs w:val="22"/>
        </w:rPr>
        <w:t>user feedback,</w:t>
      </w:r>
      <w:r w:rsidRPr="0069353E">
        <w:rPr>
          <w:rFonts w:ascii="Arial" w:hAnsi="Arial" w:cs="Arial"/>
          <w:sz w:val="22"/>
          <w:szCs w:val="22"/>
        </w:rPr>
        <w:t xml:space="preserve"> and </w:t>
      </w:r>
      <w:r w:rsidR="005D3B92">
        <w:rPr>
          <w:rFonts w:ascii="Arial" w:hAnsi="Arial" w:cs="Arial"/>
          <w:sz w:val="22"/>
          <w:szCs w:val="22"/>
        </w:rPr>
        <w:t>use of</w:t>
      </w:r>
      <w:r w:rsidRPr="0069353E">
        <w:rPr>
          <w:rFonts w:ascii="Arial" w:hAnsi="Arial" w:cs="Arial"/>
          <w:sz w:val="22"/>
          <w:szCs w:val="22"/>
        </w:rPr>
        <w:t xml:space="preserve"> standard document</w:t>
      </w:r>
      <w:r w:rsidR="005D3B92">
        <w:rPr>
          <w:rFonts w:ascii="Arial" w:hAnsi="Arial" w:cs="Arial"/>
          <w:sz w:val="22"/>
          <w:szCs w:val="22"/>
        </w:rPr>
        <w:t>s and templates.</w:t>
      </w:r>
    </w:p>
    <w:p w:rsidR="003308C7" w:rsidRPr="00E25778" w:rsidRDefault="003308C7" w:rsidP="00247D3B">
      <w:pPr>
        <w:numPr>
          <w:ilvl w:val="1"/>
          <w:numId w:val="33"/>
        </w:numPr>
        <w:spacing w:before="120" w:after="120"/>
        <w:ind w:left="709" w:hanging="709"/>
        <w:jc w:val="both"/>
        <w:rPr>
          <w:rFonts w:ascii="Arial" w:hAnsi="Arial" w:cs="Arial"/>
          <w:sz w:val="22"/>
          <w:szCs w:val="22"/>
        </w:rPr>
      </w:pPr>
      <w:r w:rsidRPr="00E25778">
        <w:rPr>
          <w:rFonts w:ascii="Arial" w:hAnsi="Arial" w:cs="Arial"/>
          <w:sz w:val="22"/>
          <w:szCs w:val="22"/>
        </w:rPr>
        <w:t>The Provider shall be responsible for management of the case (</w:t>
      </w:r>
      <w:r w:rsidR="0056700A" w:rsidRPr="00E25778">
        <w:rPr>
          <w:rFonts w:ascii="Arial" w:hAnsi="Arial" w:cs="Arial"/>
          <w:sz w:val="22"/>
          <w:szCs w:val="22"/>
        </w:rPr>
        <w:t>including</w:t>
      </w:r>
      <w:r w:rsidR="0056700A">
        <w:rPr>
          <w:rFonts w:ascii="Arial" w:hAnsi="Arial" w:cs="Arial"/>
          <w:sz w:val="22"/>
          <w:szCs w:val="22"/>
        </w:rPr>
        <w:t xml:space="preserve"> the </w:t>
      </w:r>
      <w:r w:rsidR="0056700A" w:rsidRPr="00244729">
        <w:rPr>
          <w:rFonts w:ascii="Arial" w:hAnsi="Arial" w:cs="Arial"/>
          <w:sz w:val="22"/>
          <w:szCs w:val="22"/>
        </w:rPr>
        <w:t>manage</w:t>
      </w:r>
      <w:r w:rsidR="0056700A">
        <w:rPr>
          <w:rFonts w:ascii="Arial" w:hAnsi="Arial" w:cs="Arial"/>
          <w:sz w:val="22"/>
          <w:szCs w:val="22"/>
        </w:rPr>
        <w:t>ment and mitigation of</w:t>
      </w:r>
      <w:r w:rsidR="0056700A" w:rsidRPr="00244729">
        <w:rPr>
          <w:rFonts w:ascii="Arial" w:hAnsi="Arial" w:cs="Arial"/>
          <w:sz w:val="22"/>
          <w:szCs w:val="22"/>
        </w:rPr>
        <w:t xml:space="preserve"> any risks</w:t>
      </w:r>
      <w:r w:rsidR="0056700A">
        <w:rPr>
          <w:rFonts w:ascii="Arial" w:hAnsi="Arial" w:cs="Arial"/>
          <w:sz w:val="22"/>
          <w:szCs w:val="22"/>
        </w:rPr>
        <w:t xml:space="preserve"> prior to and during professional witness visits</w:t>
      </w:r>
      <w:r w:rsidRPr="00E25778">
        <w:rPr>
          <w:rFonts w:ascii="Arial" w:hAnsi="Arial" w:cs="Arial"/>
          <w:sz w:val="22"/>
          <w:szCs w:val="22"/>
        </w:rPr>
        <w:t>), ensuring that appropriate documents and records are maintained</w:t>
      </w:r>
      <w:r w:rsidR="00F411A3">
        <w:rPr>
          <w:rFonts w:ascii="Arial" w:hAnsi="Arial" w:cs="Arial"/>
          <w:sz w:val="22"/>
          <w:szCs w:val="22"/>
        </w:rPr>
        <w:t xml:space="preserve"> and statistics compiled</w:t>
      </w:r>
      <w:r w:rsidR="005D3B92">
        <w:rPr>
          <w:rFonts w:ascii="Arial" w:hAnsi="Arial" w:cs="Arial"/>
          <w:sz w:val="22"/>
          <w:szCs w:val="22"/>
        </w:rPr>
        <w:t xml:space="preserve"> for contract</w:t>
      </w:r>
      <w:r w:rsidR="00F411A3">
        <w:rPr>
          <w:rFonts w:ascii="Arial" w:hAnsi="Arial" w:cs="Arial"/>
          <w:sz w:val="22"/>
          <w:szCs w:val="22"/>
        </w:rPr>
        <w:t xml:space="preserve"> and performance monitoring</w:t>
      </w:r>
      <w:r w:rsidRPr="00E25778">
        <w:rPr>
          <w:rFonts w:ascii="Arial" w:hAnsi="Arial" w:cs="Arial"/>
          <w:sz w:val="22"/>
          <w:szCs w:val="22"/>
        </w:rPr>
        <w:t xml:space="preserve"> purposes.</w:t>
      </w:r>
    </w:p>
    <w:p w:rsidR="003308C7" w:rsidRDefault="00F411A3" w:rsidP="00247D3B">
      <w:pPr>
        <w:numPr>
          <w:ilvl w:val="1"/>
          <w:numId w:val="33"/>
        </w:numPr>
        <w:spacing w:before="120" w:after="120"/>
        <w:ind w:left="709" w:hanging="709"/>
        <w:jc w:val="both"/>
        <w:rPr>
          <w:rFonts w:ascii="Arial" w:hAnsi="Arial" w:cs="Arial"/>
          <w:sz w:val="22"/>
          <w:szCs w:val="22"/>
        </w:rPr>
      </w:pPr>
      <w:r>
        <w:rPr>
          <w:rFonts w:ascii="Arial" w:hAnsi="Arial" w:cs="Arial"/>
          <w:sz w:val="22"/>
          <w:szCs w:val="22"/>
        </w:rPr>
        <w:t>The Provider shall support</w:t>
      </w:r>
      <w:r w:rsidR="003308C7" w:rsidRPr="00E25778">
        <w:rPr>
          <w:rFonts w:ascii="Arial" w:hAnsi="Arial" w:cs="Arial"/>
          <w:sz w:val="22"/>
          <w:szCs w:val="22"/>
        </w:rPr>
        <w:t xml:space="preserve"> the Council to gather evidence where </w:t>
      </w:r>
      <w:r>
        <w:rPr>
          <w:rFonts w:ascii="Arial" w:hAnsi="Arial" w:cs="Arial"/>
          <w:sz w:val="22"/>
          <w:szCs w:val="22"/>
        </w:rPr>
        <w:t>enforcement action is necessary.</w:t>
      </w:r>
    </w:p>
    <w:p w:rsidR="003308C7" w:rsidRDefault="003308C7" w:rsidP="00247D3B">
      <w:pPr>
        <w:numPr>
          <w:ilvl w:val="1"/>
          <w:numId w:val="33"/>
        </w:numPr>
        <w:spacing w:before="120" w:after="120"/>
        <w:ind w:left="709" w:hanging="709"/>
        <w:jc w:val="both"/>
        <w:rPr>
          <w:rFonts w:ascii="Arial" w:hAnsi="Arial" w:cs="Arial"/>
          <w:sz w:val="22"/>
          <w:szCs w:val="22"/>
        </w:rPr>
      </w:pPr>
      <w:r w:rsidRPr="00E25778">
        <w:rPr>
          <w:rFonts w:ascii="Arial" w:hAnsi="Arial" w:cs="Arial"/>
          <w:sz w:val="22"/>
          <w:szCs w:val="22"/>
        </w:rPr>
        <w:t>The Provider shall</w:t>
      </w:r>
      <w:r w:rsidR="00F411A3">
        <w:rPr>
          <w:rFonts w:ascii="Arial" w:hAnsi="Arial" w:cs="Arial"/>
          <w:sz w:val="22"/>
          <w:szCs w:val="22"/>
        </w:rPr>
        <w:t xml:space="preserve"> attend court to give evidence of their observations in cases of antisocial behaviour as required by the</w:t>
      </w:r>
      <w:r w:rsidRPr="00E25778">
        <w:rPr>
          <w:rFonts w:ascii="Arial" w:hAnsi="Arial" w:cs="Arial"/>
          <w:sz w:val="22"/>
          <w:szCs w:val="22"/>
        </w:rPr>
        <w:t xml:space="preserve"> Council</w:t>
      </w:r>
      <w:r w:rsidR="00F411A3">
        <w:rPr>
          <w:rFonts w:ascii="Arial" w:hAnsi="Arial" w:cs="Arial"/>
          <w:sz w:val="22"/>
          <w:szCs w:val="22"/>
        </w:rPr>
        <w:t>.</w:t>
      </w:r>
    </w:p>
    <w:p w:rsidR="00F411A3" w:rsidRPr="00E25778" w:rsidRDefault="00F411A3" w:rsidP="00247D3B">
      <w:pPr>
        <w:numPr>
          <w:ilvl w:val="1"/>
          <w:numId w:val="33"/>
        </w:numPr>
        <w:spacing w:before="120" w:after="120"/>
        <w:ind w:left="709" w:hanging="709"/>
        <w:jc w:val="both"/>
        <w:rPr>
          <w:rFonts w:ascii="Arial" w:hAnsi="Arial" w:cs="Arial"/>
          <w:sz w:val="22"/>
          <w:szCs w:val="22"/>
        </w:rPr>
      </w:pPr>
      <w:r>
        <w:rPr>
          <w:rFonts w:ascii="Arial" w:hAnsi="Arial" w:cs="Arial"/>
          <w:sz w:val="22"/>
          <w:szCs w:val="22"/>
        </w:rPr>
        <w:t>The Provider shall support the Council in the development and promotion of antisocial behaviour prevention strategies.</w:t>
      </w:r>
    </w:p>
    <w:p w:rsidR="003308C7" w:rsidRPr="00E25778" w:rsidRDefault="003308C7" w:rsidP="00247D3B">
      <w:pPr>
        <w:numPr>
          <w:ilvl w:val="1"/>
          <w:numId w:val="33"/>
        </w:numPr>
        <w:spacing w:before="120" w:after="120"/>
        <w:ind w:left="709" w:hanging="709"/>
        <w:jc w:val="both"/>
        <w:rPr>
          <w:rFonts w:ascii="Arial" w:hAnsi="Arial" w:cs="Arial"/>
          <w:sz w:val="22"/>
          <w:szCs w:val="22"/>
        </w:rPr>
      </w:pPr>
      <w:r w:rsidRPr="00E25778">
        <w:rPr>
          <w:rFonts w:ascii="Arial" w:hAnsi="Arial" w:cs="Arial"/>
          <w:sz w:val="22"/>
          <w:szCs w:val="22"/>
        </w:rPr>
        <w:t>The Provider shall liaise with the relevant Council officer to resolve any service user complaints</w:t>
      </w:r>
      <w:r w:rsidR="00033968">
        <w:rPr>
          <w:rFonts w:ascii="Arial" w:hAnsi="Arial" w:cs="Arial"/>
          <w:sz w:val="22"/>
          <w:szCs w:val="22"/>
        </w:rPr>
        <w:t xml:space="preserve"> made against the Provid</w:t>
      </w:r>
      <w:r w:rsidR="00646B44">
        <w:rPr>
          <w:rFonts w:ascii="Arial" w:hAnsi="Arial" w:cs="Arial"/>
          <w:sz w:val="22"/>
          <w:szCs w:val="22"/>
        </w:rPr>
        <w:t>er, the Council or the professional witness service</w:t>
      </w:r>
      <w:r w:rsidR="00033968">
        <w:rPr>
          <w:rFonts w:ascii="Arial" w:hAnsi="Arial" w:cs="Arial"/>
          <w:sz w:val="22"/>
          <w:szCs w:val="22"/>
        </w:rPr>
        <w:t xml:space="preserve"> process</w:t>
      </w:r>
      <w:r w:rsidR="00033968" w:rsidRPr="00E25778">
        <w:rPr>
          <w:rFonts w:ascii="Arial" w:hAnsi="Arial" w:cs="Arial"/>
          <w:sz w:val="22"/>
          <w:szCs w:val="22"/>
        </w:rPr>
        <w:t>, following the</w:t>
      </w:r>
      <w:r w:rsidR="00033968">
        <w:rPr>
          <w:rFonts w:ascii="Arial" w:hAnsi="Arial" w:cs="Arial"/>
          <w:sz w:val="22"/>
          <w:szCs w:val="22"/>
        </w:rPr>
        <w:t xml:space="preserve"> standard</w:t>
      </w:r>
      <w:r w:rsidRPr="00E25778">
        <w:rPr>
          <w:rFonts w:ascii="Arial" w:hAnsi="Arial" w:cs="Arial"/>
          <w:sz w:val="22"/>
          <w:szCs w:val="22"/>
        </w:rPr>
        <w:t xml:space="preserve"> Council complaints process.</w:t>
      </w:r>
    </w:p>
    <w:p w:rsidR="00E10446" w:rsidRPr="00E25778" w:rsidRDefault="003308C7" w:rsidP="00247D3B">
      <w:pPr>
        <w:numPr>
          <w:ilvl w:val="1"/>
          <w:numId w:val="33"/>
        </w:numPr>
        <w:spacing w:before="120" w:after="120"/>
        <w:ind w:left="709" w:hanging="709"/>
        <w:jc w:val="both"/>
        <w:rPr>
          <w:rFonts w:ascii="Arial" w:hAnsi="Arial" w:cs="Arial"/>
          <w:sz w:val="22"/>
          <w:szCs w:val="22"/>
        </w:rPr>
      </w:pPr>
      <w:r w:rsidRPr="00E25778">
        <w:rPr>
          <w:rFonts w:ascii="Arial" w:hAnsi="Arial" w:cs="Arial"/>
          <w:sz w:val="22"/>
          <w:szCs w:val="22"/>
        </w:rPr>
        <w:t>The Provider shall ensure that staff respons</w:t>
      </w:r>
      <w:r w:rsidR="00E10446" w:rsidRPr="00E25778">
        <w:rPr>
          <w:rFonts w:ascii="Arial" w:hAnsi="Arial" w:cs="Arial"/>
          <w:sz w:val="22"/>
          <w:szCs w:val="22"/>
        </w:rPr>
        <w:t>ible for delivering</w:t>
      </w:r>
      <w:r w:rsidRPr="00E25778">
        <w:rPr>
          <w:rFonts w:ascii="Arial" w:hAnsi="Arial" w:cs="Arial"/>
          <w:sz w:val="22"/>
          <w:szCs w:val="22"/>
        </w:rPr>
        <w:t xml:space="preserve"> professional witness services are suitably qualified, with related experience of working with housing providers and residents preferred.</w:t>
      </w:r>
    </w:p>
    <w:p w:rsidR="00E10446" w:rsidRPr="00247D3B" w:rsidRDefault="003308C7" w:rsidP="00247D3B">
      <w:pPr>
        <w:pStyle w:val="Heading1"/>
        <w:numPr>
          <w:ilvl w:val="0"/>
          <w:numId w:val="33"/>
        </w:numPr>
        <w:spacing w:before="120" w:after="120"/>
        <w:ind w:right="691"/>
        <w:jc w:val="both"/>
        <w:rPr>
          <w:rFonts w:cs="Arial"/>
          <w:bCs/>
          <w:sz w:val="22"/>
          <w:szCs w:val="22"/>
        </w:rPr>
      </w:pPr>
      <w:r w:rsidRPr="002E05DE">
        <w:rPr>
          <w:rFonts w:cs="Arial"/>
          <w:bCs/>
          <w:sz w:val="22"/>
          <w:szCs w:val="22"/>
        </w:rPr>
        <w:t>Performan</w:t>
      </w:r>
      <w:r w:rsidRPr="00337674">
        <w:rPr>
          <w:rFonts w:cs="Arial"/>
          <w:bCs/>
          <w:sz w:val="22"/>
          <w:szCs w:val="22"/>
        </w:rPr>
        <w:t>ce monitoring &amp; key performance indicators</w:t>
      </w:r>
    </w:p>
    <w:p w:rsidR="00E10446" w:rsidRPr="00247D3B" w:rsidRDefault="00E10446" w:rsidP="00247D3B">
      <w:pPr>
        <w:numPr>
          <w:ilvl w:val="1"/>
          <w:numId w:val="33"/>
        </w:numPr>
        <w:spacing w:before="120" w:after="120"/>
        <w:ind w:left="709" w:hanging="709"/>
        <w:jc w:val="both"/>
        <w:rPr>
          <w:rFonts w:ascii="Arial" w:hAnsi="Arial" w:cs="Arial"/>
          <w:sz w:val="22"/>
          <w:szCs w:val="22"/>
        </w:rPr>
      </w:pPr>
      <w:r w:rsidRPr="00247D3B">
        <w:rPr>
          <w:rFonts w:ascii="Arial" w:hAnsi="Arial" w:cs="Arial"/>
          <w:sz w:val="22"/>
          <w:szCs w:val="22"/>
        </w:rPr>
        <w:t>The Provider shall compile a case report to be sent to the relevant Council officer at the closure of each case.</w:t>
      </w:r>
    </w:p>
    <w:p w:rsidR="00E10446" w:rsidRPr="00247D3B" w:rsidRDefault="00E10446" w:rsidP="00247D3B">
      <w:pPr>
        <w:numPr>
          <w:ilvl w:val="1"/>
          <w:numId w:val="33"/>
        </w:numPr>
        <w:spacing w:before="120" w:after="120"/>
        <w:ind w:left="709" w:hanging="709"/>
        <w:jc w:val="both"/>
        <w:rPr>
          <w:rFonts w:ascii="Arial" w:hAnsi="Arial" w:cs="Arial"/>
          <w:sz w:val="22"/>
          <w:szCs w:val="22"/>
        </w:rPr>
      </w:pPr>
      <w:r w:rsidRPr="00247D3B">
        <w:rPr>
          <w:rFonts w:ascii="Arial" w:hAnsi="Arial" w:cs="Arial"/>
          <w:sz w:val="22"/>
          <w:szCs w:val="22"/>
        </w:rPr>
        <w:t>The Provider shall meet with the authorised officer of the Council (or officer designated by the authorised officer) for a monthly performance meeting</w:t>
      </w:r>
      <w:r w:rsidR="00F243A6">
        <w:rPr>
          <w:rFonts w:ascii="Arial" w:hAnsi="Arial" w:cs="Arial"/>
          <w:sz w:val="22"/>
          <w:szCs w:val="22"/>
        </w:rPr>
        <w:t>. This will monitor performance and identify areas for improvement through examination of (but not limited to)</w:t>
      </w:r>
      <w:r w:rsidRPr="00247D3B">
        <w:rPr>
          <w:rFonts w:ascii="Arial" w:hAnsi="Arial" w:cs="Arial"/>
          <w:sz w:val="22"/>
          <w:szCs w:val="22"/>
        </w:rPr>
        <w:t>:</w:t>
      </w:r>
      <w:r w:rsidR="007E0C62">
        <w:rPr>
          <w:rFonts w:ascii="Arial" w:hAnsi="Arial" w:cs="Arial"/>
          <w:sz w:val="22"/>
          <w:szCs w:val="22"/>
        </w:rPr>
        <w:t xml:space="preserve"> the status of open cases;</w:t>
      </w:r>
      <w:r w:rsidRPr="00247D3B">
        <w:rPr>
          <w:rFonts w:ascii="Arial" w:hAnsi="Arial" w:cs="Arial"/>
          <w:sz w:val="22"/>
          <w:szCs w:val="22"/>
        </w:rPr>
        <w:t xml:space="preserve"> case feedback; delivery against outcomes; case exceptions or escalations; service user complaints. </w:t>
      </w:r>
    </w:p>
    <w:p w:rsidR="00E10446" w:rsidRPr="00247D3B" w:rsidRDefault="00E10446" w:rsidP="00247D3B">
      <w:pPr>
        <w:numPr>
          <w:ilvl w:val="1"/>
          <w:numId w:val="33"/>
        </w:numPr>
        <w:spacing w:before="120" w:after="120"/>
        <w:ind w:left="709" w:hanging="709"/>
        <w:jc w:val="both"/>
        <w:rPr>
          <w:rFonts w:ascii="Arial" w:hAnsi="Arial" w:cs="Arial"/>
          <w:sz w:val="22"/>
          <w:szCs w:val="22"/>
        </w:rPr>
      </w:pPr>
      <w:r w:rsidRPr="00247D3B">
        <w:rPr>
          <w:rFonts w:ascii="Arial" w:hAnsi="Arial" w:cs="Arial"/>
          <w:sz w:val="22"/>
          <w:szCs w:val="22"/>
        </w:rPr>
        <w:t>The P</w:t>
      </w:r>
      <w:r w:rsidR="00C62BCC">
        <w:rPr>
          <w:rFonts w:ascii="Arial" w:hAnsi="Arial" w:cs="Arial"/>
          <w:sz w:val="22"/>
          <w:szCs w:val="22"/>
        </w:rPr>
        <w:t xml:space="preserve">rovider shall compile a </w:t>
      </w:r>
      <w:r w:rsidRPr="00247D3B">
        <w:rPr>
          <w:rFonts w:ascii="Arial" w:hAnsi="Arial" w:cs="Arial"/>
          <w:sz w:val="22"/>
          <w:szCs w:val="22"/>
        </w:rPr>
        <w:t>performa</w:t>
      </w:r>
      <w:r w:rsidR="005D3B92">
        <w:rPr>
          <w:rFonts w:ascii="Arial" w:hAnsi="Arial" w:cs="Arial"/>
          <w:sz w:val="22"/>
          <w:szCs w:val="22"/>
        </w:rPr>
        <w:t>nce monitoring report</w:t>
      </w:r>
      <w:r w:rsidR="00C62BCC">
        <w:rPr>
          <w:rFonts w:ascii="Arial" w:hAnsi="Arial" w:cs="Arial"/>
          <w:sz w:val="22"/>
          <w:szCs w:val="22"/>
        </w:rPr>
        <w:t xml:space="preserve"> as part of the performance review,</w:t>
      </w:r>
      <w:r w:rsidR="005D3B92">
        <w:rPr>
          <w:rFonts w:ascii="Arial" w:hAnsi="Arial" w:cs="Arial"/>
          <w:sz w:val="22"/>
          <w:szCs w:val="22"/>
        </w:rPr>
        <w:t xml:space="preserve"> to include</w:t>
      </w:r>
      <w:r w:rsidRPr="00247D3B">
        <w:rPr>
          <w:rFonts w:ascii="Arial" w:hAnsi="Arial" w:cs="Arial"/>
          <w:sz w:val="22"/>
          <w:szCs w:val="22"/>
        </w:rPr>
        <w:t>:</w:t>
      </w:r>
    </w:p>
    <w:p w:rsidR="00E10446" w:rsidRPr="00247D3B" w:rsidRDefault="00E10446" w:rsidP="00E10446">
      <w:pPr>
        <w:numPr>
          <w:ilvl w:val="0"/>
          <w:numId w:val="2"/>
        </w:numPr>
        <w:spacing w:before="120" w:after="120"/>
        <w:jc w:val="both"/>
        <w:rPr>
          <w:rFonts w:ascii="Arial" w:hAnsi="Arial" w:cs="Arial"/>
          <w:sz w:val="22"/>
          <w:szCs w:val="22"/>
        </w:rPr>
      </w:pPr>
      <w:r w:rsidRPr="00247D3B">
        <w:rPr>
          <w:rFonts w:ascii="Arial" w:hAnsi="Arial" w:cs="Arial"/>
          <w:sz w:val="22"/>
          <w:szCs w:val="22"/>
        </w:rPr>
        <w:t>a record of open and closed cases</w:t>
      </w:r>
    </w:p>
    <w:p w:rsidR="00E10446" w:rsidRPr="00247D3B" w:rsidRDefault="00E10446" w:rsidP="00E10446">
      <w:pPr>
        <w:numPr>
          <w:ilvl w:val="0"/>
          <w:numId w:val="2"/>
        </w:numPr>
        <w:spacing w:before="120" w:after="120"/>
        <w:jc w:val="both"/>
        <w:rPr>
          <w:rFonts w:ascii="Arial" w:hAnsi="Arial" w:cs="Arial"/>
          <w:sz w:val="22"/>
          <w:szCs w:val="22"/>
        </w:rPr>
      </w:pPr>
      <w:r w:rsidRPr="00247D3B">
        <w:rPr>
          <w:rFonts w:ascii="Arial" w:hAnsi="Arial" w:cs="Arial"/>
          <w:sz w:val="22"/>
          <w:szCs w:val="22"/>
        </w:rPr>
        <w:t>case reports for open and recently closed cases</w:t>
      </w:r>
    </w:p>
    <w:p w:rsidR="00E10446" w:rsidRDefault="00E10446" w:rsidP="00E10446">
      <w:pPr>
        <w:numPr>
          <w:ilvl w:val="0"/>
          <w:numId w:val="2"/>
        </w:numPr>
        <w:spacing w:before="120" w:after="120"/>
        <w:jc w:val="both"/>
        <w:rPr>
          <w:rFonts w:ascii="Arial" w:hAnsi="Arial" w:cs="Arial"/>
          <w:sz w:val="22"/>
          <w:szCs w:val="22"/>
        </w:rPr>
      </w:pPr>
      <w:r w:rsidRPr="00247D3B">
        <w:rPr>
          <w:rFonts w:ascii="Arial" w:hAnsi="Arial" w:cs="Arial"/>
          <w:sz w:val="22"/>
          <w:szCs w:val="22"/>
        </w:rPr>
        <w:t xml:space="preserve">analysis of </w:t>
      </w:r>
      <w:r w:rsidR="00C62BCC">
        <w:rPr>
          <w:rFonts w:ascii="Arial" w:hAnsi="Arial" w:cs="Arial"/>
          <w:sz w:val="22"/>
          <w:szCs w:val="22"/>
        </w:rPr>
        <w:t xml:space="preserve">trends in </w:t>
      </w:r>
      <w:r w:rsidRPr="00247D3B">
        <w:rPr>
          <w:rFonts w:ascii="Arial" w:hAnsi="Arial" w:cs="Arial"/>
          <w:sz w:val="22"/>
          <w:szCs w:val="22"/>
        </w:rPr>
        <w:t>referrals, issues and outcomes</w:t>
      </w:r>
    </w:p>
    <w:p w:rsidR="00A80253" w:rsidRPr="00A80253" w:rsidRDefault="00BA3F39" w:rsidP="00A80253">
      <w:pPr>
        <w:numPr>
          <w:ilvl w:val="0"/>
          <w:numId w:val="2"/>
        </w:numPr>
        <w:spacing w:before="120" w:after="120"/>
        <w:jc w:val="both"/>
        <w:rPr>
          <w:rFonts w:ascii="Arial" w:hAnsi="Arial" w:cs="Arial"/>
          <w:sz w:val="22"/>
          <w:szCs w:val="22"/>
        </w:rPr>
      </w:pPr>
      <w:r>
        <w:rPr>
          <w:rFonts w:ascii="Arial" w:hAnsi="Arial" w:cs="Arial"/>
          <w:sz w:val="22"/>
          <w:szCs w:val="22"/>
        </w:rPr>
        <w:t>survey</w:t>
      </w:r>
      <w:r w:rsidR="00A80253" w:rsidRPr="00E25778">
        <w:rPr>
          <w:rFonts w:ascii="Arial" w:hAnsi="Arial" w:cs="Arial"/>
          <w:sz w:val="22"/>
          <w:szCs w:val="22"/>
        </w:rPr>
        <w:t xml:space="preserve"> sa</w:t>
      </w:r>
      <w:r>
        <w:rPr>
          <w:rFonts w:ascii="Arial" w:hAnsi="Arial" w:cs="Arial"/>
          <w:sz w:val="22"/>
          <w:szCs w:val="22"/>
        </w:rPr>
        <w:t>tisfaction feedback conducted</w:t>
      </w:r>
      <w:r w:rsidR="00A80253" w:rsidRPr="00E25778">
        <w:rPr>
          <w:rFonts w:ascii="Arial" w:hAnsi="Arial" w:cs="Arial"/>
          <w:sz w:val="22"/>
          <w:szCs w:val="22"/>
        </w:rPr>
        <w:t xml:space="preserve"> b</w:t>
      </w:r>
      <w:r>
        <w:rPr>
          <w:rFonts w:ascii="Arial" w:hAnsi="Arial" w:cs="Arial"/>
          <w:sz w:val="22"/>
          <w:szCs w:val="22"/>
        </w:rPr>
        <w:t xml:space="preserve">y the Provider </w:t>
      </w:r>
      <w:r w:rsidR="00A80253" w:rsidRPr="00E25778">
        <w:rPr>
          <w:rFonts w:ascii="Arial" w:hAnsi="Arial" w:cs="Arial"/>
          <w:sz w:val="22"/>
          <w:szCs w:val="22"/>
        </w:rPr>
        <w:t>following case closure</w:t>
      </w:r>
    </w:p>
    <w:p w:rsidR="00E10446" w:rsidRPr="00247D3B" w:rsidRDefault="00E10446" w:rsidP="00E10446">
      <w:pPr>
        <w:numPr>
          <w:ilvl w:val="0"/>
          <w:numId w:val="2"/>
        </w:numPr>
        <w:spacing w:before="120" w:after="120"/>
        <w:jc w:val="both"/>
        <w:rPr>
          <w:rFonts w:ascii="Arial" w:hAnsi="Arial" w:cs="Arial"/>
          <w:sz w:val="22"/>
          <w:szCs w:val="22"/>
        </w:rPr>
      </w:pPr>
      <w:r w:rsidRPr="00247D3B">
        <w:rPr>
          <w:rFonts w:ascii="Arial" w:hAnsi="Arial" w:cs="Arial"/>
          <w:sz w:val="22"/>
          <w:szCs w:val="22"/>
        </w:rPr>
        <w:t>complaint records</w:t>
      </w:r>
    </w:p>
    <w:p w:rsidR="00E10446" w:rsidRPr="00247D3B" w:rsidRDefault="00E10446" w:rsidP="00E10446">
      <w:pPr>
        <w:numPr>
          <w:ilvl w:val="0"/>
          <w:numId w:val="2"/>
        </w:numPr>
        <w:spacing w:before="120" w:after="120"/>
        <w:jc w:val="both"/>
        <w:rPr>
          <w:rFonts w:ascii="Arial" w:hAnsi="Arial" w:cs="Arial"/>
          <w:sz w:val="22"/>
          <w:szCs w:val="22"/>
        </w:rPr>
      </w:pPr>
      <w:r w:rsidRPr="00247D3B">
        <w:rPr>
          <w:rFonts w:ascii="Arial" w:hAnsi="Arial" w:cs="Arial"/>
          <w:sz w:val="22"/>
          <w:szCs w:val="22"/>
        </w:rPr>
        <w:t>records of payment of the London Living Wage where applicable.</w:t>
      </w:r>
    </w:p>
    <w:p w:rsidR="00E10446" w:rsidRPr="00947C93" w:rsidRDefault="00E10446" w:rsidP="00947C93">
      <w:pPr>
        <w:numPr>
          <w:ilvl w:val="1"/>
          <w:numId w:val="33"/>
        </w:numPr>
        <w:spacing w:before="120" w:after="120"/>
        <w:ind w:left="709" w:hanging="709"/>
        <w:jc w:val="both"/>
        <w:rPr>
          <w:rFonts w:ascii="Arial" w:hAnsi="Arial" w:cs="Arial"/>
          <w:sz w:val="22"/>
          <w:szCs w:val="22"/>
        </w:rPr>
      </w:pPr>
      <w:r w:rsidRPr="00E25778">
        <w:rPr>
          <w:rFonts w:ascii="Arial" w:hAnsi="Arial" w:cs="Arial"/>
          <w:sz w:val="22"/>
          <w:szCs w:val="22"/>
        </w:rPr>
        <w:t>The Provider shall endeavour to meet the following key performance indicators:</w:t>
      </w:r>
    </w:p>
    <w:p w:rsidR="007E0C62" w:rsidRDefault="00204DA9" w:rsidP="00247D3B">
      <w:pPr>
        <w:numPr>
          <w:ilvl w:val="0"/>
          <w:numId w:val="15"/>
        </w:numPr>
        <w:spacing w:before="120" w:after="120"/>
        <w:jc w:val="both"/>
        <w:rPr>
          <w:rFonts w:ascii="Arial" w:hAnsi="Arial" w:cs="Arial"/>
          <w:sz w:val="22"/>
          <w:szCs w:val="22"/>
        </w:rPr>
      </w:pPr>
      <w:r w:rsidRPr="00247D3B">
        <w:rPr>
          <w:rFonts w:ascii="Arial" w:hAnsi="Arial" w:cs="Arial"/>
          <w:sz w:val="22"/>
          <w:szCs w:val="22"/>
        </w:rPr>
        <w:t>All cases closed with s</w:t>
      </w:r>
      <w:r w:rsidR="00E10446" w:rsidRPr="00247D3B">
        <w:rPr>
          <w:rFonts w:ascii="Arial" w:hAnsi="Arial" w:cs="Arial"/>
          <w:sz w:val="22"/>
          <w:szCs w:val="22"/>
        </w:rPr>
        <w:t>uffici</w:t>
      </w:r>
      <w:r w:rsidR="007E0C62">
        <w:rPr>
          <w:rFonts w:ascii="Arial" w:hAnsi="Arial" w:cs="Arial"/>
          <w:sz w:val="22"/>
          <w:szCs w:val="22"/>
        </w:rPr>
        <w:t xml:space="preserve">ent </w:t>
      </w:r>
      <w:r w:rsidR="00E10446" w:rsidRPr="00247D3B">
        <w:rPr>
          <w:rFonts w:ascii="Arial" w:hAnsi="Arial" w:cs="Arial"/>
          <w:sz w:val="22"/>
          <w:szCs w:val="22"/>
        </w:rPr>
        <w:t>evidence to support</w:t>
      </w:r>
      <w:r w:rsidR="007E0C62">
        <w:rPr>
          <w:rFonts w:ascii="Arial" w:hAnsi="Arial" w:cs="Arial"/>
          <w:sz w:val="22"/>
          <w:szCs w:val="22"/>
        </w:rPr>
        <w:t xml:space="preserve"> legal enforcement action by the</w:t>
      </w:r>
      <w:r w:rsidR="00E10446" w:rsidRPr="00247D3B">
        <w:rPr>
          <w:rFonts w:ascii="Arial" w:hAnsi="Arial" w:cs="Arial"/>
          <w:sz w:val="22"/>
          <w:szCs w:val="22"/>
        </w:rPr>
        <w:t xml:space="preserve"> Council</w:t>
      </w:r>
      <w:r w:rsidR="00F81172" w:rsidRPr="00E25778">
        <w:rPr>
          <w:rFonts w:ascii="Arial" w:hAnsi="Arial" w:cs="Arial"/>
          <w:sz w:val="22"/>
          <w:szCs w:val="22"/>
        </w:rPr>
        <w:t>, or a recommendation for no further action due to lack of evidence.</w:t>
      </w:r>
    </w:p>
    <w:p w:rsidR="00BA3F39" w:rsidRPr="00BA3F39" w:rsidRDefault="00BA3F39" w:rsidP="00BA3F39">
      <w:pPr>
        <w:widowControl w:val="0"/>
        <w:numPr>
          <w:ilvl w:val="0"/>
          <w:numId w:val="15"/>
        </w:numPr>
        <w:spacing w:before="120" w:after="120"/>
        <w:ind w:right="693"/>
        <w:jc w:val="both"/>
        <w:rPr>
          <w:rFonts w:ascii="Arial" w:hAnsi="Arial" w:cs="Arial"/>
          <w:bCs/>
          <w:sz w:val="22"/>
          <w:szCs w:val="22"/>
        </w:rPr>
      </w:pPr>
      <w:r w:rsidRPr="00BA3F39">
        <w:rPr>
          <w:rFonts w:ascii="Arial" w:hAnsi="Arial" w:cs="Arial"/>
          <w:sz w:val="22"/>
          <w:szCs w:val="22"/>
        </w:rPr>
        <w:t>Less than 10% of cases reopened six months after case closure.</w:t>
      </w:r>
    </w:p>
    <w:p w:rsidR="003308C7" w:rsidRPr="00E25778" w:rsidRDefault="003308C7" w:rsidP="00247D3B">
      <w:pPr>
        <w:pStyle w:val="Heading1"/>
        <w:numPr>
          <w:ilvl w:val="0"/>
          <w:numId w:val="33"/>
        </w:numPr>
        <w:spacing w:before="120" w:after="120"/>
        <w:ind w:right="691"/>
        <w:jc w:val="both"/>
        <w:rPr>
          <w:rFonts w:cs="Arial"/>
          <w:bCs/>
          <w:sz w:val="22"/>
          <w:szCs w:val="22"/>
        </w:rPr>
      </w:pPr>
      <w:r w:rsidRPr="00E25778">
        <w:rPr>
          <w:rFonts w:cs="Arial"/>
          <w:bCs/>
          <w:sz w:val="22"/>
          <w:szCs w:val="22"/>
        </w:rPr>
        <w:lastRenderedPageBreak/>
        <w:t>London Living Wage (LLW)</w:t>
      </w:r>
    </w:p>
    <w:p w:rsidR="003308C7" w:rsidRPr="00E25778" w:rsidRDefault="003308C7" w:rsidP="00247D3B">
      <w:pPr>
        <w:numPr>
          <w:ilvl w:val="1"/>
          <w:numId w:val="33"/>
        </w:numPr>
        <w:spacing w:before="120" w:after="120"/>
        <w:ind w:left="709" w:hanging="567"/>
        <w:jc w:val="both"/>
        <w:rPr>
          <w:rFonts w:ascii="Arial" w:hAnsi="Arial" w:cs="Arial"/>
          <w:sz w:val="22"/>
          <w:szCs w:val="22"/>
        </w:rPr>
      </w:pPr>
      <w:r w:rsidRPr="00E25778">
        <w:rPr>
          <w:rFonts w:ascii="Arial" w:hAnsi="Arial" w:cs="Arial"/>
          <w:sz w:val="22"/>
          <w:szCs w:val="22"/>
        </w:rPr>
        <w:t>The Council has committed to including the London Living Wage (LLW) in new contracts for the provision of services which are to be performed either on Council premises or in the Greater London area, and where best value can be demonstrated on a case by case basis.  Providers of the service will be required to pay relevant staff as a minimum the LLW.</w:t>
      </w:r>
    </w:p>
    <w:p w:rsidR="003308C7" w:rsidRPr="00A81867" w:rsidRDefault="003308C7" w:rsidP="003308C7">
      <w:pPr>
        <w:tabs>
          <w:tab w:val="left" w:pos="0"/>
        </w:tabs>
        <w:suppressAutoHyphens/>
        <w:jc w:val="both"/>
        <w:rPr>
          <w:rFonts w:ascii="Arial" w:hAnsi="Arial"/>
          <w:b/>
          <w:sz w:val="28"/>
          <w:szCs w:val="28"/>
          <w:lang w:val="en-US"/>
        </w:rPr>
      </w:pPr>
    </w:p>
    <w:p w:rsidR="003308C7" w:rsidRPr="00BC14E9" w:rsidRDefault="003308C7" w:rsidP="00247D3B">
      <w:pPr>
        <w:spacing w:before="120" w:after="120"/>
        <w:jc w:val="both"/>
        <w:rPr>
          <w:rFonts w:ascii="Arial" w:hAnsi="Arial" w:cs="Arial"/>
          <w:sz w:val="22"/>
          <w:szCs w:val="22"/>
        </w:rPr>
      </w:pPr>
    </w:p>
    <w:sectPr w:rsidR="003308C7" w:rsidRPr="00BC14E9">
      <w:headerReference w:type="default" r:id="rId9"/>
      <w:footerReference w:type="default" r:id="rId10"/>
      <w:endnotePr>
        <w:numFmt w:val="decimal"/>
      </w:endnotePr>
      <w:pgSz w:w="11907" w:h="16840" w:code="9"/>
      <w:pgMar w:top="851" w:right="851" w:bottom="851" w:left="851" w:header="284" w:footer="28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D15" w:rsidRDefault="00E83D15">
      <w:pPr>
        <w:spacing w:line="20" w:lineRule="exact"/>
        <w:rPr>
          <w:sz w:val="24"/>
        </w:rPr>
      </w:pPr>
    </w:p>
  </w:endnote>
  <w:endnote w:type="continuationSeparator" w:id="0">
    <w:p w:rsidR="00E83D15" w:rsidRDefault="00E83D15">
      <w:r>
        <w:rPr>
          <w:sz w:val="24"/>
        </w:rPr>
        <w:t xml:space="preserve"> </w:t>
      </w:r>
    </w:p>
  </w:endnote>
  <w:endnote w:type="continuationNotice" w:id="1">
    <w:p w:rsidR="00E83D15" w:rsidRDefault="00E83D1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9D1" w:rsidRPr="00181749" w:rsidRDefault="00181749" w:rsidP="00181749">
    <w:pPr>
      <w:tabs>
        <w:tab w:val="center" w:pos="5102"/>
        <w:tab w:val="right" w:pos="10205"/>
      </w:tabs>
      <w:spacing w:before="140" w:line="100" w:lineRule="exact"/>
      <w:jc w:val="center"/>
      <w:rPr>
        <w:rFonts w:ascii="Arial" w:hAnsi="Arial"/>
      </w:rPr>
    </w:pPr>
    <w:r>
      <w:rPr>
        <w:rFonts w:ascii="Arial" w:hAnsi="Arial"/>
      </w:rPr>
      <w:t>Service specification</w:t>
    </w:r>
    <w:r w:rsidRPr="00181749">
      <w:rPr>
        <w:rFonts w:ascii="Arial" w:hAnsi="Arial"/>
      </w:rPr>
      <w:tab/>
    </w:r>
    <w:r>
      <w:rPr>
        <w:rFonts w:ascii="Arial" w:hAnsi="Arial"/>
      </w:rPr>
      <w:fldChar w:fldCharType="begin"/>
    </w:r>
    <w:r>
      <w:rPr>
        <w:rFonts w:ascii="Arial" w:hAnsi="Arial"/>
      </w:rPr>
      <w:instrText xml:space="preserve"> PAGE  \* Arabic  \* MERGEFORMAT </w:instrText>
    </w:r>
    <w:r>
      <w:rPr>
        <w:rFonts w:ascii="Arial" w:hAnsi="Arial"/>
      </w:rPr>
      <w:fldChar w:fldCharType="separate"/>
    </w:r>
    <w:r w:rsidR="00143842">
      <w:rPr>
        <w:rFonts w:ascii="Arial" w:hAnsi="Arial"/>
        <w:noProof/>
      </w:rPr>
      <w:t>2</w:t>
    </w:r>
    <w:r>
      <w:rPr>
        <w:rFonts w:ascii="Arial" w:hAnsi="Arial"/>
      </w:rPr>
      <w:fldChar w:fldCharType="end"/>
    </w:r>
    <w:r w:rsidRPr="00181749">
      <w:rPr>
        <w:rFonts w:ascii="Arial" w:hAnsi="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D15" w:rsidRDefault="00E83D15">
      <w:r>
        <w:rPr>
          <w:sz w:val="24"/>
        </w:rPr>
        <w:separator/>
      </w:r>
    </w:p>
  </w:footnote>
  <w:footnote w:type="continuationSeparator" w:id="0">
    <w:p w:rsidR="00E83D15" w:rsidRDefault="00E83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867" w:rsidRDefault="00A81867">
    <w:pPr>
      <w:pStyle w:val="Header"/>
      <w:rPr>
        <w:rFonts w:ascii="Arial" w:hAnsi="Arial" w:cs="Arial"/>
        <w:sz w:val="24"/>
        <w:szCs w:val="24"/>
      </w:rPr>
    </w:pPr>
  </w:p>
  <w:p w:rsidR="00A81867" w:rsidRDefault="00A81867">
    <w:pPr>
      <w:pStyle w:val="Header"/>
      <w:rPr>
        <w:rFonts w:ascii="Arial" w:hAnsi="Arial" w:cs="Arial"/>
        <w:sz w:val="24"/>
        <w:szCs w:val="24"/>
      </w:rPr>
    </w:pPr>
  </w:p>
  <w:p w:rsidR="00A81867" w:rsidRDefault="00A81867" w:rsidP="00A81867">
    <w:pPr>
      <w:pStyle w:val="Header"/>
      <w:pBdr>
        <w:bottom w:val="single" w:sz="4" w:space="1" w:color="auto"/>
      </w:pBdr>
      <w:rPr>
        <w:rFonts w:ascii="Arial" w:hAnsi="Arial"/>
        <w:b/>
        <w:sz w:val="28"/>
        <w:szCs w:val="28"/>
        <w:lang w:val="en-US"/>
      </w:rPr>
    </w:pPr>
  </w:p>
  <w:p w:rsidR="00A81867" w:rsidRDefault="00A81867" w:rsidP="00A81867">
    <w:pPr>
      <w:pStyle w:val="Header"/>
      <w:pBdr>
        <w:bottom w:val="single" w:sz="4" w:space="1" w:color="auto"/>
      </w:pBdr>
    </w:pPr>
    <w:r>
      <w:rPr>
        <w:rFonts w:ascii="Arial" w:hAnsi="Arial"/>
        <w:b/>
        <w:sz w:val="28"/>
        <w:szCs w:val="28"/>
        <w:lang w:val="en-US"/>
      </w:rPr>
      <w:t xml:space="preserve">APPENDIX A – SERVICE SPECIFICATION </w:t>
    </w:r>
  </w:p>
  <w:p w:rsidR="00A81867" w:rsidRDefault="00A818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40DE"/>
    <w:multiLevelType w:val="hybridMultilevel"/>
    <w:tmpl w:val="306615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0BB07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38208BD"/>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nsid w:val="188D7F67"/>
    <w:multiLevelType w:val="hybridMultilevel"/>
    <w:tmpl w:val="DFB849C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
    <w:nsid w:val="1A365124"/>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nsid w:val="1A5C5F2A"/>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nsid w:val="232C78FE"/>
    <w:multiLevelType w:val="hybridMultilevel"/>
    <w:tmpl w:val="4C827CF6"/>
    <w:lvl w:ilvl="0" w:tplc="04090001">
      <w:start w:val="1"/>
      <w:numFmt w:val="bullet"/>
      <w:lvlText w:val=""/>
      <w:lvlJc w:val="left"/>
      <w:pPr>
        <w:tabs>
          <w:tab w:val="num" w:pos="1069"/>
        </w:tabs>
        <w:ind w:left="1069" w:hanging="360"/>
      </w:pPr>
      <w:rPr>
        <w:rFonts w:ascii="Symbol" w:hAnsi="Symbol"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7">
    <w:nsid w:val="248C4F1A"/>
    <w:multiLevelType w:val="hybridMultilevel"/>
    <w:tmpl w:val="B2E46D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95A2191"/>
    <w:multiLevelType w:val="hybridMultilevel"/>
    <w:tmpl w:val="1FF085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2A9670D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9232E0"/>
    <w:multiLevelType w:val="hybridMultilevel"/>
    <w:tmpl w:val="3AA073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6312A7C"/>
    <w:multiLevelType w:val="hybridMultilevel"/>
    <w:tmpl w:val="46604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6517025"/>
    <w:multiLevelType w:val="hybridMultilevel"/>
    <w:tmpl w:val="3098C844"/>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3B30559B"/>
    <w:multiLevelType w:val="hybridMultilevel"/>
    <w:tmpl w:val="D904EB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2C1304D"/>
    <w:multiLevelType w:val="hybridMultilevel"/>
    <w:tmpl w:val="63A07290"/>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60C725C"/>
    <w:multiLevelType w:val="hybridMultilevel"/>
    <w:tmpl w:val="D2D259E4"/>
    <w:lvl w:ilvl="0" w:tplc="26D2940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47625084"/>
    <w:multiLevelType w:val="hybridMultilevel"/>
    <w:tmpl w:val="344480CE"/>
    <w:lvl w:ilvl="0" w:tplc="04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4CE362EB"/>
    <w:multiLevelType w:val="hybridMultilevel"/>
    <w:tmpl w:val="1F2C4DC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8">
    <w:nsid w:val="514A4478"/>
    <w:multiLevelType w:val="hybridMultilevel"/>
    <w:tmpl w:val="F8A69AD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nsid w:val="529A32B0"/>
    <w:multiLevelType w:val="hybridMultilevel"/>
    <w:tmpl w:val="8806B3A0"/>
    <w:lvl w:ilvl="0" w:tplc="04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52B357DA"/>
    <w:multiLevelType w:val="hybridMultilevel"/>
    <w:tmpl w:val="14E4E3CC"/>
    <w:lvl w:ilvl="0" w:tplc="08090017">
      <w:start w:val="1"/>
      <w:numFmt w:val="lowerLetter"/>
      <w:lvlText w:val="%1)"/>
      <w:lvlJc w:val="left"/>
      <w:pPr>
        <w:ind w:left="2232" w:hanging="360"/>
      </w:pPr>
    </w:lvl>
    <w:lvl w:ilvl="1" w:tplc="08090019">
      <w:start w:val="1"/>
      <w:numFmt w:val="lowerLetter"/>
      <w:lvlText w:val="%2."/>
      <w:lvlJc w:val="left"/>
      <w:pPr>
        <w:ind w:left="2952" w:hanging="360"/>
      </w:pPr>
    </w:lvl>
    <w:lvl w:ilvl="2" w:tplc="0809001B" w:tentative="1">
      <w:start w:val="1"/>
      <w:numFmt w:val="lowerRoman"/>
      <w:lvlText w:val="%3."/>
      <w:lvlJc w:val="right"/>
      <w:pPr>
        <w:ind w:left="3672" w:hanging="180"/>
      </w:pPr>
    </w:lvl>
    <w:lvl w:ilvl="3" w:tplc="0809000F" w:tentative="1">
      <w:start w:val="1"/>
      <w:numFmt w:val="decimal"/>
      <w:lvlText w:val="%4."/>
      <w:lvlJc w:val="left"/>
      <w:pPr>
        <w:ind w:left="4392" w:hanging="360"/>
      </w:pPr>
    </w:lvl>
    <w:lvl w:ilvl="4" w:tplc="08090019" w:tentative="1">
      <w:start w:val="1"/>
      <w:numFmt w:val="lowerLetter"/>
      <w:lvlText w:val="%5."/>
      <w:lvlJc w:val="left"/>
      <w:pPr>
        <w:ind w:left="5112" w:hanging="360"/>
      </w:pPr>
    </w:lvl>
    <w:lvl w:ilvl="5" w:tplc="0809001B" w:tentative="1">
      <w:start w:val="1"/>
      <w:numFmt w:val="lowerRoman"/>
      <w:lvlText w:val="%6."/>
      <w:lvlJc w:val="right"/>
      <w:pPr>
        <w:ind w:left="5832" w:hanging="180"/>
      </w:pPr>
    </w:lvl>
    <w:lvl w:ilvl="6" w:tplc="0809000F" w:tentative="1">
      <w:start w:val="1"/>
      <w:numFmt w:val="decimal"/>
      <w:lvlText w:val="%7."/>
      <w:lvlJc w:val="left"/>
      <w:pPr>
        <w:ind w:left="6552" w:hanging="360"/>
      </w:pPr>
    </w:lvl>
    <w:lvl w:ilvl="7" w:tplc="08090019" w:tentative="1">
      <w:start w:val="1"/>
      <w:numFmt w:val="lowerLetter"/>
      <w:lvlText w:val="%8."/>
      <w:lvlJc w:val="left"/>
      <w:pPr>
        <w:ind w:left="7272" w:hanging="360"/>
      </w:pPr>
    </w:lvl>
    <w:lvl w:ilvl="8" w:tplc="0809001B" w:tentative="1">
      <w:start w:val="1"/>
      <w:numFmt w:val="lowerRoman"/>
      <w:lvlText w:val="%9."/>
      <w:lvlJc w:val="right"/>
      <w:pPr>
        <w:ind w:left="7992" w:hanging="180"/>
      </w:pPr>
    </w:lvl>
  </w:abstractNum>
  <w:abstractNum w:abstractNumId="21">
    <w:nsid w:val="5C35234C"/>
    <w:multiLevelType w:val="hybridMultilevel"/>
    <w:tmpl w:val="881C0C8E"/>
    <w:lvl w:ilvl="0" w:tplc="04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5EB50DB8"/>
    <w:multiLevelType w:val="hybridMultilevel"/>
    <w:tmpl w:val="05387C40"/>
    <w:lvl w:ilvl="0" w:tplc="5DEA2FFA">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0265FC2"/>
    <w:multiLevelType w:val="hybridMultilevel"/>
    <w:tmpl w:val="B40E33BE"/>
    <w:lvl w:ilvl="0" w:tplc="04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62B32FC7"/>
    <w:multiLevelType w:val="hybridMultilevel"/>
    <w:tmpl w:val="4238C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6D368C5"/>
    <w:multiLevelType w:val="hybridMultilevel"/>
    <w:tmpl w:val="2D406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C3A4684"/>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nsid w:val="6EE64E82"/>
    <w:multiLevelType w:val="hybridMultilevel"/>
    <w:tmpl w:val="3B6AC7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2E57CEF"/>
    <w:multiLevelType w:val="hybridMultilevel"/>
    <w:tmpl w:val="86E8E9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73FE1D4E"/>
    <w:multiLevelType w:val="multilevel"/>
    <w:tmpl w:val="60FAB51A"/>
    <w:lvl w:ilvl="0">
      <w:start w:val="1"/>
      <w:numFmt w:val="decimal"/>
      <w:lvlText w:val="%1"/>
      <w:lvlJc w:val="left"/>
      <w:pPr>
        <w:tabs>
          <w:tab w:val="num" w:pos="432"/>
        </w:tabs>
        <w:ind w:left="432" w:hanging="432"/>
      </w:pPr>
      <w:rPr>
        <w:rFonts w:ascii="Arial" w:hAnsi="Arial" w:hint="default"/>
        <w:b/>
        <w:i w:val="0"/>
        <w:sz w:val="24"/>
      </w:rPr>
    </w:lvl>
    <w:lvl w:ilvl="1">
      <w:start w:val="1"/>
      <w:numFmt w:val="decimal"/>
      <w:isLgl/>
      <w:lvlText w:val="%1.%2"/>
      <w:lvlJc w:val="left"/>
      <w:pPr>
        <w:tabs>
          <w:tab w:val="num" w:pos="576"/>
        </w:tabs>
        <w:ind w:left="576" w:hanging="576"/>
      </w:pPr>
      <w:rPr>
        <w:rFonts w:ascii="Arial" w:hAnsi="Arial" w:hint="default"/>
        <w:b w:val="0"/>
        <w:i w:val="0"/>
        <w:sz w:val="22"/>
      </w:rPr>
    </w:lvl>
    <w:lvl w:ilvl="2">
      <w:start w:val="1"/>
      <w:numFmt w:val="decimal"/>
      <w:isLgl/>
      <w:lvlText w:val="%1.%2.%3"/>
      <w:lvlJc w:val="left"/>
      <w:pPr>
        <w:tabs>
          <w:tab w:val="num" w:pos="720"/>
        </w:tabs>
        <w:ind w:left="720" w:hanging="720"/>
      </w:pPr>
      <w:rPr>
        <w:rFonts w:ascii="Arial" w:hAnsi="Arial" w:hint="default"/>
        <w:b w:val="0"/>
        <w:i w:val="0"/>
        <w:sz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nsid w:val="7AA30161"/>
    <w:multiLevelType w:val="hybridMultilevel"/>
    <w:tmpl w:val="4D8459B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1">
    <w:nsid w:val="7EA5481E"/>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29"/>
  </w:num>
  <w:num w:numId="2">
    <w:abstractNumId w:val="6"/>
  </w:num>
  <w:num w:numId="3">
    <w:abstractNumId w:val="29"/>
  </w:num>
  <w:num w:numId="4">
    <w:abstractNumId w:val="29"/>
  </w:num>
  <w:num w:numId="5">
    <w:abstractNumId w:val="13"/>
  </w:num>
  <w:num w:numId="6">
    <w:abstractNumId w:val="28"/>
  </w:num>
  <w:num w:numId="7">
    <w:abstractNumId w:val="27"/>
  </w:num>
  <w:num w:numId="8">
    <w:abstractNumId w:val="24"/>
  </w:num>
  <w:num w:numId="9">
    <w:abstractNumId w:val="14"/>
  </w:num>
  <w:num w:numId="10">
    <w:abstractNumId w:val="8"/>
  </w:num>
  <w:num w:numId="11">
    <w:abstractNumId w:val="0"/>
  </w:num>
  <w:num w:numId="12">
    <w:abstractNumId w:val="7"/>
  </w:num>
  <w:num w:numId="13">
    <w:abstractNumId w:val="9"/>
  </w:num>
  <w:num w:numId="14">
    <w:abstractNumId w:val="19"/>
  </w:num>
  <w:num w:numId="15">
    <w:abstractNumId w:val="16"/>
  </w:num>
  <w:num w:numId="16">
    <w:abstractNumId w:val="21"/>
  </w:num>
  <w:num w:numId="17">
    <w:abstractNumId w:val="23"/>
  </w:num>
  <w:num w:numId="18">
    <w:abstractNumId w:val="10"/>
  </w:num>
  <w:num w:numId="19">
    <w:abstractNumId w:val="30"/>
  </w:num>
  <w:num w:numId="20">
    <w:abstractNumId w:val="25"/>
  </w:num>
  <w:num w:numId="21">
    <w:abstractNumId w:val="5"/>
  </w:num>
  <w:num w:numId="22">
    <w:abstractNumId w:val="31"/>
  </w:num>
  <w:num w:numId="23">
    <w:abstractNumId w:val="2"/>
  </w:num>
  <w:num w:numId="24">
    <w:abstractNumId w:val="4"/>
  </w:num>
  <w:num w:numId="25">
    <w:abstractNumId w:val="26"/>
  </w:num>
  <w:num w:numId="26">
    <w:abstractNumId w:val="3"/>
  </w:num>
  <w:num w:numId="27">
    <w:abstractNumId w:val="20"/>
  </w:num>
  <w:num w:numId="28">
    <w:abstractNumId w:val="18"/>
  </w:num>
  <w:num w:numId="29">
    <w:abstractNumId w:val="17"/>
  </w:num>
  <w:num w:numId="30">
    <w:abstractNumId w:val="12"/>
  </w:num>
  <w:num w:numId="31">
    <w:abstractNumId w:val="11"/>
  </w:num>
  <w:num w:numId="32">
    <w:abstractNumId w:val="22"/>
  </w:num>
  <w:num w:numId="33">
    <w:abstractNumId w:val="1"/>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8"/>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C95"/>
    <w:rsid w:val="00033968"/>
    <w:rsid w:val="00043444"/>
    <w:rsid w:val="000724DF"/>
    <w:rsid w:val="00083162"/>
    <w:rsid w:val="000839E8"/>
    <w:rsid w:val="000944B6"/>
    <w:rsid w:val="000A2A35"/>
    <w:rsid w:val="000A7442"/>
    <w:rsid w:val="000C32E4"/>
    <w:rsid w:val="000D4C6B"/>
    <w:rsid w:val="000F05F3"/>
    <w:rsid w:val="0011549C"/>
    <w:rsid w:val="00143842"/>
    <w:rsid w:val="001671E2"/>
    <w:rsid w:val="00181749"/>
    <w:rsid w:val="0018386B"/>
    <w:rsid w:val="00183BF2"/>
    <w:rsid w:val="001A22FA"/>
    <w:rsid w:val="001A50EA"/>
    <w:rsid w:val="001C498C"/>
    <w:rsid w:val="001F792D"/>
    <w:rsid w:val="00204DA9"/>
    <w:rsid w:val="002319D6"/>
    <w:rsid w:val="00231E4A"/>
    <w:rsid w:val="002356C3"/>
    <w:rsid w:val="00244729"/>
    <w:rsid w:val="00247D3B"/>
    <w:rsid w:val="00247F34"/>
    <w:rsid w:val="002D1F0F"/>
    <w:rsid w:val="002E05DE"/>
    <w:rsid w:val="003253C2"/>
    <w:rsid w:val="003308C7"/>
    <w:rsid w:val="00335122"/>
    <w:rsid w:val="00337674"/>
    <w:rsid w:val="00344437"/>
    <w:rsid w:val="0035672E"/>
    <w:rsid w:val="00372E2D"/>
    <w:rsid w:val="003B4144"/>
    <w:rsid w:val="003D1C95"/>
    <w:rsid w:val="004009D1"/>
    <w:rsid w:val="004438BA"/>
    <w:rsid w:val="00496701"/>
    <w:rsid w:val="004F303F"/>
    <w:rsid w:val="0053162E"/>
    <w:rsid w:val="00535274"/>
    <w:rsid w:val="00543D4B"/>
    <w:rsid w:val="005606CF"/>
    <w:rsid w:val="0056700A"/>
    <w:rsid w:val="00586319"/>
    <w:rsid w:val="0059429C"/>
    <w:rsid w:val="005A05E4"/>
    <w:rsid w:val="005C1F5F"/>
    <w:rsid w:val="005D374E"/>
    <w:rsid w:val="005D3B92"/>
    <w:rsid w:val="00616095"/>
    <w:rsid w:val="00627DA7"/>
    <w:rsid w:val="00645E58"/>
    <w:rsid w:val="00646B44"/>
    <w:rsid w:val="00651808"/>
    <w:rsid w:val="006752CF"/>
    <w:rsid w:val="0069353E"/>
    <w:rsid w:val="006A0B06"/>
    <w:rsid w:val="006D6B72"/>
    <w:rsid w:val="006D6D18"/>
    <w:rsid w:val="006E0D7F"/>
    <w:rsid w:val="00711F15"/>
    <w:rsid w:val="00721C9D"/>
    <w:rsid w:val="00746608"/>
    <w:rsid w:val="00764AE6"/>
    <w:rsid w:val="007E0C62"/>
    <w:rsid w:val="007F79A0"/>
    <w:rsid w:val="008435D7"/>
    <w:rsid w:val="00875F1B"/>
    <w:rsid w:val="008808B4"/>
    <w:rsid w:val="0088159F"/>
    <w:rsid w:val="008C08F1"/>
    <w:rsid w:val="008F327C"/>
    <w:rsid w:val="00924657"/>
    <w:rsid w:val="009259E0"/>
    <w:rsid w:val="00933049"/>
    <w:rsid w:val="00947C93"/>
    <w:rsid w:val="0095179B"/>
    <w:rsid w:val="009847AB"/>
    <w:rsid w:val="009C7ACA"/>
    <w:rsid w:val="00A363F5"/>
    <w:rsid w:val="00A47A61"/>
    <w:rsid w:val="00A80253"/>
    <w:rsid w:val="00A81867"/>
    <w:rsid w:val="00A8656D"/>
    <w:rsid w:val="00AA4A3A"/>
    <w:rsid w:val="00AC1E52"/>
    <w:rsid w:val="00AC4F02"/>
    <w:rsid w:val="00AC5BFB"/>
    <w:rsid w:val="00AE45D6"/>
    <w:rsid w:val="00AE62EF"/>
    <w:rsid w:val="00B00A60"/>
    <w:rsid w:val="00B5317E"/>
    <w:rsid w:val="00B970E9"/>
    <w:rsid w:val="00BA3F39"/>
    <w:rsid w:val="00BB41FC"/>
    <w:rsid w:val="00BC14E9"/>
    <w:rsid w:val="00BC2EEE"/>
    <w:rsid w:val="00C15EC8"/>
    <w:rsid w:val="00C277DF"/>
    <w:rsid w:val="00C62BCC"/>
    <w:rsid w:val="00C63C83"/>
    <w:rsid w:val="00C77B67"/>
    <w:rsid w:val="00C90EFB"/>
    <w:rsid w:val="00CB35F9"/>
    <w:rsid w:val="00CB5B92"/>
    <w:rsid w:val="00CE33A2"/>
    <w:rsid w:val="00CE3910"/>
    <w:rsid w:val="00D33BAA"/>
    <w:rsid w:val="00D95677"/>
    <w:rsid w:val="00D95823"/>
    <w:rsid w:val="00D9618D"/>
    <w:rsid w:val="00DC3D2D"/>
    <w:rsid w:val="00DC6A7D"/>
    <w:rsid w:val="00E10446"/>
    <w:rsid w:val="00E111B0"/>
    <w:rsid w:val="00E1680F"/>
    <w:rsid w:val="00E20D3A"/>
    <w:rsid w:val="00E25778"/>
    <w:rsid w:val="00E34508"/>
    <w:rsid w:val="00E42356"/>
    <w:rsid w:val="00E52A51"/>
    <w:rsid w:val="00E52DA1"/>
    <w:rsid w:val="00E774C9"/>
    <w:rsid w:val="00E83D15"/>
    <w:rsid w:val="00EB0920"/>
    <w:rsid w:val="00EF1A1E"/>
    <w:rsid w:val="00F243A6"/>
    <w:rsid w:val="00F411A3"/>
    <w:rsid w:val="00F446DE"/>
    <w:rsid w:val="00F81172"/>
    <w:rsid w:val="00F85D3F"/>
    <w:rsid w:val="00FA0F48"/>
    <w:rsid w:val="00FB7C1A"/>
    <w:rsid w:val="00FD5B16"/>
    <w:rsid w:val="00FE58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tabs>
        <w:tab w:val="left" w:pos="-720"/>
        <w:tab w:val="left" w:pos="-142"/>
      </w:tabs>
      <w:suppressAutoHyphens/>
      <w:jc w:val="both"/>
      <w:outlineLvl w:val="2"/>
    </w:pPr>
    <w:rPr>
      <w:rFonts w:ascii="Arial" w:hAnsi="Arial"/>
      <w:i/>
      <w:spacing w:val="-3"/>
      <w:sz w:val="24"/>
    </w:rPr>
  </w:style>
  <w:style w:type="paragraph" w:styleId="Heading4">
    <w:name w:val="heading 4"/>
    <w:basedOn w:val="Normal"/>
    <w:next w:val="Normal"/>
    <w:qFormat/>
    <w:pPr>
      <w:keepNext/>
      <w:numPr>
        <w:ilvl w:val="3"/>
        <w:numId w:val="1"/>
      </w:numPr>
      <w:tabs>
        <w:tab w:val="left" w:pos="-720"/>
        <w:tab w:val="left" w:pos="0"/>
        <w:tab w:val="left" w:pos="317"/>
      </w:tabs>
      <w:suppressAutoHyphens/>
      <w:jc w:val="both"/>
      <w:outlineLvl w:val="3"/>
    </w:pPr>
    <w:rPr>
      <w:rFonts w:ascii="Arial" w:hAnsi="Arial"/>
      <w:spacing w:val="-3"/>
      <w:sz w:val="24"/>
    </w:rPr>
  </w:style>
  <w:style w:type="paragraph" w:styleId="Heading5">
    <w:name w:val="heading 5"/>
    <w:basedOn w:val="Normal"/>
    <w:next w:val="Normal"/>
    <w:qFormat/>
    <w:pPr>
      <w:keepNext/>
      <w:numPr>
        <w:ilvl w:val="4"/>
        <w:numId w:val="1"/>
      </w:numPr>
      <w:outlineLvl w:val="4"/>
    </w:pPr>
    <w:rPr>
      <w:rFonts w:ascii="Arial" w:hAnsi="Arial"/>
      <w:b/>
      <w:i/>
      <w:sz w:val="24"/>
    </w:rPr>
  </w:style>
  <w:style w:type="paragraph" w:styleId="Heading6">
    <w:name w:val="heading 6"/>
    <w:basedOn w:val="Normal"/>
    <w:next w:val="Normal"/>
    <w:qFormat/>
    <w:pPr>
      <w:keepNext/>
      <w:numPr>
        <w:ilvl w:val="5"/>
        <w:numId w:val="1"/>
      </w:numPr>
      <w:tabs>
        <w:tab w:val="left" w:pos="-720"/>
        <w:tab w:val="left" w:pos="0"/>
      </w:tabs>
      <w:suppressAutoHyphens/>
      <w:jc w:val="both"/>
      <w:outlineLvl w:val="5"/>
    </w:pPr>
    <w:rPr>
      <w:rFonts w:ascii="Arial" w:hAnsi="Arial"/>
      <w:spacing w:val="-3"/>
      <w:sz w:val="24"/>
    </w:rPr>
  </w:style>
  <w:style w:type="paragraph" w:styleId="Heading7">
    <w:name w:val="heading 7"/>
    <w:basedOn w:val="Normal"/>
    <w:next w:val="Normal"/>
    <w:qFormat/>
    <w:pPr>
      <w:keepNext/>
      <w:numPr>
        <w:ilvl w:val="6"/>
        <w:numId w:val="1"/>
      </w:numPr>
      <w:tabs>
        <w:tab w:val="left" w:pos="-720"/>
      </w:tabs>
      <w:suppressAutoHyphens/>
      <w:jc w:val="center"/>
      <w:outlineLvl w:val="6"/>
    </w:pPr>
    <w:rPr>
      <w:rFonts w:ascii="Arial" w:hAnsi="Arial"/>
      <w:b/>
      <w:spacing w:val="-3"/>
      <w:sz w:val="24"/>
    </w:rPr>
  </w:style>
  <w:style w:type="paragraph" w:styleId="Heading8">
    <w:name w:val="heading 8"/>
    <w:basedOn w:val="Normal"/>
    <w:next w:val="Normal"/>
    <w:qFormat/>
    <w:pPr>
      <w:keepNext/>
      <w:numPr>
        <w:ilvl w:val="7"/>
        <w:numId w:val="1"/>
      </w:numPr>
      <w:tabs>
        <w:tab w:val="left" w:pos="-720"/>
      </w:tabs>
      <w:suppressAutoHyphens/>
      <w:jc w:val="both"/>
      <w:outlineLvl w:val="7"/>
    </w:pPr>
    <w:rPr>
      <w:rFonts w:ascii="Arial" w:hAnsi="Arial"/>
      <w:b/>
      <w:spacing w:val="-3"/>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OC2">
    <w:name w:val="toc 2"/>
    <w:basedOn w:val="Normal"/>
    <w:next w:val="Normal"/>
    <w:semiHidden/>
    <w:pPr>
      <w:tabs>
        <w:tab w:val="left" w:leader="dot" w:pos="9000"/>
        <w:tab w:val="right" w:pos="9360"/>
      </w:tabs>
      <w:suppressAutoHyphens/>
      <w:ind w:left="1440" w:right="720" w:hanging="720"/>
    </w:pPr>
    <w:rPr>
      <w:lang w:val="en-US"/>
    </w:rPr>
  </w:style>
  <w:style w:type="paragraph" w:styleId="TOC3">
    <w:name w:val="toc 3"/>
    <w:basedOn w:val="Normal"/>
    <w:next w:val="Normal"/>
    <w:semiHidden/>
    <w:pPr>
      <w:tabs>
        <w:tab w:val="left" w:leader="dot" w:pos="9000"/>
        <w:tab w:val="right" w:pos="9360"/>
      </w:tabs>
      <w:suppressAutoHyphens/>
      <w:ind w:left="2160" w:right="720" w:hanging="720"/>
    </w:pPr>
    <w:rPr>
      <w:lang w:val="en-US"/>
    </w:rPr>
  </w:style>
  <w:style w:type="paragraph" w:styleId="TOC4">
    <w:name w:val="toc 4"/>
    <w:basedOn w:val="Normal"/>
    <w:next w:val="Normal"/>
    <w:semiHidden/>
    <w:pPr>
      <w:tabs>
        <w:tab w:val="left" w:leader="dot" w:pos="9000"/>
        <w:tab w:val="right" w:pos="9360"/>
      </w:tabs>
      <w:suppressAutoHyphens/>
      <w:ind w:left="2880" w:right="720" w:hanging="720"/>
    </w:pPr>
    <w:rPr>
      <w:lang w:val="en-US"/>
    </w:rPr>
  </w:style>
  <w:style w:type="paragraph" w:styleId="TOC5">
    <w:name w:val="toc 5"/>
    <w:basedOn w:val="Normal"/>
    <w:next w:val="Normal"/>
    <w:semiHidden/>
    <w:pPr>
      <w:tabs>
        <w:tab w:val="left" w:leader="dot" w:pos="9000"/>
        <w:tab w:val="right" w:pos="9360"/>
      </w:tabs>
      <w:suppressAutoHyphens/>
      <w:ind w:left="3600" w:right="720" w:hanging="720"/>
    </w:pPr>
    <w:rPr>
      <w:lang w:val="en-US"/>
    </w:rPr>
  </w:style>
  <w:style w:type="paragraph" w:styleId="TOC6">
    <w:name w:val="toc 6"/>
    <w:basedOn w:val="Normal"/>
    <w:next w:val="Normal"/>
    <w:semiHidden/>
    <w:pPr>
      <w:tabs>
        <w:tab w:val="left" w:pos="9000"/>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left" w:pos="9000"/>
        <w:tab w:val="right" w:pos="9360"/>
      </w:tabs>
      <w:suppressAutoHyphens/>
      <w:ind w:left="720" w:hanging="720"/>
    </w:pPr>
    <w:rPr>
      <w:lang w:val="en-US"/>
    </w:rPr>
  </w:style>
  <w:style w:type="paragraph" w:styleId="TOC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pPr>
      <w:tabs>
        <w:tab w:val="left" w:pos="9000"/>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tabs>
        <w:tab w:val="left" w:pos="-720"/>
        <w:tab w:val="left" w:pos="0"/>
      </w:tabs>
      <w:suppressAutoHyphens/>
      <w:ind w:left="1134" w:hanging="876"/>
      <w:jc w:val="both"/>
    </w:pPr>
    <w:rPr>
      <w:rFonts w:ascii="Arial" w:hAnsi="Arial"/>
      <w:spacing w:val="-3"/>
      <w:sz w:val="24"/>
    </w:rPr>
  </w:style>
  <w:style w:type="paragraph" w:styleId="BodyTextIndent2">
    <w:name w:val="Body Text Indent 2"/>
    <w:basedOn w:val="Normal"/>
    <w:pPr>
      <w:tabs>
        <w:tab w:val="left" w:pos="-720"/>
        <w:tab w:val="left" w:pos="-108"/>
        <w:tab w:val="left" w:pos="0"/>
      </w:tabs>
      <w:suppressAutoHyphens/>
      <w:ind w:left="317"/>
      <w:jc w:val="both"/>
    </w:pPr>
    <w:rPr>
      <w:rFonts w:ascii="Arial" w:hAnsi="Arial"/>
      <w:spacing w:val="-3"/>
      <w:sz w:val="24"/>
    </w:rPr>
  </w:style>
  <w:style w:type="paragraph" w:styleId="BodyTextIndent3">
    <w:name w:val="Body Text Indent 3"/>
    <w:basedOn w:val="Normal"/>
    <w:pPr>
      <w:tabs>
        <w:tab w:val="left" w:pos="-720"/>
        <w:tab w:val="left" w:pos="0"/>
      </w:tabs>
      <w:suppressAutoHyphens/>
      <w:ind w:left="317" w:hanging="108"/>
      <w:jc w:val="both"/>
    </w:pPr>
    <w:rPr>
      <w:rFonts w:ascii="Arial" w:hAnsi="Arial"/>
      <w:spacing w:val="-3"/>
      <w:sz w:val="24"/>
    </w:rPr>
  </w:style>
  <w:style w:type="paragraph" w:styleId="BodyText">
    <w:name w:val="Body Text"/>
    <w:basedOn w:val="Normal"/>
    <w:pPr>
      <w:tabs>
        <w:tab w:val="left" w:pos="-720"/>
        <w:tab w:val="left" w:pos="851"/>
      </w:tabs>
      <w:suppressAutoHyphens/>
      <w:jc w:val="both"/>
    </w:pPr>
    <w:rPr>
      <w:rFonts w:ascii="Arial" w:hAnsi="Arial"/>
      <w:spacing w:val="-3"/>
      <w:sz w:val="24"/>
    </w:rPr>
  </w:style>
  <w:style w:type="paragraph" w:styleId="Title">
    <w:name w:val="Title"/>
    <w:basedOn w:val="Normal"/>
    <w:qFormat/>
    <w:pPr>
      <w:suppressAutoHyphens/>
      <w:jc w:val="center"/>
    </w:pPr>
    <w:rPr>
      <w:rFonts w:ascii="Arial" w:hAnsi="Arial"/>
      <w:b/>
      <w:sz w:val="28"/>
    </w:rPr>
  </w:style>
  <w:style w:type="paragraph" w:styleId="BodyText3">
    <w:name w:val="Body Text 3"/>
    <w:basedOn w:val="Normal"/>
    <w:pPr>
      <w:tabs>
        <w:tab w:val="left" w:pos="-720"/>
        <w:tab w:val="left" w:pos="-142"/>
      </w:tabs>
      <w:suppressAutoHyphens/>
      <w:jc w:val="both"/>
    </w:pPr>
    <w:rPr>
      <w:rFonts w:ascii="Arial" w:hAnsi="Arial"/>
      <w:i/>
      <w:spacing w:val="-3"/>
      <w:sz w:val="24"/>
    </w:rPr>
  </w:style>
  <w:style w:type="paragraph" w:styleId="BodyTextIndent">
    <w:name w:val="Body Text Indent"/>
    <w:basedOn w:val="Normal"/>
    <w:pPr>
      <w:tabs>
        <w:tab w:val="left" w:pos="-720"/>
      </w:tabs>
      <w:suppressAutoHyphens/>
      <w:ind w:left="1134" w:hanging="1134"/>
      <w:jc w:val="both"/>
    </w:pPr>
    <w:rPr>
      <w:rFonts w:ascii="Arial" w:hAnsi="Arial"/>
      <w:spacing w:val="-3"/>
      <w:sz w:val="24"/>
    </w:rPr>
  </w:style>
  <w:style w:type="character" w:styleId="PageNumber">
    <w:name w:val="page number"/>
    <w:basedOn w:val="DefaultParagraphFont"/>
  </w:style>
  <w:style w:type="paragraph" w:styleId="BlockText">
    <w:name w:val="Block Text"/>
    <w:basedOn w:val="Normal"/>
    <w:pPr>
      <w:spacing w:line="360" w:lineRule="auto"/>
      <w:ind w:left="720" w:right="691"/>
      <w:jc w:val="both"/>
    </w:pPr>
    <w:rPr>
      <w:rFonts w:ascii="Arial" w:hAnsi="Arial"/>
      <w:sz w:val="22"/>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0839E8"/>
    <w:pPr>
      <w:ind w:left="720"/>
    </w:pPr>
  </w:style>
  <w:style w:type="character" w:styleId="CommentReference">
    <w:name w:val="annotation reference"/>
    <w:rsid w:val="00FB7C1A"/>
    <w:rPr>
      <w:sz w:val="16"/>
      <w:szCs w:val="16"/>
    </w:rPr>
  </w:style>
  <w:style w:type="paragraph" w:styleId="CommentText">
    <w:name w:val="annotation text"/>
    <w:basedOn w:val="Normal"/>
    <w:link w:val="CommentTextChar"/>
    <w:uiPriority w:val="99"/>
    <w:rsid w:val="00FB7C1A"/>
  </w:style>
  <w:style w:type="character" w:customStyle="1" w:styleId="CommentTextChar">
    <w:name w:val="Comment Text Char"/>
    <w:link w:val="CommentText"/>
    <w:uiPriority w:val="99"/>
    <w:rsid w:val="00FB7C1A"/>
    <w:rPr>
      <w:lang w:eastAsia="en-US"/>
    </w:rPr>
  </w:style>
  <w:style w:type="paragraph" w:styleId="CommentSubject">
    <w:name w:val="annotation subject"/>
    <w:basedOn w:val="CommentText"/>
    <w:next w:val="CommentText"/>
    <w:link w:val="CommentSubjectChar"/>
    <w:rsid w:val="00FB7C1A"/>
    <w:rPr>
      <w:b/>
      <w:bCs/>
    </w:rPr>
  </w:style>
  <w:style w:type="character" w:customStyle="1" w:styleId="CommentSubjectChar">
    <w:name w:val="Comment Subject Char"/>
    <w:link w:val="CommentSubject"/>
    <w:rsid w:val="00FB7C1A"/>
    <w:rPr>
      <w:b/>
      <w:bCs/>
      <w:lang w:eastAsia="en-US"/>
    </w:rPr>
  </w:style>
  <w:style w:type="character" w:customStyle="1" w:styleId="HeaderChar">
    <w:name w:val="Header Char"/>
    <w:link w:val="Header"/>
    <w:uiPriority w:val="99"/>
    <w:rsid w:val="00A81867"/>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tabs>
        <w:tab w:val="left" w:pos="-720"/>
        <w:tab w:val="left" w:pos="-142"/>
      </w:tabs>
      <w:suppressAutoHyphens/>
      <w:jc w:val="both"/>
      <w:outlineLvl w:val="2"/>
    </w:pPr>
    <w:rPr>
      <w:rFonts w:ascii="Arial" w:hAnsi="Arial"/>
      <w:i/>
      <w:spacing w:val="-3"/>
      <w:sz w:val="24"/>
    </w:rPr>
  </w:style>
  <w:style w:type="paragraph" w:styleId="Heading4">
    <w:name w:val="heading 4"/>
    <w:basedOn w:val="Normal"/>
    <w:next w:val="Normal"/>
    <w:qFormat/>
    <w:pPr>
      <w:keepNext/>
      <w:numPr>
        <w:ilvl w:val="3"/>
        <w:numId w:val="1"/>
      </w:numPr>
      <w:tabs>
        <w:tab w:val="left" w:pos="-720"/>
        <w:tab w:val="left" w:pos="0"/>
        <w:tab w:val="left" w:pos="317"/>
      </w:tabs>
      <w:suppressAutoHyphens/>
      <w:jc w:val="both"/>
      <w:outlineLvl w:val="3"/>
    </w:pPr>
    <w:rPr>
      <w:rFonts w:ascii="Arial" w:hAnsi="Arial"/>
      <w:spacing w:val="-3"/>
      <w:sz w:val="24"/>
    </w:rPr>
  </w:style>
  <w:style w:type="paragraph" w:styleId="Heading5">
    <w:name w:val="heading 5"/>
    <w:basedOn w:val="Normal"/>
    <w:next w:val="Normal"/>
    <w:qFormat/>
    <w:pPr>
      <w:keepNext/>
      <w:numPr>
        <w:ilvl w:val="4"/>
        <w:numId w:val="1"/>
      </w:numPr>
      <w:outlineLvl w:val="4"/>
    </w:pPr>
    <w:rPr>
      <w:rFonts w:ascii="Arial" w:hAnsi="Arial"/>
      <w:b/>
      <w:i/>
      <w:sz w:val="24"/>
    </w:rPr>
  </w:style>
  <w:style w:type="paragraph" w:styleId="Heading6">
    <w:name w:val="heading 6"/>
    <w:basedOn w:val="Normal"/>
    <w:next w:val="Normal"/>
    <w:qFormat/>
    <w:pPr>
      <w:keepNext/>
      <w:numPr>
        <w:ilvl w:val="5"/>
        <w:numId w:val="1"/>
      </w:numPr>
      <w:tabs>
        <w:tab w:val="left" w:pos="-720"/>
        <w:tab w:val="left" w:pos="0"/>
      </w:tabs>
      <w:suppressAutoHyphens/>
      <w:jc w:val="both"/>
      <w:outlineLvl w:val="5"/>
    </w:pPr>
    <w:rPr>
      <w:rFonts w:ascii="Arial" w:hAnsi="Arial"/>
      <w:spacing w:val="-3"/>
      <w:sz w:val="24"/>
    </w:rPr>
  </w:style>
  <w:style w:type="paragraph" w:styleId="Heading7">
    <w:name w:val="heading 7"/>
    <w:basedOn w:val="Normal"/>
    <w:next w:val="Normal"/>
    <w:qFormat/>
    <w:pPr>
      <w:keepNext/>
      <w:numPr>
        <w:ilvl w:val="6"/>
        <w:numId w:val="1"/>
      </w:numPr>
      <w:tabs>
        <w:tab w:val="left" w:pos="-720"/>
      </w:tabs>
      <w:suppressAutoHyphens/>
      <w:jc w:val="center"/>
      <w:outlineLvl w:val="6"/>
    </w:pPr>
    <w:rPr>
      <w:rFonts w:ascii="Arial" w:hAnsi="Arial"/>
      <w:b/>
      <w:spacing w:val="-3"/>
      <w:sz w:val="24"/>
    </w:rPr>
  </w:style>
  <w:style w:type="paragraph" w:styleId="Heading8">
    <w:name w:val="heading 8"/>
    <w:basedOn w:val="Normal"/>
    <w:next w:val="Normal"/>
    <w:qFormat/>
    <w:pPr>
      <w:keepNext/>
      <w:numPr>
        <w:ilvl w:val="7"/>
        <w:numId w:val="1"/>
      </w:numPr>
      <w:tabs>
        <w:tab w:val="left" w:pos="-720"/>
      </w:tabs>
      <w:suppressAutoHyphens/>
      <w:jc w:val="both"/>
      <w:outlineLvl w:val="7"/>
    </w:pPr>
    <w:rPr>
      <w:rFonts w:ascii="Arial" w:hAnsi="Arial"/>
      <w:b/>
      <w:spacing w:val="-3"/>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OC2">
    <w:name w:val="toc 2"/>
    <w:basedOn w:val="Normal"/>
    <w:next w:val="Normal"/>
    <w:semiHidden/>
    <w:pPr>
      <w:tabs>
        <w:tab w:val="left" w:leader="dot" w:pos="9000"/>
        <w:tab w:val="right" w:pos="9360"/>
      </w:tabs>
      <w:suppressAutoHyphens/>
      <w:ind w:left="1440" w:right="720" w:hanging="720"/>
    </w:pPr>
    <w:rPr>
      <w:lang w:val="en-US"/>
    </w:rPr>
  </w:style>
  <w:style w:type="paragraph" w:styleId="TOC3">
    <w:name w:val="toc 3"/>
    <w:basedOn w:val="Normal"/>
    <w:next w:val="Normal"/>
    <w:semiHidden/>
    <w:pPr>
      <w:tabs>
        <w:tab w:val="left" w:leader="dot" w:pos="9000"/>
        <w:tab w:val="right" w:pos="9360"/>
      </w:tabs>
      <w:suppressAutoHyphens/>
      <w:ind w:left="2160" w:right="720" w:hanging="720"/>
    </w:pPr>
    <w:rPr>
      <w:lang w:val="en-US"/>
    </w:rPr>
  </w:style>
  <w:style w:type="paragraph" w:styleId="TOC4">
    <w:name w:val="toc 4"/>
    <w:basedOn w:val="Normal"/>
    <w:next w:val="Normal"/>
    <w:semiHidden/>
    <w:pPr>
      <w:tabs>
        <w:tab w:val="left" w:leader="dot" w:pos="9000"/>
        <w:tab w:val="right" w:pos="9360"/>
      </w:tabs>
      <w:suppressAutoHyphens/>
      <w:ind w:left="2880" w:right="720" w:hanging="720"/>
    </w:pPr>
    <w:rPr>
      <w:lang w:val="en-US"/>
    </w:rPr>
  </w:style>
  <w:style w:type="paragraph" w:styleId="TOC5">
    <w:name w:val="toc 5"/>
    <w:basedOn w:val="Normal"/>
    <w:next w:val="Normal"/>
    <w:semiHidden/>
    <w:pPr>
      <w:tabs>
        <w:tab w:val="left" w:leader="dot" w:pos="9000"/>
        <w:tab w:val="right" w:pos="9360"/>
      </w:tabs>
      <w:suppressAutoHyphens/>
      <w:ind w:left="3600" w:right="720" w:hanging="720"/>
    </w:pPr>
    <w:rPr>
      <w:lang w:val="en-US"/>
    </w:rPr>
  </w:style>
  <w:style w:type="paragraph" w:styleId="TOC6">
    <w:name w:val="toc 6"/>
    <w:basedOn w:val="Normal"/>
    <w:next w:val="Normal"/>
    <w:semiHidden/>
    <w:pPr>
      <w:tabs>
        <w:tab w:val="left" w:pos="9000"/>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left" w:pos="9000"/>
        <w:tab w:val="right" w:pos="9360"/>
      </w:tabs>
      <w:suppressAutoHyphens/>
      <w:ind w:left="720" w:hanging="720"/>
    </w:pPr>
    <w:rPr>
      <w:lang w:val="en-US"/>
    </w:rPr>
  </w:style>
  <w:style w:type="paragraph" w:styleId="TOC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pPr>
      <w:tabs>
        <w:tab w:val="left" w:pos="9000"/>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tabs>
        <w:tab w:val="left" w:pos="-720"/>
        <w:tab w:val="left" w:pos="0"/>
      </w:tabs>
      <w:suppressAutoHyphens/>
      <w:ind w:left="1134" w:hanging="876"/>
      <w:jc w:val="both"/>
    </w:pPr>
    <w:rPr>
      <w:rFonts w:ascii="Arial" w:hAnsi="Arial"/>
      <w:spacing w:val="-3"/>
      <w:sz w:val="24"/>
    </w:rPr>
  </w:style>
  <w:style w:type="paragraph" w:styleId="BodyTextIndent2">
    <w:name w:val="Body Text Indent 2"/>
    <w:basedOn w:val="Normal"/>
    <w:pPr>
      <w:tabs>
        <w:tab w:val="left" w:pos="-720"/>
        <w:tab w:val="left" w:pos="-108"/>
        <w:tab w:val="left" w:pos="0"/>
      </w:tabs>
      <w:suppressAutoHyphens/>
      <w:ind w:left="317"/>
      <w:jc w:val="both"/>
    </w:pPr>
    <w:rPr>
      <w:rFonts w:ascii="Arial" w:hAnsi="Arial"/>
      <w:spacing w:val="-3"/>
      <w:sz w:val="24"/>
    </w:rPr>
  </w:style>
  <w:style w:type="paragraph" w:styleId="BodyTextIndent3">
    <w:name w:val="Body Text Indent 3"/>
    <w:basedOn w:val="Normal"/>
    <w:pPr>
      <w:tabs>
        <w:tab w:val="left" w:pos="-720"/>
        <w:tab w:val="left" w:pos="0"/>
      </w:tabs>
      <w:suppressAutoHyphens/>
      <w:ind w:left="317" w:hanging="108"/>
      <w:jc w:val="both"/>
    </w:pPr>
    <w:rPr>
      <w:rFonts w:ascii="Arial" w:hAnsi="Arial"/>
      <w:spacing w:val="-3"/>
      <w:sz w:val="24"/>
    </w:rPr>
  </w:style>
  <w:style w:type="paragraph" w:styleId="BodyText">
    <w:name w:val="Body Text"/>
    <w:basedOn w:val="Normal"/>
    <w:pPr>
      <w:tabs>
        <w:tab w:val="left" w:pos="-720"/>
        <w:tab w:val="left" w:pos="851"/>
      </w:tabs>
      <w:suppressAutoHyphens/>
      <w:jc w:val="both"/>
    </w:pPr>
    <w:rPr>
      <w:rFonts w:ascii="Arial" w:hAnsi="Arial"/>
      <w:spacing w:val="-3"/>
      <w:sz w:val="24"/>
    </w:rPr>
  </w:style>
  <w:style w:type="paragraph" w:styleId="Title">
    <w:name w:val="Title"/>
    <w:basedOn w:val="Normal"/>
    <w:qFormat/>
    <w:pPr>
      <w:suppressAutoHyphens/>
      <w:jc w:val="center"/>
    </w:pPr>
    <w:rPr>
      <w:rFonts w:ascii="Arial" w:hAnsi="Arial"/>
      <w:b/>
      <w:sz w:val="28"/>
    </w:rPr>
  </w:style>
  <w:style w:type="paragraph" w:styleId="BodyText3">
    <w:name w:val="Body Text 3"/>
    <w:basedOn w:val="Normal"/>
    <w:pPr>
      <w:tabs>
        <w:tab w:val="left" w:pos="-720"/>
        <w:tab w:val="left" w:pos="-142"/>
      </w:tabs>
      <w:suppressAutoHyphens/>
      <w:jc w:val="both"/>
    </w:pPr>
    <w:rPr>
      <w:rFonts w:ascii="Arial" w:hAnsi="Arial"/>
      <w:i/>
      <w:spacing w:val="-3"/>
      <w:sz w:val="24"/>
    </w:rPr>
  </w:style>
  <w:style w:type="paragraph" w:styleId="BodyTextIndent">
    <w:name w:val="Body Text Indent"/>
    <w:basedOn w:val="Normal"/>
    <w:pPr>
      <w:tabs>
        <w:tab w:val="left" w:pos="-720"/>
      </w:tabs>
      <w:suppressAutoHyphens/>
      <w:ind w:left="1134" w:hanging="1134"/>
      <w:jc w:val="both"/>
    </w:pPr>
    <w:rPr>
      <w:rFonts w:ascii="Arial" w:hAnsi="Arial"/>
      <w:spacing w:val="-3"/>
      <w:sz w:val="24"/>
    </w:rPr>
  </w:style>
  <w:style w:type="character" w:styleId="PageNumber">
    <w:name w:val="page number"/>
    <w:basedOn w:val="DefaultParagraphFont"/>
  </w:style>
  <w:style w:type="paragraph" w:styleId="BlockText">
    <w:name w:val="Block Text"/>
    <w:basedOn w:val="Normal"/>
    <w:pPr>
      <w:spacing w:line="360" w:lineRule="auto"/>
      <w:ind w:left="720" w:right="691"/>
      <w:jc w:val="both"/>
    </w:pPr>
    <w:rPr>
      <w:rFonts w:ascii="Arial" w:hAnsi="Arial"/>
      <w:sz w:val="22"/>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0839E8"/>
    <w:pPr>
      <w:ind w:left="720"/>
    </w:pPr>
  </w:style>
  <w:style w:type="character" w:styleId="CommentReference">
    <w:name w:val="annotation reference"/>
    <w:rsid w:val="00FB7C1A"/>
    <w:rPr>
      <w:sz w:val="16"/>
      <w:szCs w:val="16"/>
    </w:rPr>
  </w:style>
  <w:style w:type="paragraph" w:styleId="CommentText">
    <w:name w:val="annotation text"/>
    <w:basedOn w:val="Normal"/>
    <w:link w:val="CommentTextChar"/>
    <w:uiPriority w:val="99"/>
    <w:rsid w:val="00FB7C1A"/>
  </w:style>
  <w:style w:type="character" w:customStyle="1" w:styleId="CommentTextChar">
    <w:name w:val="Comment Text Char"/>
    <w:link w:val="CommentText"/>
    <w:uiPriority w:val="99"/>
    <w:rsid w:val="00FB7C1A"/>
    <w:rPr>
      <w:lang w:eastAsia="en-US"/>
    </w:rPr>
  </w:style>
  <w:style w:type="paragraph" w:styleId="CommentSubject">
    <w:name w:val="annotation subject"/>
    <w:basedOn w:val="CommentText"/>
    <w:next w:val="CommentText"/>
    <w:link w:val="CommentSubjectChar"/>
    <w:rsid w:val="00FB7C1A"/>
    <w:rPr>
      <w:b/>
      <w:bCs/>
    </w:rPr>
  </w:style>
  <w:style w:type="character" w:customStyle="1" w:styleId="CommentSubjectChar">
    <w:name w:val="Comment Subject Char"/>
    <w:link w:val="CommentSubject"/>
    <w:rsid w:val="00FB7C1A"/>
    <w:rPr>
      <w:b/>
      <w:bCs/>
      <w:lang w:eastAsia="en-US"/>
    </w:rPr>
  </w:style>
  <w:style w:type="character" w:customStyle="1" w:styleId="HeaderChar">
    <w:name w:val="Header Char"/>
    <w:link w:val="Header"/>
    <w:uiPriority w:val="99"/>
    <w:rsid w:val="00A8186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512898">
      <w:bodyDiv w:val="1"/>
      <w:marLeft w:val="0"/>
      <w:marRight w:val="0"/>
      <w:marTop w:val="0"/>
      <w:marBottom w:val="0"/>
      <w:divBdr>
        <w:top w:val="none" w:sz="0" w:space="0" w:color="auto"/>
        <w:left w:val="none" w:sz="0" w:space="0" w:color="auto"/>
        <w:bottom w:val="none" w:sz="0" w:space="0" w:color="auto"/>
        <w:right w:val="none" w:sz="0" w:space="0" w:color="auto"/>
      </w:divBdr>
    </w:div>
    <w:div w:id="499195812">
      <w:bodyDiv w:val="1"/>
      <w:marLeft w:val="0"/>
      <w:marRight w:val="0"/>
      <w:marTop w:val="0"/>
      <w:marBottom w:val="0"/>
      <w:divBdr>
        <w:top w:val="none" w:sz="0" w:space="0" w:color="auto"/>
        <w:left w:val="none" w:sz="0" w:space="0" w:color="auto"/>
        <w:bottom w:val="none" w:sz="0" w:space="0" w:color="auto"/>
        <w:right w:val="none" w:sz="0" w:space="0" w:color="auto"/>
      </w:divBdr>
    </w:div>
    <w:div w:id="672224163">
      <w:bodyDiv w:val="1"/>
      <w:marLeft w:val="0"/>
      <w:marRight w:val="0"/>
      <w:marTop w:val="0"/>
      <w:marBottom w:val="0"/>
      <w:divBdr>
        <w:top w:val="none" w:sz="0" w:space="0" w:color="auto"/>
        <w:left w:val="none" w:sz="0" w:space="0" w:color="auto"/>
        <w:bottom w:val="none" w:sz="0" w:space="0" w:color="auto"/>
        <w:right w:val="none" w:sz="0" w:space="0" w:color="auto"/>
      </w:divBdr>
    </w:div>
    <w:div w:id="1082675742">
      <w:bodyDiv w:val="1"/>
      <w:marLeft w:val="0"/>
      <w:marRight w:val="0"/>
      <w:marTop w:val="0"/>
      <w:marBottom w:val="0"/>
      <w:divBdr>
        <w:top w:val="none" w:sz="0" w:space="0" w:color="auto"/>
        <w:left w:val="none" w:sz="0" w:space="0" w:color="auto"/>
        <w:bottom w:val="none" w:sz="0" w:space="0" w:color="auto"/>
        <w:right w:val="none" w:sz="0" w:space="0" w:color="auto"/>
      </w:divBdr>
    </w:div>
    <w:div w:id="1515799688">
      <w:bodyDiv w:val="1"/>
      <w:marLeft w:val="0"/>
      <w:marRight w:val="0"/>
      <w:marTop w:val="0"/>
      <w:marBottom w:val="0"/>
      <w:divBdr>
        <w:top w:val="none" w:sz="0" w:space="0" w:color="auto"/>
        <w:left w:val="none" w:sz="0" w:space="0" w:color="auto"/>
        <w:bottom w:val="none" w:sz="0" w:space="0" w:color="auto"/>
        <w:right w:val="none" w:sz="0" w:space="0" w:color="auto"/>
      </w:divBdr>
    </w:div>
    <w:div w:id="213925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352CB-30EA-461E-9E5E-AB2F01A4A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1071</Words>
  <Characters>5672</Characters>
  <Application>Microsoft Office Word</Application>
  <DocSecurity>0</DocSecurity>
  <Lines>354</Lines>
  <Paragraphs>160</Paragraphs>
  <ScaleCrop>false</ScaleCrop>
  <HeadingPairs>
    <vt:vector size="2" baseType="variant">
      <vt:variant>
        <vt:lpstr>Title</vt:lpstr>
      </vt:variant>
      <vt:variant>
        <vt:i4>1</vt:i4>
      </vt:variant>
    </vt:vector>
  </HeadingPairs>
  <TitlesOfParts>
    <vt:vector size="1" baseType="lpstr">
      <vt:lpstr>Consultancy Agreement - Precedent</vt:lpstr>
    </vt:vector>
  </TitlesOfParts>
  <Company>Southwark Legal Services</Company>
  <LinksUpToDate>false</LinksUpToDate>
  <CharactersWithSpaces>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Agreement - Precedent</dc:title>
  <dc:creator>Mary Micklewright</dc:creator>
  <cp:lastModifiedBy>Schaaf, Jonathan</cp:lastModifiedBy>
  <cp:revision>3</cp:revision>
  <cp:lastPrinted>2015-08-25T15:01:00Z</cp:lastPrinted>
  <dcterms:created xsi:type="dcterms:W3CDTF">2015-11-20T11:55:00Z</dcterms:created>
  <dcterms:modified xsi:type="dcterms:W3CDTF">2015-11-20T17:03:00Z</dcterms:modified>
</cp:coreProperties>
</file>