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Redacted – FOI Section 43 Commercially Sensitive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FM Project Version: 1.A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  <w:r w:rsidDel="00000000" w:rsidR="00000000" w:rsidRPr="00000000">
      <w:rPr>
        <w:rFonts w:ascii="Quattrocento Sans" w:cs="Quattrocento Sans" w:eastAsia="Quattrocento Sans" w:hAnsi="Quattrocento Sans"/>
        <w:color w:val="181818"/>
        <w:sz w:val="21"/>
        <w:szCs w:val="21"/>
        <w:highlight w:val="white"/>
        <w:rtl w:val="0"/>
      </w:rPr>
      <w:t xml:space="preserve"> CCFR22A02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b="0" l="0" r="0" t="0"/>
          <wp:wrapNone/>
          <wp:docPr descr="Crown Commercial Service" id="5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180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288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 w:val="1"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 w:val="1"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 w:val="1"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 w:val="1"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 w:val="1"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numPr>
        <w:numId w:val="5"/>
      </w:numPr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numPr>
        <w:numId w:val="14"/>
      </w:numPr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Title">
    <w:name w:val="Title"/>
    <w:basedOn w:val="Normal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sz w:val="22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sz w:val="22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 w:val="1"/>
      <w:numPr>
        <w:ilvl w:val="1"/>
        <w:numId w:val="5"/>
      </w:numPr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numPr>
        <w:ilvl w:val="2"/>
        <w:numId w:val="5"/>
      </w:numPr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numPr>
        <w:numId w:val="9"/>
      </w:numPr>
      <w:contextualSpacing w:val="1"/>
    </w:pPr>
  </w:style>
  <w:style w:type="paragraph" w:styleId="ListNumber2">
    <w:name w:val="List Number 2"/>
    <w:basedOn w:val="Normal"/>
    <w:pPr>
      <w:numPr>
        <w:numId w:val="10"/>
      </w:numPr>
      <w:contextualSpacing w:val="1"/>
    </w:pPr>
  </w:style>
  <w:style w:type="paragraph" w:styleId="ListNumber3">
    <w:name w:val="List Number 3"/>
    <w:basedOn w:val="Normal"/>
    <w:pPr>
      <w:numPr>
        <w:numId w:val="11"/>
      </w:numPr>
      <w:contextualSpacing w:val="1"/>
    </w:pPr>
  </w:style>
  <w:style w:type="paragraph" w:styleId="ListNumber4">
    <w:name w:val="List Number 4"/>
    <w:basedOn w:val="Normal"/>
    <w:pPr>
      <w:numPr>
        <w:numId w:val="12"/>
      </w:numPr>
      <w:contextualSpacing w:val="1"/>
    </w:pPr>
  </w:style>
  <w:style w:type="paragraph" w:styleId="ListNumber5">
    <w:name w:val="List Number 5"/>
    <w:basedOn w:val="Normal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  <w:szCs w:val="22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szCs w:val="22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szCs w:val="22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numPr>
        <w:numId w:val="18"/>
      </w:numPr>
      <w:tabs>
        <w:tab w:val="left" w:pos="-9"/>
      </w:tabs>
      <w:spacing w:after="120" w:line="240" w:lineRule="auto"/>
    </w:pPr>
    <w:rPr>
      <w:rFonts w:ascii="Arial" w:cs="Arial" w:hAnsi="Arial"/>
      <w:szCs w:val="22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YHti6y7skw/s5eM0sqZ05hIc+A==">AMUW2mWJZrjTzXoErexWzK2PNxi5AmiS3LewskyHzIRH7adZ5UtssqH17nSJ2lfpTsEYes4uckSLPZUKvJw4R9oEkYev74c6ilFgUcudGcEk5BL88yRA5wGGNvTwDYCQlF+UXwV1fkgS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2019-10-04T13:29:00Z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