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13" w:rsidRDefault="00CA09F7"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</w:p>
    <w:p w:rsidR="00051F26" w:rsidRDefault="005F5272">
      <w:pPr>
        <w:rPr>
          <w:color w:val="FF0000"/>
        </w:rPr>
      </w:pPr>
      <w:r>
        <w:rPr>
          <w:i/>
          <w:color w:val="FF0000"/>
        </w:rPr>
        <w:t>Handyperson Tender</w:t>
      </w:r>
      <w:r w:rsidR="00CA09F7" w:rsidRPr="00692213">
        <w:rPr>
          <w:color w:val="FF0000"/>
        </w:rPr>
        <w:t xml:space="preserve"> </w:t>
      </w:r>
    </w:p>
    <w:p w:rsidR="00692213" w:rsidRDefault="00692213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5"/>
        <w:gridCol w:w="1191"/>
        <w:gridCol w:w="6038"/>
        <w:gridCol w:w="5527"/>
        <w:gridCol w:w="1278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144323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CD3923" w:rsidRPr="002C4161" w:rsidTr="00692213">
        <w:tc>
          <w:tcPr>
            <w:tcW w:w="675" w:type="dxa"/>
          </w:tcPr>
          <w:p w:rsidR="00CD3923" w:rsidRPr="002C4161" w:rsidRDefault="00CD3923">
            <w:r w:rsidRPr="002C4161">
              <w:t>1</w:t>
            </w:r>
          </w:p>
        </w:tc>
        <w:tc>
          <w:tcPr>
            <w:tcW w:w="1191" w:type="dxa"/>
          </w:tcPr>
          <w:p w:rsidR="00CD3923" w:rsidRPr="00CA09F7" w:rsidRDefault="00A24B99" w:rsidP="003F2C96">
            <w:r>
              <w:t>19/02/18</w:t>
            </w:r>
          </w:p>
        </w:tc>
        <w:tc>
          <w:tcPr>
            <w:tcW w:w="6039" w:type="dxa"/>
          </w:tcPr>
          <w:p w:rsidR="00A24B99" w:rsidRDefault="00A24B99" w:rsidP="00A24B99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Please can you confirm the volume expected of the key activities listed in the service specification?  It would be helpful to have a quantity of jobs and/ or hours expected to be delivered.</w:t>
            </w:r>
          </w:p>
          <w:p w:rsidR="00CD3923" w:rsidRPr="00CA09F7" w:rsidRDefault="00CD3923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CD3923" w:rsidRPr="00CA09F7" w:rsidRDefault="00E554FE" w:rsidP="00E554FE">
            <w:pPr>
              <w:rPr>
                <w:color w:val="FF0000"/>
              </w:rPr>
            </w:pPr>
            <w:r w:rsidRPr="00E554FE">
              <w:rPr>
                <w:color w:val="244061" w:themeColor="accent1" w:themeShade="80"/>
              </w:rPr>
              <w:t>The numbe</w:t>
            </w:r>
            <w:r w:rsidR="00B329C9">
              <w:rPr>
                <w:color w:val="244061" w:themeColor="accent1" w:themeShade="80"/>
              </w:rPr>
              <w:t xml:space="preserve">r of jobs that were delivered in the last 12 month is </w:t>
            </w:r>
            <w:proofErr w:type="spellStart"/>
            <w:r w:rsidR="00B329C9">
              <w:rPr>
                <w:color w:val="244061" w:themeColor="accent1" w:themeShade="80"/>
              </w:rPr>
              <w:t>apx</w:t>
            </w:r>
            <w:proofErr w:type="spellEnd"/>
            <w:r w:rsidR="00B329C9">
              <w:rPr>
                <w:color w:val="244061" w:themeColor="accent1" w:themeShade="80"/>
              </w:rPr>
              <w:t xml:space="preserve"> 1000</w:t>
            </w:r>
            <w:r w:rsidRPr="00E554FE">
              <w:rPr>
                <w:color w:val="244061" w:themeColor="accent1" w:themeShade="80"/>
              </w:rPr>
              <w:t>.  There is no minimum count on the works or hours expected to be delivered</w:t>
            </w:r>
          </w:p>
        </w:tc>
        <w:tc>
          <w:tcPr>
            <w:tcW w:w="1276" w:type="dxa"/>
          </w:tcPr>
          <w:p w:rsidR="00CD3923" w:rsidRPr="002C4161" w:rsidRDefault="0009282C" w:rsidP="00891463">
            <w:pPr>
              <w:rPr>
                <w:color w:val="FF0000"/>
              </w:rPr>
            </w:pPr>
            <w:r>
              <w:rPr>
                <w:color w:val="000000" w:themeColor="text1"/>
              </w:rPr>
              <w:t>08</w:t>
            </w:r>
            <w:r w:rsidR="00DD6F4E" w:rsidRPr="00DD6F4E">
              <w:rPr>
                <w:color w:val="000000" w:themeColor="text1"/>
              </w:rPr>
              <w:t>/03/2018</w:t>
            </w:r>
          </w:p>
        </w:tc>
      </w:tr>
      <w:tr w:rsidR="00CA09F7" w:rsidRPr="002C4161" w:rsidTr="00692213">
        <w:tc>
          <w:tcPr>
            <w:tcW w:w="675" w:type="dxa"/>
          </w:tcPr>
          <w:p w:rsidR="00CA09F7" w:rsidRPr="002C4161" w:rsidRDefault="00CA09F7">
            <w:r>
              <w:t>2</w:t>
            </w:r>
          </w:p>
        </w:tc>
        <w:tc>
          <w:tcPr>
            <w:tcW w:w="1191" w:type="dxa"/>
          </w:tcPr>
          <w:p w:rsidR="00CA09F7" w:rsidRPr="00CA09F7" w:rsidRDefault="00A24B99" w:rsidP="003F2C96">
            <w:r>
              <w:t>19/02/18</w:t>
            </w:r>
          </w:p>
        </w:tc>
        <w:tc>
          <w:tcPr>
            <w:tcW w:w="6039" w:type="dxa"/>
          </w:tcPr>
          <w:p w:rsidR="00A24B99" w:rsidRDefault="00A24B99" w:rsidP="00A24B99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Please can you give more detail around the minor electrical works that would be expected to be carried out and their volume?</w:t>
            </w:r>
          </w:p>
          <w:p w:rsidR="00CA09F7" w:rsidRPr="00CA09F7" w:rsidRDefault="00CA09F7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9429B3" w:rsidRPr="00724584" w:rsidRDefault="008556AC" w:rsidP="009429B3">
            <w:pPr>
              <w:rPr>
                <w:color w:val="244061" w:themeColor="accent1" w:themeShade="80"/>
              </w:rPr>
            </w:pPr>
            <w:r>
              <w:rPr>
                <w:color w:val="244061"/>
              </w:rPr>
              <w:t xml:space="preserve">Works such as changing light bulbs and fuses, running extension and fitting plugs to existing equipment. </w:t>
            </w:r>
            <w:r w:rsidR="00FC6771" w:rsidRPr="00724584">
              <w:rPr>
                <w:color w:val="244061" w:themeColor="accent1" w:themeShade="80"/>
              </w:rPr>
              <w:t>We do not have an expected volume on these jobs</w:t>
            </w:r>
          </w:p>
          <w:p w:rsidR="00CA09F7" w:rsidRPr="00CA09F7" w:rsidRDefault="00CA09F7" w:rsidP="00D42F0C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CA09F7" w:rsidRPr="002C4161" w:rsidRDefault="0009282C" w:rsidP="003F2C96">
            <w:pPr>
              <w:rPr>
                <w:color w:val="FF0000"/>
              </w:rPr>
            </w:pPr>
            <w:r>
              <w:rPr>
                <w:color w:val="000000" w:themeColor="text1"/>
              </w:rPr>
              <w:t>08</w:t>
            </w:r>
            <w:r w:rsidR="00DD6F4E" w:rsidRPr="00DD6F4E">
              <w:rPr>
                <w:color w:val="000000" w:themeColor="text1"/>
              </w:rPr>
              <w:t>/03/2018</w:t>
            </w:r>
          </w:p>
        </w:tc>
      </w:tr>
      <w:tr w:rsidR="00195600" w:rsidRPr="002C4161" w:rsidTr="00692213">
        <w:tc>
          <w:tcPr>
            <w:tcW w:w="675" w:type="dxa"/>
          </w:tcPr>
          <w:p w:rsidR="00195600" w:rsidRDefault="00195600">
            <w:r>
              <w:t>3</w:t>
            </w:r>
          </w:p>
        </w:tc>
        <w:tc>
          <w:tcPr>
            <w:tcW w:w="1191" w:type="dxa"/>
          </w:tcPr>
          <w:p w:rsidR="00195600" w:rsidRPr="00CA09F7" w:rsidRDefault="00A24B99" w:rsidP="003F2C96">
            <w:r>
              <w:t>19/02/18</w:t>
            </w:r>
          </w:p>
        </w:tc>
        <w:tc>
          <w:tcPr>
            <w:tcW w:w="6039" w:type="dxa"/>
          </w:tcPr>
          <w:p w:rsidR="00A24B99" w:rsidRDefault="00A24B99" w:rsidP="00A24B99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Can you confirm what you would expect an exclusions policy to contain?</w:t>
            </w:r>
          </w:p>
          <w:p w:rsidR="00195600" w:rsidRPr="00CA09F7" w:rsidRDefault="00195600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195600" w:rsidRDefault="00724584" w:rsidP="00724584">
            <w:pPr>
              <w:ind w:left="56"/>
              <w:rPr>
                <w:color w:val="244061" w:themeColor="accent1" w:themeShade="80"/>
              </w:rPr>
            </w:pPr>
            <w:r w:rsidRPr="00724584">
              <w:rPr>
                <w:color w:val="244061" w:themeColor="accent1" w:themeShade="80"/>
              </w:rPr>
              <w:t>An exclusions policy would typically include types of work / locations / situations in / with which the service provider would not be able to supply the contracted works</w:t>
            </w:r>
          </w:p>
          <w:p w:rsidR="000D06D9" w:rsidRPr="00724584" w:rsidRDefault="000D06D9" w:rsidP="00724584">
            <w:pPr>
              <w:ind w:left="56"/>
              <w:rPr>
                <w:color w:val="244061" w:themeColor="accent1" w:themeShade="80"/>
              </w:rPr>
            </w:pPr>
          </w:p>
        </w:tc>
        <w:tc>
          <w:tcPr>
            <w:tcW w:w="1276" w:type="dxa"/>
          </w:tcPr>
          <w:p w:rsidR="00195600" w:rsidRDefault="0009282C" w:rsidP="003F2C96">
            <w:pPr>
              <w:rPr>
                <w:color w:val="FF0000"/>
              </w:rPr>
            </w:pPr>
            <w:r>
              <w:rPr>
                <w:color w:val="000000" w:themeColor="text1"/>
              </w:rPr>
              <w:t>08</w:t>
            </w:r>
            <w:r w:rsidR="00DD6F4E" w:rsidRPr="00DD6F4E">
              <w:rPr>
                <w:color w:val="000000" w:themeColor="text1"/>
              </w:rPr>
              <w:t>/03/2018</w:t>
            </w:r>
          </w:p>
        </w:tc>
      </w:tr>
      <w:tr w:rsidR="00A24B99" w:rsidRPr="002C4161" w:rsidTr="00692213">
        <w:tc>
          <w:tcPr>
            <w:tcW w:w="675" w:type="dxa"/>
          </w:tcPr>
          <w:p w:rsidR="00A24B99" w:rsidRDefault="00A24B99">
            <w:r>
              <w:t>4</w:t>
            </w:r>
          </w:p>
        </w:tc>
        <w:tc>
          <w:tcPr>
            <w:tcW w:w="1191" w:type="dxa"/>
          </w:tcPr>
          <w:p w:rsidR="00A24B99" w:rsidRPr="00CA09F7" w:rsidRDefault="00A24B99" w:rsidP="003F2C96">
            <w:r>
              <w:t>19/02/18</w:t>
            </w:r>
          </w:p>
        </w:tc>
        <w:tc>
          <w:tcPr>
            <w:tcW w:w="6039" w:type="dxa"/>
          </w:tcPr>
          <w:p w:rsidR="00A24B99" w:rsidRDefault="00A24B99" w:rsidP="00A24B99">
            <w:pPr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Charges to customers- can you confirm what ‘small items’ are provided free of charge to service users and what items the ‘service may have to purchase on their behalf’- would the provider be supplying these items?  Would the cost of the items be charged separately?</w:t>
            </w:r>
          </w:p>
          <w:p w:rsidR="00A24B99" w:rsidRPr="00CA09F7" w:rsidRDefault="00A24B99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033F69" w:rsidRPr="001C6E84" w:rsidRDefault="00033F69" w:rsidP="00724584">
            <w:pPr>
              <w:rPr>
                <w:color w:val="244061" w:themeColor="accent1" w:themeShade="80"/>
                <w:szCs w:val="24"/>
              </w:rPr>
            </w:pPr>
            <w:r w:rsidRPr="001C6E84">
              <w:rPr>
                <w:color w:val="244061" w:themeColor="accent1" w:themeShade="80"/>
                <w:szCs w:val="24"/>
              </w:rPr>
              <w:t>There is not an exhaustive list of items and referrers to the service will determine what should be provided to the customer free of charge.</w:t>
            </w:r>
          </w:p>
          <w:p w:rsidR="00132C53" w:rsidRPr="001C6E84" w:rsidRDefault="00132C53" w:rsidP="00724584">
            <w:pPr>
              <w:rPr>
                <w:color w:val="244061" w:themeColor="accent1" w:themeShade="80"/>
                <w:szCs w:val="24"/>
              </w:rPr>
            </w:pPr>
          </w:p>
          <w:p w:rsidR="00033F69" w:rsidRPr="001C6E84" w:rsidRDefault="00033F69" w:rsidP="00724584">
            <w:pPr>
              <w:rPr>
                <w:color w:val="244061" w:themeColor="accent1" w:themeShade="80"/>
                <w:szCs w:val="24"/>
              </w:rPr>
            </w:pPr>
            <w:r w:rsidRPr="001C6E84">
              <w:rPr>
                <w:color w:val="244061" w:themeColor="accent1" w:themeShade="80"/>
                <w:szCs w:val="24"/>
              </w:rPr>
              <w:t xml:space="preserve">When attending a job it may be identified that the customer would benefit from further assistance involving small items that are not covered by the contract. In this instance </w:t>
            </w:r>
            <w:r w:rsidR="00132C53" w:rsidRPr="001C6E84">
              <w:rPr>
                <w:color w:val="244061" w:themeColor="accent1" w:themeShade="80"/>
                <w:szCs w:val="24"/>
              </w:rPr>
              <w:t>where the work would be under 1 hour and does not involved materials in excess of £30.00 th</w:t>
            </w:r>
            <w:r w:rsidRPr="001C6E84">
              <w:rPr>
                <w:color w:val="244061" w:themeColor="accent1" w:themeShade="80"/>
                <w:szCs w:val="24"/>
              </w:rPr>
              <w:t xml:space="preserve">e service provider is able to purchase items on </w:t>
            </w:r>
            <w:r w:rsidR="00132C53" w:rsidRPr="001C6E84">
              <w:rPr>
                <w:color w:val="244061" w:themeColor="accent1" w:themeShade="80"/>
                <w:szCs w:val="24"/>
              </w:rPr>
              <w:t>behalf of the customer and carry out the work</w:t>
            </w:r>
          </w:p>
          <w:p w:rsidR="00033F69" w:rsidRDefault="00033F69" w:rsidP="00724584">
            <w:pPr>
              <w:rPr>
                <w:sz w:val="24"/>
                <w:szCs w:val="24"/>
              </w:rPr>
            </w:pPr>
          </w:p>
          <w:p w:rsidR="00A24B99" w:rsidRDefault="00A24B99" w:rsidP="00724584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A24B99" w:rsidRDefault="0009282C" w:rsidP="003F2C96">
            <w:pPr>
              <w:rPr>
                <w:color w:val="FF0000"/>
              </w:rPr>
            </w:pPr>
            <w:r>
              <w:rPr>
                <w:color w:val="000000" w:themeColor="text1"/>
              </w:rPr>
              <w:t>08</w:t>
            </w:r>
            <w:r w:rsidR="00DD6F4E" w:rsidRPr="00DD6F4E">
              <w:rPr>
                <w:color w:val="000000" w:themeColor="text1"/>
              </w:rPr>
              <w:t>/03/2018</w:t>
            </w:r>
          </w:p>
        </w:tc>
      </w:tr>
      <w:tr w:rsidR="00A24B99" w:rsidRPr="002C4161" w:rsidTr="00692213">
        <w:tc>
          <w:tcPr>
            <w:tcW w:w="675" w:type="dxa"/>
          </w:tcPr>
          <w:p w:rsidR="00A24B99" w:rsidRDefault="00132C53">
            <w:r>
              <w:t>5</w:t>
            </w:r>
          </w:p>
        </w:tc>
        <w:tc>
          <w:tcPr>
            <w:tcW w:w="1191" w:type="dxa"/>
          </w:tcPr>
          <w:p w:rsidR="00A24B99" w:rsidRPr="00CA09F7" w:rsidRDefault="00132C53" w:rsidP="003F2C96">
            <w:r>
              <w:t>20/02/18</w:t>
            </w:r>
          </w:p>
        </w:tc>
        <w:tc>
          <w:tcPr>
            <w:tcW w:w="6039" w:type="dxa"/>
          </w:tcPr>
          <w:p w:rsidR="00132C53" w:rsidRDefault="00132C53" w:rsidP="00132C53">
            <w:r>
              <w:t>How many staff are curren</w:t>
            </w:r>
            <w:r w:rsidR="00C378F5">
              <w:t>tly employed on this contract? i</w:t>
            </w:r>
            <w:r>
              <w:t>.</w:t>
            </w:r>
            <w:bookmarkStart w:id="0" w:name="_GoBack"/>
            <w:bookmarkEnd w:id="0"/>
            <w:r>
              <w:t>e</w:t>
            </w:r>
            <w:r w:rsidR="00C378F5">
              <w:t>.</w:t>
            </w:r>
            <w:r>
              <w:t xml:space="preserve"> how many would be eligible for TUPE?</w:t>
            </w:r>
          </w:p>
          <w:p w:rsidR="00A24B99" w:rsidRPr="00CA09F7" w:rsidRDefault="00A24B99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A24B99" w:rsidRDefault="004A6CC0" w:rsidP="004A6CC0">
            <w:pPr>
              <w:ind w:left="67"/>
              <w:rPr>
                <w:color w:val="FF0000"/>
              </w:rPr>
            </w:pPr>
            <w:r w:rsidRPr="004A6CC0">
              <w:rPr>
                <w:color w:val="244061" w:themeColor="accent1" w:themeShade="80"/>
              </w:rPr>
              <w:t>Please see the TUPE information published on Contract Finder</w:t>
            </w:r>
          </w:p>
        </w:tc>
        <w:tc>
          <w:tcPr>
            <w:tcW w:w="1276" w:type="dxa"/>
          </w:tcPr>
          <w:p w:rsidR="00A24B99" w:rsidRDefault="0009282C" w:rsidP="003F2C96">
            <w:pPr>
              <w:rPr>
                <w:color w:val="FF0000"/>
              </w:rPr>
            </w:pPr>
            <w:r>
              <w:rPr>
                <w:color w:val="000000" w:themeColor="text1"/>
              </w:rPr>
              <w:t>08</w:t>
            </w:r>
            <w:r w:rsidR="00DD6F4E" w:rsidRPr="00DD6F4E">
              <w:rPr>
                <w:color w:val="000000" w:themeColor="text1"/>
              </w:rPr>
              <w:t>/03/2018</w:t>
            </w:r>
          </w:p>
        </w:tc>
      </w:tr>
      <w:tr w:rsidR="00A24B99" w:rsidRPr="002C4161" w:rsidTr="00692213">
        <w:tc>
          <w:tcPr>
            <w:tcW w:w="675" w:type="dxa"/>
          </w:tcPr>
          <w:p w:rsidR="00A24B99" w:rsidRDefault="00132C53">
            <w:r>
              <w:lastRenderedPageBreak/>
              <w:t>6</w:t>
            </w:r>
          </w:p>
        </w:tc>
        <w:tc>
          <w:tcPr>
            <w:tcW w:w="1191" w:type="dxa"/>
          </w:tcPr>
          <w:p w:rsidR="00A24B99" w:rsidRPr="00CA09F7" w:rsidRDefault="00132C53" w:rsidP="003F2C96">
            <w:r>
              <w:t>20/02/18</w:t>
            </w:r>
          </w:p>
        </w:tc>
        <w:tc>
          <w:tcPr>
            <w:tcW w:w="6039" w:type="dxa"/>
          </w:tcPr>
          <w:p w:rsidR="00A24B99" w:rsidRPr="00CA09F7" w:rsidRDefault="00132C53" w:rsidP="00132C53">
            <w:pPr>
              <w:rPr>
                <w:rFonts w:eastAsia="Times New Roman" w:cs="Arial"/>
              </w:rPr>
            </w:pPr>
            <w:r>
              <w:t>The header says 200-225k contract value, but at the bottom of the service specification document, it says up to 45k per annum. Please can you advise which is the most relevant?</w:t>
            </w:r>
          </w:p>
        </w:tc>
        <w:tc>
          <w:tcPr>
            <w:tcW w:w="5528" w:type="dxa"/>
          </w:tcPr>
          <w:p w:rsidR="00A24B99" w:rsidRDefault="005F5272" w:rsidP="00AB4F75">
            <w:pPr>
              <w:ind w:left="360"/>
              <w:rPr>
                <w:color w:val="FF0000"/>
              </w:rPr>
            </w:pPr>
            <w:r w:rsidRPr="005F5272">
              <w:rPr>
                <w:color w:val="244061" w:themeColor="accent1" w:themeShade="80"/>
              </w:rPr>
              <w:t>The overall contract value is 200-225k. The “up to 45k” is the yearly value of the contract</w:t>
            </w:r>
          </w:p>
        </w:tc>
        <w:tc>
          <w:tcPr>
            <w:tcW w:w="1276" w:type="dxa"/>
          </w:tcPr>
          <w:p w:rsidR="00A24B99" w:rsidRDefault="0009282C" w:rsidP="003F2C96">
            <w:pPr>
              <w:rPr>
                <w:color w:val="FF0000"/>
              </w:rPr>
            </w:pPr>
            <w:r>
              <w:rPr>
                <w:color w:val="000000" w:themeColor="text1"/>
              </w:rPr>
              <w:t>08</w:t>
            </w:r>
            <w:r w:rsidR="00DD6F4E" w:rsidRPr="00DD6F4E">
              <w:rPr>
                <w:color w:val="000000" w:themeColor="text1"/>
              </w:rPr>
              <w:t>/03/2018</w:t>
            </w:r>
          </w:p>
        </w:tc>
      </w:tr>
      <w:tr w:rsidR="00A24B99" w:rsidRPr="002C4161" w:rsidTr="00692213">
        <w:tc>
          <w:tcPr>
            <w:tcW w:w="675" w:type="dxa"/>
          </w:tcPr>
          <w:p w:rsidR="00A24B99" w:rsidRDefault="00097214">
            <w:r>
              <w:t>7</w:t>
            </w:r>
          </w:p>
        </w:tc>
        <w:tc>
          <w:tcPr>
            <w:tcW w:w="1191" w:type="dxa"/>
          </w:tcPr>
          <w:p w:rsidR="00A24B99" w:rsidRPr="00CA09F7" w:rsidRDefault="00097214" w:rsidP="003F2C96">
            <w:r>
              <w:t>27/02/18</w:t>
            </w:r>
          </w:p>
        </w:tc>
        <w:tc>
          <w:tcPr>
            <w:tcW w:w="6039" w:type="dxa"/>
          </w:tcPr>
          <w:p w:rsidR="00097214" w:rsidRPr="00097214" w:rsidRDefault="00097214" w:rsidP="00097214">
            <w:pPr>
              <w:rPr>
                <w:rFonts w:ascii="Arial" w:hAnsi="Arial" w:cs="Arial"/>
                <w:i/>
                <w:lang w:eastAsia="ar-SA"/>
              </w:rPr>
            </w:pPr>
            <w:r w:rsidRPr="00097214">
              <w:rPr>
                <w:rFonts w:ascii="Arial" w:hAnsi="Arial" w:cs="Arial"/>
                <w:i/>
                <w:lang w:eastAsia="ar-SA"/>
              </w:rPr>
              <w:t>Does the relevant section of your organisation hold a recognised environment management system certificate, e.g. ISO 14001 or equivalent?</w:t>
            </w:r>
          </w:p>
          <w:p w:rsidR="00097214" w:rsidRDefault="00097214" w:rsidP="00097214">
            <w:pPr>
              <w:rPr>
                <w:rFonts w:ascii="Arial" w:hAnsi="Arial" w:cs="Arial"/>
                <w:lang w:eastAsia="ar-SA"/>
              </w:rPr>
            </w:pPr>
          </w:p>
          <w:p w:rsidR="00097214" w:rsidRDefault="00097214" w:rsidP="00097214">
            <w:r>
              <w:t>Please can you clarify regarding the above question?  Would the successful organisation be expected to gain this qualification during the contract period?  It is a big piece of work for smaller organisations?</w:t>
            </w:r>
          </w:p>
          <w:p w:rsidR="00097214" w:rsidRDefault="00097214" w:rsidP="00097214"/>
          <w:p w:rsidR="00A24B99" w:rsidRPr="00CA09F7" w:rsidRDefault="00A24B99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A24B99" w:rsidRDefault="00B329C9" w:rsidP="00B329C9">
            <w:pPr>
              <w:ind w:left="360"/>
              <w:rPr>
                <w:color w:val="FF0000"/>
              </w:rPr>
            </w:pPr>
            <w:r>
              <w:rPr>
                <w:rFonts w:eastAsia="Arial" w:cstheme="minorHAnsi"/>
                <w:color w:val="244061" w:themeColor="accent1" w:themeShade="80"/>
                <w:lang w:eastAsia="ar-SA"/>
              </w:rPr>
              <w:t xml:space="preserve">Providers do not need to hold an accredited quality standard, the Council would consider any internal systems and processes that are in place to ensure quality of standards. </w:t>
            </w:r>
          </w:p>
        </w:tc>
        <w:tc>
          <w:tcPr>
            <w:tcW w:w="1276" w:type="dxa"/>
          </w:tcPr>
          <w:p w:rsidR="00A24B99" w:rsidRDefault="0009282C" w:rsidP="003F2C96">
            <w:pPr>
              <w:rPr>
                <w:color w:val="FF0000"/>
              </w:rPr>
            </w:pPr>
            <w:r>
              <w:rPr>
                <w:color w:val="000000" w:themeColor="text1"/>
              </w:rPr>
              <w:t>08</w:t>
            </w:r>
            <w:r w:rsidR="00DD6F4E" w:rsidRPr="00DD6F4E">
              <w:rPr>
                <w:color w:val="000000" w:themeColor="text1"/>
              </w:rPr>
              <w:t>/03/2018</w:t>
            </w:r>
          </w:p>
        </w:tc>
      </w:tr>
      <w:tr w:rsidR="00390BA1" w:rsidRPr="002C4161" w:rsidTr="00692213">
        <w:tc>
          <w:tcPr>
            <w:tcW w:w="675" w:type="dxa"/>
          </w:tcPr>
          <w:p w:rsidR="00390BA1" w:rsidRDefault="00390BA1">
            <w:r>
              <w:t>8</w:t>
            </w:r>
          </w:p>
        </w:tc>
        <w:tc>
          <w:tcPr>
            <w:tcW w:w="1191" w:type="dxa"/>
          </w:tcPr>
          <w:p w:rsidR="00390BA1" w:rsidRDefault="00390BA1" w:rsidP="003F2C96">
            <w:r>
              <w:t>28/02/18</w:t>
            </w:r>
          </w:p>
        </w:tc>
        <w:tc>
          <w:tcPr>
            <w:tcW w:w="6039" w:type="dxa"/>
          </w:tcPr>
          <w:p w:rsidR="00390BA1" w:rsidRDefault="00390BA1" w:rsidP="00390BA1">
            <w:r>
              <w:t xml:space="preserve">Please can you confirm if you are happy for </w:t>
            </w:r>
            <w:r w:rsidR="00D80E61">
              <w:t>us to list our current</w:t>
            </w:r>
            <w:r>
              <w:t xml:space="preserve"> Handyperson contract under Section 6- technical and professional Ability? </w:t>
            </w:r>
          </w:p>
          <w:p w:rsidR="00390BA1" w:rsidRPr="00097214" w:rsidRDefault="00390BA1" w:rsidP="00097214">
            <w:pPr>
              <w:rPr>
                <w:rFonts w:ascii="Arial" w:hAnsi="Arial" w:cs="Arial"/>
                <w:i/>
                <w:lang w:eastAsia="ar-SA"/>
              </w:rPr>
            </w:pPr>
          </w:p>
        </w:tc>
        <w:tc>
          <w:tcPr>
            <w:tcW w:w="5528" w:type="dxa"/>
          </w:tcPr>
          <w:p w:rsidR="00390BA1" w:rsidRDefault="000D06D9" w:rsidP="00AB4F75">
            <w:pPr>
              <w:ind w:left="360"/>
              <w:rPr>
                <w:color w:val="FF0000"/>
              </w:rPr>
            </w:pPr>
            <w:r w:rsidRPr="000D06D9">
              <w:rPr>
                <w:color w:val="244061" w:themeColor="accent1" w:themeShade="80"/>
              </w:rPr>
              <w:t>It is acceptable for a current Handyperson contract to be used in section 6- technical and professional ability</w:t>
            </w:r>
          </w:p>
        </w:tc>
        <w:tc>
          <w:tcPr>
            <w:tcW w:w="1276" w:type="dxa"/>
          </w:tcPr>
          <w:p w:rsidR="00390BA1" w:rsidRDefault="00DD6F4E" w:rsidP="003F2C96">
            <w:pPr>
              <w:rPr>
                <w:color w:val="FF0000"/>
              </w:rPr>
            </w:pPr>
            <w:r w:rsidRPr="00DD6F4E">
              <w:rPr>
                <w:color w:val="000000" w:themeColor="text1"/>
              </w:rPr>
              <w:t>0</w:t>
            </w:r>
            <w:r w:rsidR="0009282C">
              <w:rPr>
                <w:color w:val="000000" w:themeColor="text1"/>
              </w:rPr>
              <w:t>8</w:t>
            </w:r>
            <w:r w:rsidRPr="00DD6F4E">
              <w:rPr>
                <w:color w:val="000000" w:themeColor="text1"/>
              </w:rPr>
              <w:t>/03/2018</w:t>
            </w:r>
          </w:p>
        </w:tc>
      </w:tr>
      <w:tr w:rsidR="00390BA1" w:rsidRPr="002C4161" w:rsidTr="00692213">
        <w:tc>
          <w:tcPr>
            <w:tcW w:w="675" w:type="dxa"/>
          </w:tcPr>
          <w:p w:rsidR="00390BA1" w:rsidRDefault="00390BA1"/>
        </w:tc>
        <w:tc>
          <w:tcPr>
            <w:tcW w:w="1191" w:type="dxa"/>
          </w:tcPr>
          <w:p w:rsidR="00390BA1" w:rsidRDefault="00390BA1" w:rsidP="003F2C96"/>
        </w:tc>
        <w:tc>
          <w:tcPr>
            <w:tcW w:w="6039" w:type="dxa"/>
          </w:tcPr>
          <w:p w:rsidR="00390BA1" w:rsidRPr="00097214" w:rsidRDefault="00390BA1" w:rsidP="00097214">
            <w:pPr>
              <w:rPr>
                <w:rFonts w:ascii="Arial" w:hAnsi="Arial" w:cs="Arial"/>
                <w:i/>
                <w:lang w:eastAsia="ar-SA"/>
              </w:rPr>
            </w:pPr>
          </w:p>
        </w:tc>
        <w:tc>
          <w:tcPr>
            <w:tcW w:w="5528" w:type="dxa"/>
          </w:tcPr>
          <w:p w:rsidR="00390BA1" w:rsidRDefault="00390BA1" w:rsidP="00AB4F75">
            <w:pPr>
              <w:ind w:left="360"/>
              <w:rPr>
                <w:color w:val="FF0000"/>
              </w:rPr>
            </w:pPr>
          </w:p>
        </w:tc>
        <w:tc>
          <w:tcPr>
            <w:tcW w:w="1276" w:type="dxa"/>
          </w:tcPr>
          <w:p w:rsidR="00390BA1" w:rsidRDefault="00390BA1" w:rsidP="003F2C96">
            <w:pPr>
              <w:rPr>
                <w:color w:val="FF0000"/>
              </w:rPr>
            </w:pPr>
          </w:p>
        </w:tc>
      </w:tr>
    </w:tbl>
    <w:p w:rsidR="00051F26" w:rsidRDefault="00051F26"/>
    <w:sectPr w:rsidR="00051F26" w:rsidSect="0099086A">
      <w:footerReference w:type="even" r:id="rId7"/>
      <w:footerReference w:type="default" r:id="rId8"/>
      <w:footerReference w:type="first" r:id="rId9"/>
      <w:pgSz w:w="16838" w:h="11906" w:orient="landscape"/>
      <w:pgMar w:top="1134" w:right="1245" w:bottom="1134" w:left="1134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18" w:rsidRDefault="00005F18" w:rsidP="007D5240">
      <w:r>
        <w:separator/>
      </w:r>
    </w:p>
  </w:endnote>
  <w:endnote w:type="continuationSeparator" w:id="0">
    <w:p w:rsidR="00005F18" w:rsidRDefault="00005F18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C378F5">
      <w:rPr>
        <w:noProof/>
      </w:rPr>
      <w:t>2</w:t>
    </w:r>
    <w:r>
      <w:fldChar w:fldCharType="end"/>
    </w:r>
    <w:r>
      <w:t xml:space="preserve"> of </w:t>
    </w:r>
    <w:fldSimple w:instr=" NUMPAGES \* MERGEFORMAT \* MERGEFORMAT ">
      <w:r w:rsidR="00C378F5">
        <w:rPr>
          <w:noProof/>
        </w:rPr>
        <w:t>2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18" w:rsidRDefault="00005F18" w:rsidP="007D5240">
      <w:r>
        <w:separator/>
      </w:r>
    </w:p>
  </w:footnote>
  <w:footnote w:type="continuationSeparator" w:id="0">
    <w:p w:rsidR="00005F18" w:rsidRDefault="00005F18" w:rsidP="007D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6"/>
    <w:rsid w:val="00005F18"/>
    <w:rsid w:val="00012474"/>
    <w:rsid w:val="00033F69"/>
    <w:rsid w:val="00051F26"/>
    <w:rsid w:val="00072146"/>
    <w:rsid w:val="00077979"/>
    <w:rsid w:val="0009282C"/>
    <w:rsid w:val="00097214"/>
    <w:rsid w:val="000C635A"/>
    <w:rsid w:val="000D06D9"/>
    <w:rsid w:val="000F3642"/>
    <w:rsid w:val="000F525F"/>
    <w:rsid w:val="00132C53"/>
    <w:rsid w:val="00135E47"/>
    <w:rsid w:val="00144323"/>
    <w:rsid w:val="00195600"/>
    <w:rsid w:val="001C6E84"/>
    <w:rsid w:val="00262F61"/>
    <w:rsid w:val="002B362B"/>
    <w:rsid w:val="002C4161"/>
    <w:rsid w:val="0033542A"/>
    <w:rsid w:val="003429A8"/>
    <w:rsid w:val="00390BA1"/>
    <w:rsid w:val="003D34E6"/>
    <w:rsid w:val="003F2C96"/>
    <w:rsid w:val="004217CD"/>
    <w:rsid w:val="00450D8E"/>
    <w:rsid w:val="00476100"/>
    <w:rsid w:val="00484612"/>
    <w:rsid w:val="004A6CC0"/>
    <w:rsid w:val="004D4B66"/>
    <w:rsid w:val="005D2CEE"/>
    <w:rsid w:val="005F5272"/>
    <w:rsid w:val="00692213"/>
    <w:rsid w:val="00724584"/>
    <w:rsid w:val="00730E28"/>
    <w:rsid w:val="007D5240"/>
    <w:rsid w:val="007E6187"/>
    <w:rsid w:val="008556AC"/>
    <w:rsid w:val="00891463"/>
    <w:rsid w:val="00892CF0"/>
    <w:rsid w:val="008E7E4A"/>
    <w:rsid w:val="00937D34"/>
    <w:rsid w:val="009429B3"/>
    <w:rsid w:val="009624D8"/>
    <w:rsid w:val="0099086A"/>
    <w:rsid w:val="00993930"/>
    <w:rsid w:val="00A24B99"/>
    <w:rsid w:val="00AB4F75"/>
    <w:rsid w:val="00B036AD"/>
    <w:rsid w:val="00B329C9"/>
    <w:rsid w:val="00B41C83"/>
    <w:rsid w:val="00C378F5"/>
    <w:rsid w:val="00C81698"/>
    <w:rsid w:val="00CA09F7"/>
    <w:rsid w:val="00CD3923"/>
    <w:rsid w:val="00CF67EF"/>
    <w:rsid w:val="00D220D3"/>
    <w:rsid w:val="00D42F0C"/>
    <w:rsid w:val="00D54594"/>
    <w:rsid w:val="00D80E61"/>
    <w:rsid w:val="00DD6F4E"/>
    <w:rsid w:val="00DE6302"/>
    <w:rsid w:val="00E552AB"/>
    <w:rsid w:val="00E554FE"/>
    <w:rsid w:val="00EA033F"/>
    <w:rsid w:val="00EE7C06"/>
    <w:rsid w:val="00F32847"/>
    <w:rsid w:val="00F41D66"/>
    <w:rsid w:val="00FB7AB2"/>
    <w:rsid w:val="00FC6771"/>
    <w:rsid w:val="00FC70A6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C0D425"/>
  <w15:docId w15:val="{504DBCCF-4AE6-4C45-B46B-CD57731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Sarah Paine</cp:lastModifiedBy>
  <cp:revision>15</cp:revision>
  <dcterms:created xsi:type="dcterms:W3CDTF">2018-02-26T13:03:00Z</dcterms:created>
  <dcterms:modified xsi:type="dcterms:W3CDTF">2018-03-08T13:31:00Z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