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CB2" w:rsidRPr="005963FA" w:rsidRDefault="00481CB2">
      <w:pPr>
        <w:pStyle w:val="Title"/>
        <w:rPr>
          <w:rFonts w:asciiTheme="minorHAnsi" w:hAnsiTheme="minorHAnsi" w:cs="Arial"/>
          <w:b/>
          <w:bCs/>
          <w:sz w:val="21"/>
          <w:szCs w:val="21"/>
          <w:lang w:val="en-GB"/>
        </w:rPr>
      </w:pPr>
      <w:r w:rsidRPr="005963FA">
        <w:rPr>
          <w:rFonts w:asciiTheme="minorHAnsi" w:hAnsiTheme="minorHAnsi" w:cs="Arial"/>
          <w:b/>
          <w:bCs/>
          <w:sz w:val="21"/>
          <w:szCs w:val="21"/>
          <w:lang w:val="en-GB"/>
        </w:rPr>
        <w:t xml:space="preserve">Request for Quotes </w:t>
      </w:r>
    </w:p>
    <w:p w:rsidR="00A10484" w:rsidRPr="005963FA" w:rsidRDefault="00207A32" w:rsidP="00207A32">
      <w:pPr>
        <w:pStyle w:val="Title"/>
        <w:rPr>
          <w:rFonts w:asciiTheme="minorHAnsi" w:hAnsiTheme="minorHAnsi" w:cs="Arial"/>
          <w:b/>
          <w:sz w:val="21"/>
          <w:szCs w:val="21"/>
        </w:rPr>
      </w:pPr>
      <w:r w:rsidRPr="005963FA">
        <w:rPr>
          <w:rFonts w:asciiTheme="minorHAnsi" w:hAnsiTheme="minorHAnsi" w:cs="Arial"/>
          <w:b/>
          <w:sz w:val="21"/>
          <w:szCs w:val="21"/>
        </w:rPr>
        <w:t xml:space="preserve">Provision of </w:t>
      </w:r>
      <w:r w:rsidR="00CA5D3C">
        <w:rPr>
          <w:rFonts w:asciiTheme="minorHAnsi" w:hAnsiTheme="minorHAnsi" w:cs="Arial"/>
          <w:b/>
          <w:sz w:val="21"/>
          <w:szCs w:val="21"/>
        </w:rPr>
        <w:t>Environmental Observations</w:t>
      </w:r>
      <w:r w:rsidRPr="005963FA">
        <w:rPr>
          <w:rFonts w:asciiTheme="minorHAnsi" w:hAnsiTheme="minorHAnsi" w:cs="Arial"/>
          <w:b/>
          <w:sz w:val="21"/>
          <w:szCs w:val="21"/>
        </w:rPr>
        <w:t xml:space="preserve"> for the Council’s Development Management department</w:t>
      </w:r>
    </w:p>
    <w:p w:rsidR="00207A32" w:rsidRPr="005963FA" w:rsidRDefault="00207A32" w:rsidP="00207A32">
      <w:pPr>
        <w:pStyle w:val="Title"/>
        <w:rPr>
          <w:rFonts w:asciiTheme="minorHAnsi" w:hAnsiTheme="minorHAnsi" w:cs="Arial"/>
          <w:b/>
          <w:sz w:val="21"/>
          <w:szCs w:val="21"/>
        </w:rPr>
      </w:pPr>
      <w:r w:rsidRPr="005963FA">
        <w:rPr>
          <w:rFonts w:asciiTheme="minorHAnsi" w:hAnsiTheme="minorHAnsi" w:cs="Arial"/>
          <w:b/>
          <w:bCs/>
          <w:sz w:val="21"/>
          <w:szCs w:val="21"/>
          <w:lang w:val="en-GB"/>
        </w:rPr>
        <w:t xml:space="preserve">Contract Period: </w:t>
      </w:r>
      <w:r w:rsidR="00A77FD0" w:rsidRPr="00A77FD0">
        <w:rPr>
          <w:rFonts w:asciiTheme="minorHAnsi" w:hAnsiTheme="minorHAnsi" w:cs="Arial"/>
          <w:b/>
          <w:bCs/>
          <w:sz w:val="21"/>
          <w:szCs w:val="21"/>
          <w:lang w:val="en-GB"/>
        </w:rPr>
        <w:t>2</w:t>
      </w:r>
      <w:r w:rsidR="001459FA">
        <w:rPr>
          <w:rFonts w:asciiTheme="minorHAnsi" w:hAnsiTheme="minorHAnsi" w:cs="Arial"/>
          <w:b/>
          <w:bCs/>
          <w:sz w:val="21"/>
          <w:szCs w:val="21"/>
          <w:lang w:val="en-GB"/>
        </w:rPr>
        <w:t xml:space="preserve"> year period with option to extend </w:t>
      </w:r>
    </w:p>
    <w:p w:rsidR="00855982" w:rsidRPr="005963FA" w:rsidRDefault="00D872AC" w:rsidP="00855982">
      <w:pPr>
        <w:pStyle w:val="Heading1"/>
        <w:rPr>
          <w:rFonts w:asciiTheme="minorHAnsi" w:hAnsiTheme="minorHAnsi" w:cs="Arial"/>
          <w:sz w:val="21"/>
          <w:szCs w:val="21"/>
        </w:rPr>
      </w:pPr>
      <w:r w:rsidRPr="005963FA">
        <w:rPr>
          <w:rFonts w:asciiTheme="minorHAnsi" w:hAnsiTheme="minorHAnsi" w:cs="Arial"/>
          <w:sz w:val="21"/>
          <w:szCs w:val="21"/>
        </w:rPr>
        <w:t>Summary</w:t>
      </w:r>
    </w:p>
    <w:p w:rsidR="00D872AC" w:rsidRPr="005963FA" w:rsidRDefault="00D872AC" w:rsidP="007A3FAD">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 xml:space="preserve">Lambeth are seeking to appoint a </w:t>
      </w:r>
      <w:r w:rsidRPr="00A77FD0">
        <w:rPr>
          <w:rFonts w:asciiTheme="minorHAnsi" w:hAnsiTheme="minorHAnsi" w:cs="Arial"/>
          <w:sz w:val="21"/>
          <w:szCs w:val="21"/>
        </w:rPr>
        <w:t xml:space="preserve">consultancy for a </w:t>
      </w:r>
      <w:r w:rsidR="00A77FD0" w:rsidRPr="00A77FD0">
        <w:rPr>
          <w:rFonts w:asciiTheme="minorHAnsi" w:hAnsiTheme="minorHAnsi" w:cs="Arial"/>
          <w:sz w:val="21"/>
          <w:szCs w:val="21"/>
        </w:rPr>
        <w:t>2</w:t>
      </w:r>
      <w:r w:rsidR="00EB27F0" w:rsidRPr="00A77FD0">
        <w:rPr>
          <w:rFonts w:asciiTheme="minorHAnsi" w:hAnsiTheme="minorHAnsi" w:cs="Arial"/>
          <w:sz w:val="21"/>
          <w:szCs w:val="21"/>
        </w:rPr>
        <w:t xml:space="preserve"> </w:t>
      </w:r>
      <w:r w:rsidRPr="00A77FD0">
        <w:rPr>
          <w:rFonts w:asciiTheme="minorHAnsi" w:hAnsiTheme="minorHAnsi" w:cs="Arial"/>
          <w:sz w:val="21"/>
          <w:szCs w:val="21"/>
        </w:rPr>
        <w:t>year</w:t>
      </w:r>
      <w:r w:rsidRPr="005963FA">
        <w:rPr>
          <w:rFonts w:asciiTheme="minorHAnsi" w:hAnsiTheme="minorHAnsi" w:cs="Arial"/>
          <w:sz w:val="21"/>
          <w:szCs w:val="21"/>
        </w:rPr>
        <w:t xml:space="preserve"> provision to provide support primarily to its Development Management department to enable it to deliver against its current planning policies and service delivery targets. The support will comprise of</w:t>
      </w:r>
      <w:r w:rsidR="00CA5D3C">
        <w:rPr>
          <w:rFonts w:asciiTheme="minorHAnsi" w:hAnsiTheme="minorHAnsi" w:cs="Arial"/>
          <w:sz w:val="21"/>
          <w:szCs w:val="21"/>
        </w:rPr>
        <w:t xml:space="preserve"> observations and advice on environmental matters relating to</w:t>
      </w:r>
      <w:r w:rsidRPr="005963FA">
        <w:rPr>
          <w:rFonts w:asciiTheme="minorHAnsi" w:hAnsiTheme="minorHAnsi" w:cs="Arial"/>
          <w:sz w:val="21"/>
          <w:szCs w:val="21"/>
        </w:rPr>
        <w:t xml:space="preserve"> planning applications (excluding applications which are subject to Planning Performance Agreements)</w:t>
      </w:r>
      <w:r w:rsidR="002049A4">
        <w:rPr>
          <w:rFonts w:asciiTheme="minorHAnsi" w:hAnsiTheme="minorHAnsi" w:cs="Arial"/>
          <w:sz w:val="21"/>
          <w:szCs w:val="21"/>
        </w:rPr>
        <w:t>.</w:t>
      </w:r>
    </w:p>
    <w:p w:rsidR="00D872AC" w:rsidRPr="005963FA" w:rsidRDefault="00D872AC" w:rsidP="007A3FAD">
      <w:pPr>
        <w:pStyle w:val="Default"/>
        <w:ind w:left="567" w:hanging="567"/>
        <w:rPr>
          <w:rFonts w:asciiTheme="minorHAnsi" w:hAnsiTheme="minorHAnsi" w:cs="Arial"/>
          <w:sz w:val="21"/>
          <w:szCs w:val="21"/>
        </w:rPr>
      </w:pPr>
    </w:p>
    <w:p w:rsidR="00D872AC" w:rsidRPr="005963FA" w:rsidRDefault="00D872AC" w:rsidP="007A3FAD">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This brief sets out:</w:t>
      </w:r>
    </w:p>
    <w:p w:rsidR="00D872AC" w:rsidRPr="005963FA" w:rsidRDefault="00D872AC" w:rsidP="007A3FAD">
      <w:pPr>
        <w:pStyle w:val="ListParagraph"/>
        <w:ind w:left="567" w:hanging="567"/>
        <w:rPr>
          <w:rFonts w:cs="Arial"/>
          <w:sz w:val="21"/>
          <w:szCs w:val="21"/>
        </w:rPr>
      </w:pPr>
    </w:p>
    <w:p w:rsidR="00D872AC" w:rsidRPr="005963FA" w:rsidRDefault="00D872AC" w:rsidP="007A3FAD">
      <w:pPr>
        <w:pStyle w:val="Default"/>
        <w:numPr>
          <w:ilvl w:val="1"/>
          <w:numId w:val="30"/>
        </w:numPr>
        <w:ind w:left="567" w:firstLine="0"/>
        <w:rPr>
          <w:rFonts w:asciiTheme="minorHAnsi" w:hAnsiTheme="minorHAnsi" w:cs="Arial"/>
          <w:sz w:val="21"/>
          <w:szCs w:val="21"/>
        </w:rPr>
      </w:pPr>
      <w:r w:rsidRPr="005963FA">
        <w:rPr>
          <w:rFonts w:asciiTheme="minorHAnsi" w:hAnsiTheme="minorHAnsi" w:cs="Arial"/>
          <w:sz w:val="21"/>
          <w:szCs w:val="21"/>
        </w:rPr>
        <w:t>Context and further information about the opportunity; and</w:t>
      </w:r>
    </w:p>
    <w:p w:rsidR="00D872AC" w:rsidRPr="005963FA" w:rsidRDefault="00D872AC" w:rsidP="007A3FAD">
      <w:pPr>
        <w:pStyle w:val="Default"/>
        <w:numPr>
          <w:ilvl w:val="1"/>
          <w:numId w:val="30"/>
        </w:numPr>
        <w:ind w:left="567" w:firstLine="0"/>
        <w:rPr>
          <w:rFonts w:asciiTheme="minorHAnsi" w:hAnsiTheme="minorHAnsi" w:cs="Arial"/>
          <w:sz w:val="21"/>
          <w:szCs w:val="21"/>
        </w:rPr>
      </w:pPr>
      <w:r w:rsidRPr="005963FA">
        <w:rPr>
          <w:rFonts w:asciiTheme="minorHAnsi" w:hAnsiTheme="minorHAnsi" w:cs="Arial"/>
          <w:sz w:val="21"/>
          <w:szCs w:val="21"/>
        </w:rPr>
        <w:t>The process and next steps.</w:t>
      </w:r>
    </w:p>
    <w:p w:rsidR="00D872AC" w:rsidRPr="005963FA" w:rsidRDefault="00D872AC" w:rsidP="007A3FAD">
      <w:pPr>
        <w:pStyle w:val="Default"/>
        <w:ind w:left="567" w:hanging="567"/>
        <w:rPr>
          <w:rFonts w:asciiTheme="minorHAnsi" w:hAnsiTheme="minorHAnsi" w:cs="Arial"/>
          <w:sz w:val="21"/>
          <w:szCs w:val="21"/>
        </w:rPr>
      </w:pPr>
    </w:p>
    <w:p w:rsidR="00D872AC" w:rsidRPr="005963FA" w:rsidRDefault="00D872AC" w:rsidP="007A3FAD">
      <w:pPr>
        <w:pStyle w:val="Heading1"/>
        <w:ind w:left="567" w:hanging="567"/>
        <w:rPr>
          <w:rFonts w:asciiTheme="minorHAnsi" w:hAnsiTheme="minorHAnsi" w:cs="Arial"/>
          <w:sz w:val="21"/>
          <w:szCs w:val="21"/>
        </w:rPr>
      </w:pPr>
      <w:r w:rsidRPr="005963FA">
        <w:rPr>
          <w:rFonts w:asciiTheme="minorHAnsi" w:hAnsiTheme="minorHAnsi" w:cs="Arial"/>
          <w:sz w:val="21"/>
          <w:szCs w:val="21"/>
        </w:rPr>
        <w:t>Context</w:t>
      </w:r>
    </w:p>
    <w:p w:rsidR="00D872AC" w:rsidRDefault="00AC1BC3" w:rsidP="007A3FAD">
      <w:pPr>
        <w:pStyle w:val="Default"/>
        <w:numPr>
          <w:ilvl w:val="0"/>
          <w:numId w:val="30"/>
        </w:numPr>
        <w:ind w:left="567" w:hanging="567"/>
        <w:rPr>
          <w:rFonts w:asciiTheme="minorHAnsi" w:hAnsiTheme="minorHAnsi" w:cs="Arial"/>
          <w:sz w:val="21"/>
          <w:szCs w:val="21"/>
        </w:rPr>
      </w:pPr>
      <w:r w:rsidRPr="00AC1BC3">
        <w:rPr>
          <w:rFonts w:asciiTheme="minorHAnsi" w:hAnsiTheme="minorHAnsi" w:cs="Arial"/>
          <w:sz w:val="21"/>
          <w:szCs w:val="21"/>
        </w:rPr>
        <w:t>The</w:t>
      </w:r>
      <w:r w:rsidR="00BF5FBF" w:rsidRPr="00BF5FBF">
        <w:rPr>
          <w:rFonts w:asciiTheme="minorHAnsi" w:hAnsiTheme="minorHAnsi" w:cs="Arial"/>
          <w:sz w:val="21"/>
          <w:szCs w:val="21"/>
        </w:rPr>
        <w:t xml:space="preserve"> planning system can be used to control environmentally harmful activities</w:t>
      </w:r>
      <w:r w:rsidR="00BF5FBF">
        <w:rPr>
          <w:rFonts w:asciiTheme="minorHAnsi" w:hAnsiTheme="minorHAnsi" w:cs="Arial"/>
          <w:sz w:val="21"/>
          <w:szCs w:val="21"/>
        </w:rPr>
        <w:t xml:space="preserve">.  </w:t>
      </w:r>
      <w:r w:rsidR="00173B3C" w:rsidRPr="00173B3C">
        <w:rPr>
          <w:rFonts w:asciiTheme="minorHAnsi" w:hAnsiTheme="minorHAnsi" w:cs="Arial"/>
          <w:sz w:val="21"/>
          <w:szCs w:val="21"/>
        </w:rPr>
        <w:t>Lambeth Council, through the exercise of its Development Management function, seeks to ensure that future development within the borough is delivered with the highest standards of amenity, from planning to construction and subsequent operation.</w:t>
      </w:r>
      <w:r w:rsidR="00173B3C">
        <w:rPr>
          <w:rFonts w:asciiTheme="minorHAnsi" w:hAnsiTheme="minorHAnsi" w:cs="Arial"/>
          <w:sz w:val="21"/>
          <w:szCs w:val="21"/>
        </w:rPr>
        <w:t xml:space="preserve"> The</w:t>
      </w:r>
      <w:r w:rsidR="00BF5FBF">
        <w:rPr>
          <w:rFonts w:asciiTheme="minorHAnsi" w:hAnsiTheme="minorHAnsi" w:cs="Arial"/>
          <w:sz w:val="21"/>
          <w:szCs w:val="21"/>
        </w:rPr>
        <w:t xml:space="preserve"> Development Management service is required to assess applications in relation to Noise pollution, Light pollution, Development on con</w:t>
      </w:r>
      <w:r w:rsidR="008852A2">
        <w:rPr>
          <w:rFonts w:asciiTheme="minorHAnsi" w:hAnsiTheme="minorHAnsi" w:cs="Arial"/>
          <w:sz w:val="21"/>
          <w:szCs w:val="21"/>
        </w:rPr>
        <w:t>ta</w:t>
      </w:r>
      <w:r w:rsidR="00CF5577">
        <w:rPr>
          <w:rFonts w:asciiTheme="minorHAnsi" w:hAnsiTheme="minorHAnsi" w:cs="Arial"/>
          <w:sz w:val="21"/>
          <w:szCs w:val="21"/>
        </w:rPr>
        <w:t xml:space="preserve">minated land, Waste disposal, fume extraction </w:t>
      </w:r>
    </w:p>
    <w:p w:rsidR="00AC1BC3" w:rsidRDefault="00AC1BC3" w:rsidP="007A3FAD">
      <w:pPr>
        <w:pStyle w:val="Default"/>
        <w:ind w:left="567"/>
        <w:rPr>
          <w:rFonts w:asciiTheme="minorHAnsi" w:hAnsiTheme="minorHAnsi" w:cs="Arial"/>
          <w:sz w:val="21"/>
          <w:szCs w:val="21"/>
        </w:rPr>
      </w:pPr>
    </w:p>
    <w:p w:rsidR="00D872AC" w:rsidRPr="005963FA" w:rsidRDefault="00D872AC" w:rsidP="007A3FAD">
      <w:pPr>
        <w:pStyle w:val="Default"/>
        <w:numPr>
          <w:ilvl w:val="0"/>
          <w:numId w:val="30"/>
        </w:numPr>
        <w:ind w:left="567" w:hanging="567"/>
        <w:rPr>
          <w:rFonts w:asciiTheme="minorHAnsi" w:hAnsiTheme="minorHAnsi" w:cs="Arial"/>
          <w:sz w:val="21"/>
          <w:szCs w:val="21"/>
        </w:rPr>
      </w:pPr>
      <w:r w:rsidRPr="005963FA">
        <w:rPr>
          <w:rFonts w:asciiTheme="minorHAnsi" w:hAnsiTheme="minorHAnsi" w:cs="Arial"/>
          <w:sz w:val="21"/>
          <w:szCs w:val="21"/>
        </w:rPr>
        <w:t xml:space="preserve">Lambeth is a central London </w:t>
      </w:r>
      <w:r w:rsidR="002F71D2">
        <w:rPr>
          <w:rFonts w:asciiTheme="minorHAnsi" w:hAnsiTheme="minorHAnsi" w:cs="Arial"/>
          <w:sz w:val="21"/>
          <w:szCs w:val="21"/>
        </w:rPr>
        <w:t>a</w:t>
      </w:r>
      <w:r w:rsidRPr="005963FA">
        <w:rPr>
          <w:rFonts w:asciiTheme="minorHAnsi" w:hAnsiTheme="minorHAnsi" w:cs="Arial"/>
          <w:sz w:val="21"/>
          <w:szCs w:val="21"/>
        </w:rPr>
        <w:t xml:space="preserve">uthority that deals with a wide range of planning applications; ranging from large scale redevelopment projects in the London Plan designated Waterloo and Vauxhall opportunity areas; to estate renewal schemes; </w:t>
      </w:r>
      <w:r w:rsidR="001A4E5C">
        <w:rPr>
          <w:rFonts w:asciiTheme="minorHAnsi" w:hAnsiTheme="minorHAnsi" w:cs="Arial"/>
          <w:sz w:val="21"/>
          <w:szCs w:val="21"/>
        </w:rPr>
        <w:t>commercial/industrial,</w:t>
      </w:r>
      <w:r w:rsidR="001A4E5C" w:rsidRPr="005963FA">
        <w:rPr>
          <w:rFonts w:asciiTheme="minorHAnsi" w:hAnsiTheme="minorHAnsi" w:cs="Arial"/>
          <w:sz w:val="21"/>
          <w:szCs w:val="21"/>
        </w:rPr>
        <w:t xml:space="preserve"> to</w:t>
      </w:r>
      <w:r w:rsidRPr="005963FA">
        <w:rPr>
          <w:rFonts w:asciiTheme="minorHAnsi" w:hAnsiTheme="minorHAnsi" w:cs="Arial"/>
          <w:sz w:val="21"/>
          <w:szCs w:val="21"/>
        </w:rPr>
        <w:t xml:space="preserve"> residential extensions and alterations.</w:t>
      </w:r>
    </w:p>
    <w:p w:rsidR="00683EB8" w:rsidRPr="005963FA" w:rsidRDefault="00683EB8" w:rsidP="007A3FAD">
      <w:pPr>
        <w:pStyle w:val="Default"/>
        <w:ind w:left="567"/>
        <w:rPr>
          <w:rFonts w:asciiTheme="minorHAnsi" w:hAnsiTheme="minorHAnsi" w:cs="Arial"/>
          <w:sz w:val="21"/>
          <w:szCs w:val="21"/>
        </w:rPr>
      </w:pPr>
    </w:p>
    <w:p w:rsidR="00D872AC" w:rsidRPr="005963FA" w:rsidRDefault="00D872AC" w:rsidP="007A3FAD">
      <w:pPr>
        <w:pStyle w:val="Default"/>
        <w:numPr>
          <w:ilvl w:val="0"/>
          <w:numId w:val="30"/>
        </w:numPr>
        <w:ind w:left="567" w:hanging="567"/>
        <w:rPr>
          <w:rFonts w:asciiTheme="minorHAnsi" w:hAnsiTheme="minorHAnsi" w:cs="Arial"/>
          <w:sz w:val="21"/>
          <w:szCs w:val="21"/>
        </w:rPr>
      </w:pPr>
      <w:r w:rsidRPr="005963FA">
        <w:rPr>
          <w:rFonts w:asciiTheme="minorHAnsi" w:hAnsiTheme="minorHAnsi" w:cs="Arial"/>
          <w:bCs/>
          <w:sz w:val="21"/>
          <w:szCs w:val="21"/>
        </w:rPr>
        <w:t xml:space="preserve">Lambeth </w:t>
      </w:r>
      <w:r w:rsidR="00BF5FBF">
        <w:rPr>
          <w:rFonts w:asciiTheme="minorHAnsi" w:hAnsiTheme="minorHAnsi" w:cs="Arial"/>
          <w:bCs/>
          <w:sz w:val="21"/>
          <w:szCs w:val="21"/>
        </w:rPr>
        <w:t>is</w:t>
      </w:r>
      <w:r w:rsidRPr="005963FA">
        <w:rPr>
          <w:rFonts w:asciiTheme="minorHAnsi" w:hAnsiTheme="minorHAnsi" w:cs="Arial"/>
          <w:bCs/>
          <w:sz w:val="21"/>
          <w:szCs w:val="21"/>
        </w:rPr>
        <w:t xml:space="preserve"> seeking to appoint a consultancy to provide support to its Development Management department to enable it to deliver against current planning policies and service delivery targets</w:t>
      </w:r>
      <w:r w:rsidRPr="005963FA">
        <w:rPr>
          <w:rFonts w:asciiTheme="minorHAnsi" w:hAnsiTheme="minorHAnsi" w:cs="Arial"/>
          <w:b/>
          <w:bCs/>
          <w:sz w:val="21"/>
          <w:szCs w:val="21"/>
        </w:rPr>
        <w:t xml:space="preserve">.  </w:t>
      </w:r>
      <w:r w:rsidRPr="005963FA">
        <w:rPr>
          <w:rFonts w:asciiTheme="minorHAnsi" w:hAnsiTheme="minorHAnsi" w:cs="Arial"/>
          <w:sz w:val="21"/>
          <w:szCs w:val="21"/>
        </w:rPr>
        <w:t xml:space="preserve">The support will comprise of </w:t>
      </w:r>
      <w:r w:rsidR="00BF5FBF">
        <w:rPr>
          <w:rFonts w:asciiTheme="minorHAnsi" w:hAnsiTheme="minorHAnsi" w:cs="Arial"/>
          <w:sz w:val="21"/>
          <w:szCs w:val="21"/>
        </w:rPr>
        <w:t>environmental observations</w:t>
      </w:r>
      <w:r w:rsidR="00AC1BC3">
        <w:rPr>
          <w:rFonts w:asciiTheme="minorHAnsi" w:hAnsiTheme="minorHAnsi" w:cs="Arial"/>
          <w:sz w:val="21"/>
          <w:szCs w:val="21"/>
        </w:rPr>
        <w:t xml:space="preserve"> </w:t>
      </w:r>
      <w:r w:rsidR="00BF5FBF">
        <w:rPr>
          <w:rFonts w:asciiTheme="minorHAnsi" w:hAnsiTheme="minorHAnsi" w:cs="Arial"/>
          <w:sz w:val="21"/>
          <w:szCs w:val="21"/>
        </w:rPr>
        <w:t xml:space="preserve">(as per item 1) relating to </w:t>
      </w:r>
      <w:r w:rsidRPr="005963FA">
        <w:rPr>
          <w:rFonts w:asciiTheme="minorHAnsi" w:hAnsiTheme="minorHAnsi" w:cs="Arial"/>
          <w:sz w:val="21"/>
          <w:szCs w:val="21"/>
        </w:rPr>
        <w:t xml:space="preserve">planning applications (excluding applications which are subject to Planning Performance Agreements). </w:t>
      </w:r>
    </w:p>
    <w:p w:rsidR="00683EB8" w:rsidRPr="005963FA" w:rsidRDefault="00683EB8" w:rsidP="007A3FAD">
      <w:pPr>
        <w:pStyle w:val="Default"/>
        <w:ind w:left="567"/>
        <w:rPr>
          <w:rFonts w:asciiTheme="minorHAnsi" w:hAnsiTheme="minorHAnsi" w:cs="Arial"/>
          <w:sz w:val="21"/>
          <w:szCs w:val="21"/>
        </w:rPr>
      </w:pPr>
    </w:p>
    <w:p w:rsidR="00173B3C" w:rsidRDefault="00BF5FBF" w:rsidP="007A3FAD">
      <w:pPr>
        <w:pStyle w:val="Default"/>
        <w:numPr>
          <w:ilvl w:val="0"/>
          <w:numId w:val="30"/>
        </w:numPr>
        <w:ind w:left="567" w:hanging="567"/>
        <w:rPr>
          <w:rFonts w:asciiTheme="minorHAnsi" w:hAnsiTheme="minorHAnsi" w:cs="Arial"/>
          <w:sz w:val="21"/>
          <w:szCs w:val="21"/>
        </w:rPr>
      </w:pPr>
      <w:r>
        <w:rPr>
          <w:rFonts w:asciiTheme="minorHAnsi" w:hAnsiTheme="minorHAnsi" w:cs="Arial"/>
          <w:sz w:val="21"/>
          <w:szCs w:val="21"/>
        </w:rPr>
        <w:t xml:space="preserve">Lambeth </w:t>
      </w:r>
      <w:r w:rsidR="00D872AC" w:rsidRPr="005963FA">
        <w:rPr>
          <w:rFonts w:asciiTheme="minorHAnsi" w:hAnsiTheme="minorHAnsi" w:cs="Arial"/>
          <w:sz w:val="21"/>
          <w:szCs w:val="21"/>
        </w:rPr>
        <w:t xml:space="preserve">will require </w:t>
      </w:r>
      <w:r>
        <w:rPr>
          <w:rFonts w:asciiTheme="minorHAnsi" w:hAnsiTheme="minorHAnsi" w:cs="Arial"/>
          <w:sz w:val="21"/>
          <w:szCs w:val="21"/>
        </w:rPr>
        <w:t>advice</w:t>
      </w:r>
      <w:r w:rsidR="00D872AC" w:rsidRPr="005963FA">
        <w:rPr>
          <w:rFonts w:asciiTheme="minorHAnsi" w:hAnsiTheme="minorHAnsi" w:cs="Arial"/>
          <w:sz w:val="21"/>
          <w:szCs w:val="21"/>
        </w:rPr>
        <w:t xml:space="preserve"> on the degree of compliance with current planning policy requirements, on potential amendments </w:t>
      </w:r>
      <w:r w:rsidR="00084941">
        <w:rPr>
          <w:rFonts w:asciiTheme="minorHAnsi" w:hAnsiTheme="minorHAnsi" w:cs="Arial"/>
          <w:sz w:val="21"/>
          <w:szCs w:val="21"/>
        </w:rPr>
        <w:t>which</w:t>
      </w:r>
      <w:r w:rsidR="00D872AC" w:rsidRPr="005963FA">
        <w:rPr>
          <w:rFonts w:asciiTheme="minorHAnsi" w:hAnsiTheme="minorHAnsi" w:cs="Arial"/>
          <w:sz w:val="21"/>
          <w:szCs w:val="21"/>
        </w:rPr>
        <w:t xml:space="preserve"> would further improve the performance of the development and on suggested conditions </w:t>
      </w:r>
      <w:r w:rsidR="002049A4">
        <w:rPr>
          <w:rFonts w:asciiTheme="minorHAnsi" w:hAnsiTheme="minorHAnsi" w:cs="Arial"/>
          <w:sz w:val="21"/>
          <w:szCs w:val="21"/>
        </w:rPr>
        <w:t xml:space="preserve">and planning obligations </w:t>
      </w:r>
      <w:r w:rsidR="00D872AC" w:rsidRPr="005963FA">
        <w:rPr>
          <w:rFonts w:asciiTheme="minorHAnsi" w:hAnsiTheme="minorHAnsi" w:cs="Arial"/>
          <w:sz w:val="21"/>
          <w:szCs w:val="21"/>
        </w:rPr>
        <w:t xml:space="preserve">that would ensure the delivery of the highest </w:t>
      </w:r>
      <w:r w:rsidR="00084941">
        <w:rPr>
          <w:rFonts w:asciiTheme="minorHAnsi" w:hAnsiTheme="minorHAnsi" w:cs="Arial"/>
          <w:sz w:val="21"/>
          <w:szCs w:val="21"/>
        </w:rPr>
        <w:t xml:space="preserve">levels of </w:t>
      </w:r>
      <w:r w:rsidR="00D872AC" w:rsidRPr="005963FA">
        <w:rPr>
          <w:rFonts w:asciiTheme="minorHAnsi" w:hAnsiTheme="minorHAnsi" w:cs="Arial"/>
          <w:sz w:val="21"/>
          <w:szCs w:val="21"/>
        </w:rPr>
        <w:t xml:space="preserve">standards </w:t>
      </w:r>
      <w:r w:rsidR="00084941">
        <w:rPr>
          <w:rFonts w:asciiTheme="minorHAnsi" w:hAnsiTheme="minorHAnsi" w:cs="Arial"/>
          <w:sz w:val="21"/>
          <w:szCs w:val="21"/>
        </w:rPr>
        <w:t>of development</w:t>
      </w:r>
      <w:r w:rsidR="00D872AC" w:rsidRPr="005963FA">
        <w:rPr>
          <w:rFonts w:asciiTheme="minorHAnsi" w:hAnsiTheme="minorHAnsi" w:cs="Arial"/>
          <w:sz w:val="21"/>
          <w:szCs w:val="21"/>
        </w:rPr>
        <w:t xml:space="preserve">.  </w:t>
      </w:r>
    </w:p>
    <w:p w:rsidR="00173B3C" w:rsidRDefault="00173B3C" w:rsidP="007A3FAD">
      <w:pPr>
        <w:pStyle w:val="Default"/>
        <w:ind w:left="567"/>
        <w:rPr>
          <w:rFonts w:asciiTheme="minorHAnsi" w:hAnsiTheme="minorHAnsi" w:cs="Arial"/>
          <w:sz w:val="21"/>
          <w:szCs w:val="21"/>
        </w:rPr>
      </w:pPr>
    </w:p>
    <w:p w:rsidR="00D872AC" w:rsidRDefault="00173B3C" w:rsidP="007A3FAD">
      <w:pPr>
        <w:pStyle w:val="Default"/>
        <w:numPr>
          <w:ilvl w:val="0"/>
          <w:numId w:val="30"/>
        </w:numPr>
        <w:ind w:left="567" w:hanging="567"/>
        <w:rPr>
          <w:rFonts w:asciiTheme="minorHAnsi" w:hAnsiTheme="minorHAnsi" w:cs="Arial"/>
          <w:sz w:val="21"/>
          <w:szCs w:val="21"/>
        </w:rPr>
      </w:pPr>
      <w:r>
        <w:rPr>
          <w:rFonts w:asciiTheme="minorHAnsi" w:hAnsiTheme="minorHAnsi" w:cs="Arial"/>
          <w:sz w:val="21"/>
          <w:szCs w:val="21"/>
        </w:rPr>
        <w:t xml:space="preserve">Lambeth’s </w:t>
      </w:r>
      <w:r w:rsidR="001A4E5C">
        <w:rPr>
          <w:rFonts w:asciiTheme="minorHAnsi" w:hAnsiTheme="minorHAnsi" w:cs="Arial"/>
          <w:sz w:val="21"/>
          <w:szCs w:val="21"/>
        </w:rPr>
        <w:t xml:space="preserve">initial </w:t>
      </w:r>
      <w:r>
        <w:rPr>
          <w:rFonts w:asciiTheme="minorHAnsi" w:hAnsiTheme="minorHAnsi" w:cs="Arial"/>
          <w:sz w:val="21"/>
          <w:szCs w:val="21"/>
        </w:rPr>
        <w:t>s</w:t>
      </w:r>
      <w:r w:rsidRPr="00173B3C">
        <w:rPr>
          <w:rFonts w:asciiTheme="minorHAnsi" w:hAnsiTheme="minorHAnsi" w:cs="Arial"/>
          <w:sz w:val="21"/>
          <w:szCs w:val="21"/>
        </w:rPr>
        <w:t xml:space="preserve">tatutory response period for </w:t>
      </w:r>
      <w:proofErr w:type="spellStart"/>
      <w:r w:rsidRPr="00173B3C">
        <w:rPr>
          <w:rFonts w:asciiTheme="minorHAnsi" w:hAnsiTheme="minorHAnsi" w:cs="Arial"/>
          <w:sz w:val="21"/>
          <w:szCs w:val="21"/>
        </w:rPr>
        <w:t>consultees</w:t>
      </w:r>
      <w:proofErr w:type="spellEnd"/>
      <w:r w:rsidRPr="00173B3C">
        <w:rPr>
          <w:rFonts w:asciiTheme="minorHAnsi" w:hAnsiTheme="minorHAnsi" w:cs="Arial"/>
          <w:sz w:val="21"/>
          <w:szCs w:val="21"/>
        </w:rPr>
        <w:t xml:space="preserve"> is 21 days</w:t>
      </w:r>
      <w:r>
        <w:rPr>
          <w:rFonts w:asciiTheme="minorHAnsi" w:hAnsiTheme="minorHAnsi" w:cs="Arial"/>
          <w:sz w:val="21"/>
          <w:szCs w:val="21"/>
        </w:rPr>
        <w:t>.  Responses under this contract w</w:t>
      </w:r>
      <w:r w:rsidR="00566E44">
        <w:rPr>
          <w:rFonts w:asciiTheme="minorHAnsi" w:hAnsiTheme="minorHAnsi" w:cs="Arial"/>
          <w:sz w:val="21"/>
          <w:szCs w:val="21"/>
        </w:rPr>
        <w:t>ould be required within</w:t>
      </w:r>
      <w:r>
        <w:rPr>
          <w:rFonts w:asciiTheme="minorHAnsi" w:hAnsiTheme="minorHAnsi" w:cs="Arial"/>
          <w:sz w:val="21"/>
          <w:szCs w:val="21"/>
        </w:rPr>
        <w:t xml:space="preserve"> that </w:t>
      </w:r>
      <w:r w:rsidRPr="00173B3C">
        <w:rPr>
          <w:rFonts w:asciiTheme="minorHAnsi" w:hAnsiTheme="minorHAnsi" w:cs="Arial"/>
          <w:sz w:val="21"/>
          <w:szCs w:val="21"/>
        </w:rPr>
        <w:t xml:space="preserve">timeframe </w:t>
      </w:r>
      <w:r>
        <w:rPr>
          <w:rFonts w:asciiTheme="minorHAnsi" w:hAnsiTheme="minorHAnsi" w:cs="Arial"/>
          <w:sz w:val="21"/>
          <w:szCs w:val="21"/>
        </w:rPr>
        <w:t xml:space="preserve">(potentially earlier) </w:t>
      </w:r>
      <w:r w:rsidRPr="00173B3C">
        <w:rPr>
          <w:rFonts w:asciiTheme="minorHAnsi" w:hAnsiTheme="minorHAnsi" w:cs="Arial"/>
          <w:sz w:val="21"/>
          <w:szCs w:val="21"/>
        </w:rPr>
        <w:t>to enable the Council to deliver against its statutory planning application performance targets.</w:t>
      </w:r>
      <w:r>
        <w:rPr>
          <w:rFonts w:asciiTheme="minorHAnsi" w:hAnsiTheme="minorHAnsi" w:cs="Arial"/>
          <w:sz w:val="21"/>
          <w:szCs w:val="21"/>
        </w:rPr>
        <w:t xml:space="preserve">  </w:t>
      </w:r>
      <w:r w:rsidR="00566E44">
        <w:rPr>
          <w:rFonts w:asciiTheme="minorHAnsi" w:hAnsiTheme="minorHAnsi" w:cs="Arial"/>
          <w:sz w:val="21"/>
          <w:szCs w:val="21"/>
        </w:rPr>
        <w:t xml:space="preserve">Within 21 days a </w:t>
      </w:r>
      <w:r w:rsidR="00D872AC" w:rsidRPr="005963FA">
        <w:rPr>
          <w:rFonts w:asciiTheme="minorHAnsi" w:hAnsiTheme="minorHAnsi" w:cs="Arial"/>
          <w:sz w:val="21"/>
          <w:szCs w:val="21"/>
        </w:rPr>
        <w:t xml:space="preserve">response to all consultations will be </w:t>
      </w:r>
      <w:r>
        <w:rPr>
          <w:rFonts w:asciiTheme="minorHAnsi" w:hAnsiTheme="minorHAnsi" w:cs="Arial"/>
          <w:sz w:val="21"/>
          <w:szCs w:val="21"/>
        </w:rPr>
        <w:t>expected.</w:t>
      </w:r>
      <w:r w:rsidR="00084941">
        <w:rPr>
          <w:rFonts w:asciiTheme="minorHAnsi" w:hAnsiTheme="minorHAnsi" w:cs="Arial"/>
          <w:sz w:val="21"/>
          <w:szCs w:val="21"/>
        </w:rPr>
        <w:t xml:space="preserve">  </w:t>
      </w:r>
      <w:r w:rsidR="001A4E5C">
        <w:rPr>
          <w:rFonts w:asciiTheme="minorHAnsi" w:hAnsiTheme="minorHAnsi" w:cs="Arial"/>
          <w:sz w:val="21"/>
          <w:szCs w:val="21"/>
        </w:rPr>
        <w:t xml:space="preserve">It should be noted that, from time to time, re-consultations are sought when amendments to proposed developments are received for consideration. </w:t>
      </w:r>
    </w:p>
    <w:p w:rsidR="00173B3C" w:rsidRDefault="00173B3C" w:rsidP="007A3FAD">
      <w:pPr>
        <w:pStyle w:val="Default"/>
        <w:ind w:left="567"/>
        <w:rPr>
          <w:rFonts w:asciiTheme="minorHAnsi" w:hAnsiTheme="minorHAnsi" w:cs="Arial"/>
          <w:sz w:val="21"/>
          <w:szCs w:val="21"/>
        </w:rPr>
      </w:pPr>
    </w:p>
    <w:p w:rsidR="00173B3C" w:rsidRDefault="00566E44" w:rsidP="007A3FAD">
      <w:pPr>
        <w:pStyle w:val="Default"/>
        <w:numPr>
          <w:ilvl w:val="0"/>
          <w:numId w:val="30"/>
        </w:numPr>
        <w:ind w:left="567" w:hanging="567"/>
        <w:rPr>
          <w:rFonts w:asciiTheme="minorHAnsi" w:hAnsiTheme="minorHAnsi" w:cs="Arial"/>
          <w:sz w:val="21"/>
          <w:szCs w:val="21"/>
        </w:rPr>
      </w:pPr>
      <w:r>
        <w:rPr>
          <w:rFonts w:asciiTheme="minorHAnsi" w:hAnsiTheme="minorHAnsi" w:cs="Arial"/>
          <w:sz w:val="21"/>
          <w:szCs w:val="21"/>
        </w:rPr>
        <w:t>In rare circumstances, t</w:t>
      </w:r>
      <w:r w:rsidR="00173B3C" w:rsidRPr="00173B3C">
        <w:rPr>
          <w:rFonts w:asciiTheme="minorHAnsi" w:hAnsiTheme="minorHAnsi" w:cs="Arial"/>
          <w:sz w:val="21"/>
          <w:szCs w:val="21"/>
        </w:rPr>
        <w:t xml:space="preserve">he successful consultants may be required to provide occasional additional </w:t>
      </w:r>
      <w:r w:rsidR="00173B3C" w:rsidRPr="00173B3C">
        <w:rPr>
          <w:rFonts w:asciiTheme="minorHAnsi" w:hAnsiTheme="minorHAnsi" w:cs="Arial"/>
          <w:sz w:val="21"/>
          <w:szCs w:val="21"/>
        </w:rPr>
        <w:lastRenderedPageBreak/>
        <w:t xml:space="preserve">advice at planning committee (evening), at an appeal </w:t>
      </w:r>
      <w:r w:rsidR="001A4E5C">
        <w:rPr>
          <w:rFonts w:asciiTheme="minorHAnsi" w:hAnsiTheme="minorHAnsi" w:cs="Arial"/>
          <w:sz w:val="21"/>
          <w:szCs w:val="21"/>
        </w:rPr>
        <w:t xml:space="preserve">hearing or </w:t>
      </w:r>
      <w:r w:rsidR="00464544">
        <w:rPr>
          <w:rFonts w:asciiTheme="minorHAnsi" w:hAnsiTheme="minorHAnsi" w:cs="Arial"/>
          <w:sz w:val="21"/>
          <w:szCs w:val="21"/>
        </w:rPr>
        <w:t>inquiries</w:t>
      </w:r>
      <w:r w:rsidR="00173B3C" w:rsidRPr="00173B3C">
        <w:rPr>
          <w:rFonts w:asciiTheme="minorHAnsi" w:hAnsiTheme="minorHAnsi" w:cs="Arial"/>
          <w:sz w:val="21"/>
          <w:szCs w:val="21"/>
        </w:rPr>
        <w:t>, or at a judicial review hearing, where the environmental advice provided is a key factor in the application decision or subject to questions or dispute.</w:t>
      </w:r>
      <w:r>
        <w:rPr>
          <w:rFonts w:asciiTheme="minorHAnsi" w:hAnsiTheme="minorHAnsi" w:cs="Arial"/>
          <w:sz w:val="21"/>
          <w:szCs w:val="21"/>
        </w:rPr>
        <w:t xml:space="preserve"> This is to be incorporated within your assessment pricing.</w:t>
      </w:r>
    </w:p>
    <w:p w:rsidR="00CF5577" w:rsidRDefault="00CF5577" w:rsidP="007A3FAD">
      <w:pPr>
        <w:pStyle w:val="ListParagraph"/>
        <w:rPr>
          <w:rFonts w:cs="Arial"/>
          <w:sz w:val="21"/>
          <w:szCs w:val="21"/>
        </w:rPr>
      </w:pPr>
    </w:p>
    <w:p w:rsidR="00CF5577" w:rsidRPr="00CF5577" w:rsidRDefault="00CF5577" w:rsidP="007A3FAD">
      <w:pPr>
        <w:pStyle w:val="Default"/>
        <w:numPr>
          <w:ilvl w:val="0"/>
          <w:numId w:val="30"/>
        </w:numPr>
        <w:ind w:left="567" w:hanging="567"/>
        <w:rPr>
          <w:rFonts w:asciiTheme="minorHAnsi" w:hAnsiTheme="minorHAnsi" w:cs="Arial"/>
          <w:sz w:val="21"/>
          <w:szCs w:val="21"/>
        </w:rPr>
      </w:pPr>
      <w:r w:rsidRPr="00CF5577">
        <w:rPr>
          <w:rFonts w:asciiTheme="minorHAnsi" w:hAnsiTheme="minorHAnsi" w:cs="Arial"/>
          <w:sz w:val="21"/>
          <w:szCs w:val="21"/>
        </w:rPr>
        <w:t>During the ye</w:t>
      </w:r>
      <w:r w:rsidR="008C7BF0">
        <w:rPr>
          <w:rFonts w:asciiTheme="minorHAnsi" w:hAnsiTheme="minorHAnsi" w:cs="Arial"/>
          <w:sz w:val="21"/>
          <w:szCs w:val="21"/>
        </w:rPr>
        <w:t>ar 2017/18 Lambeth has made 389</w:t>
      </w:r>
      <w:r w:rsidRPr="00CF5577">
        <w:rPr>
          <w:rFonts w:asciiTheme="minorHAnsi" w:hAnsiTheme="minorHAnsi" w:cs="Arial"/>
          <w:sz w:val="21"/>
          <w:szCs w:val="21"/>
        </w:rPr>
        <w:t xml:space="preserve"> consultations for independent environmental advice similar to that covered by this request for quotes.  These consultations were made against 307 individual applications from the following planning category types:</w:t>
      </w:r>
    </w:p>
    <w:p w:rsidR="00CF5577" w:rsidRPr="00CF5577" w:rsidRDefault="00CF5577" w:rsidP="007A3FAD">
      <w:pPr>
        <w:pStyle w:val="Default"/>
        <w:ind w:left="567"/>
        <w:rPr>
          <w:rFonts w:asciiTheme="minorHAnsi" w:hAnsiTheme="minorHAnsi" w:cs="Arial"/>
          <w:sz w:val="21"/>
          <w:szCs w:val="21"/>
        </w:rPr>
      </w:pPr>
    </w:p>
    <w:p w:rsidR="00CF5577" w:rsidRPr="00CF5577" w:rsidRDefault="008C7BF0" w:rsidP="007A3FAD">
      <w:pPr>
        <w:pStyle w:val="Default"/>
        <w:ind w:left="567" w:firstLine="141"/>
        <w:rPr>
          <w:rFonts w:asciiTheme="minorHAnsi" w:hAnsiTheme="minorHAnsi" w:cs="Arial"/>
          <w:sz w:val="21"/>
          <w:szCs w:val="21"/>
        </w:rPr>
      </w:pPr>
      <w:proofErr w:type="gramStart"/>
      <w:r>
        <w:rPr>
          <w:rFonts w:asciiTheme="minorHAnsi" w:hAnsiTheme="minorHAnsi" w:cs="Arial"/>
          <w:sz w:val="21"/>
          <w:szCs w:val="21"/>
        </w:rPr>
        <w:t>o</w:t>
      </w:r>
      <w:proofErr w:type="gramEnd"/>
      <w:r>
        <w:rPr>
          <w:rFonts w:asciiTheme="minorHAnsi" w:hAnsiTheme="minorHAnsi" w:cs="Arial"/>
          <w:sz w:val="21"/>
          <w:szCs w:val="21"/>
        </w:rPr>
        <w:tab/>
        <w:t>41</w:t>
      </w:r>
      <w:r w:rsidR="00CF5577" w:rsidRPr="00CF5577">
        <w:rPr>
          <w:rFonts w:asciiTheme="minorHAnsi" w:hAnsiTheme="minorHAnsi" w:cs="Arial"/>
          <w:sz w:val="21"/>
          <w:szCs w:val="21"/>
        </w:rPr>
        <w:t xml:space="preserve"> </w:t>
      </w:r>
      <w:r w:rsidR="00CF5577" w:rsidRPr="00EB27F0">
        <w:rPr>
          <w:rFonts w:asciiTheme="minorHAnsi" w:hAnsiTheme="minorHAnsi" w:cs="Arial"/>
          <w:sz w:val="21"/>
          <w:szCs w:val="21"/>
        </w:rPr>
        <w:t>M</w:t>
      </w:r>
      <w:r w:rsidR="00CF5577" w:rsidRPr="00CF5577">
        <w:rPr>
          <w:rFonts w:asciiTheme="minorHAnsi" w:hAnsiTheme="minorHAnsi" w:cs="Arial"/>
          <w:sz w:val="21"/>
          <w:szCs w:val="21"/>
        </w:rPr>
        <w:t>ajor applications;</w:t>
      </w:r>
    </w:p>
    <w:p w:rsidR="00CF5577" w:rsidRPr="00CF5577" w:rsidRDefault="008C7BF0" w:rsidP="007A3FAD">
      <w:pPr>
        <w:pStyle w:val="Default"/>
        <w:ind w:left="567" w:firstLine="141"/>
        <w:rPr>
          <w:rFonts w:asciiTheme="minorHAnsi" w:hAnsiTheme="minorHAnsi" w:cs="Arial"/>
          <w:sz w:val="21"/>
          <w:szCs w:val="21"/>
        </w:rPr>
      </w:pPr>
      <w:proofErr w:type="gramStart"/>
      <w:r>
        <w:rPr>
          <w:rFonts w:asciiTheme="minorHAnsi" w:hAnsiTheme="minorHAnsi" w:cs="Arial"/>
          <w:sz w:val="21"/>
          <w:szCs w:val="21"/>
        </w:rPr>
        <w:t>o</w:t>
      </w:r>
      <w:proofErr w:type="gramEnd"/>
      <w:r>
        <w:rPr>
          <w:rFonts w:asciiTheme="minorHAnsi" w:hAnsiTheme="minorHAnsi" w:cs="Arial"/>
          <w:sz w:val="21"/>
          <w:szCs w:val="21"/>
        </w:rPr>
        <w:tab/>
        <w:t>46</w:t>
      </w:r>
      <w:r w:rsidR="00CF5577" w:rsidRPr="00CF5577">
        <w:rPr>
          <w:rFonts w:asciiTheme="minorHAnsi" w:hAnsiTheme="minorHAnsi" w:cs="Arial"/>
          <w:sz w:val="21"/>
          <w:szCs w:val="21"/>
        </w:rPr>
        <w:t xml:space="preserve"> </w:t>
      </w:r>
      <w:r w:rsidR="00CF5577" w:rsidRPr="00EB27F0">
        <w:rPr>
          <w:rFonts w:asciiTheme="minorHAnsi" w:hAnsiTheme="minorHAnsi" w:cs="Arial"/>
          <w:sz w:val="21"/>
          <w:szCs w:val="21"/>
        </w:rPr>
        <w:t>M</w:t>
      </w:r>
      <w:r w:rsidR="00CF5577" w:rsidRPr="00CF5577">
        <w:rPr>
          <w:rFonts w:asciiTheme="minorHAnsi" w:hAnsiTheme="minorHAnsi" w:cs="Arial"/>
          <w:sz w:val="21"/>
          <w:szCs w:val="21"/>
        </w:rPr>
        <w:t>inor applications;</w:t>
      </w:r>
    </w:p>
    <w:p w:rsidR="00CF5577" w:rsidRPr="00CF5577" w:rsidRDefault="00CF5577" w:rsidP="007A3FAD">
      <w:pPr>
        <w:pStyle w:val="Default"/>
        <w:ind w:left="567" w:firstLine="141"/>
        <w:rPr>
          <w:rFonts w:asciiTheme="minorHAnsi" w:hAnsiTheme="minorHAnsi" w:cs="Arial"/>
          <w:sz w:val="21"/>
          <w:szCs w:val="21"/>
        </w:rPr>
      </w:pPr>
      <w:proofErr w:type="gramStart"/>
      <w:r w:rsidRPr="00CF5577">
        <w:rPr>
          <w:rFonts w:asciiTheme="minorHAnsi" w:hAnsiTheme="minorHAnsi" w:cs="Arial"/>
          <w:sz w:val="21"/>
          <w:szCs w:val="21"/>
        </w:rPr>
        <w:t>o</w:t>
      </w:r>
      <w:proofErr w:type="gramEnd"/>
      <w:r w:rsidRPr="00CF5577">
        <w:rPr>
          <w:rFonts w:asciiTheme="minorHAnsi" w:hAnsiTheme="minorHAnsi" w:cs="Arial"/>
          <w:sz w:val="21"/>
          <w:szCs w:val="21"/>
        </w:rPr>
        <w:tab/>
      </w:r>
      <w:r w:rsidR="008C7BF0">
        <w:rPr>
          <w:rFonts w:asciiTheme="minorHAnsi" w:hAnsiTheme="minorHAnsi" w:cs="Arial"/>
          <w:sz w:val="21"/>
          <w:szCs w:val="21"/>
        </w:rPr>
        <w:t>28</w:t>
      </w:r>
      <w:r w:rsidRPr="00CF5577">
        <w:rPr>
          <w:rFonts w:asciiTheme="minorHAnsi" w:hAnsiTheme="minorHAnsi" w:cs="Arial"/>
          <w:sz w:val="21"/>
          <w:szCs w:val="21"/>
        </w:rPr>
        <w:t xml:space="preserve"> </w:t>
      </w:r>
      <w:r w:rsidRPr="00EB27F0">
        <w:rPr>
          <w:rFonts w:asciiTheme="minorHAnsi" w:hAnsiTheme="minorHAnsi" w:cs="Arial"/>
          <w:sz w:val="21"/>
          <w:szCs w:val="21"/>
        </w:rPr>
        <w:t>O</w:t>
      </w:r>
      <w:r w:rsidRPr="00CF5577">
        <w:rPr>
          <w:rFonts w:asciiTheme="minorHAnsi" w:hAnsiTheme="minorHAnsi" w:cs="Arial"/>
          <w:sz w:val="21"/>
          <w:szCs w:val="21"/>
        </w:rPr>
        <w:t>ther applications</w:t>
      </w:r>
      <w:r w:rsidR="007C4613">
        <w:rPr>
          <w:rFonts w:asciiTheme="minorHAnsi" w:hAnsiTheme="minorHAnsi" w:cs="Arial"/>
          <w:sz w:val="21"/>
          <w:szCs w:val="21"/>
        </w:rPr>
        <w:t xml:space="preserve"> (</w:t>
      </w:r>
      <w:proofErr w:type="spellStart"/>
      <w:r w:rsidR="00EB27F0">
        <w:rPr>
          <w:rFonts w:asciiTheme="minorHAnsi" w:hAnsiTheme="minorHAnsi" w:cs="Arial"/>
          <w:sz w:val="21"/>
          <w:szCs w:val="21"/>
        </w:rPr>
        <w:t>e.g</w:t>
      </w:r>
      <w:proofErr w:type="spellEnd"/>
      <w:r w:rsidR="00EB27F0">
        <w:rPr>
          <w:rFonts w:asciiTheme="minorHAnsi" w:hAnsiTheme="minorHAnsi" w:cs="Arial"/>
          <w:sz w:val="21"/>
          <w:szCs w:val="21"/>
        </w:rPr>
        <w:t xml:space="preserve"> </w:t>
      </w:r>
      <w:r w:rsidR="007F6CCD">
        <w:rPr>
          <w:rFonts w:asciiTheme="minorHAnsi" w:hAnsiTheme="minorHAnsi" w:cs="Arial"/>
          <w:sz w:val="21"/>
          <w:szCs w:val="21"/>
        </w:rPr>
        <w:t>Change of use, householder</w:t>
      </w:r>
      <w:r w:rsidR="007C4613">
        <w:rPr>
          <w:rFonts w:asciiTheme="minorHAnsi" w:hAnsiTheme="minorHAnsi" w:cs="Arial"/>
          <w:sz w:val="21"/>
          <w:szCs w:val="21"/>
        </w:rPr>
        <w:t>)</w:t>
      </w:r>
    </w:p>
    <w:p w:rsidR="00CF5577" w:rsidRPr="00CF5577" w:rsidRDefault="008C7BF0" w:rsidP="007A3FAD">
      <w:pPr>
        <w:pStyle w:val="Default"/>
        <w:ind w:left="567" w:firstLine="141"/>
        <w:rPr>
          <w:rFonts w:asciiTheme="minorHAnsi" w:hAnsiTheme="minorHAnsi" w:cs="Arial"/>
          <w:sz w:val="21"/>
          <w:szCs w:val="21"/>
        </w:rPr>
      </w:pPr>
      <w:proofErr w:type="gramStart"/>
      <w:r>
        <w:rPr>
          <w:rFonts w:asciiTheme="minorHAnsi" w:hAnsiTheme="minorHAnsi" w:cs="Arial"/>
          <w:sz w:val="21"/>
          <w:szCs w:val="21"/>
        </w:rPr>
        <w:t>o</w:t>
      </w:r>
      <w:proofErr w:type="gramEnd"/>
      <w:r>
        <w:rPr>
          <w:rFonts w:asciiTheme="minorHAnsi" w:hAnsiTheme="minorHAnsi" w:cs="Arial"/>
          <w:sz w:val="21"/>
          <w:szCs w:val="21"/>
        </w:rPr>
        <w:tab/>
        <w:t>136</w:t>
      </w:r>
      <w:r w:rsidR="00CF5577" w:rsidRPr="00CF5577">
        <w:rPr>
          <w:rFonts w:asciiTheme="minorHAnsi" w:hAnsiTheme="minorHAnsi" w:cs="Arial"/>
          <w:sz w:val="21"/>
          <w:szCs w:val="21"/>
        </w:rPr>
        <w:t xml:space="preserve"> Discharge of </w:t>
      </w:r>
      <w:r w:rsidR="007C4613">
        <w:rPr>
          <w:rFonts w:asciiTheme="minorHAnsi" w:hAnsiTheme="minorHAnsi" w:cs="Arial"/>
          <w:sz w:val="21"/>
          <w:szCs w:val="21"/>
        </w:rPr>
        <w:t>c</w:t>
      </w:r>
      <w:r w:rsidR="00CF5577" w:rsidRPr="00CF5577">
        <w:rPr>
          <w:rFonts w:asciiTheme="minorHAnsi" w:hAnsiTheme="minorHAnsi" w:cs="Arial"/>
          <w:sz w:val="21"/>
          <w:szCs w:val="21"/>
        </w:rPr>
        <w:t>ondition applications; and</w:t>
      </w:r>
    </w:p>
    <w:p w:rsidR="00CF5577" w:rsidRPr="00CF5577" w:rsidRDefault="00CF5577" w:rsidP="007A3FAD">
      <w:pPr>
        <w:pStyle w:val="Default"/>
        <w:ind w:left="567" w:firstLine="141"/>
        <w:rPr>
          <w:rFonts w:asciiTheme="minorHAnsi" w:hAnsiTheme="minorHAnsi" w:cs="Arial"/>
          <w:sz w:val="21"/>
          <w:szCs w:val="21"/>
        </w:rPr>
      </w:pPr>
      <w:proofErr w:type="gramStart"/>
      <w:r w:rsidRPr="00CF5577">
        <w:rPr>
          <w:rFonts w:asciiTheme="minorHAnsi" w:hAnsiTheme="minorHAnsi" w:cs="Arial"/>
          <w:sz w:val="21"/>
          <w:szCs w:val="21"/>
        </w:rPr>
        <w:t>o</w:t>
      </w:r>
      <w:proofErr w:type="gramEnd"/>
      <w:r w:rsidRPr="00CF5577">
        <w:rPr>
          <w:rFonts w:asciiTheme="minorHAnsi" w:hAnsiTheme="minorHAnsi" w:cs="Arial"/>
          <w:sz w:val="21"/>
          <w:szCs w:val="21"/>
        </w:rPr>
        <w:tab/>
        <w:t>11 Pre-applications.</w:t>
      </w:r>
    </w:p>
    <w:p w:rsidR="00CF5577" w:rsidRPr="00CF5577" w:rsidRDefault="00CF5577" w:rsidP="007A3FAD">
      <w:pPr>
        <w:pStyle w:val="Default"/>
        <w:ind w:left="567"/>
        <w:rPr>
          <w:rFonts w:asciiTheme="minorHAnsi" w:hAnsiTheme="minorHAnsi" w:cs="Arial"/>
          <w:sz w:val="21"/>
          <w:szCs w:val="21"/>
        </w:rPr>
      </w:pPr>
    </w:p>
    <w:p w:rsidR="00CF5577" w:rsidRDefault="00CF5577" w:rsidP="007A3FAD">
      <w:pPr>
        <w:pStyle w:val="Default"/>
        <w:ind w:left="567"/>
        <w:rPr>
          <w:rFonts w:asciiTheme="minorHAnsi" w:hAnsiTheme="minorHAnsi" w:cs="Arial"/>
          <w:sz w:val="21"/>
          <w:szCs w:val="21"/>
        </w:rPr>
      </w:pPr>
      <w:r w:rsidRPr="00CF5577">
        <w:rPr>
          <w:rFonts w:asciiTheme="minorHAnsi" w:hAnsiTheme="minorHAnsi" w:cs="Arial"/>
          <w:sz w:val="21"/>
          <w:szCs w:val="21"/>
        </w:rPr>
        <w:t>Each referral generally seeks advice on a single area alone.  On occasion (usually in relation to larger applications) the advice required may cover more than one area.  Recently the work is breaking down as follows:</w:t>
      </w:r>
    </w:p>
    <w:p w:rsidR="00173B3C" w:rsidRDefault="00173B3C" w:rsidP="007A3FAD">
      <w:pPr>
        <w:pStyle w:val="Default"/>
        <w:rPr>
          <w:rFonts w:asciiTheme="minorHAnsi" w:hAnsiTheme="minorHAnsi" w:cs="Arial"/>
          <w:sz w:val="21"/>
          <w:szCs w:val="21"/>
        </w:rPr>
      </w:pPr>
    </w:p>
    <w:tbl>
      <w:tblPr>
        <w:tblStyle w:val="GridTable1Light"/>
        <w:tblW w:w="0" w:type="auto"/>
        <w:jc w:val="center"/>
        <w:tblLook w:val="04A0" w:firstRow="1" w:lastRow="0" w:firstColumn="1" w:lastColumn="0" w:noHBand="0" w:noVBand="1"/>
      </w:tblPr>
      <w:tblGrid>
        <w:gridCol w:w="1801"/>
        <w:gridCol w:w="1543"/>
        <w:gridCol w:w="1389"/>
        <w:gridCol w:w="1943"/>
        <w:gridCol w:w="2035"/>
      </w:tblGrid>
      <w:tr w:rsidR="00173B3C" w:rsidRPr="00173B3C" w:rsidTr="00173B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5"/>
          </w:tcPr>
          <w:p w:rsidR="00173B3C" w:rsidRPr="00173B3C" w:rsidRDefault="00173B3C" w:rsidP="007A3FAD">
            <w:pPr>
              <w:autoSpaceDE w:val="0"/>
              <w:autoSpaceDN w:val="0"/>
              <w:adjustRightInd w:val="0"/>
              <w:rPr>
                <w:rFonts w:cs="Arial"/>
                <w:color w:val="000000"/>
                <w:sz w:val="20"/>
                <w:szCs w:val="20"/>
              </w:rPr>
            </w:pPr>
            <w:r w:rsidRPr="00173B3C">
              <w:rPr>
                <w:rFonts w:cs="Arial"/>
                <w:color w:val="000000"/>
                <w:sz w:val="20"/>
                <w:szCs w:val="20"/>
              </w:rPr>
              <w:t>Recent split of requests for advice by area for 100 planning application cases referred</w:t>
            </w:r>
          </w:p>
        </w:tc>
      </w:tr>
      <w:tr w:rsidR="00173B3C" w:rsidRPr="00173B3C" w:rsidTr="00173B3C">
        <w:trPr>
          <w:trHeight w:val="606"/>
          <w:jc w:val="center"/>
        </w:trPr>
        <w:tc>
          <w:tcPr>
            <w:cnfStyle w:val="001000000000" w:firstRow="0" w:lastRow="0" w:firstColumn="1" w:lastColumn="0" w:oddVBand="0" w:evenVBand="0" w:oddHBand="0" w:evenHBand="0" w:firstRowFirstColumn="0" w:firstRowLastColumn="0" w:lastRowFirstColumn="0" w:lastRowLastColumn="0"/>
            <w:tcW w:w="0" w:type="auto"/>
          </w:tcPr>
          <w:p w:rsidR="00173B3C" w:rsidRPr="00860473" w:rsidRDefault="00173B3C" w:rsidP="007A3FAD">
            <w:pPr>
              <w:autoSpaceDE w:val="0"/>
              <w:autoSpaceDN w:val="0"/>
              <w:adjustRightInd w:val="0"/>
              <w:rPr>
                <w:rFonts w:cs="Arial"/>
                <w:b w:val="0"/>
                <w:color w:val="000000"/>
                <w:sz w:val="20"/>
                <w:szCs w:val="20"/>
              </w:rPr>
            </w:pPr>
            <w:r w:rsidRPr="00860473">
              <w:rPr>
                <w:rFonts w:cs="Arial"/>
                <w:b w:val="0"/>
                <w:color w:val="000000"/>
                <w:sz w:val="20"/>
                <w:szCs w:val="20"/>
              </w:rPr>
              <w:t>Noise and vibration</w:t>
            </w:r>
          </w:p>
        </w:tc>
        <w:tc>
          <w:tcPr>
            <w:tcW w:w="0" w:type="auto"/>
          </w:tcPr>
          <w:p w:rsidR="00173B3C" w:rsidRPr="00173B3C" w:rsidRDefault="00173B3C" w:rsidP="007A3F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73B3C">
              <w:rPr>
                <w:rFonts w:cs="Arial"/>
                <w:color w:val="000000"/>
                <w:sz w:val="20"/>
                <w:szCs w:val="20"/>
              </w:rPr>
              <w:t>Fume Extraction</w:t>
            </w:r>
          </w:p>
        </w:tc>
        <w:tc>
          <w:tcPr>
            <w:tcW w:w="0" w:type="auto"/>
          </w:tcPr>
          <w:p w:rsidR="00173B3C" w:rsidRPr="00173B3C" w:rsidRDefault="00173B3C" w:rsidP="007A3F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73B3C">
              <w:rPr>
                <w:rFonts w:cs="Arial"/>
                <w:color w:val="000000"/>
                <w:sz w:val="20"/>
                <w:szCs w:val="20"/>
              </w:rPr>
              <w:t>Light pollution</w:t>
            </w:r>
          </w:p>
        </w:tc>
        <w:tc>
          <w:tcPr>
            <w:tcW w:w="0" w:type="auto"/>
          </w:tcPr>
          <w:p w:rsidR="00173B3C" w:rsidRPr="00173B3C" w:rsidRDefault="00173B3C" w:rsidP="007A3F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73B3C">
              <w:rPr>
                <w:rFonts w:cs="Arial"/>
                <w:color w:val="000000"/>
                <w:sz w:val="20"/>
                <w:szCs w:val="20"/>
              </w:rPr>
              <w:t>Construction impacts</w:t>
            </w:r>
          </w:p>
        </w:tc>
        <w:tc>
          <w:tcPr>
            <w:tcW w:w="0" w:type="auto"/>
          </w:tcPr>
          <w:p w:rsidR="00173B3C" w:rsidRPr="00173B3C" w:rsidRDefault="00173B3C" w:rsidP="007A3F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73B3C">
              <w:rPr>
                <w:rFonts w:cs="Arial"/>
                <w:color w:val="000000"/>
                <w:sz w:val="20"/>
                <w:szCs w:val="20"/>
              </w:rPr>
              <w:t>Contamination of land</w:t>
            </w:r>
          </w:p>
        </w:tc>
      </w:tr>
      <w:tr w:rsidR="00173B3C" w:rsidRPr="00173B3C" w:rsidTr="00173B3C">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60473" w:rsidRPr="00860473" w:rsidRDefault="00860473" w:rsidP="007A3FAD">
            <w:pPr>
              <w:autoSpaceDE w:val="0"/>
              <w:autoSpaceDN w:val="0"/>
              <w:adjustRightInd w:val="0"/>
              <w:rPr>
                <w:rFonts w:cs="Arial"/>
                <w:b w:val="0"/>
                <w:color w:val="000000"/>
                <w:sz w:val="20"/>
                <w:szCs w:val="20"/>
              </w:rPr>
            </w:pPr>
            <w:r w:rsidRPr="00860473">
              <w:rPr>
                <w:rFonts w:cs="Arial"/>
                <w:b w:val="0"/>
                <w:color w:val="000000"/>
                <w:sz w:val="20"/>
                <w:szCs w:val="20"/>
              </w:rPr>
              <w:t>84</w:t>
            </w:r>
          </w:p>
        </w:tc>
        <w:tc>
          <w:tcPr>
            <w:tcW w:w="0" w:type="auto"/>
          </w:tcPr>
          <w:p w:rsidR="00173B3C" w:rsidRPr="00173B3C" w:rsidRDefault="00173B3C" w:rsidP="007A3F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73B3C">
              <w:rPr>
                <w:rFonts w:cs="Arial"/>
                <w:color w:val="000000"/>
                <w:sz w:val="20"/>
                <w:szCs w:val="20"/>
              </w:rPr>
              <w:t>4</w:t>
            </w:r>
          </w:p>
        </w:tc>
        <w:tc>
          <w:tcPr>
            <w:tcW w:w="0" w:type="auto"/>
          </w:tcPr>
          <w:p w:rsidR="00173B3C" w:rsidRPr="00173B3C" w:rsidRDefault="00173B3C" w:rsidP="007A3F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73B3C">
              <w:rPr>
                <w:rFonts w:cs="Arial"/>
                <w:color w:val="000000"/>
                <w:sz w:val="20"/>
                <w:szCs w:val="20"/>
              </w:rPr>
              <w:t>10</w:t>
            </w:r>
          </w:p>
        </w:tc>
        <w:tc>
          <w:tcPr>
            <w:tcW w:w="0" w:type="auto"/>
          </w:tcPr>
          <w:p w:rsidR="00173B3C" w:rsidRPr="00173B3C" w:rsidRDefault="00173B3C" w:rsidP="007A3F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73B3C">
              <w:rPr>
                <w:rFonts w:cs="Arial"/>
                <w:color w:val="000000"/>
                <w:sz w:val="20"/>
                <w:szCs w:val="20"/>
              </w:rPr>
              <w:t>11</w:t>
            </w:r>
          </w:p>
        </w:tc>
        <w:tc>
          <w:tcPr>
            <w:tcW w:w="0" w:type="auto"/>
          </w:tcPr>
          <w:p w:rsidR="00173B3C" w:rsidRPr="00173B3C" w:rsidRDefault="00173B3C" w:rsidP="007A3FA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173B3C">
              <w:rPr>
                <w:rFonts w:cs="Arial"/>
                <w:color w:val="000000"/>
                <w:sz w:val="20"/>
                <w:szCs w:val="20"/>
              </w:rPr>
              <w:t>21</w:t>
            </w:r>
          </w:p>
        </w:tc>
      </w:tr>
    </w:tbl>
    <w:p w:rsidR="00173B3C" w:rsidRPr="003275AC" w:rsidRDefault="003275AC" w:rsidP="007A3FAD">
      <w:pPr>
        <w:pStyle w:val="Default"/>
        <w:ind w:left="567" w:hanging="283"/>
        <w:rPr>
          <w:rFonts w:asciiTheme="minorHAnsi" w:hAnsiTheme="minorHAnsi" w:cs="Arial"/>
          <w:i/>
          <w:sz w:val="18"/>
          <w:szCs w:val="21"/>
        </w:rPr>
      </w:pPr>
      <w:r w:rsidRPr="003275AC">
        <w:rPr>
          <w:rFonts w:asciiTheme="minorHAnsi" w:hAnsiTheme="minorHAnsi" w:cs="Arial"/>
          <w:i/>
          <w:sz w:val="18"/>
          <w:szCs w:val="21"/>
        </w:rPr>
        <w:t>Table 1: type by 100 applications</w:t>
      </w:r>
    </w:p>
    <w:p w:rsidR="003275AC" w:rsidRDefault="003275AC" w:rsidP="007A3FAD">
      <w:pPr>
        <w:pStyle w:val="Default"/>
        <w:ind w:left="567"/>
        <w:rPr>
          <w:rFonts w:asciiTheme="minorHAnsi" w:hAnsiTheme="minorHAnsi" w:cs="Arial"/>
          <w:sz w:val="21"/>
          <w:szCs w:val="21"/>
        </w:rPr>
      </w:pPr>
    </w:p>
    <w:p w:rsidR="008116BD" w:rsidRDefault="00173B3C" w:rsidP="007A3FAD">
      <w:pPr>
        <w:pStyle w:val="Default"/>
        <w:numPr>
          <w:ilvl w:val="0"/>
          <w:numId w:val="30"/>
        </w:numPr>
        <w:ind w:left="567" w:hanging="567"/>
        <w:rPr>
          <w:rFonts w:asciiTheme="minorHAnsi" w:hAnsiTheme="minorHAnsi" w:cs="Arial"/>
          <w:sz w:val="21"/>
          <w:szCs w:val="21"/>
        </w:rPr>
      </w:pPr>
      <w:r w:rsidRPr="00173B3C">
        <w:rPr>
          <w:rFonts w:asciiTheme="minorHAnsi" w:hAnsiTheme="minorHAnsi" w:cs="Arial"/>
          <w:sz w:val="21"/>
          <w:szCs w:val="21"/>
        </w:rPr>
        <w:t>Recent workloads can be seen as</w:t>
      </w:r>
      <w:r w:rsidR="006458F7">
        <w:rPr>
          <w:rFonts w:asciiTheme="minorHAnsi" w:hAnsiTheme="minorHAnsi" w:cs="Arial"/>
          <w:sz w:val="21"/>
          <w:szCs w:val="21"/>
        </w:rPr>
        <w:t xml:space="preserve"> a predictive</w:t>
      </w:r>
      <w:r>
        <w:rPr>
          <w:rFonts w:asciiTheme="minorHAnsi" w:hAnsiTheme="minorHAnsi" w:cs="Arial"/>
          <w:sz w:val="21"/>
          <w:szCs w:val="21"/>
        </w:rPr>
        <w:t xml:space="preserve"> indica</w:t>
      </w:r>
      <w:r w:rsidR="006458F7">
        <w:rPr>
          <w:rFonts w:asciiTheme="minorHAnsi" w:hAnsiTheme="minorHAnsi" w:cs="Arial"/>
          <w:sz w:val="21"/>
          <w:szCs w:val="21"/>
        </w:rPr>
        <w:t>tion</w:t>
      </w:r>
      <w:r>
        <w:rPr>
          <w:rFonts w:asciiTheme="minorHAnsi" w:hAnsiTheme="minorHAnsi" w:cs="Arial"/>
          <w:sz w:val="21"/>
          <w:szCs w:val="21"/>
        </w:rPr>
        <w:t xml:space="preserve"> of future workloads.  </w:t>
      </w:r>
      <w:r w:rsidR="00D872AC" w:rsidRPr="00084941">
        <w:rPr>
          <w:rFonts w:asciiTheme="minorHAnsi" w:hAnsiTheme="minorHAnsi" w:cs="Arial"/>
          <w:sz w:val="21"/>
          <w:szCs w:val="21"/>
        </w:rPr>
        <w:t xml:space="preserve">The applications </w:t>
      </w:r>
      <w:r w:rsidR="00084941">
        <w:rPr>
          <w:rFonts w:asciiTheme="minorHAnsi" w:hAnsiTheme="minorHAnsi" w:cs="Arial"/>
          <w:sz w:val="21"/>
          <w:szCs w:val="21"/>
        </w:rPr>
        <w:t xml:space="preserve">the council receive </w:t>
      </w:r>
      <w:r w:rsidR="00D872AC" w:rsidRPr="00084941">
        <w:rPr>
          <w:rFonts w:asciiTheme="minorHAnsi" w:hAnsiTheme="minorHAnsi" w:cs="Arial"/>
          <w:sz w:val="21"/>
          <w:szCs w:val="21"/>
        </w:rPr>
        <w:t>are of varying complexity. It should be noted that not all applications submitted to the council will</w:t>
      </w:r>
      <w:r w:rsidR="00BF5FBF">
        <w:rPr>
          <w:rFonts w:asciiTheme="minorHAnsi" w:hAnsiTheme="minorHAnsi" w:cs="Arial"/>
          <w:sz w:val="21"/>
          <w:szCs w:val="21"/>
        </w:rPr>
        <w:t xml:space="preserve"> require consultation </w:t>
      </w:r>
      <w:r w:rsidR="00D872AC" w:rsidRPr="00084941">
        <w:rPr>
          <w:rFonts w:asciiTheme="minorHAnsi" w:hAnsiTheme="minorHAnsi" w:cs="Arial"/>
          <w:sz w:val="21"/>
          <w:szCs w:val="21"/>
        </w:rPr>
        <w:t xml:space="preserve">and not all applications </w:t>
      </w:r>
      <w:r w:rsidR="00BF5FBF">
        <w:rPr>
          <w:rFonts w:asciiTheme="minorHAnsi" w:hAnsiTheme="minorHAnsi" w:cs="Arial"/>
          <w:sz w:val="21"/>
          <w:szCs w:val="21"/>
        </w:rPr>
        <w:t>requiring observations of this nature</w:t>
      </w:r>
      <w:r w:rsidR="00D872AC" w:rsidRPr="00084941">
        <w:rPr>
          <w:rFonts w:asciiTheme="minorHAnsi" w:hAnsiTheme="minorHAnsi" w:cs="Arial"/>
          <w:sz w:val="21"/>
          <w:szCs w:val="21"/>
        </w:rPr>
        <w:t xml:space="preserve"> will necessarily be passed for external assessment.</w:t>
      </w:r>
      <w:r>
        <w:rPr>
          <w:rFonts w:asciiTheme="minorHAnsi" w:hAnsiTheme="minorHAnsi" w:cs="Arial"/>
          <w:sz w:val="21"/>
          <w:szCs w:val="21"/>
        </w:rPr>
        <w:t xml:space="preserve">  </w:t>
      </w:r>
    </w:p>
    <w:p w:rsidR="00521EAF" w:rsidRDefault="00521EAF" w:rsidP="007A3FAD">
      <w:pPr>
        <w:pStyle w:val="Default"/>
        <w:ind w:left="567"/>
        <w:rPr>
          <w:rFonts w:asciiTheme="minorHAnsi" w:hAnsiTheme="minorHAnsi" w:cs="Arial"/>
          <w:sz w:val="21"/>
          <w:szCs w:val="21"/>
        </w:rPr>
      </w:pPr>
    </w:p>
    <w:p w:rsidR="00A30AC5" w:rsidRDefault="0097322A" w:rsidP="007A3FAD">
      <w:pPr>
        <w:pStyle w:val="Default"/>
        <w:numPr>
          <w:ilvl w:val="0"/>
          <w:numId w:val="30"/>
        </w:numPr>
        <w:ind w:left="567" w:hanging="567"/>
        <w:rPr>
          <w:rFonts w:asciiTheme="minorHAnsi" w:hAnsiTheme="minorHAnsi" w:cs="Arial"/>
          <w:sz w:val="21"/>
          <w:szCs w:val="21"/>
        </w:rPr>
      </w:pPr>
      <w:r>
        <w:rPr>
          <w:rFonts w:asciiTheme="minorHAnsi" w:hAnsiTheme="minorHAnsi" w:cs="Arial"/>
          <w:sz w:val="21"/>
          <w:szCs w:val="21"/>
        </w:rPr>
        <w:t>A spreadsheet is included</w:t>
      </w:r>
      <w:r w:rsidR="00521EAF">
        <w:rPr>
          <w:rFonts w:asciiTheme="minorHAnsi" w:hAnsiTheme="minorHAnsi" w:cs="Arial"/>
          <w:sz w:val="21"/>
          <w:szCs w:val="21"/>
        </w:rPr>
        <w:t xml:space="preserve"> </w:t>
      </w:r>
      <w:r>
        <w:rPr>
          <w:rFonts w:asciiTheme="minorHAnsi" w:hAnsiTheme="minorHAnsi" w:cs="Arial"/>
          <w:sz w:val="21"/>
          <w:szCs w:val="21"/>
        </w:rPr>
        <w:t xml:space="preserve">at Appendix </w:t>
      </w:r>
      <w:r w:rsidR="00464544">
        <w:rPr>
          <w:rFonts w:asciiTheme="minorHAnsi" w:hAnsiTheme="minorHAnsi" w:cs="Arial"/>
          <w:sz w:val="21"/>
          <w:szCs w:val="21"/>
        </w:rPr>
        <w:t xml:space="preserve">I which </w:t>
      </w:r>
      <w:r w:rsidR="00891F36">
        <w:rPr>
          <w:rFonts w:asciiTheme="minorHAnsi" w:hAnsiTheme="minorHAnsi" w:cs="Arial"/>
          <w:sz w:val="21"/>
          <w:szCs w:val="21"/>
        </w:rPr>
        <w:t>provides further detail of the 100 planning application cases above recently referred for consideration.</w:t>
      </w:r>
      <w:r w:rsidR="00521EAF">
        <w:rPr>
          <w:rFonts w:asciiTheme="minorHAnsi" w:hAnsiTheme="minorHAnsi" w:cs="Arial"/>
          <w:sz w:val="21"/>
          <w:szCs w:val="21"/>
        </w:rPr>
        <w:t xml:space="preserve">  </w:t>
      </w:r>
    </w:p>
    <w:p w:rsidR="00A30AC5" w:rsidRDefault="00A30AC5" w:rsidP="007A3FAD">
      <w:pPr>
        <w:pStyle w:val="ListParagraph"/>
        <w:rPr>
          <w:rFonts w:cs="Arial"/>
          <w:sz w:val="21"/>
          <w:szCs w:val="21"/>
        </w:rPr>
      </w:pPr>
    </w:p>
    <w:p w:rsidR="00683EB8" w:rsidRPr="00A30AC5" w:rsidRDefault="009D29D4" w:rsidP="007A3FAD">
      <w:pPr>
        <w:pStyle w:val="Default"/>
        <w:numPr>
          <w:ilvl w:val="0"/>
          <w:numId w:val="30"/>
        </w:numPr>
        <w:ind w:left="567" w:hanging="567"/>
        <w:rPr>
          <w:rFonts w:asciiTheme="minorHAnsi" w:hAnsiTheme="minorHAnsi" w:cs="Arial"/>
          <w:sz w:val="21"/>
          <w:szCs w:val="21"/>
        </w:rPr>
      </w:pPr>
      <w:r w:rsidRPr="00A30AC5">
        <w:rPr>
          <w:rFonts w:asciiTheme="minorHAnsi" w:hAnsiTheme="minorHAnsi" w:cs="Arial"/>
          <w:sz w:val="21"/>
          <w:szCs w:val="21"/>
        </w:rPr>
        <w:t>The largest and most complex development schemes we deal with are usually progressed through Planning Performance Agreements (PPAs). The environmental consultancy work related to those schemes is excluded from this invitation and would be pro</w:t>
      </w:r>
      <w:r w:rsidR="00566E44">
        <w:rPr>
          <w:rFonts w:asciiTheme="minorHAnsi" w:hAnsiTheme="minorHAnsi" w:cs="Arial"/>
          <w:sz w:val="21"/>
          <w:szCs w:val="21"/>
        </w:rPr>
        <w:t xml:space="preserve">cured on a case by case basis. </w:t>
      </w:r>
      <w:r w:rsidR="00450A77" w:rsidRPr="00A30AC5">
        <w:rPr>
          <w:rFonts w:asciiTheme="minorHAnsi" w:hAnsiTheme="minorHAnsi" w:cs="Arial"/>
          <w:sz w:val="21"/>
          <w:szCs w:val="21"/>
        </w:rPr>
        <w:t xml:space="preserve">  </w:t>
      </w:r>
    </w:p>
    <w:p w:rsidR="00D872AC" w:rsidRPr="005963FA" w:rsidRDefault="00D872AC" w:rsidP="007A3FAD">
      <w:pPr>
        <w:pStyle w:val="Heading1"/>
        <w:ind w:left="567" w:hanging="567"/>
        <w:rPr>
          <w:rFonts w:asciiTheme="minorHAnsi" w:hAnsiTheme="minorHAnsi" w:cs="Arial"/>
          <w:sz w:val="21"/>
          <w:szCs w:val="21"/>
        </w:rPr>
      </w:pPr>
      <w:r w:rsidRPr="005963FA">
        <w:rPr>
          <w:rFonts w:asciiTheme="minorHAnsi" w:hAnsiTheme="minorHAnsi" w:cs="Arial"/>
          <w:sz w:val="21"/>
          <w:szCs w:val="21"/>
        </w:rPr>
        <w:t>Method</w:t>
      </w:r>
      <w:r w:rsidR="00520F6B" w:rsidRPr="005963FA">
        <w:rPr>
          <w:rFonts w:asciiTheme="minorHAnsi" w:hAnsiTheme="minorHAnsi" w:cs="Arial"/>
          <w:sz w:val="21"/>
          <w:szCs w:val="21"/>
        </w:rPr>
        <w:t xml:space="preserve"> &amp; Requirements of the Brief</w:t>
      </w:r>
    </w:p>
    <w:p w:rsidR="00D872AC" w:rsidRPr="00340230" w:rsidRDefault="00D872AC" w:rsidP="007A3FAD">
      <w:pPr>
        <w:pStyle w:val="ListParagraph"/>
        <w:numPr>
          <w:ilvl w:val="0"/>
          <w:numId w:val="30"/>
        </w:numPr>
        <w:ind w:left="567" w:hanging="567"/>
        <w:rPr>
          <w:rFonts w:cs="Arial"/>
          <w:sz w:val="21"/>
          <w:szCs w:val="21"/>
        </w:rPr>
      </w:pPr>
      <w:r w:rsidRPr="00340230">
        <w:rPr>
          <w:rFonts w:cs="Arial"/>
          <w:sz w:val="21"/>
          <w:szCs w:val="21"/>
        </w:rPr>
        <w:t>The selected contractors delivering the service will be required to collaborate</w:t>
      </w:r>
      <w:r w:rsidR="00207A32" w:rsidRPr="00340230">
        <w:rPr>
          <w:rFonts w:cs="Arial"/>
          <w:sz w:val="21"/>
          <w:szCs w:val="21"/>
        </w:rPr>
        <w:t xml:space="preserve"> remotely</w:t>
      </w:r>
      <w:r w:rsidRPr="00340230">
        <w:rPr>
          <w:rFonts w:cs="Arial"/>
          <w:sz w:val="21"/>
          <w:szCs w:val="21"/>
        </w:rPr>
        <w:t xml:space="preserve"> with officers within the Development Management service.</w:t>
      </w:r>
      <w:r w:rsidR="00207A32" w:rsidRPr="00340230">
        <w:rPr>
          <w:rFonts w:cs="Arial"/>
          <w:sz w:val="21"/>
          <w:szCs w:val="21"/>
        </w:rPr>
        <w:t xml:space="preserve">  </w:t>
      </w:r>
      <w:r w:rsidR="00E41F95" w:rsidRPr="00340230">
        <w:rPr>
          <w:rFonts w:cs="Arial"/>
          <w:sz w:val="21"/>
          <w:szCs w:val="21"/>
        </w:rPr>
        <w:t>The provision will be for an off-site</w:t>
      </w:r>
      <w:r w:rsidR="00207A32" w:rsidRPr="00340230">
        <w:rPr>
          <w:rFonts w:cs="Arial"/>
          <w:sz w:val="21"/>
          <w:szCs w:val="21"/>
        </w:rPr>
        <w:t>, electronic service.</w:t>
      </w:r>
      <w:r w:rsidR="00683EB8" w:rsidRPr="00340230">
        <w:rPr>
          <w:rFonts w:cs="Arial"/>
          <w:sz w:val="21"/>
          <w:szCs w:val="21"/>
        </w:rPr>
        <w:t xml:space="preserve"> </w:t>
      </w:r>
      <w:r w:rsidR="00E41F95" w:rsidRPr="00340230">
        <w:rPr>
          <w:rFonts w:cs="Arial"/>
          <w:sz w:val="21"/>
          <w:szCs w:val="21"/>
        </w:rPr>
        <w:t>If you will require anything specific in order to carry out this function (in particular ICT factors), please include this within your brief</w:t>
      </w:r>
      <w:r w:rsidR="00860473" w:rsidRPr="00340230">
        <w:rPr>
          <w:rFonts w:cs="Arial"/>
          <w:sz w:val="21"/>
          <w:szCs w:val="21"/>
        </w:rPr>
        <w:t>.</w:t>
      </w:r>
      <w:r w:rsidR="00683EB8" w:rsidRPr="00340230">
        <w:rPr>
          <w:rFonts w:cs="Arial"/>
          <w:sz w:val="21"/>
          <w:szCs w:val="21"/>
        </w:rPr>
        <w:t xml:space="preserve"> Meetings and site visits for more complex sites may als</w:t>
      </w:r>
      <w:r w:rsidR="00566E44">
        <w:rPr>
          <w:rFonts w:cs="Arial"/>
          <w:sz w:val="21"/>
          <w:szCs w:val="21"/>
        </w:rPr>
        <w:t>o be required from time to time. Any additional costs (such as travel costs</w:t>
      </w:r>
      <w:r w:rsidR="00F96D1A">
        <w:rPr>
          <w:rFonts w:cs="Arial"/>
          <w:sz w:val="21"/>
          <w:szCs w:val="21"/>
        </w:rPr>
        <w:t>, meetings and sites vis</w:t>
      </w:r>
      <w:r w:rsidR="007A3FAD">
        <w:rPr>
          <w:rFonts w:cs="Arial"/>
          <w:sz w:val="21"/>
          <w:szCs w:val="21"/>
        </w:rPr>
        <w:t>i</w:t>
      </w:r>
      <w:r w:rsidR="00F96D1A">
        <w:rPr>
          <w:rFonts w:cs="Arial"/>
          <w:sz w:val="21"/>
          <w:szCs w:val="21"/>
        </w:rPr>
        <w:t>ts</w:t>
      </w:r>
      <w:r w:rsidR="00566E44">
        <w:rPr>
          <w:rFonts w:cs="Arial"/>
          <w:sz w:val="21"/>
          <w:szCs w:val="21"/>
        </w:rPr>
        <w:t xml:space="preserve">) should </w:t>
      </w:r>
      <w:r w:rsidR="001F0847">
        <w:rPr>
          <w:rFonts w:cs="Arial"/>
          <w:sz w:val="21"/>
          <w:szCs w:val="21"/>
        </w:rPr>
        <w:t xml:space="preserve">be </w:t>
      </w:r>
      <w:r w:rsidR="001F0847" w:rsidRPr="00566E44">
        <w:rPr>
          <w:rFonts w:cs="Arial"/>
          <w:sz w:val="21"/>
          <w:szCs w:val="21"/>
        </w:rPr>
        <w:t>incorporated</w:t>
      </w:r>
      <w:r w:rsidR="00566E44" w:rsidRPr="00566E44">
        <w:rPr>
          <w:rFonts w:cs="Arial"/>
          <w:sz w:val="21"/>
          <w:szCs w:val="21"/>
        </w:rPr>
        <w:t xml:space="preserve"> within your assessment pricing</w:t>
      </w:r>
      <w:r w:rsidR="00566E44">
        <w:rPr>
          <w:rFonts w:cs="Arial"/>
          <w:sz w:val="21"/>
          <w:szCs w:val="21"/>
        </w:rPr>
        <w:t xml:space="preserve">, and not billed as a separate entity. </w:t>
      </w:r>
    </w:p>
    <w:p w:rsidR="00D872AC" w:rsidRPr="005963FA" w:rsidRDefault="00D872AC" w:rsidP="007A3FAD">
      <w:pPr>
        <w:pStyle w:val="ListParagraph"/>
        <w:ind w:left="567" w:hanging="567"/>
        <w:rPr>
          <w:rFonts w:cs="Arial"/>
          <w:sz w:val="21"/>
          <w:szCs w:val="21"/>
        </w:rPr>
      </w:pPr>
    </w:p>
    <w:p w:rsidR="00D872AC" w:rsidRPr="005963FA" w:rsidRDefault="00D872AC" w:rsidP="007A3FAD">
      <w:pPr>
        <w:pStyle w:val="ListParagraph"/>
        <w:numPr>
          <w:ilvl w:val="0"/>
          <w:numId w:val="30"/>
        </w:numPr>
        <w:ind w:left="567" w:hanging="567"/>
        <w:rPr>
          <w:rFonts w:cs="Arial"/>
          <w:sz w:val="21"/>
          <w:szCs w:val="21"/>
        </w:rPr>
      </w:pPr>
      <w:r w:rsidRPr="005963FA">
        <w:rPr>
          <w:rFonts w:cs="Arial"/>
          <w:sz w:val="21"/>
          <w:szCs w:val="21"/>
          <w:lang w:val="en-GB"/>
        </w:rPr>
        <w:t>It is not always possible to predict an exact workflow arising from planning applications. Lambeth will therefore require a degree of flexibility</w:t>
      </w:r>
      <w:r w:rsidR="00F96D1A">
        <w:rPr>
          <w:rFonts w:cs="Arial"/>
          <w:sz w:val="21"/>
          <w:szCs w:val="21"/>
          <w:lang w:val="en-GB"/>
        </w:rPr>
        <w:t xml:space="preserve"> from the selected provider</w:t>
      </w:r>
      <w:r w:rsidRPr="005963FA">
        <w:rPr>
          <w:rFonts w:cs="Arial"/>
          <w:sz w:val="21"/>
          <w:szCs w:val="21"/>
          <w:lang w:val="en-GB"/>
        </w:rPr>
        <w:t xml:space="preserve"> to account for peaks and troughs of </w:t>
      </w:r>
      <w:r w:rsidRPr="005963FA">
        <w:rPr>
          <w:rFonts w:cs="Arial"/>
          <w:sz w:val="21"/>
          <w:szCs w:val="21"/>
          <w:lang w:val="en-GB"/>
        </w:rPr>
        <w:lastRenderedPageBreak/>
        <w:t xml:space="preserve">submission, so as to ensure optimum service delivery.  </w:t>
      </w:r>
      <w:r w:rsidR="00EC798D">
        <w:rPr>
          <w:rFonts w:cs="Arial"/>
          <w:sz w:val="21"/>
          <w:szCs w:val="21"/>
          <w:lang w:val="en-GB"/>
        </w:rPr>
        <w:t xml:space="preserve">Lambeth are not able to guarantee a minimum volume of work. </w:t>
      </w:r>
      <w:r w:rsidRPr="005963FA">
        <w:rPr>
          <w:rFonts w:cs="Arial"/>
          <w:sz w:val="21"/>
          <w:szCs w:val="21"/>
          <w:lang w:val="en-GB"/>
        </w:rPr>
        <w:t>The full value of the contract cannot however be exceeded in the</w:t>
      </w:r>
      <w:r w:rsidR="00A77FD0">
        <w:rPr>
          <w:rFonts w:cs="Arial"/>
          <w:sz w:val="21"/>
          <w:szCs w:val="21"/>
          <w:lang w:val="en-GB"/>
        </w:rPr>
        <w:t xml:space="preserve"> 2</w:t>
      </w:r>
      <w:r w:rsidRPr="005963FA">
        <w:rPr>
          <w:rFonts w:cs="Arial"/>
          <w:sz w:val="21"/>
          <w:szCs w:val="21"/>
          <w:lang w:val="en-GB"/>
        </w:rPr>
        <w:t xml:space="preserve"> year period. The cost of the contract will be monitored on a monthly basis, along with the quality of advice being provided.</w:t>
      </w:r>
    </w:p>
    <w:p w:rsidR="00520F6B" w:rsidRPr="005963FA" w:rsidRDefault="00520F6B" w:rsidP="007A3FAD">
      <w:pPr>
        <w:pStyle w:val="ListParagraph"/>
        <w:rPr>
          <w:rFonts w:cs="Arial"/>
          <w:sz w:val="21"/>
          <w:szCs w:val="21"/>
        </w:rPr>
      </w:pPr>
    </w:p>
    <w:p w:rsidR="003E01A8" w:rsidRPr="005963FA" w:rsidRDefault="003E01A8" w:rsidP="007A3FAD">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sidRPr="005963FA">
        <w:rPr>
          <w:rFonts w:cs="Arial"/>
          <w:sz w:val="21"/>
          <w:szCs w:val="21"/>
        </w:rPr>
        <w:t>Key outputs will include:</w:t>
      </w:r>
    </w:p>
    <w:p w:rsidR="003E01A8" w:rsidRPr="005963FA" w:rsidRDefault="003E01A8" w:rsidP="007A3FAD">
      <w:pPr>
        <w:pStyle w:val="ListParagraph"/>
        <w:rPr>
          <w:rFonts w:cs="Arial"/>
          <w:color w:val="000000"/>
          <w:sz w:val="21"/>
          <w:szCs w:val="21"/>
          <w:lang w:val="en-GB"/>
        </w:rPr>
      </w:pPr>
    </w:p>
    <w:p w:rsidR="00BF5FBF" w:rsidRPr="00BF5FBF" w:rsidRDefault="00BF5FBF" w:rsidP="007A3FAD">
      <w:pPr>
        <w:pStyle w:val="ListParagraph"/>
        <w:numPr>
          <w:ilvl w:val="1"/>
          <w:numId w:val="30"/>
        </w:numPr>
        <w:ind w:left="1134" w:hanging="567"/>
        <w:rPr>
          <w:rFonts w:cs="Arial"/>
          <w:color w:val="000000"/>
          <w:sz w:val="21"/>
          <w:szCs w:val="21"/>
          <w:lang w:val="en-GB"/>
        </w:rPr>
      </w:pPr>
      <w:r w:rsidRPr="00173B3C">
        <w:rPr>
          <w:rFonts w:cs="Arial"/>
          <w:b/>
          <w:color w:val="000000"/>
          <w:sz w:val="21"/>
          <w:szCs w:val="21"/>
          <w:lang w:val="en-GB"/>
        </w:rPr>
        <w:t>Noise and vibration</w:t>
      </w:r>
      <w:r w:rsidRPr="00BF5FBF">
        <w:rPr>
          <w:rFonts w:cs="Arial"/>
          <w:color w:val="000000"/>
          <w:sz w:val="21"/>
          <w:szCs w:val="21"/>
          <w:lang w:val="en-GB"/>
        </w:rPr>
        <w:t xml:space="preserve">; Assessment of noise and vibration </w:t>
      </w:r>
      <w:r w:rsidR="00BB7A6C">
        <w:rPr>
          <w:rFonts w:cs="Arial"/>
          <w:color w:val="000000"/>
          <w:sz w:val="21"/>
          <w:szCs w:val="21"/>
          <w:lang w:val="en-GB"/>
        </w:rPr>
        <w:t>along with</w:t>
      </w:r>
      <w:r w:rsidRPr="00BF5FBF">
        <w:rPr>
          <w:rFonts w:cs="Arial"/>
          <w:color w:val="000000"/>
          <w:sz w:val="21"/>
          <w:szCs w:val="21"/>
          <w:lang w:val="en-GB"/>
        </w:rPr>
        <w:t xml:space="preserve"> mitigation measures from proposed plant and machinery, traffic and servicing, bad neighbour uses</w:t>
      </w:r>
      <w:r w:rsidR="00BB7A6C">
        <w:rPr>
          <w:rFonts w:cs="Arial"/>
          <w:color w:val="000000"/>
          <w:sz w:val="21"/>
          <w:szCs w:val="21"/>
          <w:lang w:val="en-GB"/>
        </w:rPr>
        <w:t xml:space="preserve"> (</w:t>
      </w:r>
      <w:r w:rsidR="0050549E">
        <w:rPr>
          <w:rFonts w:cs="Arial"/>
          <w:color w:val="000000"/>
          <w:sz w:val="21"/>
          <w:szCs w:val="21"/>
          <w:lang w:val="en-GB"/>
        </w:rPr>
        <w:t>such as car washes</w:t>
      </w:r>
      <w:r w:rsidR="00BB7A6C">
        <w:rPr>
          <w:rFonts w:cs="Arial"/>
          <w:color w:val="000000"/>
          <w:sz w:val="21"/>
          <w:szCs w:val="21"/>
          <w:lang w:val="en-GB"/>
        </w:rPr>
        <w:t>)</w:t>
      </w:r>
      <w:r w:rsidR="0050549E">
        <w:rPr>
          <w:rFonts w:cs="Arial"/>
          <w:color w:val="000000"/>
          <w:sz w:val="21"/>
          <w:szCs w:val="21"/>
          <w:lang w:val="en-GB"/>
        </w:rPr>
        <w:t>,</w:t>
      </w:r>
      <w:r w:rsidRPr="00BF5FBF">
        <w:rPr>
          <w:rFonts w:cs="Arial"/>
          <w:color w:val="000000"/>
          <w:sz w:val="21"/>
          <w:szCs w:val="21"/>
          <w:lang w:val="en-GB"/>
        </w:rPr>
        <w:t xml:space="preserve"> impact of noise sources e.g. railways</w:t>
      </w:r>
      <w:r w:rsidR="00E41F95">
        <w:rPr>
          <w:rFonts w:cs="Arial"/>
          <w:color w:val="000000"/>
          <w:sz w:val="21"/>
          <w:szCs w:val="21"/>
          <w:lang w:val="en-GB"/>
        </w:rPr>
        <w:t xml:space="preserve">, </w:t>
      </w:r>
      <w:r w:rsidR="0050549E">
        <w:rPr>
          <w:rFonts w:cs="Arial"/>
          <w:color w:val="000000"/>
          <w:sz w:val="21"/>
          <w:szCs w:val="21"/>
          <w:lang w:val="en-GB"/>
        </w:rPr>
        <w:t>air-conditioning units</w:t>
      </w:r>
      <w:r w:rsidRPr="00BF5FBF">
        <w:rPr>
          <w:rFonts w:cs="Arial"/>
          <w:color w:val="000000"/>
          <w:sz w:val="21"/>
          <w:szCs w:val="21"/>
          <w:lang w:val="en-GB"/>
        </w:rPr>
        <w:t xml:space="preserve">, on occupiers of new development, testing soundproofing. </w:t>
      </w:r>
    </w:p>
    <w:p w:rsidR="00BF5FBF" w:rsidRPr="00BF5FBF" w:rsidRDefault="00BF5FBF" w:rsidP="007A3FAD">
      <w:pPr>
        <w:pStyle w:val="ListParagraph"/>
        <w:numPr>
          <w:ilvl w:val="1"/>
          <w:numId w:val="30"/>
        </w:numPr>
        <w:ind w:left="1134" w:hanging="567"/>
        <w:rPr>
          <w:rFonts w:cs="Arial"/>
          <w:color w:val="000000"/>
          <w:sz w:val="21"/>
          <w:szCs w:val="21"/>
          <w:lang w:val="en-GB"/>
        </w:rPr>
      </w:pPr>
      <w:r w:rsidRPr="00173B3C">
        <w:rPr>
          <w:rFonts w:cs="Arial"/>
          <w:b/>
          <w:color w:val="000000"/>
          <w:sz w:val="21"/>
          <w:szCs w:val="21"/>
          <w:lang w:val="en-GB"/>
        </w:rPr>
        <w:t>Fume extraction</w:t>
      </w:r>
      <w:r w:rsidRPr="00BF5FBF">
        <w:rPr>
          <w:rFonts w:cs="Arial"/>
          <w:color w:val="000000"/>
          <w:sz w:val="21"/>
          <w:szCs w:val="21"/>
          <w:lang w:val="en-GB"/>
        </w:rPr>
        <w:t>; primarily associated with A3</w:t>
      </w:r>
      <w:r w:rsidR="0050549E">
        <w:rPr>
          <w:rFonts w:cs="Arial"/>
          <w:color w:val="000000"/>
          <w:sz w:val="21"/>
          <w:szCs w:val="21"/>
          <w:lang w:val="en-GB"/>
        </w:rPr>
        <w:t>/A5 (restaurant/café/takeaway)</w:t>
      </w:r>
      <w:r w:rsidRPr="00BF5FBF">
        <w:rPr>
          <w:rFonts w:cs="Arial"/>
          <w:color w:val="000000"/>
          <w:sz w:val="21"/>
          <w:szCs w:val="21"/>
          <w:lang w:val="en-GB"/>
        </w:rPr>
        <w:t xml:space="preserve"> uses, but also occasionally in relation to environmental control systems and light industrial uses.</w:t>
      </w:r>
    </w:p>
    <w:p w:rsidR="00BF5FBF" w:rsidRPr="00BF5FBF" w:rsidRDefault="00BF5FBF" w:rsidP="007A3FAD">
      <w:pPr>
        <w:pStyle w:val="ListParagraph"/>
        <w:numPr>
          <w:ilvl w:val="1"/>
          <w:numId w:val="30"/>
        </w:numPr>
        <w:ind w:left="1134" w:hanging="567"/>
        <w:rPr>
          <w:rFonts w:cs="Arial"/>
          <w:color w:val="000000"/>
          <w:sz w:val="21"/>
          <w:szCs w:val="21"/>
          <w:lang w:val="en-GB"/>
        </w:rPr>
      </w:pPr>
      <w:r w:rsidRPr="00173B3C">
        <w:rPr>
          <w:rFonts w:cs="Arial"/>
          <w:b/>
          <w:color w:val="000000"/>
          <w:sz w:val="21"/>
          <w:szCs w:val="21"/>
          <w:lang w:val="en-GB"/>
        </w:rPr>
        <w:t>Light pollution</w:t>
      </w:r>
      <w:r w:rsidRPr="00BF5FBF">
        <w:rPr>
          <w:rFonts w:cs="Arial"/>
          <w:color w:val="000000"/>
          <w:sz w:val="21"/>
          <w:szCs w:val="21"/>
          <w:lang w:val="en-GB"/>
        </w:rPr>
        <w:t xml:space="preserve">: Assessment of light pollution associated with illuminated advertisement displays where luminance might endanger persons using the highway, railway, waterway, dock harbour or aerodrome. </w:t>
      </w:r>
      <w:r w:rsidR="00D4749D">
        <w:rPr>
          <w:rFonts w:cs="Arial"/>
          <w:color w:val="000000"/>
          <w:sz w:val="21"/>
          <w:szCs w:val="21"/>
          <w:lang w:val="en-GB"/>
        </w:rPr>
        <w:t xml:space="preserve"> </w:t>
      </w:r>
      <w:r w:rsidRPr="00BF5FBF">
        <w:rPr>
          <w:rFonts w:cs="Arial"/>
          <w:color w:val="000000"/>
          <w:sz w:val="21"/>
          <w:szCs w:val="21"/>
          <w:lang w:val="en-GB"/>
        </w:rPr>
        <w:t>Light pollution is also a planning consideration in sensitive environments</w:t>
      </w:r>
      <w:r w:rsidR="00D4749D">
        <w:rPr>
          <w:rFonts w:cs="Arial"/>
          <w:color w:val="000000"/>
          <w:sz w:val="21"/>
          <w:szCs w:val="21"/>
          <w:lang w:val="en-GB"/>
        </w:rPr>
        <w:t>.  For example, when</w:t>
      </w:r>
      <w:r w:rsidRPr="00BF5FBF">
        <w:rPr>
          <w:rFonts w:cs="Arial"/>
          <w:color w:val="000000"/>
          <w:sz w:val="21"/>
          <w:szCs w:val="21"/>
          <w:lang w:val="en-GB"/>
        </w:rPr>
        <w:t xml:space="preserve"> floodlit grounds or office and public buildings are located in close proximity to residential properties</w:t>
      </w:r>
      <w:r w:rsidR="00D4749D">
        <w:rPr>
          <w:rFonts w:cs="Arial"/>
          <w:color w:val="000000"/>
          <w:sz w:val="21"/>
          <w:szCs w:val="21"/>
          <w:lang w:val="en-GB"/>
        </w:rPr>
        <w:t>.  Additionally, when</w:t>
      </w:r>
      <w:r w:rsidRPr="00BF5FBF">
        <w:rPr>
          <w:rFonts w:cs="Arial"/>
          <w:color w:val="000000"/>
          <w:sz w:val="21"/>
          <w:szCs w:val="21"/>
          <w:lang w:val="en-GB"/>
        </w:rPr>
        <w:t xml:space="preserve"> development proposal are likely </w:t>
      </w:r>
      <w:r w:rsidR="00D4749D" w:rsidRPr="00BF5FBF">
        <w:rPr>
          <w:rFonts w:cs="Arial"/>
          <w:color w:val="000000"/>
          <w:sz w:val="21"/>
          <w:szCs w:val="21"/>
          <w:lang w:val="en-GB"/>
        </w:rPr>
        <w:t>to affect</w:t>
      </w:r>
      <w:r w:rsidRPr="00BF5FBF">
        <w:rPr>
          <w:rFonts w:cs="Arial"/>
          <w:color w:val="000000"/>
          <w:sz w:val="21"/>
          <w:szCs w:val="21"/>
          <w:lang w:val="en-GB"/>
        </w:rPr>
        <w:t xml:space="preserve"> the character of designated areas such as Sites of Nature and Conservation Importance (SINCs), Conservation Areas, listed buildings and their setting, Areas of Outstanding Natural Beauty</w:t>
      </w:r>
      <w:r w:rsidR="00D4749D">
        <w:rPr>
          <w:rFonts w:cs="Arial"/>
          <w:color w:val="000000"/>
          <w:sz w:val="21"/>
          <w:szCs w:val="21"/>
          <w:lang w:val="en-GB"/>
        </w:rPr>
        <w:t>, light pollution may be a consideration</w:t>
      </w:r>
      <w:r w:rsidR="001A4E5C">
        <w:rPr>
          <w:rFonts w:cs="Arial"/>
          <w:color w:val="000000"/>
          <w:sz w:val="21"/>
          <w:szCs w:val="21"/>
          <w:lang w:val="en-GB"/>
        </w:rPr>
        <w:t xml:space="preserve">. Other factors include any impacts upon nocturnal habitats and wildlife, for example, bats, particularly in proposed residential developments. </w:t>
      </w:r>
    </w:p>
    <w:p w:rsidR="00D4749D" w:rsidRDefault="00BF5FBF" w:rsidP="007A3FAD">
      <w:pPr>
        <w:pStyle w:val="ListParagraph"/>
        <w:numPr>
          <w:ilvl w:val="1"/>
          <w:numId w:val="30"/>
        </w:numPr>
        <w:ind w:left="1134" w:hanging="567"/>
        <w:rPr>
          <w:rFonts w:cs="Arial"/>
          <w:color w:val="000000"/>
          <w:sz w:val="21"/>
          <w:szCs w:val="21"/>
          <w:lang w:val="en-GB"/>
        </w:rPr>
      </w:pPr>
      <w:r w:rsidRPr="00173B3C">
        <w:rPr>
          <w:rFonts w:cs="Arial"/>
          <w:b/>
          <w:color w:val="000000"/>
          <w:sz w:val="21"/>
          <w:szCs w:val="21"/>
          <w:lang w:val="en-GB"/>
        </w:rPr>
        <w:t>Impacts of construction</w:t>
      </w:r>
      <w:r w:rsidRPr="00BF5FBF">
        <w:rPr>
          <w:rFonts w:cs="Arial"/>
          <w:color w:val="000000"/>
          <w:sz w:val="21"/>
          <w:szCs w:val="21"/>
          <w:lang w:val="en-GB"/>
        </w:rPr>
        <w:t>: Assessment of submitted Method of Construction Statements, which set out the proposed construction methodology.</w:t>
      </w:r>
      <w:r w:rsidR="00D4749D">
        <w:rPr>
          <w:rFonts w:cs="Arial"/>
          <w:color w:val="000000"/>
          <w:sz w:val="21"/>
          <w:szCs w:val="21"/>
          <w:lang w:val="en-GB"/>
        </w:rPr>
        <w:t xml:space="preserve"> </w:t>
      </w:r>
      <w:r w:rsidRPr="00BF5FBF">
        <w:rPr>
          <w:rFonts w:cs="Arial"/>
          <w:color w:val="000000"/>
          <w:sz w:val="21"/>
          <w:szCs w:val="21"/>
          <w:lang w:val="en-GB"/>
        </w:rPr>
        <w:t xml:space="preserve"> The</w:t>
      </w:r>
      <w:r w:rsidR="00D4749D">
        <w:rPr>
          <w:rFonts w:cs="Arial"/>
          <w:color w:val="000000"/>
          <w:sz w:val="21"/>
          <w:szCs w:val="21"/>
          <w:lang w:val="en-GB"/>
        </w:rPr>
        <w:t>y contain details including:</w:t>
      </w:r>
    </w:p>
    <w:p w:rsidR="00D4749D" w:rsidRDefault="00D4749D" w:rsidP="007A3FAD">
      <w:pPr>
        <w:pStyle w:val="ListParagraph"/>
        <w:ind w:left="1134"/>
        <w:rPr>
          <w:rFonts w:cs="Arial"/>
          <w:color w:val="000000"/>
          <w:sz w:val="21"/>
          <w:szCs w:val="21"/>
          <w:lang w:val="en-GB"/>
        </w:rPr>
      </w:pPr>
    </w:p>
    <w:p w:rsidR="00D4749D" w:rsidRDefault="00D4749D" w:rsidP="007A3FAD">
      <w:pPr>
        <w:pStyle w:val="ListParagraph"/>
        <w:numPr>
          <w:ilvl w:val="2"/>
          <w:numId w:val="30"/>
        </w:numPr>
        <w:rPr>
          <w:rFonts w:cs="Arial"/>
          <w:color w:val="000000"/>
          <w:sz w:val="21"/>
          <w:szCs w:val="21"/>
          <w:lang w:val="en-GB"/>
        </w:rPr>
      </w:pPr>
      <w:r>
        <w:rPr>
          <w:rFonts w:cs="Arial"/>
          <w:color w:val="000000"/>
          <w:sz w:val="21"/>
          <w:szCs w:val="21"/>
          <w:lang w:val="en-GB"/>
        </w:rPr>
        <w:t>t</w:t>
      </w:r>
      <w:r w:rsidR="00BF5FBF" w:rsidRPr="00BF5FBF">
        <w:rPr>
          <w:rFonts w:cs="Arial"/>
          <w:color w:val="000000"/>
          <w:sz w:val="21"/>
          <w:szCs w:val="21"/>
          <w:lang w:val="en-GB"/>
        </w:rPr>
        <w:t xml:space="preserve">he notification of neighbours </w:t>
      </w:r>
      <w:r>
        <w:rPr>
          <w:rFonts w:cs="Arial"/>
          <w:color w:val="000000"/>
          <w:sz w:val="21"/>
          <w:szCs w:val="21"/>
          <w:lang w:val="en-GB"/>
        </w:rPr>
        <w:t xml:space="preserve">with regard to specific works; </w:t>
      </w:r>
    </w:p>
    <w:p w:rsidR="00D4749D" w:rsidRDefault="00D4749D" w:rsidP="007A3FAD">
      <w:pPr>
        <w:pStyle w:val="ListParagraph"/>
        <w:numPr>
          <w:ilvl w:val="2"/>
          <w:numId w:val="30"/>
        </w:numPr>
        <w:rPr>
          <w:rFonts w:cs="Arial"/>
          <w:color w:val="000000"/>
          <w:sz w:val="21"/>
          <w:szCs w:val="21"/>
          <w:lang w:val="en-GB"/>
        </w:rPr>
      </w:pPr>
      <w:r>
        <w:rPr>
          <w:rFonts w:cs="Arial"/>
          <w:color w:val="000000"/>
          <w:sz w:val="21"/>
          <w:szCs w:val="21"/>
          <w:lang w:val="en-GB"/>
        </w:rPr>
        <w:t>a</w:t>
      </w:r>
      <w:r w:rsidR="00BF5FBF" w:rsidRPr="00BF5FBF">
        <w:rPr>
          <w:rFonts w:cs="Arial"/>
          <w:color w:val="000000"/>
          <w:sz w:val="21"/>
          <w:szCs w:val="21"/>
          <w:lang w:val="en-GB"/>
        </w:rPr>
        <w:t xml:space="preserve">dvance </w:t>
      </w:r>
      <w:r>
        <w:rPr>
          <w:rFonts w:cs="Arial"/>
          <w:color w:val="000000"/>
          <w:sz w:val="21"/>
          <w:szCs w:val="21"/>
          <w:lang w:val="en-GB"/>
        </w:rPr>
        <w:t xml:space="preserve">notification of road closures; </w:t>
      </w:r>
    </w:p>
    <w:p w:rsidR="00D4749D" w:rsidRDefault="00D4749D" w:rsidP="007A3FAD">
      <w:pPr>
        <w:pStyle w:val="ListParagraph"/>
        <w:numPr>
          <w:ilvl w:val="2"/>
          <w:numId w:val="30"/>
        </w:numPr>
        <w:rPr>
          <w:rFonts w:cs="Arial"/>
          <w:color w:val="000000"/>
          <w:sz w:val="21"/>
          <w:szCs w:val="21"/>
          <w:lang w:val="en-GB"/>
        </w:rPr>
      </w:pPr>
      <w:r>
        <w:rPr>
          <w:rFonts w:cs="Arial"/>
          <w:color w:val="000000"/>
          <w:sz w:val="21"/>
          <w:szCs w:val="21"/>
          <w:lang w:val="en-GB"/>
        </w:rPr>
        <w:t>d</w:t>
      </w:r>
      <w:r w:rsidR="00BF5FBF" w:rsidRPr="00BF5FBF">
        <w:rPr>
          <w:rFonts w:cs="Arial"/>
          <w:color w:val="000000"/>
          <w:sz w:val="21"/>
          <w:szCs w:val="21"/>
          <w:lang w:val="en-GB"/>
        </w:rPr>
        <w:t>etails regarding parkin</w:t>
      </w:r>
      <w:r>
        <w:rPr>
          <w:rFonts w:cs="Arial"/>
          <w:color w:val="000000"/>
          <w:sz w:val="21"/>
          <w:szCs w:val="21"/>
          <w:lang w:val="en-GB"/>
        </w:rPr>
        <w:t xml:space="preserve">g, deliveries, and storage; </w:t>
      </w:r>
    </w:p>
    <w:p w:rsidR="00D4749D" w:rsidRDefault="00D4749D" w:rsidP="007A3FAD">
      <w:pPr>
        <w:pStyle w:val="ListParagraph"/>
        <w:numPr>
          <w:ilvl w:val="2"/>
          <w:numId w:val="30"/>
        </w:numPr>
        <w:rPr>
          <w:rFonts w:cs="Arial"/>
          <w:color w:val="000000"/>
          <w:sz w:val="21"/>
          <w:szCs w:val="21"/>
          <w:lang w:val="en-GB"/>
        </w:rPr>
      </w:pPr>
      <w:r>
        <w:rPr>
          <w:rFonts w:cs="Arial"/>
          <w:color w:val="000000"/>
          <w:sz w:val="21"/>
          <w:szCs w:val="21"/>
          <w:lang w:val="en-GB"/>
        </w:rPr>
        <w:t>d</w:t>
      </w:r>
      <w:r w:rsidR="00BF5FBF" w:rsidRPr="00BF5FBF">
        <w:rPr>
          <w:rFonts w:cs="Arial"/>
          <w:color w:val="000000"/>
          <w:sz w:val="21"/>
          <w:szCs w:val="21"/>
          <w:lang w:val="en-GB"/>
        </w:rPr>
        <w:t>eta</w:t>
      </w:r>
      <w:r>
        <w:rPr>
          <w:rFonts w:cs="Arial"/>
          <w:color w:val="000000"/>
          <w:sz w:val="21"/>
          <w:szCs w:val="21"/>
          <w:lang w:val="en-GB"/>
        </w:rPr>
        <w:t xml:space="preserve">ils regarding dust mitigation; </w:t>
      </w:r>
    </w:p>
    <w:p w:rsidR="00D4749D" w:rsidRDefault="00D4749D" w:rsidP="007A3FAD">
      <w:pPr>
        <w:pStyle w:val="ListParagraph"/>
        <w:numPr>
          <w:ilvl w:val="2"/>
          <w:numId w:val="30"/>
        </w:numPr>
        <w:rPr>
          <w:rFonts w:cs="Arial"/>
          <w:color w:val="000000"/>
          <w:sz w:val="21"/>
          <w:szCs w:val="21"/>
          <w:lang w:val="en-GB"/>
        </w:rPr>
      </w:pPr>
      <w:r>
        <w:rPr>
          <w:rFonts w:cs="Arial"/>
          <w:color w:val="000000"/>
          <w:sz w:val="21"/>
          <w:szCs w:val="21"/>
          <w:lang w:val="en-GB"/>
        </w:rPr>
        <w:t>d</w:t>
      </w:r>
      <w:r w:rsidR="00BF5FBF" w:rsidRPr="00BF5FBF">
        <w:rPr>
          <w:rFonts w:cs="Arial"/>
          <w:color w:val="000000"/>
          <w:sz w:val="21"/>
          <w:szCs w:val="21"/>
          <w:lang w:val="en-GB"/>
        </w:rPr>
        <w:t>etails of measures to prevent the deposit of mud and deb</w:t>
      </w:r>
      <w:r>
        <w:rPr>
          <w:rFonts w:cs="Arial"/>
          <w:color w:val="000000"/>
          <w:sz w:val="21"/>
          <w:szCs w:val="21"/>
          <w:lang w:val="en-GB"/>
        </w:rPr>
        <w:t xml:space="preserve">ris on the public highway; and </w:t>
      </w:r>
    </w:p>
    <w:p w:rsidR="00BF5FBF" w:rsidRDefault="00D4749D" w:rsidP="007A3FAD">
      <w:pPr>
        <w:pStyle w:val="ListParagraph"/>
        <w:numPr>
          <w:ilvl w:val="2"/>
          <w:numId w:val="30"/>
        </w:numPr>
        <w:rPr>
          <w:rFonts w:cs="Arial"/>
          <w:color w:val="000000"/>
          <w:sz w:val="21"/>
          <w:szCs w:val="21"/>
          <w:lang w:val="en-GB"/>
        </w:rPr>
      </w:pPr>
      <w:proofErr w:type="gramStart"/>
      <w:r>
        <w:rPr>
          <w:rFonts w:cs="Arial"/>
          <w:color w:val="000000"/>
          <w:sz w:val="21"/>
          <w:szCs w:val="21"/>
          <w:lang w:val="en-GB"/>
        </w:rPr>
        <w:t>a</w:t>
      </w:r>
      <w:r w:rsidR="00BF5FBF" w:rsidRPr="00BF5FBF">
        <w:rPr>
          <w:rFonts w:cs="Arial"/>
          <w:color w:val="000000"/>
          <w:sz w:val="21"/>
          <w:szCs w:val="21"/>
          <w:lang w:val="en-GB"/>
        </w:rPr>
        <w:t>ny</w:t>
      </w:r>
      <w:proofErr w:type="gramEnd"/>
      <w:r w:rsidR="00BF5FBF" w:rsidRPr="00BF5FBF">
        <w:rPr>
          <w:rFonts w:cs="Arial"/>
          <w:color w:val="000000"/>
          <w:sz w:val="21"/>
          <w:szCs w:val="21"/>
          <w:lang w:val="en-GB"/>
        </w:rPr>
        <w:t xml:space="preserve"> other measures to mitigate the impact of construction upon the amenity of the area and the function and safety of the highway network.</w:t>
      </w:r>
    </w:p>
    <w:p w:rsidR="00D4749D" w:rsidRPr="00BF5FBF" w:rsidRDefault="00D4749D" w:rsidP="007A3FAD">
      <w:pPr>
        <w:pStyle w:val="ListParagraph"/>
        <w:ind w:left="2160"/>
        <w:rPr>
          <w:rFonts w:cs="Arial"/>
          <w:color w:val="000000"/>
          <w:sz w:val="21"/>
          <w:szCs w:val="21"/>
          <w:lang w:val="en-GB"/>
        </w:rPr>
      </w:pPr>
    </w:p>
    <w:p w:rsidR="003E01A8" w:rsidRDefault="00BF5FBF" w:rsidP="007A3FAD">
      <w:pPr>
        <w:pStyle w:val="ListParagraph"/>
        <w:numPr>
          <w:ilvl w:val="1"/>
          <w:numId w:val="30"/>
        </w:numPr>
        <w:ind w:left="1134" w:hanging="567"/>
        <w:rPr>
          <w:rFonts w:cs="Arial"/>
          <w:color w:val="000000"/>
          <w:sz w:val="21"/>
          <w:szCs w:val="21"/>
          <w:lang w:val="en-GB"/>
        </w:rPr>
      </w:pPr>
      <w:r w:rsidRPr="00173B3C">
        <w:rPr>
          <w:rFonts w:cs="Arial"/>
          <w:b/>
          <w:color w:val="000000"/>
          <w:sz w:val="21"/>
          <w:szCs w:val="21"/>
          <w:lang w:val="en-GB"/>
        </w:rPr>
        <w:t>Contaminated land</w:t>
      </w:r>
      <w:r w:rsidRPr="00BF5FBF">
        <w:rPr>
          <w:rFonts w:cs="Arial"/>
          <w:color w:val="000000"/>
          <w:sz w:val="21"/>
          <w:szCs w:val="21"/>
          <w:lang w:val="en-GB"/>
        </w:rPr>
        <w:t>: Where</w:t>
      </w:r>
      <w:r w:rsidR="00BB7A6C">
        <w:rPr>
          <w:rFonts w:cs="Arial"/>
          <w:color w:val="000000"/>
          <w:sz w:val="21"/>
          <w:szCs w:val="21"/>
          <w:lang w:val="en-GB"/>
        </w:rPr>
        <w:t xml:space="preserve"> required some</w:t>
      </w:r>
      <w:r w:rsidRPr="00BF5FBF">
        <w:rPr>
          <w:rFonts w:cs="Arial"/>
          <w:color w:val="000000"/>
          <w:sz w:val="21"/>
          <w:szCs w:val="21"/>
          <w:lang w:val="en-GB"/>
        </w:rPr>
        <w:t xml:space="preserve"> applications are accompanied by a land contamination risk assessment</w:t>
      </w:r>
      <w:r w:rsidR="00BB7A6C">
        <w:rPr>
          <w:rFonts w:cs="Arial"/>
          <w:color w:val="000000"/>
          <w:sz w:val="21"/>
          <w:szCs w:val="21"/>
          <w:lang w:val="en-GB"/>
        </w:rPr>
        <w:t>.  This should</w:t>
      </w:r>
      <w:r w:rsidRPr="00BF5FBF">
        <w:rPr>
          <w:rFonts w:cs="Arial"/>
          <w:color w:val="000000"/>
          <w:sz w:val="21"/>
          <w:szCs w:val="21"/>
          <w:lang w:val="en-GB"/>
        </w:rPr>
        <w:t xml:space="preserve"> provide sufficient site information to determine the existence or otherwi</w:t>
      </w:r>
      <w:r w:rsidR="00BB7A6C">
        <w:rPr>
          <w:rFonts w:cs="Arial"/>
          <w:color w:val="000000"/>
          <w:sz w:val="21"/>
          <w:szCs w:val="21"/>
          <w:lang w:val="en-GB"/>
        </w:rPr>
        <w:t xml:space="preserve">se of contamination, its nature, </w:t>
      </w:r>
      <w:r w:rsidRPr="00BF5FBF">
        <w:rPr>
          <w:rFonts w:cs="Arial"/>
          <w:color w:val="000000"/>
          <w:sz w:val="21"/>
          <w:szCs w:val="21"/>
          <w:lang w:val="en-GB"/>
        </w:rPr>
        <w:t xml:space="preserve">the risks it may pose and whether these can be satisfactorily reduced to an acceptable level. </w:t>
      </w:r>
      <w:r w:rsidR="00BB7A6C">
        <w:rPr>
          <w:rFonts w:cs="Arial"/>
          <w:color w:val="000000"/>
          <w:sz w:val="21"/>
          <w:szCs w:val="21"/>
          <w:lang w:val="en-GB"/>
        </w:rPr>
        <w:t xml:space="preserve"> </w:t>
      </w:r>
      <w:r w:rsidRPr="00BF5FBF">
        <w:rPr>
          <w:rFonts w:cs="Arial"/>
          <w:color w:val="000000"/>
          <w:sz w:val="21"/>
          <w:szCs w:val="21"/>
          <w:lang w:val="en-GB"/>
        </w:rPr>
        <w:t>The assessment must relate both to human health risks for the proposed development and to risks to controlled waters.</w:t>
      </w:r>
      <w:r w:rsidR="00BB7A6C">
        <w:rPr>
          <w:rFonts w:cs="Arial"/>
          <w:color w:val="000000"/>
          <w:sz w:val="21"/>
          <w:szCs w:val="21"/>
          <w:lang w:val="en-GB"/>
        </w:rPr>
        <w:t xml:space="preserve"> </w:t>
      </w:r>
      <w:r w:rsidRPr="00BF5FBF">
        <w:rPr>
          <w:rFonts w:cs="Arial"/>
          <w:color w:val="000000"/>
          <w:sz w:val="21"/>
          <w:szCs w:val="21"/>
          <w:lang w:val="en-GB"/>
        </w:rPr>
        <w:t xml:space="preserve"> Where contamination is known or suspected or the proposed use would be particularly vulnerable, determination of whether the proposed development can proceed, such as mitigation measures and/or proposals for site remediation</w:t>
      </w:r>
      <w:r w:rsidR="00BB7A6C">
        <w:rPr>
          <w:rFonts w:cs="Arial"/>
          <w:color w:val="000000"/>
          <w:sz w:val="21"/>
          <w:szCs w:val="21"/>
          <w:lang w:val="en-GB"/>
        </w:rPr>
        <w:t xml:space="preserve"> would require assessment</w:t>
      </w:r>
      <w:r w:rsidRPr="00BF5FBF">
        <w:rPr>
          <w:rFonts w:cs="Arial"/>
          <w:color w:val="000000"/>
          <w:sz w:val="21"/>
          <w:szCs w:val="21"/>
          <w:lang w:val="en-GB"/>
        </w:rPr>
        <w:t>.</w:t>
      </w:r>
    </w:p>
    <w:p w:rsidR="00EF7455" w:rsidRPr="00BB7A6C" w:rsidRDefault="00EF7455" w:rsidP="007A3FAD">
      <w:pPr>
        <w:autoSpaceDE w:val="0"/>
        <w:autoSpaceDN w:val="0"/>
        <w:adjustRightInd w:val="0"/>
        <w:spacing w:after="0" w:line="240" w:lineRule="auto"/>
        <w:rPr>
          <w:rFonts w:cs="Arial"/>
          <w:color w:val="000000"/>
          <w:sz w:val="21"/>
          <w:szCs w:val="21"/>
          <w:lang w:val="en-GB"/>
        </w:rPr>
      </w:pPr>
    </w:p>
    <w:p w:rsidR="00724EAC" w:rsidRDefault="00EF7455" w:rsidP="00724EAC">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Pr>
          <w:rFonts w:cs="Arial"/>
          <w:color w:val="000000"/>
          <w:sz w:val="21"/>
          <w:szCs w:val="21"/>
          <w:lang w:val="en-GB"/>
        </w:rPr>
        <w:t>The advice provided under the contract should be presented in a succinct written format</w:t>
      </w:r>
      <w:r w:rsidR="00BB7A6C">
        <w:rPr>
          <w:rFonts w:cs="Arial"/>
          <w:color w:val="000000"/>
          <w:sz w:val="21"/>
          <w:szCs w:val="21"/>
          <w:lang w:val="en-GB"/>
        </w:rPr>
        <w:t>.  It should include</w:t>
      </w:r>
      <w:r>
        <w:rPr>
          <w:rFonts w:cs="Arial"/>
          <w:color w:val="000000"/>
          <w:sz w:val="21"/>
          <w:szCs w:val="21"/>
          <w:lang w:val="en-GB"/>
        </w:rPr>
        <w:t xml:space="preserve"> a </w:t>
      </w:r>
      <w:r w:rsidR="0089180C">
        <w:rPr>
          <w:rFonts w:cs="Arial"/>
          <w:color w:val="000000"/>
          <w:sz w:val="21"/>
          <w:szCs w:val="21"/>
          <w:lang w:val="en-GB"/>
        </w:rPr>
        <w:t>clear recommendation and simple summary</w:t>
      </w:r>
      <w:r>
        <w:rPr>
          <w:rFonts w:cs="Arial"/>
          <w:color w:val="000000"/>
          <w:sz w:val="21"/>
          <w:szCs w:val="21"/>
          <w:lang w:val="en-GB"/>
        </w:rPr>
        <w:t xml:space="preserve"> that</w:t>
      </w:r>
      <w:r w:rsidR="0089180C">
        <w:rPr>
          <w:rFonts w:cs="Arial"/>
          <w:color w:val="000000"/>
          <w:sz w:val="21"/>
          <w:szCs w:val="21"/>
          <w:lang w:val="en-GB"/>
        </w:rPr>
        <w:t xml:space="preserve"> wherever possible uses plain English and</w:t>
      </w:r>
      <w:r>
        <w:rPr>
          <w:rFonts w:cs="Arial"/>
          <w:color w:val="000000"/>
          <w:sz w:val="21"/>
          <w:szCs w:val="21"/>
          <w:lang w:val="en-GB"/>
        </w:rPr>
        <w:t xml:space="preserve"> is </w:t>
      </w:r>
      <w:r>
        <w:rPr>
          <w:rFonts w:cs="Arial"/>
          <w:color w:val="000000"/>
          <w:sz w:val="21"/>
          <w:szCs w:val="21"/>
          <w:lang w:val="en-GB"/>
        </w:rPr>
        <w:lastRenderedPageBreak/>
        <w:t>suitable for use in</w:t>
      </w:r>
      <w:r w:rsidR="00BB7A6C">
        <w:rPr>
          <w:rFonts w:cs="Arial"/>
          <w:color w:val="000000"/>
          <w:sz w:val="21"/>
          <w:szCs w:val="21"/>
          <w:lang w:val="en-GB"/>
        </w:rPr>
        <w:t xml:space="preserve"> an</w:t>
      </w:r>
      <w:r>
        <w:rPr>
          <w:rFonts w:cs="Arial"/>
          <w:color w:val="000000"/>
          <w:sz w:val="21"/>
          <w:szCs w:val="21"/>
          <w:lang w:val="en-GB"/>
        </w:rPr>
        <w:t xml:space="preserve"> </w:t>
      </w:r>
      <w:r w:rsidR="00F96D1A">
        <w:rPr>
          <w:rFonts w:cs="Arial"/>
          <w:color w:val="000000"/>
          <w:sz w:val="21"/>
          <w:szCs w:val="21"/>
          <w:lang w:val="en-GB"/>
        </w:rPr>
        <w:t>O</w:t>
      </w:r>
      <w:r>
        <w:rPr>
          <w:rFonts w:cs="Arial"/>
          <w:color w:val="000000"/>
          <w:sz w:val="21"/>
          <w:szCs w:val="21"/>
          <w:lang w:val="en-GB"/>
        </w:rPr>
        <w:t xml:space="preserve">fficer’s </w:t>
      </w:r>
      <w:r w:rsidR="00F96D1A">
        <w:rPr>
          <w:rFonts w:cs="Arial"/>
          <w:color w:val="000000"/>
          <w:sz w:val="21"/>
          <w:szCs w:val="21"/>
          <w:lang w:val="en-GB"/>
        </w:rPr>
        <w:t>R</w:t>
      </w:r>
      <w:r>
        <w:rPr>
          <w:rFonts w:cs="Arial"/>
          <w:color w:val="000000"/>
          <w:sz w:val="21"/>
          <w:szCs w:val="21"/>
          <w:lang w:val="en-GB"/>
        </w:rPr>
        <w:t>eport</w:t>
      </w:r>
      <w:r w:rsidR="0089180C">
        <w:rPr>
          <w:rFonts w:cs="Arial"/>
          <w:color w:val="000000"/>
          <w:sz w:val="21"/>
          <w:szCs w:val="21"/>
          <w:lang w:val="en-GB"/>
        </w:rPr>
        <w:t>.</w:t>
      </w:r>
      <w:r w:rsidR="00BB7A6C">
        <w:rPr>
          <w:rFonts w:cs="Arial"/>
          <w:color w:val="000000"/>
          <w:sz w:val="21"/>
          <w:szCs w:val="21"/>
          <w:lang w:val="en-GB"/>
        </w:rPr>
        <w:t xml:space="preserve">   </w:t>
      </w:r>
      <w:r w:rsidR="00DD08D6">
        <w:rPr>
          <w:rFonts w:cs="Arial"/>
          <w:color w:val="000000"/>
          <w:sz w:val="21"/>
          <w:szCs w:val="21"/>
          <w:lang w:val="en-GB"/>
        </w:rPr>
        <w:t xml:space="preserve">Where the advice provided is critical </w:t>
      </w:r>
      <w:r w:rsidR="00BB7A6C">
        <w:rPr>
          <w:rFonts w:cs="Arial"/>
          <w:color w:val="000000"/>
          <w:sz w:val="21"/>
          <w:szCs w:val="21"/>
          <w:lang w:val="en-GB"/>
        </w:rPr>
        <w:t>or negative, a</w:t>
      </w:r>
      <w:r w:rsidR="00DD08D6">
        <w:rPr>
          <w:rFonts w:cs="Arial"/>
          <w:color w:val="000000"/>
          <w:sz w:val="21"/>
          <w:szCs w:val="21"/>
          <w:lang w:val="en-GB"/>
        </w:rPr>
        <w:t>dvice on potential solu</w:t>
      </w:r>
      <w:r w:rsidR="00BB7A6C">
        <w:rPr>
          <w:rFonts w:cs="Arial"/>
          <w:color w:val="000000"/>
          <w:sz w:val="21"/>
          <w:szCs w:val="21"/>
          <w:lang w:val="en-GB"/>
        </w:rPr>
        <w:t xml:space="preserve">tions to the issues highlighted should also </w:t>
      </w:r>
      <w:r w:rsidR="00FF4B89">
        <w:rPr>
          <w:rFonts w:cs="Arial"/>
          <w:color w:val="000000"/>
          <w:sz w:val="21"/>
          <w:szCs w:val="21"/>
          <w:lang w:val="en-GB"/>
        </w:rPr>
        <w:t xml:space="preserve">be </w:t>
      </w:r>
      <w:r w:rsidR="00BB7A6C">
        <w:rPr>
          <w:rFonts w:cs="Arial"/>
          <w:color w:val="000000"/>
          <w:sz w:val="21"/>
          <w:szCs w:val="21"/>
          <w:lang w:val="en-GB"/>
        </w:rPr>
        <w:t>provided.</w:t>
      </w:r>
    </w:p>
    <w:p w:rsidR="00724EAC" w:rsidRDefault="00724EAC" w:rsidP="00724EAC">
      <w:pPr>
        <w:pStyle w:val="ListParagraph"/>
        <w:autoSpaceDE w:val="0"/>
        <w:autoSpaceDN w:val="0"/>
        <w:adjustRightInd w:val="0"/>
        <w:spacing w:after="0" w:line="240" w:lineRule="auto"/>
        <w:ind w:left="567"/>
        <w:rPr>
          <w:rFonts w:cs="Arial"/>
          <w:color w:val="000000"/>
          <w:sz w:val="21"/>
          <w:szCs w:val="21"/>
          <w:lang w:val="en-GB"/>
        </w:rPr>
      </w:pPr>
    </w:p>
    <w:p w:rsidR="00084941" w:rsidRPr="00724EAC" w:rsidRDefault="00084941" w:rsidP="00724EAC">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sidRPr="00724EAC">
        <w:rPr>
          <w:rFonts w:cs="Arial"/>
          <w:color w:val="000000"/>
          <w:sz w:val="21"/>
          <w:szCs w:val="21"/>
          <w:lang w:val="en-GB"/>
        </w:rPr>
        <w:t xml:space="preserve">The council retains the right to </w:t>
      </w:r>
      <w:r w:rsidR="00E41F95" w:rsidRPr="00724EAC">
        <w:rPr>
          <w:rFonts w:cs="Arial"/>
          <w:color w:val="000000"/>
          <w:sz w:val="21"/>
          <w:szCs w:val="21"/>
          <w:lang w:val="en-GB"/>
        </w:rPr>
        <w:t xml:space="preserve">suspend </w:t>
      </w:r>
      <w:r w:rsidRPr="00724EAC">
        <w:rPr>
          <w:rFonts w:cs="Arial"/>
          <w:color w:val="000000"/>
          <w:sz w:val="21"/>
          <w:szCs w:val="21"/>
          <w:lang w:val="en-GB"/>
        </w:rPr>
        <w:t>this procurement process a</w:t>
      </w:r>
      <w:r w:rsidR="0043643C" w:rsidRPr="00724EAC">
        <w:rPr>
          <w:rFonts w:cs="Arial"/>
          <w:color w:val="000000"/>
          <w:sz w:val="21"/>
          <w:szCs w:val="21"/>
          <w:lang w:val="en-GB"/>
        </w:rPr>
        <w:t>nd</w:t>
      </w:r>
      <w:r w:rsidR="001D7196" w:rsidRPr="00724EAC">
        <w:rPr>
          <w:rFonts w:cs="Arial"/>
          <w:color w:val="000000"/>
          <w:sz w:val="21"/>
          <w:szCs w:val="21"/>
          <w:lang w:val="en-GB"/>
        </w:rPr>
        <w:t>/or</w:t>
      </w:r>
      <w:r w:rsidR="0043643C" w:rsidRPr="00724EAC">
        <w:rPr>
          <w:rFonts w:cs="Arial"/>
          <w:color w:val="000000"/>
          <w:sz w:val="21"/>
          <w:szCs w:val="21"/>
          <w:lang w:val="en-GB"/>
        </w:rPr>
        <w:t xml:space="preserve"> not continue </w:t>
      </w:r>
      <w:r w:rsidR="00374FC8" w:rsidRPr="00724EAC">
        <w:rPr>
          <w:rFonts w:cs="Arial"/>
          <w:color w:val="000000"/>
          <w:sz w:val="21"/>
          <w:szCs w:val="21"/>
          <w:lang w:val="en-GB"/>
        </w:rPr>
        <w:t xml:space="preserve">with </w:t>
      </w:r>
      <w:r w:rsidR="0043643C" w:rsidRPr="00724EAC">
        <w:rPr>
          <w:rFonts w:cs="Arial"/>
          <w:color w:val="000000"/>
          <w:sz w:val="21"/>
          <w:szCs w:val="21"/>
          <w:lang w:val="en-GB"/>
        </w:rPr>
        <w:t>the tender process at</w:t>
      </w:r>
      <w:r w:rsidR="001D7196" w:rsidRPr="00724EAC">
        <w:rPr>
          <w:rFonts w:cs="Arial"/>
          <w:color w:val="000000"/>
          <w:sz w:val="21"/>
          <w:szCs w:val="21"/>
          <w:lang w:val="en-GB"/>
        </w:rPr>
        <w:t xml:space="preserve"> any point at</w:t>
      </w:r>
      <w:r w:rsidR="0043643C" w:rsidRPr="00724EAC">
        <w:rPr>
          <w:rFonts w:cs="Arial"/>
          <w:color w:val="000000"/>
          <w:sz w:val="21"/>
          <w:szCs w:val="21"/>
          <w:lang w:val="en-GB"/>
        </w:rPr>
        <w:t xml:space="preserve"> its own discretion.</w:t>
      </w:r>
    </w:p>
    <w:p w:rsidR="0043643C" w:rsidRPr="00931D44" w:rsidRDefault="0043643C" w:rsidP="007A3FAD">
      <w:pPr>
        <w:pStyle w:val="ListParagraph"/>
        <w:autoSpaceDE w:val="0"/>
        <w:autoSpaceDN w:val="0"/>
        <w:adjustRightInd w:val="0"/>
        <w:spacing w:after="0" w:line="240" w:lineRule="auto"/>
        <w:ind w:left="567"/>
        <w:rPr>
          <w:rFonts w:cs="Arial"/>
          <w:color w:val="000000"/>
          <w:sz w:val="21"/>
          <w:szCs w:val="21"/>
          <w:lang w:val="en-GB"/>
        </w:rPr>
      </w:pPr>
    </w:p>
    <w:p w:rsidR="00A77FD0" w:rsidRPr="00A77FD0" w:rsidRDefault="00520F6B" w:rsidP="007A3FAD">
      <w:pPr>
        <w:pStyle w:val="Heading1"/>
        <w:ind w:left="567" w:hanging="567"/>
        <w:rPr>
          <w:rFonts w:asciiTheme="minorHAnsi" w:hAnsiTheme="minorHAnsi" w:cs="Arial"/>
          <w:sz w:val="21"/>
          <w:szCs w:val="21"/>
        </w:rPr>
      </w:pPr>
      <w:r w:rsidRPr="005963FA">
        <w:rPr>
          <w:rFonts w:asciiTheme="minorHAnsi" w:hAnsiTheme="minorHAnsi" w:cs="Arial"/>
          <w:sz w:val="21"/>
          <w:szCs w:val="21"/>
        </w:rPr>
        <w:t>Responding to the Brief &amp; Timescales</w:t>
      </w:r>
    </w:p>
    <w:p w:rsidR="00520F6B" w:rsidRPr="005963FA" w:rsidRDefault="00520F6B" w:rsidP="007A3FAD">
      <w:pPr>
        <w:pStyle w:val="ListParagraph"/>
        <w:numPr>
          <w:ilvl w:val="0"/>
          <w:numId w:val="30"/>
        </w:numPr>
        <w:ind w:left="567" w:hanging="567"/>
        <w:rPr>
          <w:rFonts w:cs="Arial"/>
          <w:sz w:val="21"/>
          <w:szCs w:val="21"/>
        </w:rPr>
      </w:pPr>
      <w:r w:rsidRPr="005963FA">
        <w:rPr>
          <w:rFonts w:cs="Arial"/>
          <w:sz w:val="21"/>
          <w:szCs w:val="21"/>
        </w:rPr>
        <w:t xml:space="preserve">The proposed period of the contract would be </w:t>
      </w:r>
      <w:r w:rsidR="00084941">
        <w:rPr>
          <w:rFonts w:cs="Arial"/>
          <w:sz w:val="21"/>
          <w:szCs w:val="21"/>
        </w:rPr>
        <w:t>from the start date</w:t>
      </w:r>
      <w:r w:rsidRPr="005963FA">
        <w:rPr>
          <w:rFonts w:cs="Arial"/>
          <w:sz w:val="21"/>
          <w:szCs w:val="21"/>
        </w:rPr>
        <w:t xml:space="preserve"> </w:t>
      </w:r>
      <w:r w:rsidR="00E36DB8">
        <w:rPr>
          <w:rFonts w:cs="Arial"/>
          <w:sz w:val="21"/>
          <w:szCs w:val="21"/>
        </w:rPr>
        <w:t>agreed once the tender has been awarded.</w:t>
      </w:r>
      <w:r w:rsidR="008C7BF0">
        <w:rPr>
          <w:rFonts w:cs="Arial"/>
          <w:sz w:val="21"/>
          <w:szCs w:val="21"/>
        </w:rPr>
        <w:t xml:space="preserve"> It is hoped that the start date </w:t>
      </w:r>
      <w:r w:rsidR="001D7196">
        <w:rPr>
          <w:rFonts w:cs="Arial"/>
          <w:sz w:val="21"/>
          <w:szCs w:val="21"/>
        </w:rPr>
        <w:t xml:space="preserve">would be by September 2018 – if this procurement </w:t>
      </w:r>
      <w:r w:rsidR="00724EAC">
        <w:rPr>
          <w:rFonts w:cs="Arial"/>
          <w:sz w:val="21"/>
          <w:szCs w:val="21"/>
        </w:rPr>
        <w:t>proceeds in</w:t>
      </w:r>
      <w:r w:rsidR="001D7196">
        <w:rPr>
          <w:rFonts w:cs="Arial"/>
          <w:sz w:val="21"/>
          <w:szCs w:val="21"/>
        </w:rPr>
        <w:t xml:space="preserve"> full</w:t>
      </w:r>
      <w:r w:rsidR="00750589">
        <w:rPr>
          <w:rFonts w:cs="Arial"/>
          <w:sz w:val="21"/>
          <w:szCs w:val="21"/>
        </w:rPr>
        <w:t xml:space="preserve"> and</w:t>
      </w:r>
      <w:r w:rsidR="00F96D1A">
        <w:rPr>
          <w:rFonts w:cs="Arial"/>
          <w:sz w:val="21"/>
          <w:szCs w:val="21"/>
        </w:rPr>
        <w:t xml:space="preserve"> is intended to</w:t>
      </w:r>
      <w:r w:rsidR="00750589">
        <w:rPr>
          <w:rFonts w:cs="Arial"/>
          <w:sz w:val="21"/>
          <w:szCs w:val="21"/>
        </w:rPr>
        <w:t xml:space="preserve"> run for a two year duration.  </w:t>
      </w:r>
      <w:r w:rsidR="001D7196">
        <w:rPr>
          <w:rFonts w:cs="Arial"/>
          <w:sz w:val="21"/>
          <w:szCs w:val="21"/>
        </w:rPr>
        <w:t xml:space="preserve">   </w:t>
      </w:r>
    </w:p>
    <w:p w:rsidR="00520F6B" w:rsidRPr="005963FA" w:rsidRDefault="00520F6B" w:rsidP="007A3FAD">
      <w:pPr>
        <w:pStyle w:val="ListParagraph"/>
        <w:rPr>
          <w:rFonts w:cs="Arial"/>
          <w:sz w:val="21"/>
          <w:szCs w:val="21"/>
        </w:rPr>
      </w:pPr>
    </w:p>
    <w:p w:rsidR="00520F6B" w:rsidRPr="005963FA" w:rsidRDefault="00520F6B" w:rsidP="007A3FAD">
      <w:pPr>
        <w:pStyle w:val="ListParagraph"/>
        <w:numPr>
          <w:ilvl w:val="0"/>
          <w:numId w:val="30"/>
        </w:numPr>
        <w:ind w:left="567" w:hanging="567"/>
        <w:rPr>
          <w:rFonts w:cs="Arial"/>
          <w:sz w:val="21"/>
          <w:szCs w:val="21"/>
        </w:rPr>
      </w:pPr>
      <w:r w:rsidRPr="005963FA">
        <w:rPr>
          <w:rFonts w:cs="Arial"/>
          <w:sz w:val="21"/>
          <w:szCs w:val="21"/>
        </w:rPr>
        <w:t>A timetable for the selection process is detailed below</w:t>
      </w:r>
      <w:r w:rsidR="001D7196">
        <w:rPr>
          <w:rFonts w:cs="Arial"/>
          <w:sz w:val="21"/>
          <w:szCs w:val="21"/>
        </w:rPr>
        <w:t xml:space="preserve"> (please note these dates may be varied at the council’s own discretion)</w:t>
      </w:r>
    </w:p>
    <w:p w:rsidR="00520F6B" w:rsidRPr="005963FA" w:rsidRDefault="00520F6B" w:rsidP="007A3FAD">
      <w:pPr>
        <w:pStyle w:val="ListParagraph"/>
        <w:rPr>
          <w:rFonts w:cs="Arial"/>
          <w:sz w:val="21"/>
          <w:szCs w:val="21"/>
        </w:rPr>
      </w:pPr>
    </w:p>
    <w:tbl>
      <w:tblPr>
        <w:tblStyle w:val="TableGrid"/>
        <w:tblW w:w="0" w:type="auto"/>
        <w:tblLook w:val="04A0" w:firstRow="1" w:lastRow="0" w:firstColumn="1" w:lastColumn="0" w:noHBand="0" w:noVBand="1"/>
      </w:tblPr>
      <w:tblGrid>
        <w:gridCol w:w="3116"/>
        <w:gridCol w:w="3117"/>
        <w:gridCol w:w="3117"/>
      </w:tblGrid>
      <w:tr w:rsidR="00520F6B" w:rsidRPr="005963FA" w:rsidTr="00520F6B">
        <w:tc>
          <w:tcPr>
            <w:tcW w:w="3116" w:type="dxa"/>
          </w:tcPr>
          <w:p w:rsidR="00520F6B" w:rsidRPr="005963FA" w:rsidRDefault="00520F6B" w:rsidP="007A3FAD">
            <w:pPr>
              <w:rPr>
                <w:rFonts w:cs="Arial"/>
                <w:b/>
                <w:sz w:val="21"/>
                <w:szCs w:val="21"/>
              </w:rPr>
            </w:pPr>
            <w:r w:rsidRPr="005963FA">
              <w:rPr>
                <w:rFonts w:cs="Arial"/>
                <w:b/>
                <w:sz w:val="21"/>
                <w:szCs w:val="21"/>
              </w:rPr>
              <w:t>Stage</w:t>
            </w:r>
          </w:p>
        </w:tc>
        <w:tc>
          <w:tcPr>
            <w:tcW w:w="3117" w:type="dxa"/>
          </w:tcPr>
          <w:p w:rsidR="00520F6B" w:rsidRPr="005963FA" w:rsidRDefault="00520F6B" w:rsidP="007A3FAD">
            <w:pPr>
              <w:rPr>
                <w:rFonts w:cs="Arial"/>
                <w:b/>
                <w:sz w:val="21"/>
                <w:szCs w:val="21"/>
              </w:rPr>
            </w:pPr>
            <w:r w:rsidRPr="005963FA">
              <w:rPr>
                <w:rFonts w:cs="Arial"/>
                <w:b/>
                <w:sz w:val="21"/>
                <w:szCs w:val="21"/>
              </w:rPr>
              <w:t>Component</w:t>
            </w:r>
          </w:p>
        </w:tc>
        <w:tc>
          <w:tcPr>
            <w:tcW w:w="3117" w:type="dxa"/>
          </w:tcPr>
          <w:p w:rsidR="00520F6B" w:rsidRPr="005963FA" w:rsidRDefault="00520F6B" w:rsidP="007A3FAD">
            <w:pPr>
              <w:rPr>
                <w:rFonts w:cs="Arial"/>
                <w:b/>
                <w:sz w:val="21"/>
                <w:szCs w:val="21"/>
              </w:rPr>
            </w:pPr>
            <w:r w:rsidRPr="005963FA">
              <w:rPr>
                <w:rFonts w:cs="Arial"/>
                <w:b/>
                <w:sz w:val="21"/>
                <w:szCs w:val="21"/>
              </w:rPr>
              <w:t>Indicative timescale</w:t>
            </w:r>
          </w:p>
        </w:tc>
      </w:tr>
      <w:tr w:rsidR="0096199F" w:rsidRPr="005963FA" w:rsidTr="00520F6B">
        <w:tc>
          <w:tcPr>
            <w:tcW w:w="3116" w:type="dxa"/>
            <w:vMerge w:val="restart"/>
          </w:tcPr>
          <w:p w:rsidR="0096199F" w:rsidRPr="005963FA" w:rsidRDefault="0096199F" w:rsidP="007A3FAD">
            <w:pPr>
              <w:rPr>
                <w:rFonts w:cs="Arial"/>
                <w:sz w:val="21"/>
                <w:szCs w:val="21"/>
              </w:rPr>
            </w:pPr>
            <w:r w:rsidRPr="005963FA">
              <w:rPr>
                <w:rFonts w:cs="Arial"/>
                <w:sz w:val="21"/>
                <w:szCs w:val="21"/>
              </w:rPr>
              <w:t>Request for quotation</w:t>
            </w:r>
          </w:p>
        </w:tc>
        <w:tc>
          <w:tcPr>
            <w:tcW w:w="3117" w:type="dxa"/>
          </w:tcPr>
          <w:p w:rsidR="0096199F" w:rsidRPr="005963FA" w:rsidRDefault="00F96D1A" w:rsidP="007A3FAD">
            <w:pPr>
              <w:rPr>
                <w:rFonts w:cs="Arial"/>
                <w:sz w:val="21"/>
                <w:szCs w:val="21"/>
              </w:rPr>
            </w:pPr>
            <w:r>
              <w:rPr>
                <w:rFonts w:cs="Arial"/>
                <w:sz w:val="21"/>
                <w:szCs w:val="21"/>
              </w:rPr>
              <w:t>Publication of Request for Quotation</w:t>
            </w:r>
          </w:p>
        </w:tc>
        <w:tc>
          <w:tcPr>
            <w:tcW w:w="3117" w:type="dxa"/>
          </w:tcPr>
          <w:p w:rsidR="0096199F" w:rsidRPr="005963FA" w:rsidRDefault="00F96D1A" w:rsidP="007A3FAD">
            <w:pPr>
              <w:rPr>
                <w:rFonts w:cs="Arial"/>
                <w:sz w:val="21"/>
                <w:szCs w:val="21"/>
              </w:rPr>
            </w:pPr>
            <w:r>
              <w:rPr>
                <w:rFonts w:cs="Arial"/>
                <w:sz w:val="21"/>
                <w:szCs w:val="21"/>
              </w:rPr>
              <w:t xml:space="preserve">20 </w:t>
            </w:r>
            <w:r w:rsidR="00FC1CCA">
              <w:rPr>
                <w:rFonts w:cs="Arial"/>
                <w:sz w:val="21"/>
                <w:szCs w:val="21"/>
              </w:rPr>
              <w:t>July</w:t>
            </w:r>
            <w:r w:rsidR="00570C59">
              <w:rPr>
                <w:rFonts w:cs="Arial"/>
                <w:sz w:val="21"/>
                <w:szCs w:val="21"/>
              </w:rPr>
              <w:t xml:space="preserve"> 2018</w:t>
            </w:r>
          </w:p>
        </w:tc>
      </w:tr>
      <w:tr w:rsidR="00F96D1A" w:rsidRPr="005963FA" w:rsidTr="00520F6B">
        <w:tc>
          <w:tcPr>
            <w:tcW w:w="3116" w:type="dxa"/>
            <w:vMerge/>
          </w:tcPr>
          <w:p w:rsidR="00F96D1A" w:rsidRPr="005963FA" w:rsidRDefault="00F96D1A" w:rsidP="007A3FAD">
            <w:pPr>
              <w:rPr>
                <w:rFonts w:cs="Arial"/>
                <w:sz w:val="21"/>
                <w:szCs w:val="21"/>
              </w:rPr>
            </w:pPr>
          </w:p>
        </w:tc>
        <w:tc>
          <w:tcPr>
            <w:tcW w:w="3117" w:type="dxa"/>
          </w:tcPr>
          <w:p w:rsidR="00F96D1A" w:rsidRDefault="00F96D1A" w:rsidP="007A3FAD">
            <w:pPr>
              <w:rPr>
                <w:rFonts w:cs="Arial"/>
                <w:sz w:val="21"/>
                <w:szCs w:val="21"/>
              </w:rPr>
            </w:pPr>
            <w:r>
              <w:rPr>
                <w:rFonts w:cs="Arial"/>
                <w:sz w:val="21"/>
                <w:szCs w:val="21"/>
              </w:rPr>
              <w:t>Deadline for receiving questions</w:t>
            </w:r>
          </w:p>
          <w:p w:rsidR="00F96D1A" w:rsidRDefault="00F96D1A" w:rsidP="007A3FAD">
            <w:pPr>
              <w:rPr>
                <w:rFonts w:cs="Arial"/>
                <w:sz w:val="21"/>
                <w:szCs w:val="21"/>
              </w:rPr>
            </w:pPr>
          </w:p>
        </w:tc>
        <w:tc>
          <w:tcPr>
            <w:tcW w:w="3117" w:type="dxa"/>
          </w:tcPr>
          <w:p w:rsidR="00F96D1A" w:rsidDel="00F96D1A" w:rsidRDefault="00F96D1A" w:rsidP="007A3FAD">
            <w:pPr>
              <w:rPr>
                <w:rFonts w:cs="Arial"/>
                <w:sz w:val="21"/>
                <w:szCs w:val="21"/>
              </w:rPr>
            </w:pPr>
            <w:r>
              <w:rPr>
                <w:rFonts w:cs="Arial"/>
                <w:sz w:val="21"/>
                <w:szCs w:val="21"/>
              </w:rPr>
              <w:t>27 July 2018</w:t>
            </w:r>
          </w:p>
        </w:tc>
      </w:tr>
      <w:tr w:rsidR="0096199F" w:rsidRPr="005963FA" w:rsidTr="00520F6B">
        <w:tc>
          <w:tcPr>
            <w:tcW w:w="3116" w:type="dxa"/>
            <w:vMerge/>
          </w:tcPr>
          <w:p w:rsidR="0096199F" w:rsidRPr="005963FA" w:rsidRDefault="0096199F" w:rsidP="007A3FAD">
            <w:pPr>
              <w:rPr>
                <w:rFonts w:cs="Arial"/>
                <w:sz w:val="21"/>
                <w:szCs w:val="21"/>
              </w:rPr>
            </w:pPr>
          </w:p>
        </w:tc>
        <w:tc>
          <w:tcPr>
            <w:tcW w:w="3117" w:type="dxa"/>
          </w:tcPr>
          <w:p w:rsidR="00B97161" w:rsidRDefault="0096199F" w:rsidP="007A3FAD">
            <w:pPr>
              <w:rPr>
                <w:rFonts w:cs="Arial"/>
                <w:sz w:val="21"/>
                <w:szCs w:val="21"/>
              </w:rPr>
            </w:pPr>
            <w:r w:rsidRPr="005963FA">
              <w:rPr>
                <w:rFonts w:cs="Arial"/>
                <w:sz w:val="21"/>
                <w:szCs w:val="21"/>
              </w:rPr>
              <w:t>Proposal submission</w:t>
            </w:r>
            <w:r w:rsidR="00B97161">
              <w:rPr>
                <w:rFonts w:cs="Arial"/>
                <w:sz w:val="21"/>
                <w:szCs w:val="21"/>
              </w:rPr>
              <w:t xml:space="preserve"> deadline </w:t>
            </w:r>
          </w:p>
          <w:p w:rsidR="0096199F" w:rsidRPr="005963FA" w:rsidRDefault="0096199F" w:rsidP="007A3FAD">
            <w:pPr>
              <w:rPr>
                <w:rFonts w:cs="Arial"/>
                <w:sz w:val="21"/>
                <w:szCs w:val="21"/>
              </w:rPr>
            </w:pPr>
          </w:p>
        </w:tc>
        <w:tc>
          <w:tcPr>
            <w:tcW w:w="3117" w:type="dxa"/>
          </w:tcPr>
          <w:p w:rsidR="0096199F" w:rsidRPr="005963FA" w:rsidRDefault="00B97161" w:rsidP="007A3FAD">
            <w:pPr>
              <w:rPr>
                <w:rFonts w:cs="Arial"/>
                <w:sz w:val="21"/>
                <w:szCs w:val="21"/>
              </w:rPr>
            </w:pPr>
            <w:r>
              <w:rPr>
                <w:rFonts w:cs="Arial"/>
                <w:sz w:val="21"/>
                <w:szCs w:val="21"/>
              </w:rPr>
              <w:t>3 August 2018</w:t>
            </w:r>
          </w:p>
        </w:tc>
      </w:tr>
      <w:tr w:rsidR="0096199F" w:rsidRPr="005963FA" w:rsidTr="00520F6B">
        <w:tc>
          <w:tcPr>
            <w:tcW w:w="3116" w:type="dxa"/>
            <w:vMerge w:val="restart"/>
          </w:tcPr>
          <w:p w:rsidR="0096199F" w:rsidRPr="005963FA" w:rsidRDefault="0096199F" w:rsidP="007A3FAD">
            <w:pPr>
              <w:rPr>
                <w:rFonts w:cs="Arial"/>
                <w:sz w:val="21"/>
                <w:szCs w:val="21"/>
              </w:rPr>
            </w:pPr>
            <w:r w:rsidRPr="005963FA">
              <w:rPr>
                <w:rFonts w:cs="Arial"/>
                <w:sz w:val="21"/>
                <w:szCs w:val="21"/>
              </w:rPr>
              <w:t>Selection</w:t>
            </w:r>
          </w:p>
        </w:tc>
        <w:tc>
          <w:tcPr>
            <w:tcW w:w="3117" w:type="dxa"/>
          </w:tcPr>
          <w:p w:rsidR="00B97161" w:rsidRDefault="00B97161" w:rsidP="007A3FAD">
            <w:pPr>
              <w:rPr>
                <w:rFonts w:cs="Arial"/>
                <w:sz w:val="21"/>
                <w:szCs w:val="21"/>
              </w:rPr>
            </w:pPr>
            <w:r>
              <w:rPr>
                <w:rFonts w:cs="Arial"/>
                <w:sz w:val="21"/>
                <w:szCs w:val="21"/>
              </w:rPr>
              <w:t xml:space="preserve">Evaluation Period </w:t>
            </w:r>
          </w:p>
          <w:p w:rsidR="0096199F" w:rsidRPr="005963FA" w:rsidRDefault="0096199F" w:rsidP="007A3FAD">
            <w:pPr>
              <w:rPr>
                <w:rFonts w:cs="Arial"/>
                <w:sz w:val="21"/>
                <w:szCs w:val="21"/>
              </w:rPr>
            </w:pPr>
            <w:r w:rsidRPr="005963FA">
              <w:rPr>
                <w:rFonts w:cs="Arial"/>
                <w:sz w:val="21"/>
                <w:szCs w:val="21"/>
              </w:rPr>
              <w:t xml:space="preserve"> </w:t>
            </w:r>
          </w:p>
        </w:tc>
        <w:tc>
          <w:tcPr>
            <w:tcW w:w="3117" w:type="dxa"/>
          </w:tcPr>
          <w:p w:rsidR="0096199F" w:rsidRPr="005963FA" w:rsidRDefault="00B97161" w:rsidP="007A3FAD">
            <w:pPr>
              <w:rPr>
                <w:rFonts w:cs="Arial"/>
                <w:sz w:val="21"/>
                <w:szCs w:val="21"/>
              </w:rPr>
            </w:pPr>
            <w:r>
              <w:rPr>
                <w:rFonts w:cs="Arial"/>
                <w:sz w:val="21"/>
                <w:szCs w:val="21"/>
              </w:rPr>
              <w:t>6 – 10 August 2018</w:t>
            </w:r>
          </w:p>
        </w:tc>
      </w:tr>
      <w:tr w:rsidR="0096199F" w:rsidRPr="005963FA" w:rsidTr="00520F6B">
        <w:tc>
          <w:tcPr>
            <w:tcW w:w="3116" w:type="dxa"/>
            <w:vMerge/>
          </w:tcPr>
          <w:p w:rsidR="0096199F" w:rsidRPr="005963FA" w:rsidRDefault="0096199F" w:rsidP="007A3FAD">
            <w:pPr>
              <w:rPr>
                <w:rFonts w:cs="Arial"/>
                <w:sz w:val="21"/>
                <w:szCs w:val="21"/>
              </w:rPr>
            </w:pPr>
          </w:p>
        </w:tc>
        <w:tc>
          <w:tcPr>
            <w:tcW w:w="3117" w:type="dxa"/>
          </w:tcPr>
          <w:p w:rsidR="0096199F" w:rsidRPr="005963FA" w:rsidRDefault="0096199F" w:rsidP="007A3FAD">
            <w:pPr>
              <w:rPr>
                <w:rFonts w:cs="Arial"/>
                <w:sz w:val="21"/>
                <w:szCs w:val="21"/>
              </w:rPr>
            </w:pPr>
            <w:r w:rsidRPr="005963FA">
              <w:rPr>
                <w:rFonts w:cs="Arial"/>
                <w:sz w:val="21"/>
                <w:szCs w:val="21"/>
              </w:rPr>
              <w:t>Successful applicant selected and confirmed</w:t>
            </w:r>
          </w:p>
        </w:tc>
        <w:tc>
          <w:tcPr>
            <w:tcW w:w="3117" w:type="dxa"/>
          </w:tcPr>
          <w:p w:rsidR="0096199F" w:rsidRPr="005963FA" w:rsidRDefault="00FC1CCA" w:rsidP="007A3FAD">
            <w:pPr>
              <w:rPr>
                <w:rFonts w:cs="Arial"/>
                <w:sz w:val="21"/>
                <w:szCs w:val="21"/>
              </w:rPr>
            </w:pPr>
            <w:r>
              <w:rPr>
                <w:rFonts w:cs="Arial"/>
                <w:sz w:val="21"/>
                <w:szCs w:val="21"/>
              </w:rPr>
              <w:t xml:space="preserve">10 </w:t>
            </w:r>
            <w:r w:rsidRPr="00FC1CCA">
              <w:rPr>
                <w:rFonts w:cs="Arial"/>
                <w:sz w:val="21"/>
                <w:szCs w:val="21"/>
              </w:rPr>
              <w:t>August 2018</w:t>
            </w:r>
          </w:p>
        </w:tc>
      </w:tr>
      <w:tr w:rsidR="0096199F" w:rsidRPr="005963FA" w:rsidTr="00520F6B">
        <w:tc>
          <w:tcPr>
            <w:tcW w:w="3116" w:type="dxa"/>
          </w:tcPr>
          <w:p w:rsidR="0096199F" w:rsidRPr="005963FA" w:rsidRDefault="00C12A00" w:rsidP="007A3FAD">
            <w:pPr>
              <w:rPr>
                <w:rFonts w:cs="Arial"/>
                <w:sz w:val="21"/>
                <w:szCs w:val="21"/>
              </w:rPr>
            </w:pPr>
            <w:r w:rsidRPr="005963FA">
              <w:rPr>
                <w:rFonts w:cs="Arial"/>
                <w:sz w:val="21"/>
                <w:szCs w:val="21"/>
              </w:rPr>
              <w:t>Contract Commencement</w:t>
            </w:r>
          </w:p>
        </w:tc>
        <w:tc>
          <w:tcPr>
            <w:tcW w:w="3117" w:type="dxa"/>
          </w:tcPr>
          <w:p w:rsidR="0096199F" w:rsidRPr="005963FA" w:rsidRDefault="0096199F" w:rsidP="007A3FAD">
            <w:pPr>
              <w:rPr>
                <w:rFonts w:cs="Arial"/>
                <w:sz w:val="21"/>
                <w:szCs w:val="21"/>
              </w:rPr>
            </w:pPr>
            <w:r w:rsidRPr="005963FA">
              <w:rPr>
                <w:rFonts w:cs="Arial"/>
                <w:sz w:val="21"/>
                <w:szCs w:val="21"/>
              </w:rPr>
              <w:t>Successful applicant commences contract</w:t>
            </w:r>
          </w:p>
        </w:tc>
        <w:tc>
          <w:tcPr>
            <w:tcW w:w="3117" w:type="dxa"/>
          </w:tcPr>
          <w:p w:rsidR="0096199F" w:rsidRPr="005963FA" w:rsidRDefault="00FC1CCA" w:rsidP="007A3FAD">
            <w:pPr>
              <w:rPr>
                <w:rFonts w:cs="Arial"/>
                <w:sz w:val="21"/>
                <w:szCs w:val="21"/>
              </w:rPr>
            </w:pPr>
            <w:r>
              <w:rPr>
                <w:rFonts w:cs="Arial"/>
                <w:sz w:val="21"/>
                <w:szCs w:val="21"/>
              </w:rPr>
              <w:t>2</w:t>
            </w:r>
            <w:r w:rsidRPr="00FC1CCA">
              <w:rPr>
                <w:rFonts w:cs="Arial"/>
                <w:sz w:val="21"/>
                <w:szCs w:val="21"/>
              </w:rPr>
              <w:t>0th August 2018</w:t>
            </w:r>
          </w:p>
        </w:tc>
      </w:tr>
    </w:tbl>
    <w:p w:rsidR="00520F6B" w:rsidRPr="005963FA" w:rsidRDefault="00520F6B" w:rsidP="007A3FAD">
      <w:pPr>
        <w:rPr>
          <w:rFonts w:cs="Arial"/>
          <w:sz w:val="21"/>
          <w:szCs w:val="21"/>
        </w:rPr>
      </w:pPr>
    </w:p>
    <w:p w:rsidR="0096199F" w:rsidRPr="005963FA" w:rsidRDefault="0096199F" w:rsidP="007A3FAD">
      <w:pPr>
        <w:rPr>
          <w:rFonts w:cs="Arial"/>
          <w:b/>
          <w:sz w:val="21"/>
          <w:szCs w:val="21"/>
        </w:rPr>
      </w:pPr>
      <w:r w:rsidRPr="005963FA">
        <w:rPr>
          <w:rFonts w:cs="Arial"/>
          <w:b/>
          <w:sz w:val="21"/>
          <w:szCs w:val="21"/>
        </w:rPr>
        <w:t>Information Requirements</w:t>
      </w:r>
    </w:p>
    <w:p w:rsidR="00931D44" w:rsidRDefault="00B97161" w:rsidP="007A3FAD">
      <w:pPr>
        <w:pStyle w:val="ListParagraph"/>
        <w:numPr>
          <w:ilvl w:val="0"/>
          <w:numId w:val="30"/>
        </w:numPr>
        <w:ind w:left="567" w:hanging="567"/>
        <w:rPr>
          <w:rFonts w:eastAsiaTheme="majorEastAsia"/>
          <w:b/>
          <w:bCs/>
          <w:smallCaps/>
        </w:rPr>
      </w:pPr>
      <w:r>
        <w:rPr>
          <w:rFonts w:cs="Arial"/>
          <w:sz w:val="21"/>
          <w:szCs w:val="21"/>
        </w:rPr>
        <w:t>Your proposal</w:t>
      </w:r>
      <w:r w:rsidR="0096199F" w:rsidRPr="005963FA">
        <w:rPr>
          <w:rFonts w:cs="Arial"/>
          <w:sz w:val="21"/>
          <w:szCs w:val="21"/>
        </w:rPr>
        <w:t xml:space="preserve"> should </w:t>
      </w:r>
      <w:r>
        <w:rPr>
          <w:rFonts w:cs="Arial"/>
          <w:sz w:val="21"/>
          <w:szCs w:val="21"/>
        </w:rPr>
        <w:t>consist of your response to the Method St</w:t>
      </w:r>
      <w:r w:rsidR="00227AED">
        <w:rPr>
          <w:rFonts w:cs="Arial"/>
          <w:sz w:val="21"/>
          <w:szCs w:val="21"/>
        </w:rPr>
        <w:t>atement Questions below (item 22</w:t>
      </w:r>
      <w:r>
        <w:rPr>
          <w:rFonts w:cs="Arial"/>
          <w:sz w:val="21"/>
          <w:szCs w:val="21"/>
        </w:rPr>
        <w:t>) and your c</w:t>
      </w:r>
      <w:r w:rsidR="00227AED">
        <w:rPr>
          <w:rFonts w:cs="Arial"/>
          <w:sz w:val="21"/>
          <w:szCs w:val="21"/>
        </w:rPr>
        <w:t>ompleted Price Proposal (item 26</w:t>
      </w:r>
      <w:r>
        <w:rPr>
          <w:rFonts w:cs="Arial"/>
          <w:sz w:val="21"/>
          <w:szCs w:val="21"/>
        </w:rPr>
        <w:t>)</w:t>
      </w:r>
      <w:r w:rsidR="0096199F" w:rsidRPr="005963FA">
        <w:rPr>
          <w:rFonts w:cs="Arial"/>
          <w:sz w:val="21"/>
          <w:szCs w:val="21"/>
        </w:rPr>
        <w:t xml:space="preserve">.  </w:t>
      </w:r>
      <w:r w:rsidR="006E1317">
        <w:rPr>
          <w:rFonts w:cs="Arial"/>
          <w:sz w:val="21"/>
          <w:szCs w:val="21"/>
        </w:rPr>
        <w:t>Y</w:t>
      </w:r>
      <w:r>
        <w:rPr>
          <w:rFonts w:cs="Arial"/>
          <w:sz w:val="21"/>
          <w:szCs w:val="21"/>
        </w:rPr>
        <w:t>our response to the Method Statement Questions</w:t>
      </w:r>
      <w:r w:rsidR="008C7BF0">
        <w:rPr>
          <w:rFonts w:cs="Arial"/>
          <w:sz w:val="21"/>
          <w:szCs w:val="21"/>
        </w:rPr>
        <w:t xml:space="preserve"> </w:t>
      </w:r>
      <w:r w:rsidR="006E1317">
        <w:rPr>
          <w:rFonts w:cs="Arial"/>
          <w:sz w:val="21"/>
          <w:szCs w:val="21"/>
        </w:rPr>
        <w:t xml:space="preserve">must be </w:t>
      </w:r>
      <w:r w:rsidR="008C7BF0">
        <w:rPr>
          <w:rFonts w:cs="Arial"/>
          <w:sz w:val="21"/>
          <w:szCs w:val="21"/>
        </w:rPr>
        <w:t>kept to a max</w:t>
      </w:r>
      <w:r w:rsidR="0096199F" w:rsidRPr="005963FA">
        <w:rPr>
          <w:rFonts w:cs="Arial"/>
          <w:sz w:val="21"/>
          <w:szCs w:val="21"/>
        </w:rPr>
        <w:t>imum</w:t>
      </w:r>
      <w:r w:rsidR="004D7592">
        <w:rPr>
          <w:rFonts w:cs="Arial"/>
          <w:sz w:val="21"/>
          <w:szCs w:val="21"/>
        </w:rPr>
        <w:t xml:space="preserve"> 10 sides of A4</w:t>
      </w:r>
      <w:r>
        <w:rPr>
          <w:rFonts w:cs="Arial"/>
          <w:sz w:val="21"/>
          <w:szCs w:val="21"/>
        </w:rPr>
        <w:t xml:space="preserve"> (Ariel, Font Size 11, single line spacing) with clear indication of which question you are responding to</w:t>
      </w:r>
      <w:r w:rsidR="0096199F" w:rsidRPr="005963FA">
        <w:rPr>
          <w:rFonts w:cs="Arial"/>
          <w:sz w:val="21"/>
          <w:szCs w:val="21"/>
        </w:rPr>
        <w:t xml:space="preserve">, </w:t>
      </w:r>
      <w:r w:rsidR="00173B3C">
        <w:rPr>
          <w:rFonts w:cs="Arial"/>
          <w:sz w:val="21"/>
          <w:szCs w:val="21"/>
        </w:rPr>
        <w:t>including brief</w:t>
      </w:r>
      <w:r w:rsidR="0096199F" w:rsidRPr="005963FA">
        <w:rPr>
          <w:rFonts w:cs="Arial"/>
          <w:sz w:val="21"/>
          <w:szCs w:val="21"/>
        </w:rPr>
        <w:t xml:space="preserve"> CVs</w:t>
      </w:r>
      <w:r w:rsidR="006E1317">
        <w:rPr>
          <w:rFonts w:cs="Arial"/>
          <w:sz w:val="21"/>
          <w:szCs w:val="21"/>
        </w:rPr>
        <w:t xml:space="preserve">.  Any submissions that exceed this limit will not be evaluated.  </w:t>
      </w:r>
      <w:r w:rsidR="00090788">
        <w:rPr>
          <w:rFonts w:cs="Arial"/>
          <w:sz w:val="21"/>
          <w:szCs w:val="21"/>
        </w:rPr>
        <w:t>A draft copy of the terms and conditions applicable for this contract is also attached for your information.</w:t>
      </w:r>
    </w:p>
    <w:p w:rsidR="0002564A" w:rsidRPr="005963FA" w:rsidRDefault="0002564A" w:rsidP="007A3FAD">
      <w:pPr>
        <w:pStyle w:val="Heading1"/>
        <w:ind w:left="567" w:hanging="567"/>
        <w:rPr>
          <w:rFonts w:asciiTheme="minorHAnsi" w:hAnsiTheme="minorHAnsi" w:cs="Arial"/>
          <w:sz w:val="21"/>
          <w:szCs w:val="21"/>
        </w:rPr>
      </w:pPr>
      <w:r w:rsidRPr="005963FA">
        <w:rPr>
          <w:rFonts w:asciiTheme="minorHAnsi" w:hAnsiTheme="minorHAnsi" w:cs="Arial"/>
          <w:sz w:val="21"/>
          <w:szCs w:val="21"/>
        </w:rPr>
        <w:t>Tender Evaluation</w:t>
      </w:r>
    </w:p>
    <w:p w:rsidR="0002564A" w:rsidRPr="005963FA" w:rsidRDefault="0002564A" w:rsidP="007A3FAD">
      <w:pPr>
        <w:autoSpaceDE w:val="0"/>
        <w:autoSpaceDN w:val="0"/>
        <w:adjustRightInd w:val="0"/>
        <w:spacing w:after="0" w:line="240" w:lineRule="auto"/>
        <w:rPr>
          <w:rFonts w:cs="Arial"/>
          <w:sz w:val="21"/>
          <w:szCs w:val="21"/>
        </w:rPr>
      </w:pPr>
    </w:p>
    <w:p w:rsidR="0002564A" w:rsidRPr="005963FA" w:rsidRDefault="0002564A" w:rsidP="007A3FAD">
      <w:pPr>
        <w:pStyle w:val="ListParagraph"/>
        <w:numPr>
          <w:ilvl w:val="0"/>
          <w:numId w:val="30"/>
        </w:numPr>
        <w:autoSpaceDE w:val="0"/>
        <w:autoSpaceDN w:val="0"/>
        <w:adjustRightInd w:val="0"/>
        <w:spacing w:after="0" w:line="240" w:lineRule="auto"/>
        <w:ind w:hanging="720"/>
        <w:rPr>
          <w:rFonts w:cs="Arial"/>
          <w:sz w:val="21"/>
          <w:szCs w:val="21"/>
        </w:rPr>
      </w:pPr>
      <w:r w:rsidRPr="005963FA">
        <w:rPr>
          <w:rFonts w:cs="Arial"/>
          <w:sz w:val="21"/>
          <w:szCs w:val="21"/>
        </w:rPr>
        <w:t xml:space="preserve">The </w:t>
      </w:r>
      <w:r w:rsidR="00C12A00" w:rsidRPr="005963FA">
        <w:rPr>
          <w:rFonts w:cs="Arial"/>
          <w:sz w:val="21"/>
          <w:szCs w:val="21"/>
        </w:rPr>
        <w:t>ratio</w:t>
      </w:r>
      <w:r w:rsidRPr="005963FA">
        <w:rPr>
          <w:rFonts w:cs="Arial"/>
          <w:sz w:val="21"/>
          <w:szCs w:val="21"/>
        </w:rPr>
        <w:t xml:space="preserve"> that will be used to evaluate the </w:t>
      </w:r>
      <w:r w:rsidR="006E1317">
        <w:rPr>
          <w:rFonts w:cs="Arial"/>
          <w:sz w:val="21"/>
          <w:szCs w:val="21"/>
        </w:rPr>
        <w:t>proposals</w:t>
      </w:r>
      <w:r w:rsidRPr="005963FA">
        <w:rPr>
          <w:rFonts w:cs="Arial"/>
          <w:sz w:val="21"/>
          <w:szCs w:val="21"/>
        </w:rPr>
        <w:t xml:space="preserve"> is as follows:</w:t>
      </w:r>
    </w:p>
    <w:p w:rsidR="0002564A" w:rsidRPr="005963FA" w:rsidRDefault="0002564A" w:rsidP="007A3FAD">
      <w:pPr>
        <w:pStyle w:val="ListParagraph"/>
        <w:autoSpaceDE w:val="0"/>
        <w:autoSpaceDN w:val="0"/>
        <w:adjustRightInd w:val="0"/>
        <w:spacing w:after="0" w:line="240" w:lineRule="auto"/>
        <w:rPr>
          <w:rFonts w:cs="Arial"/>
          <w:sz w:val="21"/>
          <w:szCs w:val="21"/>
        </w:rPr>
      </w:pPr>
    </w:p>
    <w:p w:rsidR="0002564A" w:rsidRPr="005963FA" w:rsidRDefault="00E36DB8" w:rsidP="007A3FAD">
      <w:pPr>
        <w:pStyle w:val="ListParagraph"/>
        <w:numPr>
          <w:ilvl w:val="1"/>
          <w:numId w:val="30"/>
        </w:numPr>
        <w:autoSpaceDE w:val="0"/>
        <w:autoSpaceDN w:val="0"/>
        <w:adjustRightInd w:val="0"/>
        <w:spacing w:after="0" w:line="240" w:lineRule="auto"/>
        <w:rPr>
          <w:rFonts w:cs="Arial"/>
          <w:sz w:val="21"/>
          <w:szCs w:val="21"/>
        </w:rPr>
      </w:pPr>
      <w:r>
        <w:rPr>
          <w:rFonts w:cs="Arial"/>
          <w:sz w:val="21"/>
          <w:szCs w:val="21"/>
        </w:rPr>
        <w:t>Price – 3</w:t>
      </w:r>
      <w:r w:rsidR="00173B3C">
        <w:rPr>
          <w:rFonts w:cs="Arial"/>
          <w:sz w:val="21"/>
          <w:szCs w:val="21"/>
        </w:rPr>
        <w:t>5</w:t>
      </w:r>
      <w:r w:rsidR="0002564A" w:rsidRPr="005963FA">
        <w:rPr>
          <w:rFonts w:cs="Arial"/>
          <w:sz w:val="21"/>
          <w:szCs w:val="21"/>
        </w:rPr>
        <w:t>%</w:t>
      </w:r>
    </w:p>
    <w:p w:rsidR="0002564A" w:rsidRPr="005963FA" w:rsidRDefault="00E36DB8" w:rsidP="007A3FAD">
      <w:pPr>
        <w:pStyle w:val="ListParagraph"/>
        <w:numPr>
          <w:ilvl w:val="1"/>
          <w:numId w:val="30"/>
        </w:numPr>
        <w:autoSpaceDE w:val="0"/>
        <w:autoSpaceDN w:val="0"/>
        <w:adjustRightInd w:val="0"/>
        <w:spacing w:after="0" w:line="240" w:lineRule="auto"/>
        <w:rPr>
          <w:rFonts w:cs="Arial"/>
          <w:sz w:val="21"/>
          <w:szCs w:val="21"/>
        </w:rPr>
      </w:pPr>
      <w:r>
        <w:rPr>
          <w:rFonts w:cs="Arial"/>
          <w:sz w:val="21"/>
          <w:szCs w:val="21"/>
        </w:rPr>
        <w:t xml:space="preserve">Quality – </w:t>
      </w:r>
      <w:r w:rsidR="00173B3C">
        <w:rPr>
          <w:rFonts w:cs="Arial"/>
          <w:sz w:val="21"/>
          <w:szCs w:val="21"/>
        </w:rPr>
        <w:t>65</w:t>
      </w:r>
      <w:r w:rsidR="0002564A" w:rsidRPr="005963FA">
        <w:rPr>
          <w:rFonts w:cs="Arial"/>
          <w:sz w:val="21"/>
          <w:szCs w:val="21"/>
        </w:rPr>
        <w:t>%</w:t>
      </w:r>
    </w:p>
    <w:p w:rsidR="00750589" w:rsidRDefault="00750589" w:rsidP="007A3FAD">
      <w:pPr>
        <w:spacing w:after="0"/>
        <w:jc w:val="both"/>
        <w:rPr>
          <w:rFonts w:cs="Arial"/>
          <w:sz w:val="21"/>
          <w:szCs w:val="21"/>
        </w:rPr>
      </w:pPr>
    </w:p>
    <w:p w:rsidR="0002564A" w:rsidRPr="005963FA" w:rsidRDefault="0002564A" w:rsidP="0002564A">
      <w:pPr>
        <w:pStyle w:val="ListParagraph"/>
        <w:numPr>
          <w:ilvl w:val="0"/>
          <w:numId w:val="30"/>
        </w:numPr>
        <w:autoSpaceDE w:val="0"/>
        <w:autoSpaceDN w:val="0"/>
        <w:adjustRightInd w:val="0"/>
        <w:spacing w:after="0" w:line="240" w:lineRule="auto"/>
        <w:ind w:hanging="720"/>
        <w:rPr>
          <w:rFonts w:cs="Arial"/>
          <w:sz w:val="21"/>
          <w:szCs w:val="21"/>
        </w:rPr>
      </w:pPr>
    </w:p>
    <w:p w:rsidR="002B0638" w:rsidRPr="005963FA" w:rsidRDefault="002B0638" w:rsidP="002B0638">
      <w:pPr>
        <w:autoSpaceDE w:val="0"/>
        <w:autoSpaceDN w:val="0"/>
        <w:adjustRightInd w:val="0"/>
        <w:spacing w:after="0" w:line="240" w:lineRule="auto"/>
        <w:rPr>
          <w:rFonts w:cs="Arial"/>
          <w:sz w:val="21"/>
          <w:szCs w:val="21"/>
        </w:rPr>
      </w:pPr>
    </w:p>
    <w:tbl>
      <w:tblPr>
        <w:tblStyle w:val="TableGrid"/>
        <w:tblW w:w="6997" w:type="dxa"/>
        <w:jc w:val="center"/>
        <w:tblLook w:val="04A0" w:firstRow="1" w:lastRow="0" w:firstColumn="1" w:lastColumn="0" w:noHBand="0" w:noVBand="1"/>
      </w:tblPr>
      <w:tblGrid>
        <w:gridCol w:w="1549"/>
        <w:gridCol w:w="2770"/>
        <w:gridCol w:w="1148"/>
        <w:gridCol w:w="1530"/>
      </w:tblGrid>
      <w:tr w:rsidR="009A40B3" w:rsidRPr="00C677F9" w:rsidTr="007A3FAD">
        <w:trPr>
          <w:jc w:val="center"/>
        </w:trPr>
        <w:tc>
          <w:tcPr>
            <w:tcW w:w="1549" w:type="dxa"/>
          </w:tcPr>
          <w:p w:rsidR="009A40B3" w:rsidRPr="00C677F9" w:rsidRDefault="009A40B3" w:rsidP="00202360">
            <w:pPr>
              <w:autoSpaceDE w:val="0"/>
              <w:autoSpaceDN w:val="0"/>
              <w:adjustRightInd w:val="0"/>
              <w:rPr>
                <w:rFonts w:cs="Arial"/>
                <w:b/>
                <w:sz w:val="20"/>
                <w:szCs w:val="20"/>
              </w:rPr>
            </w:pPr>
            <w:r w:rsidRPr="00C677F9">
              <w:rPr>
                <w:rFonts w:cs="Arial"/>
                <w:b/>
                <w:sz w:val="20"/>
                <w:szCs w:val="20"/>
              </w:rPr>
              <w:t>Type</w:t>
            </w:r>
          </w:p>
        </w:tc>
        <w:tc>
          <w:tcPr>
            <w:tcW w:w="2770" w:type="dxa"/>
          </w:tcPr>
          <w:p w:rsidR="009A40B3" w:rsidRPr="00C677F9" w:rsidRDefault="009A40B3" w:rsidP="00202360">
            <w:pPr>
              <w:autoSpaceDE w:val="0"/>
              <w:autoSpaceDN w:val="0"/>
              <w:adjustRightInd w:val="0"/>
              <w:rPr>
                <w:rFonts w:cs="Arial"/>
                <w:b/>
                <w:sz w:val="20"/>
                <w:szCs w:val="20"/>
              </w:rPr>
            </w:pPr>
            <w:r w:rsidRPr="00C677F9">
              <w:rPr>
                <w:rFonts w:cs="Arial"/>
                <w:b/>
                <w:sz w:val="20"/>
                <w:szCs w:val="20"/>
              </w:rPr>
              <w:t>Questions</w:t>
            </w:r>
          </w:p>
        </w:tc>
        <w:tc>
          <w:tcPr>
            <w:tcW w:w="1148" w:type="dxa"/>
          </w:tcPr>
          <w:p w:rsidR="009A40B3" w:rsidRPr="00C677F9" w:rsidRDefault="009A40B3" w:rsidP="00845E0F">
            <w:pPr>
              <w:autoSpaceDE w:val="0"/>
              <w:autoSpaceDN w:val="0"/>
              <w:adjustRightInd w:val="0"/>
              <w:jc w:val="center"/>
              <w:rPr>
                <w:rFonts w:cs="Arial"/>
                <w:b/>
                <w:sz w:val="20"/>
                <w:szCs w:val="20"/>
              </w:rPr>
            </w:pPr>
            <w:r w:rsidRPr="00C677F9">
              <w:rPr>
                <w:rFonts w:cs="Arial"/>
                <w:b/>
                <w:sz w:val="20"/>
                <w:szCs w:val="20"/>
              </w:rPr>
              <w:t xml:space="preserve">  </w:t>
            </w:r>
            <w:r>
              <w:rPr>
                <w:rFonts w:cs="Arial"/>
                <w:b/>
                <w:sz w:val="20"/>
                <w:szCs w:val="20"/>
              </w:rPr>
              <w:t>Marks Available</w:t>
            </w:r>
          </w:p>
        </w:tc>
        <w:tc>
          <w:tcPr>
            <w:tcW w:w="1530" w:type="dxa"/>
          </w:tcPr>
          <w:p w:rsidR="009A40B3" w:rsidRPr="00C677F9" w:rsidRDefault="004D7592" w:rsidP="00845E0F">
            <w:pPr>
              <w:autoSpaceDE w:val="0"/>
              <w:autoSpaceDN w:val="0"/>
              <w:adjustRightInd w:val="0"/>
              <w:jc w:val="center"/>
              <w:rPr>
                <w:rFonts w:cs="Arial"/>
                <w:b/>
                <w:sz w:val="20"/>
                <w:szCs w:val="20"/>
              </w:rPr>
            </w:pPr>
            <w:r>
              <w:rPr>
                <w:rFonts w:cs="Arial"/>
                <w:b/>
                <w:sz w:val="20"/>
                <w:szCs w:val="20"/>
              </w:rPr>
              <w:t>Weighting</w:t>
            </w:r>
          </w:p>
        </w:tc>
      </w:tr>
      <w:tr w:rsidR="009A40B3" w:rsidRPr="00C677F9" w:rsidTr="009A40B3">
        <w:trPr>
          <w:trHeight w:val="983"/>
          <w:jc w:val="center"/>
        </w:trPr>
        <w:tc>
          <w:tcPr>
            <w:tcW w:w="1549" w:type="dxa"/>
            <w:vAlign w:val="center"/>
          </w:tcPr>
          <w:p w:rsidR="009A40B3" w:rsidRPr="00C677F9" w:rsidRDefault="009A40B3" w:rsidP="009933EC">
            <w:pPr>
              <w:autoSpaceDE w:val="0"/>
              <w:autoSpaceDN w:val="0"/>
              <w:adjustRightInd w:val="0"/>
              <w:rPr>
                <w:rFonts w:cs="Arial"/>
                <w:b/>
                <w:sz w:val="20"/>
                <w:szCs w:val="20"/>
              </w:rPr>
            </w:pPr>
            <w:r w:rsidRPr="00C677F9">
              <w:rPr>
                <w:rFonts w:cs="Arial"/>
                <w:b/>
                <w:sz w:val="20"/>
                <w:szCs w:val="20"/>
              </w:rPr>
              <w:t>Methodology</w:t>
            </w:r>
          </w:p>
          <w:p w:rsidR="009A40B3" w:rsidRPr="00C677F9" w:rsidRDefault="009A40B3" w:rsidP="009933EC">
            <w:pPr>
              <w:autoSpaceDE w:val="0"/>
              <w:autoSpaceDN w:val="0"/>
              <w:adjustRightInd w:val="0"/>
              <w:rPr>
                <w:rFonts w:cs="Arial"/>
                <w:b/>
                <w:sz w:val="20"/>
                <w:szCs w:val="20"/>
              </w:rPr>
            </w:pPr>
          </w:p>
        </w:tc>
        <w:tc>
          <w:tcPr>
            <w:tcW w:w="2770" w:type="dxa"/>
          </w:tcPr>
          <w:p w:rsidR="009A40B3" w:rsidRDefault="009A40B3" w:rsidP="00271D29">
            <w:pPr>
              <w:autoSpaceDE w:val="0"/>
              <w:autoSpaceDN w:val="0"/>
              <w:adjustRightInd w:val="0"/>
              <w:rPr>
                <w:rFonts w:cs="Arial"/>
                <w:sz w:val="20"/>
                <w:szCs w:val="20"/>
              </w:rPr>
            </w:pPr>
          </w:p>
          <w:p w:rsidR="009A40B3" w:rsidRPr="00724EAC" w:rsidRDefault="00724EAC" w:rsidP="00724EAC">
            <w:pPr>
              <w:autoSpaceDE w:val="0"/>
              <w:autoSpaceDN w:val="0"/>
              <w:adjustRightInd w:val="0"/>
              <w:rPr>
                <w:rFonts w:cs="Arial"/>
                <w:sz w:val="20"/>
                <w:szCs w:val="20"/>
              </w:rPr>
            </w:pPr>
            <w:r w:rsidRPr="00724EAC">
              <w:rPr>
                <w:rFonts w:cs="Arial"/>
                <w:sz w:val="20"/>
                <w:szCs w:val="20"/>
              </w:rPr>
              <w:t>1)</w:t>
            </w:r>
            <w:r>
              <w:rPr>
                <w:rFonts w:cs="Arial"/>
                <w:sz w:val="20"/>
                <w:szCs w:val="20"/>
              </w:rPr>
              <w:t xml:space="preserve"> </w:t>
            </w:r>
            <w:r w:rsidR="009A40B3" w:rsidRPr="00724EAC">
              <w:rPr>
                <w:rFonts w:cs="Arial"/>
                <w:sz w:val="20"/>
                <w:szCs w:val="20"/>
              </w:rPr>
              <w:t>Please detail how observations made under this contract will reflect policies relevant to the type of observations sought, demonstrating how expert advice to evaluate the degree of</w:t>
            </w:r>
          </w:p>
          <w:p w:rsidR="009A40B3" w:rsidRDefault="009A40B3" w:rsidP="007A3FAD">
            <w:pPr>
              <w:pStyle w:val="ListParagraph"/>
              <w:numPr>
                <w:ilvl w:val="0"/>
                <w:numId w:val="43"/>
              </w:numPr>
              <w:autoSpaceDE w:val="0"/>
              <w:autoSpaceDN w:val="0"/>
              <w:adjustRightInd w:val="0"/>
              <w:ind w:left="320" w:hanging="320"/>
              <w:rPr>
                <w:rFonts w:cs="Arial"/>
                <w:sz w:val="20"/>
                <w:szCs w:val="20"/>
              </w:rPr>
            </w:pPr>
            <w:r w:rsidRPr="007A3FAD">
              <w:rPr>
                <w:rFonts w:cs="Arial"/>
                <w:sz w:val="20"/>
                <w:szCs w:val="20"/>
              </w:rPr>
              <w:t>compliance wit</w:t>
            </w:r>
            <w:r>
              <w:rPr>
                <w:rFonts w:cs="Arial"/>
                <w:sz w:val="20"/>
                <w:szCs w:val="20"/>
              </w:rPr>
              <w:t>h planning policy requirements,</w:t>
            </w:r>
          </w:p>
          <w:p w:rsidR="009A40B3" w:rsidRDefault="009A40B3" w:rsidP="007A3FAD">
            <w:pPr>
              <w:pStyle w:val="ListParagraph"/>
              <w:numPr>
                <w:ilvl w:val="0"/>
                <w:numId w:val="43"/>
              </w:numPr>
              <w:autoSpaceDE w:val="0"/>
              <w:autoSpaceDN w:val="0"/>
              <w:adjustRightInd w:val="0"/>
              <w:ind w:left="320" w:hanging="320"/>
              <w:rPr>
                <w:rFonts w:cs="Arial"/>
                <w:sz w:val="20"/>
                <w:szCs w:val="20"/>
              </w:rPr>
            </w:pPr>
            <w:r w:rsidRPr="007A3FAD">
              <w:rPr>
                <w:rFonts w:cs="Arial"/>
                <w:sz w:val="20"/>
                <w:szCs w:val="20"/>
              </w:rPr>
              <w:t>potential amendments that would further improve the performance of a development and</w:t>
            </w:r>
            <w:r>
              <w:rPr>
                <w:rFonts w:cs="Arial"/>
                <w:sz w:val="20"/>
                <w:szCs w:val="20"/>
              </w:rPr>
              <w:t>;</w:t>
            </w:r>
          </w:p>
          <w:p w:rsidR="009A40B3" w:rsidRDefault="009A40B3" w:rsidP="007A3FAD">
            <w:pPr>
              <w:pStyle w:val="ListParagraph"/>
              <w:numPr>
                <w:ilvl w:val="0"/>
                <w:numId w:val="43"/>
              </w:numPr>
              <w:autoSpaceDE w:val="0"/>
              <w:autoSpaceDN w:val="0"/>
              <w:adjustRightInd w:val="0"/>
              <w:ind w:left="320" w:hanging="320"/>
              <w:rPr>
                <w:rFonts w:cs="Arial"/>
                <w:sz w:val="20"/>
                <w:szCs w:val="20"/>
              </w:rPr>
            </w:pPr>
            <w:r w:rsidRPr="007A3FAD">
              <w:rPr>
                <w:rFonts w:cs="Arial"/>
                <w:sz w:val="20"/>
                <w:szCs w:val="20"/>
              </w:rPr>
              <w:t>suggested conditions and planning obligations that would ensure the delivery of the highest levels of standards of development</w:t>
            </w:r>
          </w:p>
          <w:p w:rsidR="009A40B3" w:rsidRDefault="009A40B3">
            <w:pPr>
              <w:autoSpaceDE w:val="0"/>
              <w:autoSpaceDN w:val="0"/>
              <w:adjustRightInd w:val="0"/>
              <w:rPr>
                <w:rFonts w:cs="Arial"/>
                <w:sz w:val="20"/>
                <w:szCs w:val="20"/>
              </w:rPr>
            </w:pPr>
          </w:p>
          <w:p w:rsidR="009A40B3" w:rsidRPr="006E1317" w:rsidRDefault="009A40B3">
            <w:pPr>
              <w:autoSpaceDE w:val="0"/>
              <w:autoSpaceDN w:val="0"/>
              <w:adjustRightInd w:val="0"/>
              <w:rPr>
                <w:rFonts w:cs="Arial"/>
                <w:sz w:val="20"/>
                <w:szCs w:val="20"/>
              </w:rPr>
            </w:pPr>
            <w:proofErr w:type="gramStart"/>
            <w:r w:rsidRPr="006E1317">
              <w:rPr>
                <w:rFonts w:cs="Arial"/>
                <w:sz w:val="20"/>
                <w:szCs w:val="20"/>
              </w:rPr>
              <w:t>will</w:t>
            </w:r>
            <w:proofErr w:type="gramEnd"/>
            <w:r w:rsidRPr="006E1317">
              <w:rPr>
                <w:rFonts w:cs="Arial"/>
                <w:sz w:val="20"/>
                <w:szCs w:val="20"/>
              </w:rPr>
              <w:t xml:space="preserve"> be applied</w:t>
            </w:r>
            <w:r w:rsidR="006E1317" w:rsidRPr="006E1317">
              <w:rPr>
                <w:rFonts w:cs="Arial"/>
                <w:sz w:val="20"/>
                <w:szCs w:val="20"/>
              </w:rPr>
              <w:t xml:space="preserve"> to </w:t>
            </w:r>
            <w:r w:rsidR="006E1317" w:rsidRPr="007A3FAD">
              <w:rPr>
                <w:rFonts w:cs="Arial"/>
                <w:bCs/>
                <w:sz w:val="20"/>
                <w:szCs w:val="20"/>
                <w:lang w:val="en-GB"/>
              </w:rPr>
              <w:t>support planners and developers in delivering the highest standards of sustainable design and construction and subsequent operation</w:t>
            </w:r>
            <w:r w:rsidRPr="007A3FAD">
              <w:rPr>
                <w:rFonts w:cs="Arial"/>
                <w:sz w:val="20"/>
                <w:szCs w:val="20"/>
              </w:rPr>
              <w:t xml:space="preserve">.  </w:t>
            </w:r>
          </w:p>
          <w:p w:rsidR="009A40B3" w:rsidRPr="007A3FAD" w:rsidRDefault="009A40B3">
            <w:pPr>
              <w:autoSpaceDE w:val="0"/>
              <w:autoSpaceDN w:val="0"/>
              <w:adjustRightInd w:val="0"/>
              <w:rPr>
                <w:rFonts w:cs="Arial"/>
                <w:sz w:val="20"/>
                <w:szCs w:val="20"/>
              </w:rPr>
            </w:pPr>
          </w:p>
        </w:tc>
        <w:tc>
          <w:tcPr>
            <w:tcW w:w="1148" w:type="dxa"/>
            <w:vAlign w:val="center"/>
          </w:tcPr>
          <w:p w:rsidR="009A40B3" w:rsidRPr="00C677F9" w:rsidRDefault="009A40B3" w:rsidP="00A71AE0">
            <w:pPr>
              <w:autoSpaceDE w:val="0"/>
              <w:autoSpaceDN w:val="0"/>
              <w:adjustRightInd w:val="0"/>
              <w:jc w:val="center"/>
              <w:rPr>
                <w:rFonts w:cs="Arial"/>
                <w:sz w:val="20"/>
                <w:szCs w:val="20"/>
              </w:rPr>
            </w:pPr>
            <w:r>
              <w:rPr>
                <w:rFonts w:cs="Arial"/>
                <w:sz w:val="20"/>
                <w:szCs w:val="20"/>
              </w:rPr>
              <w:t>0-5</w:t>
            </w:r>
          </w:p>
        </w:tc>
        <w:tc>
          <w:tcPr>
            <w:tcW w:w="1530" w:type="dxa"/>
            <w:vAlign w:val="center"/>
          </w:tcPr>
          <w:p w:rsidR="009A40B3" w:rsidRPr="00C677F9" w:rsidRDefault="00326E1D" w:rsidP="00A71AE0">
            <w:pPr>
              <w:autoSpaceDE w:val="0"/>
              <w:autoSpaceDN w:val="0"/>
              <w:adjustRightInd w:val="0"/>
              <w:jc w:val="center"/>
              <w:rPr>
                <w:rFonts w:cs="Arial"/>
                <w:sz w:val="20"/>
                <w:szCs w:val="20"/>
              </w:rPr>
            </w:pPr>
            <w:r>
              <w:rPr>
                <w:rFonts w:cs="Arial"/>
                <w:sz w:val="20"/>
                <w:szCs w:val="20"/>
              </w:rPr>
              <w:t>17</w:t>
            </w:r>
          </w:p>
        </w:tc>
      </w:tr>
      <w:tr w:rsidR="00071225" w:rsidRPr="00C677F9" w:rsidTr="007A3FAD">
        <w:trPr>
          <w:jc w:val="center"/>
        </w:trPr>
        <w:tc>
          <w:tcPr>
            <w:tcW w:w="1549" w:type="dxa"/>
            <w:vMerge w:val="restart"/>
            <w:vAlign w:val="center"/>
          </w:tcPr>
          <w:p w:rsidR="00071225" w:rsidRPr="00C677F9" w:rsidRDefault="00071225" w:rsidP="009933EC">
            <w:pPr>
              <w:autoSpaceDE w:val="0"/>
              <w:autoSpaceDN w:val="0"/>
              <w:adjustRightInd w:val="0"/>
              <w:rPr>
                <w:rFonts w:cs="Arial"/>
                <w:b/>
                <w:sz w:val="20"/>
                <w:szCs w:val="20"/>
              </w:rPr>
            </w:pPr>
            <w:r w:rsidRPr="00C677F9">
              <w:rPr>
                <w:rFonts w:cs="Arial"/>
                <w:b/>
                <w:sz w:val="20"/>
                <w:szCs w:val="20"/>
              </w:rPr>
              <w:t xml:space="preserve">Service Management and Delivery </w:t>
            </w:r>
          </w:p>
          <w:p w:rsidR="00071225" w:rsidRPr="00C677F9" w:rsidRDefault="00071225" w:rsidP="00B045EC">
            <w:pPr>
              <w:autoSpaceDE w:val="0"/>
              <w:autoSpaceDN w:val="0"/>
              <w:adjustRightInd w:val="0"/>
              <w:rPr>
                <w:rFonts w:cs="Arial"/>
                <w:b/>
                <w:sz w:val="20"/>
                <w:szCs w:val="20"/>
              </w:rPr>
            </w:pPr>
          </w:p>
        </w:tc>
        <w:tc>
          <w:tcPr>
            <w:tcW w:w="2770" w:type="dxa"/>
          </w:tcPr>
          <w:p w:rsidR="00B8761C" w:rsidRDefault="00B8761C" w:rsidP="002B0638">
            <w:pPr>
              <w:autoSpaceDE w:val="0"/>
              <w:autoSpaceDN w:val="0"/>
              <w:adjustRightInd w:val="0"/>
              <w:rPr>
                <w:rFonts w:cs="Arial"/>
                <w:sz w:val="20"/>
                <w:szCs w:val="20"/>
              </w:rPr>
            </w:pPr>
          </w:p>
          <w:p w:rsidR="00765C91" w:rsidRDefault="00724EAC" w:rsidP="002B0638">
            <w:pPr>
              <w:autoSpaceDE w:val="0"/>
              <w:autoSpaceDN w:val="0"/>
              <w:adjustRightInd w:val="0"/>
              <w:rPr>
                <w:rFonts w:cs="Arial"/>
                <w:sz w:val="20"/>
                <w:szCs w:val="20"/>
              </w:rPr>
            </w:pPr>
            <w:r>
              <w:rPr>
                <w:rFonts w:cs="Arial"/>
                <w:sz w:val="20"/>
                <w:szCs w:val="20"/>
              </w:rPr>
              <w:t xml:space="preserve">2) </w:t>
            </w:r>
            <w:r w:rsidR="00765C91">
              <w:rPr>
                <w:rFonts w:cs="Arial"/>
                <w:sz w:val="20"/>
                <w:szCs w:val="20"/>
              </w:rPr>
              <w:t xml:space="preserve">Please outline </w:t>
            </w:r>
            <w:r w:rsidR="00B8761C">
              <w:rPr>
                <w:rFonts w:cs="Arial"/>
                <w:sz w:val="20"/>
                <w:szCs w:val="20"/>
              </w:rPr>
              <w:t xml:space="preserve">the </w:t>
            </w:r>
            <w:r w:rsidR="00071225" w:rsidRPr="00C677F9">
              <w:rPr>
                <w:rFonts w:cs="Arial"/>
                <w:sz w:val="20"/>
                <w:szCs w:val="20"/>
              </w:rPr>
              <w:t xml:space="preserve">monitoring systems that you will use to manage and record applications </w:t>
            </w:r>
            <w:r w:rsidR="00071225">
              <w:rPr>
                <w:rFonts w:cs="Arial"/>
                <w:sz w:val="20"/>
                <w:szCs w:val="20"/>
              </w:rPr>
              <w:t>on behalf of the Council</w:t>
            </w:r>
            <w:r w:rsidR="00765C91">
              <w:rPr>
                <w:rFonts w:cs="Arial"/>
                <w:sz w:val="20"/>
                <w:szCs w:val="20"/>
              </w:rPr>
              <w:t xml:space="preserve"> to ensure timescales are met.  </w:t>
            </w:r>
          </w:p>
          <w:p w:rsidR="00071225" w:rsidRPr="00C677F9" w:rsidRDefault="00071225" w:rsidP="002B0638">
            <w:pPr>
              <w:autoSpaceDE w:val="0"/>
              <w:autoSpaceDN w:val="0"/>
              <w:adjustRightInd w:val="0"/>
              <w:rPr>
                <w:rFonts w:cs="Arial"/>
                <w:sz w:val="20"/>
                <w:szCs w:val="20"/>
              </w:rPr>
            </w:pPr>
          </w:p>
        </w:tc>
        <w:tc>
          <w:tcPr>
            <w:tcW w:w="1148" w:type="dxa"/>
            <w:vAlign w:val="center"/>
          </w:tcPr>
          <w:p w:rsidR="00071225" w:rsidRPr="00C677F9" w:rsidRDefault="00071225" w:rsidP="00A71AE0">
            <w:pPr>
              <w:autoSpaceDE w:val="0"/>
              <w:autoSpaceDN w:val="0"/>
              <w:adjustRightInd w:val="0"/>
              <w:jc w:val="center"/>
              <w:rPr>
                <w:rFonts w:cs="Arial"/>
                <w:sz w:val="20"/>
                <w:szCs w:val="20"/>
              </w:rPr>
            </w:pPr>
            <w:r>
              <w:rPr>
                <w:rFonts w:cs="Arial"/>
                <w:sz w:val="20"/>
                <w:szCs w:val="20"/>
              </w:rPr>
              <w:t>0-5</w:t>
            </w:r>
          </w:p>
        </w:tc>
        <w:tc>
          <w:tcPr>
            <w:tcW w:w="1530" w:type="dxa"/>
            <w:vAlign w:val="center"/>
          </w:tcPr>
          <w:p w:rsidR="00071225" w:rsidRPr="00C677F9" w:rsidRDefault="00326E1D">
            <w:pPr>
              <w:autoSpaceDE w:val="0"/>
              <w:autoSpaceDN w:val="0"/>
              <w:adjustRightInd w:val="0"/>
              <w:jc w:val="center"/>
              <w:rPr>
                <w:rFonts w:cs="Arial"/>
                <w:sz w:val="20"/>
                <w:szCs w:val="20"/>
              </w:rPr>
            </w:pPr>
            <w:r>
              <w:rPr>
                <w:rFonts w:cs="Arial"/>
                <w:sz w:val="20"/>
                <w:szCs w:val="20"/>
              </w:rPr>
              <w:t>10</w:t>
            </w:r>
          </w:p>
        </w:tc>
      </w:tr>
      <w:tr w:rsidR="00071225" w:rsidRPr="00C677F9" w:rsidTr="007A3FAD">
        <w:trPr>
          <w:jc w:val="center"/>
        </w:trPr>
        <w:tc>
          <w:tcPr>
            <w:tcW w:w="1549" w:type="dxa"/>
            <w:vMerge/>
          </w:tcPr>
          <w:p w:rsidR="00071225" w:rsidRPr="00C677F9" w:rsidRDefault="00071225" w:rsidP="00A71AE0">
            <w:pPr>
              <w:autoSpaceDE w:val="0"/>
              <w:autoSpaceDN w:val="0"/>
              <w:adjustRightInd w:val="0"/>
              <w:rPr>
                <w:rFonts w:cs="Arial"/>
                <w:b/>
                <w:sz w:val="20"/>
                <w:szCs w:val="20"/>
              </w:rPr>
            </w:pPr>
          </w:p>
        </w:tc>
        <w:tc>
          <w:tcPr>
            <w:tcW w:w="2770" w:type="dxa"/>
          </w:tcPr>
          <w:p w:rsidR="00071225" w:rsidRDefault="00071225" w:rsidP="00A71AE0">
            <w:pPr>
              <w:autoSpaceDE w:val="0"/>
              <w:autoSpaceDN w:val="0"/>
              <w:adjustRightInd w:val="0"/>
              <w:rPr>
                <w:rFonts w:cs="Arial"/>
                <w:sz w:val="20"/>
                <w:szCs w:val="20"/>
              </w:rPr>
            </w:pPr>
          </w:p>
          <w:p w:rsidR="00071225" w:rsidRDefault="00724EAC" w:rsidP="00A71AE0">
            <w:pPr>
              <w:autoSpaceDE w:val="0"/>
              <w:autoSpaceDN w:val="0"/>
              <w:adjustRightInd w:val="0"/>
              <w:rPr>
                <w:rFonts w:cs="Arial"/>
                <w:sz w:val="20"/>
                <w:szCs w:val="20"/>
              </w:rPr>
            </w:pPr>
            <w:r>
              <w:rPr>
                <w:rFonts w:cs="Arial"/>
                <w:sz w:val="20"/>
                <w:szCs w:val="20"/>
              </w:rPr>
              <w:t xml:space="preserve">3) </w:t>
            </w:r>
            <w:r w:rsidR="00071225">
              <w:rPr>
                <w:rFonts w:cs="Arial"/>
                <w:sz w:val="20"/>
                <w:szCs w:val="20"/>
              </w:rPr>
              <w:t>Plea</w:t>
            </w:r>
            <w:r w:rsidR="00765C91">
              <w:rPr>
                <w:rFonts w:cs="Arial"/>
                <w:sz w:val="20"/>
                <w:szCs w:val="20"/>
              </w:rPr>
              <w:t>se detail how</w:t>
            </w:r>
            <w:r w:rsidR="00327B70">
              <w:rPr>
                <w:rFonts w:cs="Arial"/>
                <w:sz w:val="20"/>
                <w:szCs w:val="20"/>
              </w:rPr>
              <w:t xml:space="preserve"> </w:t>
            </w:r>
            <w:r w:rsidR="00071225">
              <w:rPr>
                <w:rFonts w:cs="Arial"/>
                <w:sz w:val="20"/>
                <w:szCs w:val="20"/>
              </w:rPr>
              <w:t xml:space="preserve">this contract </w:t>
            </w:r>
            <w:r w:rsidR="00327B70">
              <w:rPr>
                <w:rFonts w:cs="Arial"/>
                <w:sz w:val="20"/>
                <w:szCs w:val="20"/>
              </w:rPr>
              <w:t xml:space="preserve">will be resourced </w:t>
            </w:r>
            <w:r w:rsidR="00765C91">
              <w:rPr>
                <w:rFonts w:cs="Arial"/>
                <w:sz w:val="20"/>
                <w:szCs w:val="20"/>
              </w:rPr>
              <w:t xml:space="preserve">(to ensure workloads are effectively managed and </w:t>
            </w:r>
            <w:r w:rsidR="00B8761C">
              <w:rPr>
                <w:rFonts w:cs="Arial"/>
                <w:sz w:val="20"/>
                <w:szCs w:val="20"/>
              </w:rPr>
              <w:t xml:space="preserve">the required </w:t>
            </w:r>
            <w:r w:rsidR="00765C91">
              <w:rPr>
                <w:rFonts w:cs="Arial"/>
                <w:sz w:val="20"/>
                <w:szCs w:val="20"/>
              </w:rPr>
              <w:t xml:space="preserve">expertise is provided in the required key output areas).  </w:t>
            </w:r>
          </w:p>
          <w:p w:rsidR="00071225" w:rsidRDefault="00071225" w:rsidP="00A71AE0">
            <w:pPr>
              <w:autoSpaceDE w:val="0"/>
              <w:autoSpaceDN w:val="0"/>
              <w:adjustRightInd w:val="0"/>
              <w:rPr>
                <w:rFonts w:cs="Arial"/>
                <w:sz w:val="20"/>
                <w:szCs w:val="20"/>
              </w:rPr>
            </w:pPr>
          </w:p>
          <w:p w:rsidR="00071225" w:rsidRPr="00C677F9" w:rsidRDefault="00724EAC" w:rsidP="00A71AE0">
            <w:pPr>
              <w:autoSpaceDE w:val="0"/>
              <w:autoSpaceDN w:val="0"/>
              <w:adjustRightInd w:val="0"/>
              <w:rPr>
                <w:rFonts w:cs="Arial"/>
                <w:sz w:val="20"/>
                <w:szCs w:val="20"/>
              </w:rPr>
            </w:pPr>
            <w:r>
              <w:rPr>
                <w:rFonts w:cs="Arial"/>
                <w:sz w:val="20"/>
                <w:szCs w:val="20"/>
              </w:rPr>
              <w:t xml:space="preserve">4) </w:t>
            </w:r>
            <w:r w:rsidR="00071225" w:rsidRPr="00C677F9">
              <w:rPr>
                <w:rFonts w:cs="Arial"/>
                <w:sz w:val="20"/>
                <w:szCs w:val="20"/>
              </w:rPr>
              <w:t xml:space="preserve">Please provide in no more than 2 pages of A4, the names, professional membership </w:t>
            </w:r>
            <w:r w:rsidR="00071225" w:rsidRPr="00C677F9">
              <w:rPr>
                <w:rFonts w:cs="Arial"/>
                <w:sz w:val="20"/>
                <w:szCs w:val="20"/>
              </w:rPr>
              <w:lastRenderedPageBreak/>
              <w:t>details, roles</w:t>
            </w:r>
            <w:r w:rsidR="00090788">
              <w:rPr>
                <w:rFonts w:cs="Arial"/>
                <w:sz w:val="20"/>
                <w:szCs w:val="20"/>
              </w:rPr>
              <w:t>, applicable hourly rates for this contract</w:t>
            </w:r>
            <w:r w:rsidR="00071225" w:rsidRPr="00C677F9">
              <w:rPr>
                <w:rFonts w:cs="Arial"/>
                <w:sz w:val="20"/>
                <w:szCs w:val="20"/>
              </w:rPr>
              <w:t xml:space="preserve"> and the  technical expertise &amp; experience of the consultants that will be assigned to this project and their experience in providing assessments</w:t>
            </w:r>
          </w:p>
          <w:p w:rsidR="00071225" w:rsidRPr="00C677F9" w:rsidRDefault="00071225" w:rsidP="00A71AE0">
            <w:pPr>
              <w:autoSpaceDE w:val="0"/>
              <w:autoSpaceDN w:val="0"/>
              <w:adjustRightInd w:val="0"/>
              <w:rPr>
                <w:rFonts w:cs="Arial"/>
                <w:sz w:val="20"/>
                <w:szCs w:val="20"/>
              </w:rPr>
            </w:pPr>
          </w:p>
        </w:tc>
        <w:tc>
          <w:tcPr>
            <w:tcW w:w="1148" w:type="dxa"/>
            <w:vAlign w:val="center"/>
          </w:tcPr>
          <w:p w:rsidR="00071225" w:rsidRDefault="00071225" w:rsidP="00A71AE0">
            <w:pPr>
              <w:autoSpaceDE w:val="0"/>
              <w:autoSpaceDN w:val="0"/>
              <w:adjustRightInd w:val="0"/>
              <w:jc w:val="center"/>
              <w:rPr>
                <w:rFonts w:cs="Arial"/>
                <w:sz w:val="20"/>
                <w:szCs w:val="20"/>
              </w:rPr>
            </w:pPr>
          </w:p>
          <w:p w:rsidR="00071225" w:rsidRPr="00C677F9" w:rsidRDefault="00071225" w:rsidP="00A71AE0">
            <w:pPr>
              <w:autoSpaceDE w:val="0"/>
              <w:autoSpaceDN w:val="0"/>
              <w:adjustRightInd w:val="0"/>
              <w:jc w:val="center"/>
              <w:rPr>
                <w:rFonts w:cs="Arial"/>
                <w:sz w:val="20"/>
                <w:szCs w:val="20"/>
              </w:rPr>
            </w:pPr>
            <w:r>
              <w:rPr>
                <w:rFonts w:cs="Arial"/>
                <w:sz w:val="20"/>
                <w:szCs w:val="20"/>
              </w:rPr>
              <w:t>0-5</w:t>
            </w:r>
          </w:p>
        </w:tc>
        <w:tc>
          <w:tcPr>
            <w:tcW w:w="1530" w:type="dxa"/>
            <w:vAlign w:val="center"/>
          </w:tcPr>
          <w:p w:rsidR="00071225" w:rsidRDefault="00071225" w:rsidP="00A71AE0">
            <w:pPr>
              <w:autoSpaceDE w:val="0"/>
              <w:autoSpaceDN w:val="0"/>
              <w:adjustRightInd w:val="0"/>
              <w:jc w:val="center"/>
              <w:rPr>
                <w:rFonts w:cs="Arial"/>
                <w:sz w:val="20"/>
                <w:szCs w:val="20"/>
              </w:rPr>
            </w:pPr>
          </w:p>
          <w:p w:rsidR="00071225" w:rsidRPr="00C677F9" w:rsidRDefault="00326E1D" w:rsidP="00A71AE0">
            <w:pPr>
              <w:autoSpaceDE w:val="0"/>
              <w:autoSpaceDN w:val="0"/>
              <w:adjustRightInd w:val="0"/>
              <w:jc w:val="center"/>
              <w:rPr>
                <w:rFonts w:cs="Arial"/>
                <w:sz w:val="20"/>
                <w:szCs w:val="20"/>
              </w:rPr>
            </w:pPr>
            <w:r>
              <w:rPr>
                <w:rFonts w:cs="Arial"/>
                <w:sz w:val="20"/>
                <w:szCs w:val="20"/>
              </w:rPr>
              <w:t>13</w:t>
            </w:r>
          </w:p>
        </w:tc>
      </w:tr>
      <w:tr w:rsidR="00071225" w:rsidRPr="00C677F9" w:rsidTr="007A3FAD">
        <w:trPr>
          <w:jc w:val="center"/>
        </w:trPr>
        <w:tc>
          <w:tcPr>
            <w:tcW w:w="1549" w:type="dxa"/>
            <w:vMerge w:val="restart"/>
            <w:vAlign w:val="center"/>
          </w:tcPr>
          <w:p w:rsidR="00071225" w:rsidRPr="00C677F9" w:rsidRDefault="00071225" w:rsidP="00A71AE0">
            <w:pPr>
              <w:autoSpaceDE w:val="0"/>
              <w:autoSpaceDN w:val="0"/>
              <w:adjustRightInd w:val="0"/>
              <w:rPr>
                <w:rFonts w:cs="Arial"/>
                <w:b/>
                <w:sz w:val="20"/>
                <w:szCs w:val="20"/>
              </w:rPr>
            </w:pPr>
            <w:r w:rsidRPr="00C677F9">
              <w:rPr>
                <w:rFonts w:cs="Arial"/>
                <w:b/>
                <w:sz w:val="20"/>
                <w:szCs w:val="20"/>
              </w:rPr>
              <w:t>Provision &amp; Quality of Service</w:t>
            </w:r>
          </w:p>
          <w:p w:rsidR="00071225" w:rsidRPr="00C677F9" w:rsidRDefault="00071225" w:rsidP="00A71AE0">
            <w:pPr>
              <w:autoSpaceDE w:val="0"/>
              <w:autoSpaceDN w:val="0"/>
              <w:adjustRightInd w:val="0"/>
              <w:rPr>
                <w:rFonts w:cs="Arial"/>
                <w:b/>
                <w:sz w:val="20"/>
                <w:szCs w:val="20"/>
              </w:rPr>
            </w:pPr>
          </w:p>
        </w:tc>
        <w:tc>
          <w:tcPr>
            <w:tcW w:w="2770" w:type="dxa"/>
          </w:tcPr>
          <w:p w:rsidR="00B8761C" w:rsidRDefault="00B8761C" w:rsidP="00765C91">
            <w:pPr>
              <w:autoSpaceDE w:val="0"/>
              <w:autoSpaceDN w:val="0"/>
              <w:adjustRightInd w:val="0"/>
              <w:rPr>
                <w:rFonts w:cs="Arial"/>
                <w:sz w:val="20"/>
                <w:szCs w:val="20"/>
              </w:rPr>
            </w:pPr>
          </w:p>
          <w:p w:rsidR="00765C91" w:rsidRDefault="00724EAC" w:rsidP="00765C91">
            <w:pPr>
              <w:autoSpaceDE w:val="0"/>
              <w:autoSpaceDN w:val="0"/>
              <w:adjustRightInd w:val="0"/>
              <w:rPr>
                <w:rFonts w:cs="Arial"/>
                <w:sz w:val="20"/>
                <w:szCs w:val="20"/>
              </w:rPr>
            </w:pPr>
            <w:r>
              <w:rPr>
                <w:rFonts w:cs="Arial"/>
                <w:sz w:val="20"/>
                <w:szCs w:val="20"/>
              </w:rPr>
              <w:t xml:space="preserve">5) </w:t>
            </w:r>
            <w:r w:rsidR="00765C91">
              <w:rPr>
                <w:rFonts w:cs="Arial"/>
                <w:sz w:val="20"/>
                <w:szCs w:val="20"/>
              </w:rPr>
              <w:t>Please provide details of your experience and expertise in providing observations and comments for this type of work that you h</w:t>
            </w:r>
            <w:r w:rsidR="00B8761C">
              <w:rPr>
                <w:rFonts w:cs="Arial"/>
                <w:sz w:val="20"/>
                <w:szCs w:val="20"/>
              </w:rPr>
              <w:t>ave undertaken for other local authorities</w:t>
            </w:r>
            <w:r w:rsidR="00765C91">
              <w:rPr>
                <w:rFonts w:cs="Arial"/>
                <w:sz w:val="20"/>
                <w:szCs w:val="20"/>
              </w:rPr>
              <w:t xml:space="preserve"> that will be applied to this contract.  </w:t>
            </w:r>
          </w:p>
          <w:p w:rsidR="00071225" w:rsidRPr="00C677F9" w:rsidRDefault="00071225" w:rsidP="00A71AE0">
            <w:pPr>
              <w:autoSpaceDE w:val="0"/>
              <w:autoSpaceDN w:val="0"/>
              <w:adjustRightInd w:val="0"/>
              <w:rPr>
                <w:rFonts w:cs="Arial"/>
                <w:b/>
                <w:sz w:val="20"/>
                <w:szCs w:val="20"/>
              </w:rPr>
            </w:pPr>
          </w:p>
        </w:tc>
        <w:tc>
          <w:tcPr>
            <w:tcW w:w="1148" w:type="dxa"/>
            <w:vAlign w:val="center"/>
          </w:tcPr>
          <w:p w:rsidR="00071225" w:rsidRPr="00C677F9" w:rsidRDefault="00071225" w:rsidP="00A71AE0">
            <w:pPr>
              <w:autoSpaceDE w:val="0"/>
              <w:autoSpaceDN w:val="0"/>
              <w:adjustRightInd w:val="0"/>
              <w:jc w:val="center"/>
              <w:rPr>
                <w:rFonts w:cs="Arial"/>
                <w:sz w:val="20"/>
                <w:szCs w:val="20"/>
              </w:rPr>
            </w:pPr>
            <w:r>
              <w:rPr>
                <w:rFonts w:cs="Arial"/>
                <w:sz w:val="20"/>
                <w:szCs w:val="20"/>
              </w:rPr>
              <w:t>0-5</w:t>
            </w:r>
          </w:p>
        </w:tc>
        <w:tc>
          <w:tcPr>
            <w:tcW w:w="1530" w:type="dxa"/>
            <w:vAlign w:val="center"/>
          </w:tcPr>
          <w:p w:rsidR="00071225" w:rsidRPr="00C677F9" w:rsidRDefault="00326E1D" w:rsidP="00A71AE0">
            <w:pPr>
              <w:autoSpaceDE w:val="0"/>
              <w:autoSpaceDN w:val="0"/>
              <w:adjustRightInd w:val="0"/>
              <w:jc w:val="center"/>
              <w:rPr>
                <w:rFonts w:cs="Arial"/>
                <w:sz w:val="20"/>
                <w:szCs w:val="20"/>
              </w:rPr>
            </w:pPr>
            <w:r>
              <w:rPr>
                <w:rFonts w:cs="Arial"/>
                <w:sz w:val="20"/>
                <w:szCs w:val="20"/>
              </w:rPr>
              <w:t>13</w:t>
            </w:r>
          </w:p>
        </w:tc>
      </w:tr>
      <w:tr w:rsidR="00071225" w:rsidRPr="00C677F9" w:rsidTr="007A3FAD">
        <w:trPr>
          <w:jc w:val="center"/>
        </w:trPr>
        <w:tc>
          <w:tcPr>
            <w:tcW w:w="1549" w:type="dxa"/>
            <w:vMerge/>
          </w:tcPr>
          <w:p w:rsidR="00071225" w:rsidRPr="00C677F9" w:rsidRDefault="00071225" w:rsidP="00A71AE0">
            <w:pPr>
              <w:autoSpaceDE w:val="0"/>
              <w:autoSpaceDN w:val="0"/>
              <w:adjustRightInd w:val="0"/>
              <w:rPr>
                <w:rFonts w:cs="Arial"/>
                <w:b/>
                <w:sz w:val="20"/>
                <w:szCs w:val="20"/>
              </w:rPr>
            </w:pPr>
          </w:p>
        </w:tc>
        <w:tc>
          <w:tcPr>
            <w:tcW w:w="2770" w:type="dxa"/>
          </w:tcPr>
          <w:p w:rsidR="00B8761C" w:rsidRDefault="00B8761C" w:rsidP="00A71AE0">
            <w:pPr>
              <w:autoSpaceDE w:val="0"/>
              <w:autoSpaceDN w:val="0"/>
              <w:adjustRightInd w:val="0"/>
              <w:rPr>
                <w:rFonts w:cs="Arial"/>
                <w:sz w:val="20"/>
                <w:szCs w:val="20"/>
              </w:rPr>
            </w:pPr>
          </w:p>
          <w:p w:rsidR="00071225" w:rsidRDefault="00724EAC" w:rsidP="00A71AE0">
            <w:pPr>
              <w:autoSpaceDE w:val="0"/>
              <w:autoSpaceDN w:val="0"/>
              <w:adjustRightInd w:val="0"/>
              <w:rPr>
                <w:rFonts w:cs="Arial"/>
                <w:sz w:val="20"/>
                <w:szCs w:val="20"/>
              </w:rPr>
            </w:pPr>
            <w:r>
              <w:rPr>
                <w:rFonts w:cs="Arial"/>
                <w:sz w:val="20"/>
                <w:szCs w:val="20"/>
              </w:rPr>
              <w:t xml:space="preserve">6) </w:t>
            </w:r>
            <w:r w:rsidR="00B8761C">
              <w:rPr>
                <w:rFonts w:cs="Arial"/>
                <w:sz w:val="20"/>
                <w:szCs w:val="20"/>
              </w:rPr>
              <w:t>Please detail</w:t>
            </w:r>
            <w:r w:rsidR="00071225" w:rsidRPr="00C677F9">
              <w:rPr>
                <w:rFonts w:cs="Arial"/>
                <w:sz w:val="20"/>
                <w:szCs w:val="20"/>
              </w:rPr>
              <w:t xml:space="preserve"> how repeat submissions will be approached and dealt with</w:t>
            </w:r>
          </w:p>
          <w:p w:rsidR="00071225" w:rsidRPr="00C677F9" w:rsidRDefault="00071225" w:rsidP="00A71AE0">
            <w:pPr>
              <w:autoSpaceDE w:val="0"/>
              <w:autoSpaceDN w:val="0"/>
              <w:adjustRightInd w:val="0"/>
              <w:rPr>
                <w:rFonts w:cs="Arial"/>
                <w:sz w:val="20"/>
                <w:szCs w:val="20"/>
              </w:rPr>
            </w:pPr>
          </w:p>
        </w:tc>
        <w:tc>
          <w:tcPr>
            <w:tcW w:w="1148" w:type="dxa"/>
            <w:vAlign w:val="center"/>
          </w:tcPr>
          <w:p w:rsidR="00071225" w:rsidRPr="00C677F9" w:rsidRDefault="00071225" w:rsidP="00A71AE0">
            <w:pPr>
              <w:autoSpaceDE w:val="0"/>
              <w:autoSpaceDN w:val="0"/>
              <w:adjustRightInd w:val="0"/>
              <w:jc w:val="center"/>
              <w:rPr>
                <w:rFonts w:cs="Arial"/>
                <w:sz w:val="20"/>
                <w:szCs w:val="20"/>
              </w:rPr>
            </w:pPr>
            <w:r>
              <w:rPr>
                <w:rFonts w:cs="Arial"/>
                <w:sz w:val="20"/>
                <w:szCs w:val="20"/>
              </w:rPr>
              <w:t>0-5</w:t>
            </w:r>
          </w:p>
        </w:tc>
        <w:tc>
          <w:tcPr>
            <w:tcW w:w="1530" w:type="dxa"/>
            <w:vAlign w:val="center"/>
          </w:tcPr>
          <w:p w:rsidR="00071225" w:rsidRPr="00C677F9" w:rsidRDefault="00326E1D" w:rsidP="00327A05">
            <w:pPr>
              <w:autoSpaceDE w:val="0"/>
              <w:autoSpaceDN w:val="0"/>
              <w:adjustRightInd w:val="0"/>
              <w:jc w:val="center"/>
              <w:rPr>
                <w:rFonts w:cs="Arial"/>
                <w:sz w:val="20"/>
                <w:szCs w:val="20"/>
              </w:rPr>
            </w:pPr>
            <w:r>
              <w:rPr>
                <w:rFonts w:cs="Arial"/>
                <w:sz w:val="20"/>
                <w:szCs w:val="20"/>
              </w:rPr>
              <w:t>6</w:t>
            </w:r>
          </w:p>
        </w:tc>
      </w:tr>
      <w:tr w:rsidR="00071225" w:rsidRPr="00C677F9" w:rsidTr="007A3FAD">
        <w:trPr>
          <w:jc w:val="center"/>
        </w:trPr>
        <w:tc>
          <w:tcPr>
            <w:tcW w:w="1549" w:type="dxa"/>
            <w:vMerge/>
          </w:tcPr>
          <w:p w:rsidR="00071225" w:rsidRPr="00C677F9" w:rsidRDefault="00071225" w:rsidP="00A71AE0">
            <w:pPr>
              <w:autoSpaceDE w:val="0"/>
              <w:autoSpaceDN w:val="0"/>
              <w:adjustRightInd w:val="0"/>
              <w:rPr>
                <w:rFonts w:cs="Arial"/>
                <w:b/>
                <w:sz w:val="20"/>
                <w:szCs w:val="20"/>
              </w:rPr>
            </w:pPr>
          </w:p>
        </w:tc>
        <w:tc>
          <w:tcPr>
            <w:tcW w:w="2770" w:type="dxa"/>
          </w:tcPr>
          <w:p w:rsidR="00071225" w:rsidRPr="00C677F9" w:rsidRDefault="00724EAC" w:rsidP="00C14FB7">
            <w:pPr>
              <w:autoSpaceDE w:val="0"/>
              <w:autoSpaceDN w:val="0"/>
              <w:adjustRightInd w:val="0"/>
              <w:rPr>
                <w:rFonts w:cs="Arial"/>
                <w:sz w:val="20"/>
                <w:szCs w:val="20"/>
              </w:rPr>
            </w:pPr>
            <w:r>
              <w:rPr>
                <w:rFonts w:cs="Arial"/>
                <w:sz w:val="20"/>
                <w:szCs w:val="20"/>
              </w:rPr>
              <w:t xml:space="preserve">7) </w:t>
            </w:r>
            <w:r w:rsidR="00071225" w:rsidRPr="00C677F9">
              <w:rPr>
                <w:rFonts w:cs="Arial"/>
                <w:sz w:val="20"/>
                <w:szCs w:val="20"/>
              </w:rPr>
              <w:t>Business Continuity Planning – What are your proposals for</w:t>
            </w:r>
          </w:p>
          <w:p w:rsidR="00071225" w:rsidRPr="00C677F9" w:rsidRDefault="00071225" w:rsidP="00C14FB7">
            <w:pPr>
              <w:autoSpaceDE w:val="0"/>
              <w:autoSpaceDN w:val="0"/>
              <w:adjustRightInd w:val="0"/>
              <w:rPr>
                <w:rFonts w:cs="Arial"/>
                <w:sz w:val="20"/>
                <w:szCs w:val="20"/>
              </w:rPr>
            </w:pPr>
            <w:r w:rsidRPr="00C677F9">
              <w:rPr>
                <w:rFonts w:cs="Arial"/>
                <w:sz w:val="20"/>
                <w:szCs w:val="20"/>
              </w:rPr>
              <w:t>ensuring data security ( to include</w:t>
            </w:r>
            <w:r w:rsidR="00B8761C">
              <w:rPr>
                <w:rFonts w:cs="Arial"/>
                <w:sz w:val="20"/>
                <w:szCs w:val="20"/>
              </w:rPr>
              <w:t xml:space="preserve"> GDPR, </w:t>
            </w:r>
            <w:r w:rsidRPr="00C677F9">
              <w:rPr>
                <w:rFonts w:cs="Arial"/>
                <w:sz w:val="20"/>
                <w:szCs w:val="20"/>
              </w:rPr>
              <w:t>and</w:t>
            </w:r>
          </w:p>
          <w:p w:rsidR="00B8761C" w:rsidRDefault="00071225" w:rsidP="00A71AE0">
            <w:pPr>
              <w:autoSpaceDE w:val="0"/>
              <w:autoSpaceDN w:val="0"/>
              <w:adjustRightInd w:val="0"/>
              <w:rPr>
                <w:rFonts w:cs="Arial"/>
                <w:sz w:val="20"/>
                <w:szCs w:val="20"/>
              </w:rPr>
            </w:pPr>
            <w:r w:rsidRPr="00C677F9">
              <w:rPr>
                <w:rFonts w:cs="Arial"/>
                <w:sz w:val="20"/>
                <w:szCs w:val="20"/>
              </w:rPr>
              <w:t>confidentially) and business continuity</w:t>
            </w:r>
          </w:p>
          <w:p w:rsidR="00071225" w:rsidRPr="00C677F9" w:rsidRDefault="00071225" w:rsidP="00A71AE0">
            <w:pPr>
              <w:autoSpaceDE w:val="0"/>
              <w:autoSpaceDN w:val="0"/>
              <w:adjustRightInd w:val="0"/>
              <w:rPr>
                <w:rFonts w:cs="Arial"/>
                <w:sz w:val="20"/>
                <w:szCs w:val="20"/>
              </w:rPr>
            </w:pPr>
          </w:p>
        </w:tc>
        <w:tc>
          <w:tcPr>
            <w:tcW w:w="1148" w:type="dxa"/>
            <w:vAlign w:val="center"/>
          </w:tcPr>
          <w:p w:rsidR="00071225" w:rsidRPr="00C677F9" w:rsidRDefault="00071225" w:rsidP="00A71AE0">
            <w:pPr>
              <w:autoSpaceDE w:val="0"/>
              <w:autoSpaceDN w:val="0"/>
              <w:adjustRightInd w:val="0"/>
              <w:jc w:val="center"/>
              <w:rPr>
                <w:rFonts w:cs="Arial"/>
                <w:sz w:val="20"/>
                <w:szCs w:val="20"/>
              </w:rPr>
            </w:pPr>
            <w:r>
              <w:rPr>
                <w:rFonts w:cs="Arial"/>
                <w:sz w:val="20"/>
                <w:szCs w:val="20"/>
              </w:rPr>
              <w:t>0-5</w:t>
            </w:r>
          </w:p>
        </w:tc>
        <w:tc>
          <w:tcPr>
            <w:tcW w:w="1530" w:type="dxa"/>
            <w:vAlign w:val="center"/>
          </w:tcPr>
          <w:p w:rsidR="00071225" w:rsidRPr="00C677F9" w:rsidRDefault="00326E1D" w:rsidP="00327A05">
            <w:pPr>
              <w:autoSpaceDE w:val="0"/>
              <w:autoSpaceDN w:val="0"/>
              <w:adjustRightInd w:val="0"/>
              <w:jc w:val="center"/>
              <w:rPr>
                <w:rFonts w:cs="Arial"/>
                <w:sz w:val="20"/>
                <w:szCs w:val="20"/>
              </w:rPr>
            </w:pPr>
            <w:r>
              <w:rPr>
                <w:rFonts w:cs="Arial"/>
                <w:sz w:val="20"/>
                <w:szCs w:val="20"/>
              </w:rPr>
              <w:t>6</w:t>
            </w:r>
          </w:p>
        </w:tc>
      </w:tr>
      <w:tr w:rsidR="00071225" w:rsidRPr="00C677F9" w:rsidTr="007A3FAD">
        <w:trPr>
          <w:jc w:val="center"/>
        </w:trPr>
        <w:tc>
          <w:tcPr>
            <w:tcW w:w="1549" w:type="dxa"/>
            <w:vMerge/>
          </w:tcPr>
          <w:p w:rsidR="00071225" w:rsidRPr="00C677F9" w:rsidRDefault="00071225" w:rsidP="00C14FB7">
            <w:pPr>
              <w:autoSpaceDE w:val="0"/>
              <w:autoSpaceDN w:val="0"/>
              <w:adjustRightInd w:val="0"/>
              <w:rPr>
                <w:rFonts w:cs="Arial"/>
                <w:b/>
                <w:sz w:val="20"/>
                <w:szCs w:val="20"/>
              </w:rPr>
            </w:pPr>
          </w:p>
        </w:tc>
        <w:tc>
          <w:tcPr>
            <w:tcW w:w="2770" w:type="dxa"/>
          </w:tcPr>
          <w:p w:rsidR="00071225" w:rsidRPr="00C677F9" w:rsidRDefault="00071225" w:rsidP="00C14FB7">
            <w:pPr>
              <w:autoSpaceDE w:val="0"/>
              <w:autoSpaceDN w:val="0"/>
              <w:adjustRightInd w:val="0"/>
              <w:rPr>
                <w:rFonts w:cs="Arial"/>
                <w:sz w:val="20"/>
                <w:szCs w:val="20"/>
              </w:rPr>
            </w:pPr>
            <w:r w:rsidRPr="00C677F9">
              <w:rPr>
                <w:rFonts w:cs="Arial"/>
                <w:sz w:val="20"/>
                <w:szCs w:val="20"/>
              </w:rPr>
              <w:t>Total</w:t>
            </w:r>
            <w:r w:rsidR="00242772">
              <w:rPr>
                <w:rFonts w:cs="Arial"/>
                <w:sz w:val="20"/>
                <w:szCs w:val="20"/>
              </w:rPr>
              <w:t xml:space="preserve"> (Quality Score)</w:t>
            </w:r>
          </w:p>
        </w:tc>
        <w:tc>
          <w:tcPr>
            <w:tcW w:w="1148" w:type="dxa"/>
            <w:vAlign w:val="center"/>
          </w:tcPr>
          <w:p w:rsidR="00071225" w:rsidRPr="00C677F9" w:rsidRDefault="00071225" w:rsidP="00C14FB7">
            <w:pPr>
              <w:autoSpaceDE w:val="0"/>
              <w:autoSpaceDN w:val="0"/>
              <w:adjustRightInd w:val="0"/>
              <w:jc w:val="center"/>
              <w:rPr>
                <w:rFonts w:cs="Arial"/>
                <w:sz w:val="20"/>
                <w:szCs w:val="20"/>
              </w:rPr>
            </w:pPr>
          </w:p>
        </w:tc>
        <w:tc>
          <w:tcPr>
            <w:tcW w:w="1530" w:type="dxa"/>
          </w:tcPr>
          <w:p w:rsidR="00071225" w:rsidRPr="00C677F9" w:rsidRDefault="00326E1D" w:rsidP="00C14FB7">
            <w:pPr>
              <w:autoSpaceDE w:val="0"/>
              <w:autoSpaceDN w:val="0"/>
              <w:adjustRightInd w:val="0"/>
              <w:jc w:val="center"/>
              <w:rPr>
                <w:rFonts w:cs="Arial"/>
                <w:sz w:val="20"/>
                <w:szCs w:val="20"/>
              </w:rPr>
            </w:pPr>
            <w:r>
              <w:rPr>
                <w:rFonts w:cs="Arial"/>
                <w:sz w:val="20"/>
                <w:szCs w:val="20"/>
              </w:rPr>
              <w:t>65</w:t>
            </w:r>
          </w:p>
        </w:tc>
      </w:tr>
    </w:tbl>
    <w:p w:rsidR="00724EAC" w:rsidRDefault="00724EAC" w:rsidP="00724EAC">
      <w:pPr>
        <w:spacing w:after="0" w:line="240" w:lineRule="auto"/>
        <w:rPr>
          <w:rFonts w:cs="Arial"/>
          <w:sz w:val="21"/>
          <w:szCs w:val="21"/>
        </w:rPr>
      </w:pPr>
    </w:p>
    <w:p w:rsidR="00242772" w:rsidRPr="00724EAC" w:rsidRDefault="00242772" w:rsidP="00724EAC">
      <w:pPr>
        <w:pStyle w:val="ListParagraph"/>
        <w:numPr>
          <w:ilvl w:val="0"/>
          <w:numId w:val="30"/>
        </w:numPr>
        <w:spacing w:after="0" w:line="240" w:lineRule="auto"/>
        <w:rPr>
          <w:rFonts w:eastAsia="Calibri"/>
          <w:lang w:eastAsia="en-US"/>
        </w:rPr>
      </w:pPr>
      <w:r w:rsidRPr="00724EAC">
        <w:rPr>
          <w:rFonts w:eastAsia="Calibri"/>
          <w:lang w:eastAsia="en-US"/>
        </w:rPr>
        <w:t>The components which are indicated with the appropriate weightings will be evaluated by the panel and the appropriate score will be agreed. The s</w:t>
      </w:r>
      <w:r w:rsidR="00227AED">
        <w:rPr>
          <w:rFonts w:eastAsia="Calibri"/>
          <w:lang w:eastAsia="en-US"/>
        </w:rPr>
        <w:t xml:space="preserve">core achieved for this section </w:t>
      </w:r>
      <w:r w:rsidRPr="00724EAC">
        <w:rPr>
          <w:rFonts w:eastAsia="Calibri"/>
          <w:lang w:eastAsia="en-US"/>
        </w:rPr>
        <w:t xml:space="preserve">will be weighted at 65% to give the final score for quality (Quality Score). </w:t>
      </w:r>
    </w:p>
    <w:p w:rsidR="00242772" w:rsidRPr="00491F45" w:rsidRDefault="00242772" w:rsidP="007A3FAD">
      <w:pPr>
        <w:spacing w:after="0" w:line="240" w:lineRule="auto"/>
        <w:ind w:left="567" w:hanging="567"/>
        <w:rPr>
          <w:rFonts w:eastAsia="Calibri"/>
          <w:lang w:eastAsia="en-US"/>
        </w:rPr>
      </w:pPr>
    </w:p>
    <w:p w:rsidR="00242772" w:rsidRDefault="00242772" w:rsidP="007A3FAD">
      <w:pPr>
        <w:pStyle w:val="ListParagraph"/>
        <w:numPr>
          <w:ilvl w:val="0"/>
          <w:numId w:val="46"/>
        </w:numPr>
        <w:spacing w:after="0" w:line="240" w:lineRule="auto"/>
        <w:rPr>
          <w:rFonts w:eastAsia="Calibri"/>
          <w:lang w:eastAsia="en-US"/>
        </w:rPr>
      </w:pPr>
      <w:r w:rsidRPr="007A3FAD">
        <w:rPr>
          <w:rFonts w:eastAsia="Calibri"/>
          <w:lang w:eastAsia="en-US"/>
        </w:rPr>
        <w:t>The Quality Score will be added to the Price Score to determine the Final score.</w:t>
      </w:r>
    </w:p>
    <w:p w:rsidR="00242772" w:rsidRDefault="00242772" w:rsidP="007A3FAD">
      <w:pPr>
        <w:pStyle w:val="ListParagraph"/>
        <w:numPr>
          <w:ilvl w:val="0"/>
          <w:numId w:val="46"/>
        </w:numPr>
        <w:spacing w:after="0" w:line="240" w:lineRule="auto"/>
        <w:rPr>
          <w:rFonts w:eastAsia="Calibri"/>
          <w:lang w:eastAsia="en-US"/>
        </w:rPr>
      </w:pPr>
      <w:r w:rsidRPr="007A3FAD">
        <w:rPr>
          <w:rFonts w:eastAsia="Calibri"/>
          <w:lang w:eastAsia="en-US"/>
        </w:rPr>
        <w:t>The council reserves the right to challenge any information provided in response to the RFQ and request further information in support of any statements made therein.</w:t>
      </w:r>
    </w:p>
    <w:p w:rsidR="00242772" w:rsidRDefault="00242772" w:rsidP="007A3FAD">
      <w:pPr>
        <w:pStyle w:val="ListParagraph"/>
        <w:numPr>
          <w:ilvl w:val="0"/>
          <w:numId w:val="46"/>
        </w:numPr>
        <w:spacing w:after="0" w:line="240" w:lineRule="auto"/>
        <w:rPr>
          <w:rFonts w:eastAsia="Calibri"/>
          <w:lang w:eastAsia="en-US"/>
        </w:rPr>
      </w:pPr>
      <w:r w:rsidRPr="007A3FAD">
        <w:rPr>
          <w:rFonts w:eastAsia="Calibri"/>
          <w:lang w:eastAsia="en-US"/>
        </w:rPr>
        <w:t>Potential Providers’ responses must clearly demonstrate how they propose to meet the requirements set out in the question and address each element in the order they are asked.</w:t>
      </w:r>
    </w:p>
    <w:p w:rsidR="00242772" w:rsidRDefault="00242772" w:rsidP="007A3FAD">
      <w:pPr>
        <w:pStyle w:val="ListParagraph"/>
        <w:numPr>
          <w:ilvl w:val="0"/>
          <w:numId w:val="46"/>
        </w:numPr>
        <w:spacing w:after="0" w:line="240" w:lineRule="auto"/>
        <w:rPr>
          <w:rFonts w:eastAsia="Calibri"/>
          <w:lang w:eastAsia="en-US"/>
        </w:rPr>
      </w:pPr>
      <w:r w:rsidRPr="007A3FAD">
        <w:rPr>
          <w:rFonts w:eastAsia="Calibri"/>
          <w:lang w:eastAsia="en-US"/>
        </w:rPr>
        <w:t>Potential Providers’</w:t>
      </w:r>
      <w:r w:rsidR="00724EAC" w:rsidRPr="007A3FAD">
        <w:rPr>
          <w:rFonts w:eastAsia="Calibri"/>
          <w:lang w:eastAsia="en-US"/>
        </w:rPr>
        <w:t> responses</w:t>
      </w:r>
      <w:r w:rsidRPr="007A3FAD">
        <w:rPr>
          <w:rFonts w:eastAsia="Calibri"/>
          <w:lang w:eastAsia="en-US"/>
        </w:rPr>
        <w:t xml:space="preserve"> should be limited to, and focused on each of the component parts of the question posed. They should refrain from making generalized statements and providing information not relevant to the topic.</w:t>
      </w:r>
    </w:p>
    <w:p w:rsidR="00242772" w:rsidRPr="007A3FAD" w:rsidRDefault="00242772" w:rsidP="007A3FAD">
      <w:pPr>
        <w:pStyle w:val="ListParagraph"/>
        <w:numPr>
          <w:ilvl w:val="0"/>
          <w:numId w:val="46"/>
        </w:numPr>
        <w:spacing w:after="0" w:line="240" w:lineRule="auto"/>
        <w:rPr>
          <w:rFonts w:eastAsia="Calibri"/>
          <w:lang w:eastAsia="en-US"/>
        </w:rPr>
      </w:pPr>
      <w:r w:rsidRPr="007A3FAD">
        <w:rPr>
          <w:rFonts w:eastAsia="Calibri"/>
          <w:lang w:eastAsia="en-US"/>
        </w:rPr>
        <w:t>Whilst there will be no marks given to layout, spelling, punctuation and grammar, it will assist evaluators if attention is paid to these areas including identifying key sections within responses</w:t>
      </w:r>
      <w:r>
        <w:rPr>
          <w:rFonts w:eastAsia="Calibri"/>
          <w:lang w:eastAsia="en-US"/>
        </w:rPr>
        <w:t>.</w:t>
      </w:r>
    </w:p>
    <w:p w:rsidR="00EC308F" w:rsidRDefault="00EC308F" w:rsidP="007A3FAD"/>
    <w:p w:rsidR="000A2A6E" w:rsidRPr="005963FA" w:rsidRDefault="000A2A6E" w:rsidP="007A3FAD"/>
    <w:p w:rsidR="00EC308F" w:rsidRPr="005963FA" w:rsidRDefault="00242772" w:rsidP="00EC308F">
      <w:pPr>
        <w:pStyle w:val="ListParagraph"/>
        <w:numPr>
          <w:ilvl w:val="0"/>
          <w:numId w:val="30"/>
        </w:numPr>
        <w:autoSpaceDE w:val="0"/>
        <w:autoSpaceDN w:val="0"/>
        <w:adjustRightInd w:val="0"/>
        <w:spacing w:after="0" w:line="240" w:lineRule="auto"/>
        <w:ind w:left="567" w:hanging="567"/>
        <w:rPr>
          <w:rFonts w:cs="Arial"/>
          <w:sz w:val="21"/>
          <w:szCs w:val="21"/>
        </w:rPr>
      </w:pPr>
      <w:r>
        <w:rPr>
          <w:rFonts w:cs="Arial"/>
          <w:sz w:val="21"/>
          <w:szCs w:val="21"/>
        </w:rPr>
        <w:lastRenderedPageBreak/>
        <w:t>Potential providers will be marked in accordance with the following marking scheme</w:t>
      </w:r>
      <w:r w:rsidR="00137489" w:rsidRPr="005963FA">
        <w:rPr>
          <w:rFonts w:cs="Arial"/>
          <w:sz w:val="21"/>
          <w:szCs w:val="21"/>
        </w:rPr>
        <w:t>:</w:t>
      </w: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806"/>
      </w:tblGrid>
      <w:tr w:rsidR="00137489" w:rsidRPr="005963FA" w:rsidTr="00137489">
        <w:trPr>
          <w:trHeight w:val="120"/>
        </w:trPr>
        <w:tc>
          <w:tcPr>
            <w:tcW w:w="954"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0 </w:t>
            </w:r>
          </w:p>
        </w:tc>
        <w:tc>
          <w:tcPr>
            <w:tcW w:w="7806"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Failed to address the question/issue. </w:t>
            </w:r>
          </w:p>
        </w:tc>
      </w:tr>
      <w:tr w:rsidR="00137489" w:rsidRPr="005963FA" w:rsidTr="00137489">
        <w:trPr>
          <w:trHeight w:val="266"/>
        </w:trPr>
        <w:tc>
          <w:tcPr>
            <w:tcW w:w="954"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1 </w:t>
            </w:r>
          </w:p>
        </w:tc>
        <w:tc>
          <w:tcPr>
            <w:tcW w:w="7806"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An unfavourable response/answer/solution. There is limited or poor evidence of skill/experience sought; a high risk that relevant skills will not be available. </w:t>
            </w:r>
          </w:p>
        </w:tc>
      </w:tr>
      <w:tr w:rsidR="00137489" w:rsidRPr="005963FA" w:rsidTr="00137489">
        <w:trPr>
          <w:trHeight w:val="560"/>
        </w:trPr>
        <w:tc>
          <w:tcPr>
            <w:tcW w:w="954"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2 </w:t>
            </w:r>
          </w:p>
        </w:tc>
        <w:tc>
          <w:tcPr>
            <w:tcW w:w="7806"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5963FA" w:rsidTr="00137489">
        <w:trPr>
          <w:trHeight w:val="266"/>
        </w:trPr>
        <w:tc>
          <w:tcPr>
            <w:tcW w:w="954"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3 </w:t>
            </w:r>
          </w:p>
        </w:tc>
        <w:tc>
          <w:tcPr>
            <w:tcW w:w="7806"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Acceptable response/answer/solution/information to the particular aspect of the requirement; evidence has been given of skill/experience sought. </w:t>
            </w:r>
          </w:p>
        </w:tc>
      </w:tr>
      <w:tr w:rsidR="00137489" w:rsidRPr="005963FA" w:rsidTr="00137489">
        <w:trPr>
          <w:trHeight w:val="559"/>
        </w:trPr>
        <w:tc>
          <w:tcPr>
            <w:tcW w:w="954"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4 </w:t>
            </w:r>
          </w:p>
        </w:tc>
        <w:tc>
          <w:tcPr>
            <w:tcW w:w="7806"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5963FA" w:rsidTr="00137489">
        <w:trPr>
          <w:trHeight w:val="559"/>
        </w:trPr>
        <w:tc>
          <w:tcPr>
            <w:tcW w:w="954"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5 </w:t>
            </w:r>
          </w:p>
        </w:tc>
        <w:tc>
          <w:tcPr>
            <w:tcW w:w="7806" w:type="dxa"/>
          </w:tcPr>
          <w:p w:rsidR="00137489" w:rsidRPr="005963FA" w:rsidRDefault="00137489" w:rsidP="00137489">
            <w:pPr>
              <w:autoSpaceDE w:val="0"/>
              <w:autoSpaceDN w:val="0"/>
              <w:adjustRightInd w:val="0"/>
              <w:spacing w:after="0" w:line="240" w:lineRule="auto"/>
              <w:rPr>
                <w:rFonts w:cs="Arial"/>
                <w:color w:val="000000"/>
                <w:sz w:val="21"/>
                <w:szCs w:val="21"/>
                <w:lang w:val="en-GB"/>
              </w:rPr>
            </w:pPr>
            <w:r w:rsidRPr="005963FA">
              <w:rPr>
                <w:rFonts w:cs="Arial"/>
                <w:color w:val="000000"/>
                <w:sz w:val="21"/>
                <w:szCs w:val="21"/>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rsidR="00137489" w:rsidRPr="005963FA" w:rsidRDefault="00137489" w:rsidP="00137489">
      <w:pPr>
        <w:autoSpaceDE w:val="0"/>
        <w:autoSpaceDN w:val="0"/>
        <w:adjustRightInd w:val="0"/>
        <w:spacing w:after="0" w:line="240" w:lineRule="auto"/>
        <w:rPr>
          <w:rFonts w:cs="Arial"/>
          <w:sz w:val="21"/>
          <w:szCs w:val="21"/>
        </w:rPr>
      </w:pPr>
    </w:p>
    <w:p w:rsidR="00207378" w:rsidRDefault="00137489" w:rsidP="00242772">
      <w:pPr>
        <w:pStyle w:val="ListParagraph"/>
        <w:numPr>
          <w:ilvl w:val="0"/>
          <w:numId w:val="30"/>
        </w:numPr>
        <w:autoSpaceDE w:val="0"/>
        <w:autoSpaceDN w:val="0"/>
        <w:adjustRightInd w:val="0"/>
        <w:spacing w:after="0" w:line="240" w:lineRule="auto"/>
        <w:ind w:left="426" w:hanging="426"/>
        <w:rPr>
          <w:rFonts w:cs="Arial"/>
          <w:b/>
          <w:sz w:val="21"/>
          <w:szCs w:val="21"/>
        </w:rPr>
      </w:pPr>
      <w:r w:rsidRPr="007A3FAD">
        <w:rPr>
          <w:rFonts w:cs="Arial"/>
          <w:b/>
          <w:sz w:val="21"/>
          <w:szCs w:val="21"/>
        </w:rPr>
        <w:t xml:space="preserve">Price Evaluation Process </w:t>
      </w:r>
    </w:p>
    <w:p w:rsidR="006E1317" w:rsidRPr="007A3FAD" w:rsidRDefault="006E1317" w:rsidP="007A3FAD">
      <w:pPr>
        <w:pStyle w:val="ListParagraph"/>
        <w:autoSpaceDE w:val="0"/>
        <w:autoSpaceDN w:val="0"/>
        <w:adjustRightInd w:val="0"/>
        <w:spacing w:after="0" w:line="240" w:lineRule="auto"/>
        <w:rPr>
          <w:rFonts w:cs="Arial"/>
          <w:b/>
          <w:sz w:val="21"/>
          <w:szCs w:val="21"/>
        </w:rPr>
      </w:pPr>
    </w:p>
    <w:p w:rsidR="006E1317" w:rsidRPr="00495C3E" w:rsidRDefault="006E1317" w:rsidP="007A3FAD">
      <w:pPr>
        <w:spacing w:after="0" w:line="240" w:lineRule="auto"/>
        <w:ind w:left="360"/>
        <w:rPr>
          <w:rFonts w:eastAsia="Calibri"/>
        </w:rPr>
      </w:pPr>
      <w:r w:rsidRPr="00495C3E">
        <w:rPr>
          <w:rFonts w:eastAsia="Calibri"/>
        </w:rPr>
        <w:t xml:space="preserve">For price, each submission will be assessed on the total </w:t>
      </w:r>
      <w:r>
        <w:rPr>
          <w:rFonts w:eastAsia="Calibri"/>
        </w:rPr>
        <w:t>cost of</w:t>
      </w:r>
      <w:r w:rsidR="00242772">
        <w:rPr>
          <w:rFonts w:eastAsia="Calibri"/>
        </w:rPr>
        <w:t xml:space="preserve"> </w:t>
      </w:r>
      <w:r w:rsidR="00227AED">
        <w:rPr>
          <w:rFonts w:eastAsia="Calibri"/>
        </w:rPr>
        <w:t xml:space="preserve">delivering the breakdown of estimated annual </w:t>
      </w:r>
      <w:r w:rsidR="00242772">
        <w:rPr>
          <w:rFonts w:eastAsia="Calibri"/>
        </w:rPr>
        <w:t>cases</w:t>
      </w:r>
      <w:r w:rsidRPr="00495C3E">
        <w:rPr>
          <w:rFonts w:eastAsia="Calibri"/>
        </w:rPr>
        <w:t xml:space="preserve">, using the following equation: </w:t>
      </w:r>
    </w:p>
    <w:p w:rsidR="006E1317" w:rsidRPr="00495C3E" w:rsidRDefault="006E1317" w:rsidP="007A3FAD">
      <w:pPr>
        <w:spacing w:after="0"/>
        <w:ind w:firstLine="360"/>
        <w:rPr>
          <w:rFonts w:eastAsia="Calibri"/>
        </w:rPr>
      </w:pPr>
      <w:r>
        <w:rPr>
          <w:rFonts w:eastAsia="Calibri"/>
        </w:rPr>
        <w:t xml:space="preserve">Price Score = (100% </w:t>
      </w:r>
      <w:proofErr w:type="gramStart"/>
      <w:r>
        <w:rPr>
          <w:rFonts w:eastAsia="Calibri"/>
        </w:rPr>
        <w:t>-(</w:t>
      </w:r>
      <w:proofErr w:type="gramEnd"/>
      <w:r>
        <w:rPr>
          <w:rFonts w:eastAsia="Calibri"/>
        </w:rPr>
        <w:t>A-B)/B)*35</w:t>
      </w:r>
    </w:p>
    <w:p w:rsidR="006E1317" w:rsidRDefault="006E1317" w:rsidP="007A3FAD">
      <w:pPr>
        <w:spacing w:after="0"/>
        <w:ind w:firstLine="360"/>
        <w:rPr>
          <w:rFonts w:eastAsia="Calibri"/>
        </w:rPr>
      </w:pPr>
      <w:proofErr w:type="gramStart"/>
      <w:r w:rsidRPr="00495C3E">
        <w:rPr>
          <w:rFonts w:eastAsia="Calibri"/>
        </w:rPr>
        <w:t>where</w:t>
      </w:r>
      <w:proofErr w:type="gramEnd"/>
      <w:r w:rsidRPr="00495C3E">
        <w:rPr>
          <w:rFonts w:eastAsia="Calibri"/>
        </w:rPr>
        <w:t xml:space="preserve"> A= Tendered price and B= lowest price</w:t>
      </w:r>
    </w:p>
    <w:p w:rsidR="006E1317" w:rsidRPr="00D2275C" w:rsidRDefault="006E1317" w:rsidP="006E1317">
      <w:pPr>
        <w:spacing w:after="0"/>
        <w:rPr>
          <w:rFonts w:eastAsia="Calibri"/>
        </w:rPr>
      </w:pPr>
    </w:p>
    <w:p w:rsidR="006E1317" w:rsidRPr="00495C3E" w:rsidRDefault="006E1317" w:rsidP="006E1317">
      <w:pPr>
        <w:numPr>
          <w:ilvl w:val="0"/>
          <w:numId w:val="44"/>
        </w:numPr>
        <w:spacing w:after="0" w:line="240" w:lineRule="auto"/>
        <w:rPr>
          <w:rFonts w:eastAsia="Calibri"/>
        </w:rPr>
      </w:pPr>
      <w:r w:rsidRPr="00495C3E">
        <w:rPr>
          <w:rFonts w:eastAsia="Calibri"/>
        </w:rPr>
        <w:t>The Quality Score will be added to the Price Sco</w:t>
      </w:r>
      <w:r>
        <w:rPr>
          <w:rFonts w:eastAsia="Calibri"/>
        </w:rPr>
        <w:t xml:space="preserve">re to determine the Final score.  The Council will select a supplier on a most economically advantageous tender (MEAT) basis.   </w:t>
      </w:r>
    </w:p>
    <w:p w:rsidR="00137489" w:rsidRDefault="00137489" w:rsidP="00137489">
      <w:pPr>
        <w:autoSpaceDE w:val="0"/>
        <w:autoSpaceDN w:val="0"/>
        <w:adjustRightInd w:val="0"/>
        <w:spacing w:after="0" w:line="240" w:lineRule="auto"/>
        <w:rPr>
          <w:rFonts w:cs="Arial"/>
          <w:sz w:val="21"/>
          <w:szCs w:val="21"/>
        </w:rPr>
      </w:pPr>
    </w:p>
    <w:p w:rsidR="00090788" w:rsidRPr="00724EAC" w:rsidRDefault="00090788" w:rsidP="00724EAC">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Pr>
          <w:rFonts w:cs="Arial"/>
          <w:sz w:val="21"/>
          <w:szCs w:val="21"/>
        </w:rPr>
        <w:t>Price proposals should be returned by completing the table below</w:t>
      </w:r>
      <w:r w:rsidR="00227AED">
        <w:rPr>
          <w:rFonts w:cs="Arial"/>
          <w:sz w:val="21"/>
          <w:szCs w:val="21"/>
        </w:rPr>
        <w:t xml:space="preserve"> (please insert your pricing in the green sections)</w:t>
      </w:r>
      <w:bookmarkStart w:id="0" w:name="_GoBack"/>
      <w:bookmarkEnd w:id="0"/>
      <w:r>
        <w:rPr>
          <w:rFonts w:cs="Arial"/>
          <w:sz w:val="21"/>
          <w:szCs w:val="21"/>
        </w:rPr>
        <w:t>.</w:t>
      </w:r>
    </w:p>
    <w:p w:rsidR="007A3FAD" w:rsidRPr="00FF4B89" w:rsidRDefault="007A3FAD" w:rsidP="00B54736">
      <w:pPr>
        <w:pStyle w:val="ListParagraph"/>
        <w:rPr>
          <w:rFonts w:cs="Arial"/>
          <w:color w:val="000000"/>
          <w:sz w:val="21"/>
          <w:szCs w:val="21"/>
          <w:lang w:val="en-GB"/>
        </w:rPr>
      </w:pPr>
    </w:p>
    <w:tbl>
      <w:tblPr>
        <w:tblStyle w:val="TableGrid"/>
        <w:tblW w:w="0" w:type="auto"/>
        <w:tblInd w:w="567" w:type="dxa"/>
        <w:tblLook w:val="04A0" w:firstRow="1" w:lastRow="0" w:firstColumn="1" w:lastColumn="0" w:noHBand="0" w:noVBand="1"/>
      </w:tblPr>
      <w:tblGrid>
        <w:gridCol w:w="2244"/>
        <w:gridCol w:w="2216"/>
        <w:gridCol w:w="2172"/>
        <w:gridCol w:w="2151"/>
      </w:tblGrid>
      <w:tr w:rsidR="00B54736" w:rsidTr="007B3BFD">
        <w:tc>
          <w:tcPr>
            <w:tcW w:w="2244" w:type="dxa"/>
          </w:tcPr>
          <w:p w:rsidR="00B54736" w:rsidRDefault="00B54736"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 xml:space="preserve">Type </w:t>
            </w:r>
          </w:p>
        </w:tc>
        <w:tc>
          <w:tcPr>
            <w:tcW w:w="2216" w:type="dxa"/>
          </w:tcPr>
          <w:p w:rsidR="006E1317" w:rsidRDefault="00B54736" w:rsidP="00724EAC">
            <w:pPr>
              <w:pStyle w:val="ListParagraph"/>
              <w:autoSpaceDE w:val="0"/>
              <w:autoSpaceDN w:val="0"/>
              <w:adjustRightInd w:val="0"/>
              <w:ind w:left="0"/>
              <w:jc w:val="center"/>
              <w:rPr>
                <w:rFonts w:cs="Arial"/>
                <w:color w:val="000000"/>
                <w:sz w:val="21"/>
                <w:szCs w:val="21"/>
                <w:lang w:val="en-GB"/>
              </w:rPr>
            </w:pPr>
            <w:r>
              <w:rPr>
                <w:rFonts w:cs="Arial"/>
                <w:color w:val="000000"/>
                <w:sz w:val="21"/>
                <w:szCs w:val="21"/>
                <w:lang w:val="en-GB"/>
              </w:rPr>
              <w:t>Estim</w:t>
            </w:r>
            <w:r w:rsidR="00090788">
              <w:rPr>
                <w:rFonts w:cs="Arial"/>
                <w:color w:val="000000"/>
                <w:sz w:val="21"/>
                <w:szCs w:val="21"/>
                <w:lang w:val="en-GB"/>
              </w:rPr>
              <w:t xml:space="preserve">ated volume per </w:t>
            </w:r>
            <w:r w:rsidR="00724EAC">
              <w:rPr>
                <w:rFonts w:cs="Arial"/>
                <w:color w:val="000000"/>
                <w:sz w:val="21"/>
                <w:szCs w:val="21"/>
                <w:lang w:val="en-GB"/>
              </w:rPr>
              <w:t>annum</w:t>
            </w:r>
            <w:r w:rsidR="000A2A6E">
              <w:rPr>
                <w:rFonts w:cs="Arial"/>
                <w:color w:val="000000"/>
                <w:sz w:val="21"/>
                <w:szCs w:val="21"/>
                <w:lang w:val="en-GB"/>
              </w:rPr>
              <w:t>*</w:t>
            </w:r>
          </w:p>
          <w:p w:rsidR="00090788" w:rsidRDefault="00090788" w:rsidP="00724EAC">
            <w:pPr>
              <w:pStyle w:val="ListParagraph"/>
              <w:autoSpaceDE w:val="0"/>
              <w:autoSpaceDN w:val="0"/>
              <w:adjustRightInd w:val="0"/>
              <w:ind w:left="0"/>
              <w:jc w:val="center"/>
              <w:rPr>
                <w:rFonts w:cs="Arial"/>
                <w:color w:val="000000"/>
                <w:sz w:val="21"/>
                <w:szCs w:val="21"/>
                <w:lang w:val="en-GB"/>
              </w:rPr>
            </w:pPr>
          </w:p>
          <w:p w:rsidR="00090788" w:rsidRDefault="00090788" w:rsidP="00724EAC">
            <w:pPr>
              <w:pStyle w:val="ListParagraph"/>
              <w:autoSpaceDE w:val="0"/>
              <w:autoSpaceDN w:val="0"/>
              <w:adjustRightInd w:val="0"/>
              <w:ind w:left="0"/>
              <w:jc w:val="center"/>
              <w:rPr>
                <w:rFonts w:cs="Arial"/>
                <w:color w:val="000000"/>
                <w:sz w:val="21"/>
                <w:szCs w:val="21"/>
                <w:lang w:val="en-GB"/>
              </w:rPr>
            </w:pPr>
          </w:p>
          <w:p w:rsidR="006E1317" w:rsidRDefault="006E1317" w:rsidP="00724EAC">
            <w:pPr>
              <w:pStyle w:val="ListParagraph"/>
              <w:autoSpaceDE w:val="0"/>
              <w:autoSpaceDN w:val="0"/>
              <w:adjustRightInd w:val="0"/>
              <w:ind w:left="0"/>
              <w:jc w:val="center"/>
              <w:rPr>
                <w:rFonts w:cs="Arial"/>
                <w:color w:val="000000"/>
                <w:sz w:val="21"/>
                <w:szCs w:val="21"/>
                <w:lang w:val="en-GB"/>
              </w:rPr>
            </w:pPr>
            <w:r>
              <w:rPr>
                <w:rFonts w:cs="Arial"/>
                <w:color w:val="000000"/>
                <w:sz w:val="21"/>
                <w:szCs w:val="21"/>
                <w:lang w:val="en-GB"/>
              </w:rPr>
              <w:t>(X)</w:t>
            </w:r>
          </w:p>
        </w:tc>
        <w:tc>
          <w:tcPr>
            <w:tcW w:w="2172" w:type="dxa"/>
          </w:tcPr>
          <w:p w:rsidR="00B54736" w:rsidRDefault="00B54736" w:rsidP="00724EAC">
            <w:pPr>
              <w:pStyle w:val="ListParagraph"/>
              <w:autoSpaceDE w:val="0"/>
              <w:autoSpaceDN w:val="0"/>
              <w:adjustRightInd w:val="0"/>
              <w:ind w:left="0"/>
              <w:jc w:val="center"/>
              <w:rPr>
                <w:rFonts w:cs="Arial"/>
                <w:color w:val="000000"/>
                <w:sz w:val="21"/>
                <w:szCs w:val="21"/>
                <w:lang w:val="en-GB"/>
              </w:rPr>
            </w:pPr>
            <w:r>
              <w:rPr>
                <w:rFonts w:cs="Arial"/>
                <w:color w:val="000000"/>
                <w:sz w:val="21"/>
                <w:szCs w:val="21"/>
                <w:lang w:val="en-GB"/>
              </w:rPr>
              <w:t>Cost per consult</w:t>
            </w:r>
            <w:r w:rsidR="00C26BBD">
              <w:rPr>
                <w:rFonts w:cs="Arial"/>
                <w:color w:val="000000"/>
                <w:sz w:val="21"/>
                <w:szCs w:val="21"/>
                <w:lang w:val="en-GB"/>
              </w:rPr>
              <w:t>ation</w:t>
            </w:r>
          </w:p>
          <w:p w:rsidR="006E1317" w:rsidRDefault="006E1317" w:rsidP="00724EAC">
            <w:pPr>
              <w:pStyle w:val="ListParagraph"/>
              <w:autoSpaceDE w:val="0"/>
              <w:autoSpaceDN w:val="0"/>
              <w:adjustRightInd w:val="0"/>
              <w:ind w:left="0"/>
              <w:jc w:val="center"/>
              <w:rPr>
                <w:rFonts w:cs="Arial"/>
                <w:color w:val="000000"/>
                <w:sz w:val="21"/>
                <w:szCs w:val="21"/>
                <w:lang w:val="en-GB"/>
              </w:rPr>
            </w:pPr>
          </w:p>
          <w:p w:rsidR="006E1317" w:rsidRDefault="006E1317" w:rsidP="00724EAC">
            <w:pPr>
              <w:pStyle w:val="ListParagraph"/>
              <w:autoSpaceDE w:val="0"/>
              <w:autoSpaceDN w:val="0"/>
              <w:adjustRightInd w:val="0"/>
              <w:ind w:left="0"/>
              <w:jc w:val="center"/>
              <w:rPr>
                <w:rFonts w:cs="Arial"/>
                <w:color w:val="000000"/>
                <w:sz w:val="21"/>
                <w:szCs w:val="21"/>
                <w:lang w:val="en-GB"/>
              </w:rPr>
            </w:pPr>
          </w:p>
          <w:p w:rsidR="006E1317" w:rsidRDefault="006E1317" w:rsidP="00724EAC">
            <w:pPr>
              <w:pStyle w:val="ListParagraph"/>
              <w:autoSpaceDE w:val="0"/>
              <w:autoSpaceDN w:val="0"/>
              <w:adjustRightInd w:val="0"/>
              <w:ind w:left="0"/>
              <w:jc w:val="center"/>
              <w:rPr>
                <w:rFonts w:cs="Arial"/>
                <w:color w:val="000000"/>
                <w:sz w:val="21"/>
                <w:szCs w:val="21"/>
                <w:lang w:val="en-GB"/>
              </w:rPr>
            </w:pPr>
          </w:p>
          <w:p w:rsidR="006E1317" w:rsidRDefault="006E1317" w:rsidP="00724EAC">
            <w:pPr>
              <w:pStyle w:val="ListParagraph"/>
              <w:autoSpaceDE w:val="0"/>
              <w:autoSpaceDN w:val="0"/>
              <w:adjustRightInd w:val="0"/>
              <w:ind w:left="0"/>
              <w:jc w:val="center"/>
              <w:rPr>
                <w:rFonts w:cs="Arial"/>
                <w:color w:val="000000"/>
                <w:sz w:val="21"/>
                <w:szCs w:val="21"/>
                <w:lang w:val="en-GB"/>
              </w:rPr>
            </w:pPr>
            <w:r>
              <w:rPr>
                <w:rFonts w:cs="Arial"/>
                <w:color w:val="000000"/>
                <w:sz w:val="21"/>
                <w:szCs w:val="21"/>
                <w:lang w:val="en-GB"/>
              </w:rPr>
              <w:t>(Y)</w:t>
            </w:r>
          </w:p>
        </w:tc>
        <w:tc>
          <w:tcPr>
            <w:tcW w:w="2151" w:type="dxa"/>
          </w:tcPr>
          <w:p w:rsidR="00B54736" w:rsidRDefault="00B54736" w:rsidP="00724EAC">
            <w:pPr>
              <w:pStyle w:val="ListParagraph"/>
              <w:autoSpaceDE w:val="0"/>
              <w:autoSpaceDN w:val="0"/>
              <w:adjustRightInd w:val="0"/>
              <w:ind w:left="0"/>
              <w:jc w:val="center"/>
              <w:rPr>
                <w:rFonts w:cs="Arial"/>
                <w:color w:val="000000"/>
                <w:sz w:val="21"/>
                <w:szCs w:val="21"/>
                <w:lang w:val="en-GB"/>
              </w:rPr>
            </w:pPr>
            <w:r>
              <w:rPr>
                <w:rFonts w:cs="Arial"/>
                <w:color w:val="000000"/>
                <w:sz w:val="21"/>
                <w:szCs w:val="21"/>
                <w:lang w:val="en-GB"/>
              </w:rPr>
              <w:t>Total cost</w:t>
            </w:r>
          </w:p>
          <w:p w:rsidR="006E1317" w:rsidRDefault="006E1317" w:rsidP="00724EAC">
            <w:pPr>
              <w:pStyle w:val="ListParagraph"/>
              <w:autoSpaceDE w:val="0"/>
              <w:autoSpaceDN w:val="0"/>
              <w:adjustRightInd w:val="0"/>
              <w:ind w:left="0"/>
              <w:jc w:val="center"/>
              <w:rPr>
                <w:rFonts w:cs="Arial"/>
                <w:color w:val="000000"/>
                <w:sz w:val="21"/>
                <w:szCs w:val="21"/>
                <w:lang w:val="en-GB"/>
              </w:rPr>
            </w:pPr>
          </w:p>
          <w:p w:rsidR="006E1317" w:rsidRDefault="006E1317" w:rsidP="00724EAC">
            <w:pPr>
              <w:pStyle w:val="ListParagraph"/>
              <w:autoSpaceDE w:val="0"/>
              <w:autoSpaceDN w:val="0"/>
              <w:adjustRightInd w:val="0"/>
              <w:ind w:left="0"/>
              <w:jc w:val="center"/>
              <w:rPr>
                <w:rFonts w:cs="Arial"/>
                <w:color w:val="000000"/>
                <w:sz w:val="21"/>
                <w:szCs w:val="21"/>
                <w:lang w:val="en-GB"/>
              </w:rPr>
            </w:pPr>
          </w:p>
          <w:p w:rsidR="006E1317" w:rsidRDefault="006E1317" w:rsidP="00724EAC">
            <w:pPr>
              <w:pStyle w:val="ListParagraph"/>
              <w:autoSpaceDE w:val="0"/>
              <w:autoSpaceDN w:val="0"/>
              <w:adjustRightInd w:val="0"/>
              <w:ind w:left="0"/>
              <w:jc w:val="center"/>
              <w:rPr>
                <w:rFonts w:cs="Arial"/>
                <w:color w:val="000000"/>
                <w:sz w:val="21"/>
                <w:szCs w:val="21"/>
                <w:lang w:val="en-GB"/>
              </w:rPr>
            </w:pPr>
          </w:p>
          <w:p w:rsidR="006E1317" w:rsidRDefault="006E1317" w:rsidP="00724EAC">
            <w:pPr>
              <w:pStyle w:val="ListParagraph"/>
              <w:autoSpaceDE w:val="0"/>
              <w:autoSpaceDN w:val="0"/>
              <w:adjustRightInd w:val="0"/>
              <w:ind w:left="0"/>
              <w:jc w:val="center"/>
              <w:rPr>
                <w:rFonts w:cs="Arial"/>
                <w:color w:val="000000"/>
                <w:sz w:val="21"/>
                <w:szCs w:val="21"/>
                <w:lang w:val="en-GB"/>
              </w:rPr>
            </w:pPr>
            <w:r>
              <w:rPr>
                <w:rFonts w:cs="Arial"/>
                <w:color w:val="000000"/>
                <w:sz w:val="21"/>
                <w:szCs w:val="21"/>
                <w:lang w:val="en-GB"/>
              </w:rPr>
              <w:t>(X * Y)</w:t>
            </w:r>
          </w:p>
        </w:tc>
      </w:tr>
      <w:tr w:rsidR="00B54736" w:rsidTr="00227AED">
        <w:tc>
          <w:tcPr>
            <w:tcW w:w="2244" w:type="dxa"/>
          </w:tcPr>
          <w:p w:rsidR="00B54736" w:rsidRDefault="00B54736"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Noise and vibration</w:t>
            </w:r>
          </w:p>
        </w:tc>
        <w:tc>
          <w:tcPr>
            <w:tcW w:w="2216" w:type="dxa"/>
          </w:tcPr>
          <w:p w:rsidR="00B54736" w:rsidRDefault="000A2A6E"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243</w:t>
            </w:r>
          </w:p>
        </w:tc>
        <w:tc>
          <w:tcPr>
            <w:tcW w:w="2172"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c>
          <w:tcPr>
            <w:tcW w:w="2151"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r>
      <w:tr w:rsidR="00B54736" w:rsidTr="00227AED">
        <w:tc>
          <w:tcPr>
            <w:tcW w:w="2244" w:type="dxa"/>
          </w:tcPr>
          <w:p w:rsidR="00B54736" w:rsidRDefault="00B54736"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Fume Extraction</w:t>
            </w:r>
          </w:p>
        </w:tc>
        <w:tc>
          <w:tcPr>
            <w:tcW w:w="2216" w:type="dxa"/>
          </w:tcPr>
          <w:p w:rsidR="000A2A6E" w:rsidRDefault="000A2A6E"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16</w:t>
            </w:r>
          </w:p>
        </w:tc>
        <w:tc>
          <w:tcPr>
            <w:tcW w:w="2172"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c>
          <w:tcPr>
            <w:tcW w:w="2151"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r>
      <w:tr w:rsidR="00B54736" w:rsidTr="00227AED">
        <w:tc>
          <w:tcPr>
            <w:tcW w:w="2244" w:type="dxa"/>
          </w:tcPr>
          <w:p w:rsidR="00B54736" w:rsidRDefault="00B54736"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Light pollution</w:t>
            </w:r>
          </w:p>
        </w:tc>
        <w:tc>
          <w:tcPr>
            <w:tcW w:w="2216" w:type="dxa"/>
          </w:tcPr>
          <w:p w:rsidR="00B54736" w:rsidRDefault="000A2A6E"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29</w:t>
            </w:r>
          </w:p>
        </w:tc>
        <w:tc>
          <w:tcPr>
            <w:tcW w:w="2172"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c>
          <w:tcPr>
            <w:tcW w:w="2151"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r>
      <w:tr w:rsidR="00B54736" w:rsidTr="00227AED">
        <w:tc>
          <w:tcPr>
            <w:tcW w:w="2244" w:type="dxa"/>
          </w:tcPr>
          <w:p w:rsidR="00B54736" w:rsidRDefault="00B54736"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Construction impacts</w:t>
            </w:r>
          </w:p>
        </w:tc>
        <w:tc>
          <w:tcPr>
            <w:tcW w:w="2216" w:type="dxa"/>
          </w:tcPr>
          <w:p w:rsidR="00B54736" w:rsidRDefault="000A2A6E"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36</w:t>
            </w:r>
          </w:p>
        </w:tc>
        <w:tc>
          <w:tcPr>
            <w:tcW w:w="2172"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c>
          <w:tcPr>
            <w:tcW w:w="2151"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r>
      <w:tr w:rsidR="00B54736" w:rsidTr="00227AED">
        <w:tc>
          <w:tcPr>
            <w:tcW w:w="2244" w:type="dxa"/>
          </w:tcPr>
          <w:p w:rsidR="00B54736" w:rsidRDefault="00B54736"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Contamination of Land</w:t>
            </w:r>
          </w:p>
        </w:tc>
        <w:tc>
          <w:tcPr>
            <w:tcW w:w="2216" w:type="dxa"/>
          </w:tcPr>
          <w:p w:rsidR="00B54736" w:rsidRDefault="000A2A6E"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65</w:t>
            </w:r>
          </w:p>
        </w:tc>
        <w:tc>
          <w:tcPr>
            <w:tcW w:w="2172"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c>
          <w:tcPr>
            <w:tcW w:w="2151" w:type="dxa"/>
            <w:shd w:val="clear" w:color="auto" w:fill="92D050"/>
          </w:tcPr>
          <w:p w:rsidR="00B54736" w:rsidRPr="000A2A6E" w:rsidRDefault="006E1317" w:rsidP="007B3BFD">
            <w:pPr>
              <w:pStyle w:val="ListParagraph"/>
              <w:autoSpaceDE w:val="0"/>
              <w:autoSpaceDN w:val="0"/>
              <w:adjustRightInd w:val="0"/>
              <w:ind w:left="0"/>
              <w:rPr>
                <w:rFonts w:cs="Arial"/>
                <w:color w:val="000000"/>
                <w:sz w:val="21"/>
                <w:szCs w:val="21"/>
                <w:lang w:val="en-GB"/>
              </w:rPr>
            </w:pPr>
            <w:r w:rsidRPr="000A2A6E">
              <w:rPr>
                <w:rFonts w:cs="Arial"/>
                <w:color w:val="000000"/>
                <w:sz w:val="21"/>
                <w:szCs w:val="21"/>
                <w:lang w:val="en-GB"/>
              </w:rPr>
              <w:t>£</w:t>
            </w:r>
          </w:p>
        </w:tc>
      </w:tr>
      <w:tr w:rsidR="00242772" w:rsidRPr="00ED1195" w:rsidTr="00227AED">
        <w:tc>
          <w:tcPr>
            <w:tcW w:w="6632" w:type="dxa"/>
            <w:gridSpan w:val="3"/>
          </w:tcPr>
          <w:p w:rsidR="00242772" w:rsidRPr="00ED1195" w:rsidRDefault="00ED1195"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Total Annual Cost</w:t>
            </w:r>
          </w:p>
        </w:tc>
        <w:tc>
          <w:tcPr>
            <w:tcW w:w="2151" w:type="dxa"/>
            <w:shd w:val="clear" w:color="auto" w:fill="92D050"/>
          </w:tcPr>
          <w:p w:rsidR="00242772" w:rsidRPr="00ED1195" w:rsidRDefault="00242772" w:rsidP="007B3BFD">
            <w:pPr>
              <w:pStyle w:val="ListParagraph"/>
              <w:autoSpaceDE w:val="0"/>
              <w:autoSpaceDN w:val="0"/>
              <w:adjustRightInd w:val="0"/>
              <w:ind w:left="0"/>
              <w:rPr>
                <w:rFonts w:cs="Arial"/>
                <w:color w:val="000000"/>
                <w:sz w:val="24"/>
                <w:szCs w:val="24"/>
                <w:lang w:val="en-GB"/>
              </w:rPr>
            </w:pPr>
            <w:r w:rsidRPr="00ED1195">
              <w:rPr>
                <w:rFonts w:cs="Arial"/>
                <w:color w:val="000000"/>
                <w:sz w:val="24"/>
                <w:szCs w:val="24"/>
                <w:lang w:val="en-GB"/>
              </w:rPr>
              <w:t>£</w:t>
            </w:r>
          </w:p>
        </w:tc>
      </w:tr>
      <w:tr w:rsidR="00ED1195" w:rsidRPr="00ED1195" w:rsidTr="00227AED">
        <w:tc>
          <w:tcPr>
            <w:tcW w:w="6632" w:type="dxa"/>
            <w:gridSpan w:val="3"/>
          </w:tcPr>
          <w:p w:rsidR="00ED1195" w:rsidRDefault="00ED1195" w:rsidP="007B3BFD">
            <w:pPr>
              <w:pStyle w:val="ListParagraph"/>
              <w:autoSpaceDE w:val="0"/>
              <w:autoSpaceDN w:val="0"/>
              <w:adjustRightInd w:val="0"/>
              <w:ind w:left="0"/>
              <w:rPr>
                <w:rFonts w:cs="Arial"/>
                <w:color w:val="000000"/>
                <w:sz w:val="21"/>
                <w:szCs w:val="21"/>
                <w:lang w:val="en-GB"/>
              </w:rPr>
            </w:pPr>
            <w:r w:rsidRPr="00ED1195">
              <w:rPr>
                <w:rFonts w:cs="Arial"/>
                <w:b/>
                <w:color w:val="000000"/>
                <w:sz w:val="32"/>
                <w:szCs w:val="32"/>
                <w:lang w:val="en-GB"/>
              </w:rPr>
              <w:t>Total Contract Cost</w:t>
            </w:r>
            <w:r>
              <w:rPr>
                <w:rFonts w:cs="Arial"/>
                <w:color w:val="000000"/>
                <w:sz w:val="21"/>
                <w:szCs w:val="21"/>
                <w:lang w:val="en-GB"/>
              </w:rPr>
              <w:t xml:space="preserve"> (X * Y) * 2 years  </w:t>
            </w:r>
            <w:r w:rsidRPr="00ED1195">
              <w:rPr>
                <w:rFonts w:cs="Arial"/>
                <w:b/>
                <w:color w:val="000000"/>
                <w:sz w:val="32"/>
                <w:szCs w:val="32"/>
                <w:lang w:val="en-GB"/>
              </w:rPr>
              <w:t>(For Evaluation)</w:t>
            </w:r>
          </w:p>
        </w:tc>
        <w:tc>
          <w:tcPr>
            <w:tcW w:w="2151" w:type="dxa"/>
            <w:shd w:val="clear" w:color="auto" w:fill="92D050"/>
          </w:tcPr>
          <w:p w:rsidR="00ED1195" w:rsidRPr="00ED1195" w:rsidRDefault="00ED1195" w:rsidP="007B3BFD">
            <w:pPr>
              <w:pStyle w:val="ListParagraph"/>
              <w:autoSpaceDE w:val="0"/>
              <w:autoSpaceDN w:val="0"/>
              <w:adjustRightInd w:val="0"/>
              <w:ind w:left="0"/>
              <w:rPr>
                <w:rFonts w:cs="Arial"/>
                <w:b/>
                <w:color w:val="000000"/>
                <w:sz w:val="32"/>
                <w:szCs w:val="32"/>
                <w:lang w:val="en-GB"/>
              </w:rPr>
            </w:pPr>
            <w:r w:rsidRPr="00ED1195">
              <w:rPr>
                <w:rFonts w:cs="Arial"/>
                <w:b/>
                <w:color w:val="000000"/>
                <w:sz w:val="32"/>
                <w:szCs w:val="32"/>
                <w:lang w:val="en-GB"/>
              </w:rPr>
              <w:t>£</w:t>
            </w:r>
          </w:p>
        </w:tc>
      </w:tr>
    </w:tbl>
    <w:p w:rsidR="00B54736" w:rsidRPr="000A2A6E" w:rsidRDefault="000A2A6E" w:rsidP="000A2A6E">
      <w:pPr>
        <w:autoSpaceDE w:val="0"/>
        <w:autoSpaceDN w:val="0"/>
        <w:adjustRightInd w:val="0"/>
        <w:spacing w:after="0" w:line="240" w:lineRule="auto"/>
        <w:rPr>
          <w:rFonts w:cs="Arial"/>
          <w:sz w:val="14"/>
          <w:szCs w:val="21"/>
        </w:rPr>
      </w:pPr>
      <w:r w:rsidRPr="000A2A6E">
        <w:rPr>
          <w:rFonts w:cs="Arial"/>
          <w:sz w:val="14"/>
          <w:szCs w:val="21"/>
        </w:rPr>
        <w:t>*based on 17/18 figures</w:t>
      </w:r>
    </w:p>
    <w:sectPr w:rsidR="00B54736" w:rsidRPr="000A2A6E" w:rsidSect="00855982">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DBC" w:rsidRDefault="00075DBC" w:rsidP="00855982">
      <w:pPr>
        <w:spacing w:after="0" w:line="240" w:lineRule="auto"/>
      </w:pPr>
      <w:r>
        <w:separator/>
      </w:r>
    </w:p>
  </w:endnote>
  <w:endnote w:type="continuationSeparator" w:id="0">
    <w:p w:rsidR="00075DBC" w:rsidRDefault="00075DBC"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59961"/>
      <w:docPartObj>
        <w:docPartGallery w:val="Page Numbers (Bottom of Page)"/>
        <w:docPartUnique/>
      </w:docPartObj>
    </w:sdtPr>
    <w:sdtEndPr>
      <w:rPr>
        <w:noProof/>
        <w:sz w:val="18"/>
      </w:rPr>
    </w:sdtEndPr>
    <w:sdtContent>
      <w:p w:rsidR="00855982" w:rsidRPr="007414C7" w:rsidRDefault="00855982">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227AED">
          <w:rPr>
            <w:noProof/>
            <w:sz w:val="18"/>
          </w:rPr>
          <w:t>7</w:t>
        </w:r>
        <w:r w:rsidRPr="007414C7">
          <w:rPr>
            <w:noProof/>
            <w:sz w:val="18"/>
          </w:rPr>
          <w:fldChar w:fldCharType="end"/>
        </w:r>
        <w:r w:rsidR="007414C7" w:rsidRPr="007414C7">
          <w:rPr>
            <w:noProof/>
            <w:sz w:val="18"/>
          </w:rPr>
          <w:t xml:space="preserve"> – RFQBrief Environmental Tender July 2018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DBC" w:rsidRDefault="00075DBC" w:rsidP="00855982">
      <w:pPr>
        <w:spacing w:after="0" w:line="240" w:lineRule="auto"/>
      </w:pPr>
      <w:r>
        <w:separator/>
      </w:r>
    </w:p>
  </w:footnote>
  <w:footnote w:type="continuationSeparator" w:id="0">
    <w:p w:rsidR="00075DBC" w:rsidRDefault="00075DBC" w:rsidP="00855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486ADF"/>
    <w:multiLevelType w:val="hybridMultilevel"/>
    <w:tmpl w:val="5DEA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746EF0"/>
    <w:multiLevelType w:val="hybridMultilevel"/>
    <w:tmpl w:val="5582D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0DC687A"/>
    <w:multiLevelType w:val="hybridMultilevel"/>
    <w:tmpl w:val="A06E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84294E"/>
    <w:multiLevelType w:val="hybridMultilevel"/>
    <w:tmpl w:val="A76A0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220C49"/>
    <w:multiLevelType w:val="hybridMultilevel"/>
    <w:tmpl w:val="2076D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CD77A3"/>
    <w:multiLevelType w:val="hybridMultilevel"/>
    <w:tmpl w:val="13120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C2642E0"/>
    <w:multiLevelType w:val="hybridMultilevel"/>
    <w:tmpl w:val="C0A624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3D1625E"/>
    <w:multiLevelType w:val="hybridMultilevel"/>
    <w:tmpl w:val="BDF2A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176376"/>
    <w:multiLevelType w:val="hybridMultilevel"/>
    <w:tmpl w:val="F18C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F622BF"/>
    <w:multiLevelType w:val="hybridMultilevel"/>
    <w:tmpl w:val="732C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AA3EDE"/>
    <w:multiLevelType w:val="hybridMultilevel"/>
    <w:tmpl w:val="1110D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A351B52"/>
    <w:multiLevelType w:val="hybridMultilevel"/>
    <w:tmpl w:val="AB24F1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514F063D"/>
    <w:multiLevelType w:val="hybridMultilevel"/>
    <w:tmpl w:val="00B44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4465558"/>
    <w:multiLevelType w:val="hybridMultilevel"/>
    <w:tmpl w:val="2EA03988"/>
    <w:lvl w:ilvl="0" w:tplc="8C261AD8">
      <w:start w:val="1"/>
      <w:numFmt w:val="upperLetter"/>
      <w:lvlText w:val="%1-"/>
      <w:lvlJc w:val="left"/>
      <w:pPr>
        <w:ind w:left="2493" w:hanging="360"/>
      </w:pPr>
      <w:rPr>
        <w:rFonts w:hint="default"/>
      </w:rPr>
    </w:lvl>
    <w:lvl w:ilvl="1" w:tplc="08090019" w:tentative="1">
      <w:start w:val="1"/>
      <w:numFmt w:val="lowerLetter"/>
      <w:lvlText w:val="%2."/>
      <w:lvlJc w:val="left"/>
      <w:pPr>
        <w:ind w:left="3213" w:hanging="360"/>
      </w:pPr>
    </w:lvl>
    <w:lvl w:ilvl="2" w:tplc="0809001B" w:tentative="1">
      <w:start w:val="1"/>
      <w:numFmt w:val="lowerRoman"/>
      <w:lvlText w:val="%3."/>
      <w:lvlJc w:val="right"/>
      <w:pPr>
        <w:ind w:left="3933" w:hanging="180"/>
      </w:pPr>
    </w:lvl>
    <w:lvl w:ilvl="3" w:tplc="0809000F" w:tentative="1">
      <w:start w:val="1"/>
      <w:numFmt w:val="decimal"/>
      <w:lvlText w:val="%4."/>
      <w:lvlJc w:val="left"/>
      <w:pPr>
        <w:ind w:left="4653" w:hanging="360"/>
      </w:pPr>
    </w:lvl>
    <w:lvl w:ilvl="4" w:tplc="08090019" w:tentative="1">
      <w:start w:val="1"/>
      <w:numFmt w:val="lowerLetter"/>
      <w:lvlText w:val="%5."/>
      <w:lvlJc w:val="left"/>
      <w:pPr>
        <w:ind w:left="5373" w:hanging="360"/>
      </w:pPr>
    </w:lvl>
    <w:lvl w:ilvl="5" w:tplc="0809001B" w:tentative="1">
      <w:start w:val="1"/>
      <w:numFmt w:val="lowerRoman"/>
      <w:lvlText w:val="%6."/>
      <w:lvlJc w:val="right"/>
      <w:pPr>
        <w:ind w:left="6093" w:hanging="180"/>
      </w:pPr>
    </w:lvl>
    <w:lvl w:ilvl="6" w:tplc="0809000F" w:tentative="1">
      <w:start w:val="1"/>
      <w:numFmt w:val="decimal"/>
      <w:lvlText w:val="%7."/>
      <w:lvlJc w:val="left"/>
      <w:pPr>
        <w:ind w:left="6813" w:hanging="360"/>
      </w:pPr>
    </w:lvl>
    <w:lvl w:ilvl="7" w:tplc="08090019" w:tentative="1">
      <w:start w:val="1"/>
      <w:numFmt w:val="lowerLetter"/>
      <w:lvlText w:val="%8."/>
      <w:lvlJc w:val="left"/>
      <w:pPr>
        <w:ind w:left="7533" w:hanging="360"/>
      </w:pPr>
    </w:lvl>
    <w:lvl w:ilvl="8" w:tplc="0809001B" w:tentative="1">
      <w:start w:val="1"/>
      <w:numFmt w:val="lowerRoman"/>
      <w:lvlText w:val="%9."/>
      <w:lvlJc w:val="right"/>
      <w:pPr>
        <w:ind w:left="8253" w:hanging="180"/>
      </w:pPr>
    </w:lvl>
  </w:abstractNum>
  <w:abstractNum w:abstractNumId="35"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0"/>
  </w:num>
  <w:num w:numId="14">
    <w:abstractNumId w:val="30"/>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8"/>
  </w:num>
  <w:num w:numId="29">
    <w:abstractNumId w:val="25"/>
  </w:num>
  <w:num w:numId="30">
    <w:abstractNumId w:val="35"/>
  </w:num>
  <w:num w:numId="31">
    <w:abstractNumId w:val="27"/>
  </w:num>
  <w:num w:numId="32">
    <w:abstractNumId w:val="23"/>
  </w:num>
  <w:num w:numId="33">
    <w:abstractNumId w:val="32"/>
  </w:num>
  <w:num w:numId="34">
    <w:abstractNumId w:val="20"/>
  </w:num>
  <w:num w:numId="35">
    <w:abstractNumId w:val="14"/>
  </w:num>
  <w:num w:numId="36">
    <w:abstractNumId w:val="16"/>
  </w:num>
  <w:num w:numId="37">
    <w:abstractNumId w:val="19"/>
  </w:num>
  <w:num w:numId="38">
    <w:abstractNumId w:val="15"/>
  </w:num>
  <w:num w:numId="39">
    <w:abstractNumId w:val="21"/>
  </w:num>
  <w:num w:numId="40">
    <w:abstractNumId w:val="28"/>
  </w:num>
  <w:num w:numId="41">
    <w:abstractNumId w:val="34"/>
  </w:num>
  <w:num w:numId="42">
    <w:abstractNumId w:val="31"/>
  </w:num>
  <w:num w:numId="43">
    <w:abstractNumId w:val="29"/>
  </w:num>
  <w:num w:numId="44">
    <w:abstractNumId w:val="24"/>
  </w:num>
  <w:num w:numId="45">
    <w:abstractNumId w:val="33"/>
  </w:num>
  <w:num w:numId="46">
    <w:abstractNumId w:val="2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AC"/>
    <w:rsid w:val="0002564A"/>
    <w:rsid w:val="00071225"/>
    <w:rsid w:val="00075DBC"/>
    <w:rsid w:val="00084941"/>
    <w:rsid w:val="00090788"/>
    <w:rsid w:val="000A2A6E"/>
    <w:rsid w:val="000E6B66"/>
    <w:rsid w:val="00105B13"/>
    <w:rsid w:val="00133477"/>
    <w:rsid w:val="00137489"/>
    <w:rsid w:val="001459FA"/>
    <w:rsid w:val="00173B3C"/>
    <w:rsid w:val="001A4E5C"/>
    <w:rsid w:val="001D1078"/>
    <w:rsid w:val="001D4362"/>
    <w:rsid w:val="001D7196"/>
    <w:rsid w:val="001F0847"/>
    <w:rsid w:val="002049A4"/>
    <w:rsid w:val="00207378"/>
    <w:rsid w:val="00207A32"/>
    <w:rsid w:val="00212FAB"/>
    <w:rsid w:val="00227AED"/>
    <w:rsid w:val="00242772"/>
    <w:rsid w:val="00271D29"/>
    <w:rsid w:val="002B0638"/>
    <w:rsid w:val="002F71D2"/>
    <w:rsid w:val="003067D8"/>
    <w:rsid w:val="00326E1D"/>
    <w:rsid w:val="003275AC"/>
    <w:rsid w:val="00327A05"/>
    <w:rsid w:val="00327B70"/>
    <w:rsid w:val="00332C90"/>
    <w:rsid w:val="00340230"/>
    <w:rsid w:val="00374FC8"/>
    <w:rsid w:val="003B36DE"/>
    <w:rsid w:val="003E01A8"/>
    <w:rsid w:val="0043643C"/>
    <w:rsid w:val="00450A77"/>
    <w:rsid w:val="00464544"/>
    <w:rsid w:val="00481CB2"/>
    <w:rsid w:val="004D7592"/>
    <w:rsid w:val="004F0E2A"/>
    <w:rsid w:val="0050549E"/>
    <w:rsid w:val="00520F6B"/>
    <w:rsid w:val="00521EAF"/>
    <w:rsid w:val="005348CF"/>
    <w:rsid w:val="005355BB"/>
    <w:rsid w:val="005356DF"/>
    <w:rsid w:val="00562631"/>
    <w:rsid w:val="00566E44"/>
    <w:rsid w:val="00570C59"/>
    <w:rsid w:val="005963FA"/>
    <w:rsid w:val="005E661B"/>
    <w:rsid w:val="0062190C"/>
    <w:rsid w:val="00626C58"/>
    <w:rsid w:val="006458F7"/>
    <w:rsid w:val="006708E9"/>
    <w:rsid w:val="00681FB2"/>
    <w:rsid w:val="00683EB8"/>
    <w:rsid w:val="006E1317"/>
    <w:rsid w:val="006F13A1"/>
    <w:rsid w:val="00724EAC"/>
    <w:rsid w:val="007414C7"/>
    <w:rsid w:val="007437B4"/>
    <w:rsid w:val="00750589"/>
    <w:rsid w:val="00764B4F"/>
    <w:rsid w:val="00765C91"/>
    <w:rsid w:val="007833A7"/>
    <w:rsid w:val="00792377"/>
    <w:rsid w:val="007A3FAD"/>
    <w:rsid w:val="007C4613"/>
    <w:rsid w:val="007D35EA"/>
    <w:rsid w:val="007F6CCD"/>
    <w:rsid w:val="008116BD"/>
    <w:rsid w:val="00845E0F"/>
    <w:rsid w:val="00855982"/>
    <w:rsid w:val="00860473"/>
    <w:rsid w:val="00874731"/>
    <w:rsid w:val="008852A2"/>
    <w:rsid w:val="0089180C"/>
    <w:rsid w:val="00891F36"/>
    <w:rsid w:val="008C7BF0"/>
    <w:rsid w:val="008E2B08"/>
    <w:rsid w:val="00906019"/>
    <w:rsid w:val="00911D51"/>
    <w:rsid w:val="00912100"/>
    <w:rsid w:val="00931D44"/>
    <w:rsid w:val="0096199F"/>
    <w:rsid w:val="0097322A"/>
    <w:rsid w:val="009933EC"/>
    <w:rsid w:val="009A40B3"/>
    <w:rsid w:val="009D29D4"/>
    <w:rsid w:val="009E55C2"/>
    <w:rsid w:val="009F2406"/>
    <w:rsid w:val="00A10484"/>
    <w:rsid w:val="00A30AC5"/>
    <w:rsid w:val="00A31331"/>
    <w:rsid w:val="00A71AE0"/>
    <w:rsid w:val="00A77FD0"/>
    <w:rsid w:val="00A87FA9"/>
    <w:rsid w:val="00AC1BC3"/>
    <w:rsid w:val="00B042EE"/>
    <w:rsid w:val="00B045EC"/>
    <w:rsid w:val="00B3521E"/>
    <w:rsid w:val="00B54736"/>
    <w:rsid w:val="00B54C26"/>
    <w:rsid w:val="00B8761C"/>
    <w:rsid w:val="00B9567B"/>
    <w:rsid w:val="00B97161"/>
    <w:rsid w:val="00BB7A6C"/>
    <w:rsid w:val="00BE366B"/>
    <w:rsid w:val="00BF5FBF"/>
    <w:rsid w:val="00C048D6"/>
    <w:rsid w:val="00C12A00"/>
    <w:rsid w:val="00C14FB7"/>
    <w:rsid w:val="00C26BBD"/>
    <w:rsid w:val="00C43549"/>
    <w:rsid w:val="00C63994"/>
    <w:rsid w:val="00C677F9"/>
    <w:rsid w:val="00C8035A"/>
    <w:rsid w:val="00C91259"/>
    <w:rsid w:val="00CA3E27"/>
    <w:rsid w:val="00CA5D3C"/>
    <w:rsid w:val="00CF5577"/>
    <w:rsid w:val="00D00D8B"/>
    <w:rsid w:val="00D46DE2"/>
    <w:rsid w:val="00D4749D"/>
    <w:rsid w:val="00D872AC"/>
    <w:rsid w:val="00DD08D6"/>
    <w:rsid w:val="00DE2EA9"/>
    <w:rsid w:val="00E36DB8"/>
    <w:rsid w:val="00E41F95"/>
    <w:rsid w:val="00E74288"/>
    <w:rsid w:val="00EB27F0"/>
    <w:rsid w:val="00EC0F4E"/>
    <w:rsid w:val="00EC308F"/>
    <w:rsid w:val="00EC798D"/>
    <w:rsid w:val="00ED1195"/>
    <w:rsid w:val="00EF7455"/>
    <w:rsid w:val="00F71EC5"/>
    <w:rsid w:val="00F7473E"/>
    <w:rsid w:val="00F96D1A"/>
    <w:rsid w:val="00FC1CCA"/>
    <w:rsid w:val="00FD262C"/>
    <w:rsid w:val="00FF4B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71810-3EF7-4C8E-BCBA-248ABE2BAB39}">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4873beb7-5857-4685-be1f-d57550cc96cc"/>
    <ds:schemaRef ds:uri="http://purl.org/dc/elements/1.1/"/>
  </ds:schemaRefs>
</ds:datastoreItem>
</file>

<file path=customXml/itemProps4.xml><?xml version="1.0" encoding="utf-8"?>
<ds:datastoreItem xmlns:ds="http://schemas.openxmlformats.org/officeDocument/2006/customXml" ds:itemID="{45FF76E3-AF64-4735-A5DD-EA756886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6</TotalTime>
  <Pages>7</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Neal,Catherine</dc:creator>
  <cp:lastModifiedBy>DeVela,Malcolm</cp:lastModifiedBy>
  <cp:revision>3</cp:revision>
  <cp:lastPrinted>2018-07-20T09:35:00Z</cp:lastPrinted>
  <dcterms:created xsi:type="dcterms:W3CDTF">2018-07-20T14:29:00Z</dcterms:created>
  <dcterms:modified xsi:type="dcterms:W3CDTF">2018-07-20T15:01:00Z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