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92" w:rsidRDefault="00B83A92" w:rsidP="00F842D4">
      <w:pPr>
        <w:spacing w:after="0"/>
        <w:rPr>
          <w:b/>
          <w:sz w:val="32"/>
        </w:rPr>
      </w:pPr>
      <w:r w:rsidRPr="00B83A92">
        <w:rPr>
          <w:b/>
          <w:sz w:val="32"/>
        </w:rPr>
        <w:t xml:space="preserve">NaFRA2 benefit management work package </w:t>
      </w:r>
      <w:r>
        <w:rPr>
          <w:b/>
          <w:sz w:val="32"/>
        </w:rPr>
        <w:t>briefing note</w:t>
      </w:r>
    </w:p>
    <w:p w:rsidR="00F842D4" w:rsidRPr="00F842D4" w:rsidRDefault="00F842D4" w:rsidP="00F842D4">
      <w:pPr>
        <w:spacing w:after="0"/>
        <w:jc w:val="center"/>
        <w:rPr>
          <w:b/>
          <w:sz w:val="20"/>
        </w:rPr>
      </w:pPr>
    </w:p>
    <w:p w:rsidR="00A05F46" w:rsidRDefault="00A05F46" w:rsidP="002B2400">
      <w:pPr>
        <w:pStyle w:val="Heading1"/>
        <w:spacing w:before="120" w:after="120"/>
        <w:ind w:left="425" w:hanging="431"/>
      </w:pPr>
      <w:r w:rsidRPr="00A05F46">
        <w:t xml:space="preserve">Background </w:t>
      </w:r>
    </w:p>
    <w:p w:rsidR="00A05F46" w:rsidRDefault="00A05F46" w:rsidP="00F842D4">
      <w:pPr>
        <w:rPr>
          <w:rFonts w:cs="Arial"/>
        </w:rPr>
      </w:pPr>
      <w:r w:rsidRPr="0089623B">
        <w:t xml:space="preserve">Our current National Flood Risk Assessment (NaFRA) has been effective at helping to plan at a strategic level but there is an increasing demand to use it for operational level activities (e.g. for external communication) that it was not designed for. </w:t>
      </w:r>
    </w:p>
    <w:p w:rsidR="00A05F46" w:rsidRDefault="00A05F46" w:rsidP="00F842D4">
      <w:r w:rsidRPr="0089623B">
        <w:t xml:space="preserve">We want to make a complete change in the way we produce and maintain our national risk assessment information, so that it is consistent with local data, covers all flood sources, is maintained efficiently and provides more detail across the country to better underpin FCERM. In doing this we can provide a better service to the flood risk management community so that we can share the most up to date information on risk more quickly with the public, partners and customers. </w:t>
      </w:r>
    </w:p>
    <w:p w:rsidR="00A05F46" w:rsidRDefault="00A05F46" w:rsidP="00F842D4">
      <w:r w:rsidRPr="0089623B">
        <w:t xml:space="preserve">At the moment we produce different map outputs for different flood sources, using separate projects and models. </w:t>
      </w:r>
      <w:r>
        <w:t>The diagram below</w:t>
      </w:r>
      <w:r w:rsidRPr="0089623B">
        <w:t xml:space="preserve"> summarises these products</w:t>
      </w:r>
      <w:r w:rsidR="00BF2B14">
        <w:t xml:space="preserve">. </w:t>
      </w:r>
    </w:p>
    <w:p w:rsidR="00640CC7" w:rsidRDefault="00A05F46" w:rsidP="00F842D4">
      <w:pPr>
        <w:rPr>
          <w:iCs/>
        </w:rPr>
      </w:pPr>
      <w:r w:rsidRPr="0089623B">
        <w:rPr>
          <w:iCs/>
        </w:rPr>
        <w:t xml:space="preserve">NaFRA2 will provide the information needed to guide and support flood risk management decisions and investment in a transparent and understandable way. It will be an online system for its core users that gives a dynamic, single story of flood risk for a location, for all sources of flooding, now and in the future, considering asset performance and regardless of scale. Unlike previous versions, NaFRA2 will take a bottom up approach, making the best use of local modelling and therefore improving credibility and confidence in the national picture. </w:t>
      </w:r>
    </w:p>
    <w:p w:rsidR="00A05F46" w:rsidRDefault="00640CC7" w:rsidP="00F22FD6">
      <w:pPr>
        <w:jc w:val="both"/>
        <w:rPr>
          <w:iCs/>
        </w:rPr>
      </w:pPr>
      <w:r w:rsidRPr="0089623B">
        <w:rPr>
          <w:noProof/>
          <w:lang w:eastAsia="en-GB"/>
        </w:rPr>
        <w:drawing>
          <wp:inline distT="0" distB="0" distL="0" distR="0" wp14:anchorId="6FBDAD82" wp14:editId="5AB640F2">
            <wp:extent cx="6201140" cy="35536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4751" cy="3555760"/>
                    </a:xfrm>
                    <a:prstGeom prst="rect">
                      <a:avLst/>
                    </a:prstGeom>
                    <a:noFill/>
                    <a:ln>
                      <a:noFill/>
                    </a:ln>
                  </pic:spPr>
                </pic:pic>
              </a:graphicData>
            </a:graphic>
          </wp:inline>
        </w:drawing>
      </w:r>
    </w:p>
    <w:p w:rsidR="004E5E37" w:rsidRDefault="004E5E37">
      <w:pPr>
        <w:rPr>
          <w:rFonts w:asciiTheme="majorHAnsi" w:eastAsiaTheme="majorEastAsia" w:hAnsiTheme="majorHAnsi" w:cstheme="majorBidi"/>
          <w:b/>
          <w:bCs/>
          <w:color w:val="365F91" w:themeColor="accent1" w:themeShade="BF"/>
          <w:sz w:val="28"/>
          <w:szCs w:val="28"/>
        </w:rPr>
      </w:pPr>
      <w:bookmarkStart w:id="0" w:name="_GoBack"/>
      <w:bookmarkEnd w:id="0"/>
      <w:r>
        <w:br w:type="page"/>
      </w:r>
    </w:p>
    <w:p w:rsidR="00A05F46" w:rsidRPr="006D0E04" w:rsidRDefault="00A05F46" w:rsidP="002B2400">
      <w:pPr>
        <w:pStyle w:val="Heading1"/>
        <w:spacing w:before="120" w:after="120"/>
        <w:ind w:left="425" w:hanging="431"/>
      </w:pPr>
      <w:r w:rsidRPr="006D0E04">
        <w:lastRenderedPageBreak/>
        <w:t>Introduction</w:t>
      </w:r>
      <w:r w:rsidR="004E5E37">
        <w:t xml:space="preserve"> – </w:t>
      </w:r>
      <w:r w:rsidR="00B83A92">
        <w:t xml:space="preserve">NaFRA2 </w:t>
      </w:r>
      <w:r w:rsidR="004E5E37">
        <w:t>project benefits</w:t>
      </w:r>
    </w:p>
    <w:p w:rsidR="00626853" w:rsidRDefault="00081C5C" w:rsidP="00F842D4">
      <w:r>
        <w:t>The ABC1</w:t>
      </w:r>
      <w:r w:rsidRPr="00081C5C">
        <w:t xml:space="preserve"> </w:t>
      </w:r>
      <w:r w:rsidR="00B7175C">
        <w:t>project was p</w:t>
      </w:r>
      <w:r w:rsidR="004E5E37">
        <w:t>re-business c</w:t>
      </w:r>
      <w:r>
        <w:t xml:space="preserve">ase work that produced a </w:t>
      </w:r>
      <w:r w:rsidRPr="00081C5C">
        <w:t xml:space="preserve">report </w:t>
      </w:r>
      <w:r w:rsidR="00E14EA2">
        <w:t xml:space="preserve">which </w:t>
      </w:r>
      <w:r w:rsidRPr="00081C5C">
        <w:t>considers flood risk information, reviews users’ needs for such information, how it might be used, and the poten</w:t>
      </w:r>
      <w:r>
        <w:t xml:space="preserve">tial benefits it could bring. Building on the ABC1 report, a subsequent project reviewed and extended the work to produce a full set of Benefit Estimations </w:t>
      </w:r>
      <w:r w:rsidR="007F562D">
        <w:t xml:space="preserve">ready </w:t>
      </w:r>
      <w:r>
        <w:t>to feed into the NaFRA2 Full Business Case</w:t>
      </w:r>
      <w:r w:rsidR="00D10A75">
        <w:t xml:space="preserve"> (FBC)</w:t>
      </w:r>
      <w:r>
        <w:t xml:space="preserve">. </w:t>
      </w:r>
      <w:r w:rsidR="007F562D">
        <w:t xml:space="preserve">A review of the benefit estimates is </w:t>
      </w:r>
      <w:r w:rsidR="00BF2B14">
        <w:t>in progress</w:t>
      </w:r>
      <w:r w:rsidR="007F562D">
        <w:t xml:space="preserve"> to verify their continued validity.</w:t>
      </w:r>
      <w:r>
        <w:t xml:space="preserve"> </w:t>
      </w:r>
      <w:r w:rsidR="00175575">
        <w:t xml:space="preserve"> </w:t>
      </w:r>
      <w:r>
        <w:t>A</w:t>
      </w:r>
      <w:r w:rsidR="00A05F46">
        <w:t xml:space="preserve"> plan is required as to how to realise the</w:t>
      </w:r>
      <w:r>
        <w:t xml:space="preserve">se benefits (and any </w:t>
      </w:r>
      <w:r w:rsidR="00A05F46">
        <w:t>change to business processes).</w:t>
      </w:r>
      <w:r>
        <w:t xml:space="preserve"> </w:t>
      </w:r>
    </w:p>
    <w:p w:rsidR="00626853" w:rsidRDefault="00626853" w:rsidP="00F842D4">
      <w:r>
        <w:t xml:space="preserve">The </w:t>
      </w:r>
      <w:r w:rsidR="004E5E37">
        <w:t xml:space="preserve">NaFRA2 </w:t>
      </w:r>
      <w:r>
        <w:t xml:space="preserve">project is part of the EA Flood and Coastal Risk Management (FCRM) Mapping Modelling and Date (MMD) programme. A programme level benefit map exists which NaFRA2 outputs. </w:t>
      </w:r>
    </w:p>
    <w:p w:rsidR="00081C5C" w:rsidRDefault="00081C5C" w:rsidP="002B2400">
      <w:pPr>
        <w:pStyle w:val="Heading1"/>
        <w:spacing w:before="120" w:after="120"/>
        <w:ind w:left="425" w:hanging="431"/>
      </w:pPr>
      <w:r>
        <w:t>Requirements</w:t>
      </w:r>
    </w:p>
    <w:p w:rsidR="00F842D4" w:rsidRDefault="00684455" w:rsidP="00F842D4">
      <w:pPr>
        <w:spacing w:after="0"/>
      </w:pPr>
      <w:r>
        <w:t xml:space="preserve">The </w:t>
      </w:r>
      <w:r w:rsidR="00081C5C">
        <w:t xml:space="preserve">Consultant </w:t>
      </w:r>
      <w:r w:rsidR="00A639E8">
        <w:t>will</w:t>
      </w:r>
      <w:r w:rsidR="00081C5C">
        <w:t xml:space="preserve"> </w:t>
      </w:r>
      <w:r>
        <w:t>complete</w:t>
      </w:r>
      <w:r w:rsidR="00F17122">
        <w:t xml:space="preserve"> the </w:t>
      </w:r>
      <w:r w:rsidR="001469E0">
        <w:t xml:space="preserve">activities and </w:t>
      </w:r>
      <w:r w:rsidR="00F17122">
        <w:t>tasks</w:t>
      </w:r>
      <w:r w:rsidR="001469E0">
        <w:t xml:space="preserve"> in Section 5 Deliverables</w:t>
      </w:r>
      <w:r w:rsidR="00F842D4">
        <w:t>. The work package will</w:t>
      </w:r>
      <w:r w:rsidR="00F17122">
        <w:t xml:space="preserve"> </w:t>
      </w:r>
      <w:r w:rsidR="00F842D4">
        <w:t>allow</w:t>
      </w:r>
      <w:r w:rsidR="002921BD">
        <w:t xml:space="preserve"> </w:t>
      </w:r>
      <w:r w:rsidR="00F17122">
        <w:t xml:space="preserve">the </w:t>
      </w:r>
      <w:r w:rsidR="00F842D4">
        <w:t xml:space="preserve">project team to produce </w:t>
      </w:r>
      <w:r w:rsidR="002921BD">
        <w:t xml:space="preserve">the </w:t>
      </w:r>
      <w:r w:rsidR="00F842D4">
        <w:t xml:space="preserve">benefit sections of the </w:t>
      </w:r>
      <w:r w:rsidR="002921BD">
        <w:t xml:space="preserve">NaFRA2 </w:t>
      </w:r>
      <w:r>
        <w:t>Full Business Case (FBC)</w:t>
      </w:r>
      <w:r w:rsidR="001469E0">
        <w:t xml:space="preserve">. </w:t>
      </w:r>
    </w:p>
    <w:p w:rsidR="00F842D4" w:rsidRDefault="00F842D4" w:rsidP="00F842D4">
      <w:pPr>
        <w:spacing w:after="0"/>
      </w:pPr>
    </w:p>
    <w:p w:rsidR="00F842D4" w:rsidRDefault="00F842D4" w:rsidP="00F842D4">
      <w:pPr>
        <w:spacing w:after="0"/>
      </w:pPr>
      <w:r>
        <w:t xml:space="preserve">The FBC follows the </w:t>
      </w:r>
      <w:r w:rsidRPr="00F842D4">
        <w:t>HM Treasury Five Case Model</w:t>
      </w:r>
      <w:r>
        <w:t xml:space="preserve">. Details of the model are available via this link: </w:t>
      </w:r>
      <w:hyperlink r:id="rId8" w:history="1">
        <w:r w:rsidRPr="00B11A75">
          <w:rPr>
            <w:rStyle w:val="Hyperlink"/>
          </w:rPr>
          <w:t>https://assets.publishing.service.gov.uk/government/uploads/system/uploads/attachment_data/file/749086/Project_Business_Case_2018.pdf</w:t>
        </w:r>
      </w:hyperlink>
      <w:r>
        <w:t xml:space="preserve"> </w:t>
      </w:r>
    </w:p>
    <w:p w:rsidR="00A639E8" w:rsidRDefault="00A639E8" w:rsidP="002B2400">
      <w:pPr>
        <w:pStyle w:val="Heading1"/>
        <w:spacing w:before="120" w:after="120"/>
        <w:ind w:left="425" w:hanging="431"/>
      </w:pPr>
      <w:r>
        <w:t>Resources</w:t>
      </w:r>
    </w:p>
    <w:p w:rsidR="00B83A92" w:rsidRDefault="00A639E8" w:rsidP="00B7175C">
      <w:r>
        <w:t xml:space="preserve">An experienced Consultant is required to </w:t>
      </w:r>
      <w:r w:rsidR="00B7175C">
        <w:t xml:space="preserve">complete and deliver this </w:t>
      </w:r>
      <w:r w:rsidR="00B83A92">
        <w:t xml:space="preserve">work </w:t>
      </w:r>
      <w:r w:rsidR="00B7175C">
        <w:t>package by</w:t>
      </w:r>
      <w:r>
        <w:t xml:space="preserve"> </w:t>
      </w:r>
      <w:r w:rsidR="00B7175C">
        <w:t>30 September 2019</w:t>
      </w:r>
      <w:r>
        <w:t xml:space="preserve">, commencing at the earliest opportunity. The EA </w:t>
      </w:r>
      <w:r w:rsidR="00B7175C">
        <w:t>will consider either an individual or</w:t>
      </w:r>
      <w:r>
        <w:t xml:space="preserve"> a </w:t>
      </w:r>
      <w:r w:rsidR="00B7175C">
        <w:t>small team of C</w:t>
      </w:r>
      <w:r>
        <w:t xml:space="preserve">onsultants working together to expedite the work. </w:t>
      </w:r>
      <w:r w:rsidR="00B7175C">
        <w:t xml:space="preserve">NaFRA2 project staff </w:t>
      </w:r>
      <w:r>
        <w:t>will be ma</w:t>
      </w:r>
      <w:r w:rsidR="00B7175C">
        <w:t xml:space="preserve">de available to the Consultant. </w:t>
      </w:r>
    </w:p>
    <w:p w:rsidR="00A639E8" w:rsidRDefault="00B83A92" w:rsidP="00B7175C">
      <w:r>
        <w:t xml:space="preserve">The consultant shall provide names of all staff who will work on this work package, their daily rate in £ and a CV (1 page) demonstrating their experience. </w:t>
      </w:r>
    </w:p>
    <w:p w:rsidR="00B7175C" w:rsidRPr="00A639E8" w:rsidRDefault="00B7175C" w:rsidP="00B7175C">
      <w:r>
        <w:t xml:space="preserve">The </w:t>
      </w:r>
      <w:r w:rsidR="004B1E46">
        <w:t xml:space="preserve">NaFRA2 </w:t>
      </w:r>
      <w:r>
        <w:t xml:space="preserve">project manager is based in Horizon House, Bristol. Other members of the project team and business users are based in EA offices throughout England. </w:t>
      </w:r>
      <w:r w:rsidR="004B1E46">
        <w:t xml:space="preserve">Addresses of office locations are available via this link. </w:t>
      </w:r>
      <w:hyperlink r:id="rId9" w:history="1">
        <w:r w:rsidR="004B1E46" w:rsidRPr="00C953F7">
          <w:rPr>
            <w:rStyle w:val="Hyperlink"/>
          </w:rPr>
          <w:t>https://www.gov.uk/government/organisations/environment-agency/about/access-and-opening</w:t>
        </w:r>
      </w:hyperlink>
      <w:r w:rsidR="004B1E46">
        <w:t xml:space="preserve">  </w:t>
      </w:r>
      <w:r w:rsidR="00F842D4">
        <w:t>The Consultant should propose the methods of interaction with the project team.</w:t>
      </w:r>
    </w:p>
    <w:p w:rsidR="00714862" w:rsidRDefault="00714862" w:rsidP="00714862">
      <w:pPr>
        <w:pStyle w:val="Heading1"/>
        <w:spacing w:before="120" w:after="120"/>
        <w:ind w:left="425" w:hanging="431"/>
      </w:pPr>
      <w:r>
        <w:t xml:space="preserve">Tender response </w:t>
      </w:r>
    </w:p>
    <w:p w:rsidR="00F842D4" w:rsidRDefault="00D41A3A" w:rsidP="00714862">
      <w:pPr>
        <w:spacing w:after="0"/>
      </w:pPr>
      <w:r>
        <w:t xml:space="preserve">The consultant should familiarise themselves with the accompanying documents including the Environment Agency Conditions of Contract for </w:t>
      </w:r>
      <w:r w:rsidRPr="00D41A3A">
        <w:t>Services</w:t>
      </w:r>
      <w:r>
        <w:t xml:space="preserve">. </w:t>
      </w:r>
    </w:p>
    <w:p w:rsidR="00F842D4" w:rsidRDefault="00F842D4" w:rsidP="00714862">
      <w:pPr>
        <w:spacing w:after="0"/>
      </w:pPr>
    </w:p>
    <w:p w:rsidR="00714862" w:rsidRDefault="00714862" w:rsidP="00714862">
      <w:pPr>
        <w:spacing w:after="0"/>
      </w:pPr>
      <w:r>
        <w:t>The Consultant shall provide the following:</w:t>
      </w:r>
    </w:p>
    <w:p w:rsidR="00C22A88" w:rsidRDefault="00C22A88" w:rsidP="009A707F">
      <w:pPr>
        <w:pStyle w:val="ListParagraph"/>
        <w:numPr>
          <w:ilvl w:val="0"/>
          <w:numId w:val="5"/>
        </w:numPr>
        <w:spacing w:after="0"/>
      </w:pPr>
      <w:r>
        <w:t xml:space="preserve">Pricing schedule </w:t>
      </w:r>
    </w:p>
    <w:p w:rsidR="00C22A88" w:rsidRDefault="00714862" w:rsidP="009A707F">
      <w:pPr>
        <w:pStyle w:val="ListParagraph"/>
        <w:numPr>
          <w:ilvl w:val="0"/>
          <w:numId w:val="5"/>
        </w:numPr>
        <w:spacing w:after="0"/>
      </w:pPr>
      <w:r>
        <w:t xml:space="preserve">Written response showing how you will fulfil the </w:t>
      </w:r>
      <w:r w:rsidR="00C22A88">
        <w:t>requirements including s</w:t>
      </w:r>
      <w:r>
        <w:t>taff CVs</w:t>
      </w:r>
      <w:r w:rsidR="00C22A88">
        <w:t xml:space="preserve"> and demonstrating Consultant experience in benefit management, business analysis and flood risk management  </w:t>
      </w:r>
    </w:p>
    <w:p w:rsidR="001469E0" w:rsidRPr="00F842D4" w:rsidRDefault="00714862" w:rsidP="00F842D4">
      <w:pPr>
        <w:pStyle w:val="ListParagraph"/>
        <w:numPr>
          <w:ilvl w:val="0"/>
          <w:numId w:val="5"/>
        </w:numPr>
        <w:spacing w:after="0"/>
      </w:pPr>
      <w:r>
        <w:t xml:space="preserve">Programme of work with dates showing tasks, products and key milestones  </w:t>
      </w:r>
      <w:r w:rsidR="001469E0">
        <w:br w:type="page"/>
      </w:r>
    </w:p>
    <w:p w:rsidR="007D6891" w:rsidRDefault="00714862" w:rsidP="002B2400">
      <w:pPr>
        <w:pStyle w:val="Heading1"/>
        <w:spacing w:before="120" w:after="120"/>
        <w:ind w:left="425" w:hanging="431"/>
      </w:pPr>
      <w:r>
        <w:lastRenderedPageBreak/>
        <w:t>Work package d</w:t>
      </w:r>
      <w:r w:rsidR="007D6891">
        <w:t>eliverables</w:t>
      </w:r>
    </w:p>
    <w:p w:rsidR="00626853" w:rsidRDefault="00010D03" w:rsidP="00010D03">
      <w:r>
        <w:t>The Consultant is required to</w:t>
      </w:r>
      <w:r w:rsidR="00BF2B14">
        <w:t xml:space="preserve"> carry out the tasks and </w:t>
      </w:r>
      <w:r>
        <w:t>produce the deliverables</w:t>
      </w:r>
      <w:r w:rsidR="00626853">
        <w:t xml:space="preserve"> (products)</w:t>
      </w:r>
      <w:r w:rsidR="00BF2B14" w:rsidRPr="00BF2B14">
        <w:t xml:space="preserve"> </w:t>
      </w:r>
      <w:r w:rsidR="00BF2B14">
        <w:t xml:space="preserve">shown in the following table. </w:t>
      </w:r>
    </w:p>
    <w:p w:rsidR="00BF2B14" w:rsidRDefault="00BF2B14" w:rsidP="00010D03">
      <w:r>
        <w:t>T</w:t>
      </w:r>
      <w:r w:rsidR="00714862">
        <w:t>he C</w:t>
      </w:r>
      <w:r>
        <w:t xml:space="preserve">onsultant should document in the tender any additional (non administrative) key tasks. </w:t>
      </w:r>
    </w:p>
    <w:p w:rsidR="00BF2B14" w:rsidRDefault="00BF2B14" w:rsidP="00BF2B14">
      <w:r>
        <w:t xml:space="preserve">Findings and outputs from tasks should be included in the related products. </w:t>
      </w:r>
    </w:p>
    <w:tbl>
      <w:tblPr>
        <w:tblStyle w:val="TableGrid"/>
        <w:tblW w:w="0" w:type="auto"/>
        <w:tblLook w:val="04A0" w:firstRow="1" w:lastRow="0" w:firstColumn="1" w:lastColumn="0" w:noHBand="0" w:noVBand="1"/>
      </w:tblPr>
      <w:tblGrid>
        <w:gridCol w:w="5887"/>
        <w:gridCol w:w="3129"/>
      </w:tblGrid>
      <w:tr w:rsidR="00BF2B14" w:rsidRPr="006C2CDF" w:rsidTr="00BF2B14">
        <w:trPr>
          <w:cantSplit/>
          <w:trHeight w:val="295"/>
          <w:tblHeader/>
        </w:trPr>
        <w:tc>
          <w:tcPr>
            <w:tcW w:w="0" w:type="auto"/>
          </w:tcPr>
          <w:p w:rsidR="00BF2B14" w:rsidRPr="00D92235" w:rsidRDefault="00BF2B14" w:rsidP="000637B7">
            <w:pPr>
              <w:rPr>
                <w:b/>
              </w:rPr>
            </w:pPr>
            <w:r w:rsidRPr="00D92235">
              <w:rPr>
                <w:b/>
              </w:rPr>
              <w:t xml:space="preserve">TASK </w:t>
            </w:r>
          </w:p>
        </w:tc>
        <w:tc>
          <w:tcPr>
            <w:tcW w:w="0" w:type="auto"/>
          </w:tcPr>
          <w:p w:rsidR="00BF2B14" w:rsidRPr="00D92235" w:rsidRDefault="00BF2B14" w:rsidP="000637B7">
            <w:pPr>
              <w:rPr>
                <w:b/>
              </w:rPr>
            </w:pPr>
            <w:r w:rsidRPr="00D92235">
              <w:rPr>
                <w:b/>
              </w:rPr>
              <w:t>PRODUCT</w:t>
            </w:r>
          </w:p>
        </w:tc>
      </w:tr>
      <w:tr w:rsidR="00BF2B14" w:rsidRPr="006C2CDF" w:rsidTr="00BF2B14">
        <w:trPr>
          <w:cantSplit/>
          <w:trHeight w:val="295"/>
        </w:trPr>
        <w:tc>
          <w:tcPr>
            <w:tcW w:w="0" w:type="auto"/>
          </w:tcPr>
          <w:p w:rsidR="00BF2B14" w:rsidRPr="00D92235" w:rsidRDefault="00626853" w:rsidP="000637B7">
            <w:pPr>
              <w:rPr>
                <w:b/>
              </w:rPr>
            </w:pPr>
            <w:r>
              <w:rPr>
                <w:b/>
              </w:rPr>
              <w:t>1</w:t>
            </w:r>
            <w:r w:rsidR="00BF2B14">
              <w:rPr>
                <w:b/>
              </w:rPr>
              <w:t xml:space="preserve"> </w:t>
            </w:r>
            <w:r w:rsidR="00BF2B14" w:rsidRPr="00F14AF8">
              <w:rPr>
                <w:b/>
              </w:rPr>
              <w:t>Review documents provided by EA</w:t>
            </w:r>
          </w:p>
        </w:tc>
        <w:tc>
          <w:tcPr>
            <w:tcW w:w="0" w:type="auto"/>
          </w:tcPr>
          <w:p w:rsidR="00BF2B14" w:rsidRPr="00F14AF8" w:rsidRDefault="00BF2B14" w:rsidP="000637B7">
            <w:r>
              <w:t>Include key observations</w:t>
            </w:r>
            <w:r w:rsidRPr="00F14AF8">
              <w:t xml:space="preserve"> in highlight report</w:t>
            </w:r>
            <w:r w:rsidR="00626853">
              <w:t>s – see Task 8</w:t>
            </w:r>
          </w:p>
        </w:tc>
      </w:tr>
      <w:tr w:rsidR="00BF2B14" w:rsidRPr="006C2CDF" w:rsidTr="00BF2B14">
        <w:trPr>
          <w:cantSplit/>
        </w:trPr>
        <w:tc>
          <w:tcPr>
            <w:tcW w:w="0" w:type="auto"/>
          </w:tcPr>
          <w:p w:rsidR="00BF2B14" w:rsidRPr="00D92235" w:rsidRDefault="00626853" w:rsidP="00D10A75">
            <w:pPr>
              <w:rPr>
                <w:b/>
              </w:rPr>
            </w:pPr>
            <w:r>
              <w:rPr>
                <w:b/>
              </w:rPr>
              <w:t xml:space="preserve">2 </w:t>
            </w:r>
            <w:r w:rsidR="00BF2B14" w:rsidRPr="00D92235">
              <w:rPr>
                <w:b/>
              </w:rPr>
              <w:t xml:space="preserve">Programme </w:t>
            </w:r>
            <w:r w:rsidR="00D10A75">
              <w:rPr>
                <w:b/>
              </w:rPr>
              <w:t>of work</w:t>
            </w:r>
          </w:p>
        </w:tc>
        <w:tc>
          <w:tcPr>
            <w:tcW w:w="0" w:type="auto"/>
            <w:vMerge w:val="restart"/>
          </w:tcPr>
          <w:p w:rsidR="00BF2B14" w:rsidRPr="006C2CDF" w:rsidRDefault="00BF2B14" w:rsidP="000637B7">
            <w:r>
              <w:t>Programme of work for all tasks and products to complete this work package</w:t>
            </w:r>
          </w:p>
        </w:tc>
      </w:tr>
      <w:tr w:rsidR="00BF2B14" w:rsidRPr="006C2CDF" w:rsidTr="00BF2B14">
        <w:trPr>
          <w:cantSplit/>
        </w:trPr>
        <w:tc>
          <w:tcPr>
            <w:tcW w:w="0" w:type="auto"/>
          </w:tcPr>
          <w:p w:rsidR="00BF2B14" w:rsidRPr="006C2CDF" w:rsidRDefault="00BF2B14" w:rsidP="000637B7">
            <w:r>
              <w:t>P</w:t>
            </w:r>
            <w:r w:rsidRPr="006C2CDF">
              <w:t xml:space="preserve">roduce a programme for delivering all of the tasks listed above, identifying what inputs the Consultant requires of the EA.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3</w:t>
            </w:r>
            <w:r w:rsidR="00BF2B14" w:rsidRPr="00D92235">
              <w:rPr>
                <w:b/>
              </w:rPr>
              <w:t xml:space="preserve"> Identify missing and/or duplicated benefits</w:t>
            </w:r>
          </w:p>
        </w:tc>
        <w:tc>
          <w:tcPr>
            <w:tcW w:w="0" w:type="auto"/>
            <w:vMerge w:val="restart"/>
          </w:tcPr>
          <w:p w:rsidR="00BF2B14" w:rsidRPr="006C2CDF" w:rsidRDefault="00BF2B14" w:rsidP="000637B7">
            <w:r>
              <w:t>Agreed list of benefits</w:t>
            </w:r>
          </w:p>
        </w:tc>
      </w:tr>
      <w:tr w:rsidR="00BF2B14" w:rsidRPr="006C2CDF" w:rsidTr="00BF2B14">
        <w:trPr>
          <w:cantSplit/>
        </w:trPr>
        <w:tc>
          <w:tcPr>
            <w:tcW w:w="0" w:type="auto"/>
          </w:tcPr>
          <w:p w:rsidR="00BF2B14" w:rsidRPr="006C2CDF" w:rsidRDefault="001469E0" w:rsidP="000637B7">
            <w:r>
              <w:t>Review the NaFRA2 b</w:t>
            </w:r>
            <w:r w:rsidR="00BF2B14" w:rsidRPr="006C2CDF">
              <w:t>enefits list (see Appendix A) against known changes and via a consultation process, identify any missing benefits</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Review the result of the removing benefits activity </w:t>
            </w:r>
            <w:r w:rsidR="00833271">
              <w:t xml:space="preserve">(see Appendix B)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Review business cases from the Map Edit, LTIS and NaFRA2 Data projects and compare with the NaFRA2 list of benefits – identify any duplication of benefits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Consult the consultees (list to be supplied)</w:t>
            </w:r>
            <w:r w:rsidR="0067752F">
              <w:t xml:space="preserve"> to</w:t>
            </w:r>
            <w:r w:rsidRPr="006C2CDF">
              <w:t xml:space="preserve"> identify any missing benefits and notify the project manager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4</w:t>
            </w:r>
            <w:r w:rsidR="00BF2B14" w:rsidRPr="00D92235">
              <w:rPr>
                <w:b/>
              </w:rPr>
              <w:t xml:space="preserve"> Produce a Benefit Realisation Plan</w:t>
            </w:r>
          </w:p>
        </w:tc>
        <w:tc>
          <w:tcPr>
            <w:tcW w:w="0" w:type="auto"/>
            <w:vMerge w:val="restart"/>
          </w:tcPr>
          <w:p w:rsidR="00BF2B14" w:rsidRPr="006C2CDF" w:rsidRDefault="00BF2B14" w:rsidP="000637B7">
            <w:r w:rsidRPr="006C2CDF">
              <w:t xml:space="preserve">Benefit Realisation </w:t>
            </w:r>
            <w:r>
              <w:t>Plan, including a timeline p</w:t>
            </w:r>
            <w:r w:rsidRPr="006C2CDF">
              <w:t>lan for realising benefits</w:t>
            </w:r>
            <w:r>
              <w:t xml:space="preserve"> during and after the project</w:t>
            </w:r>
          </w:p>
        </w:tc>
      </w:tr>
      <w:tr w:rsidR="00BF2B14" w:rsidRPr="006C2CDF" w:rsidTr="00BF2B14">
        <w:trPr>
          <w:cantSplit/>
        </w:trPr>
        <w:tc>
          <w:tcPr>
            <w:tcW w:w="0" w:type="auto"/>
          </w:tcPr>
          <w:p w:rsidR="00BF2B14" w:rsidRPr="006C2CDF" w:rsidRDefault="00BF2B14" w:rsidP="002B2400">
            <w:r w:rsidRPr="006C2CDF">
              <w:t xml:space="preserve">Review the Benefit Realisation Plan template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Populate the Benefit Realisation Plan template from existing documentation wherever possible (see document list in Appendix D)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any dis-benefits</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t>Review output of a project team exercise which is validating the benefit calculations in the ABC report. Advise on how the project team can improve confidence in the benefit calculations.</w:t>
            </w:r>
          </w:p>
        </w:tc>
        <w:tc>
          <w:tcPr>
            <w:tcW w:w="0" w:type="auto"/>
            <w:vMerge/>
          </w:tcPr>
          <w:p w:rsidR="00BF2B14" w:rsidRPr="006C2CDF" w:rsidRDefault="00BF2B14" w:rsidP="000637B7"/>
        </w:tc>
      </w:tr>
      <w:tr w:rsidR="00BF2B14" w:rsidRPr="006C2CDF" w:rsidTr="00BF2B14">
        <w:trPr>
          <w:cantSplit/>
        </w:trPr>
        <w:tc>
          <w:tcPr>
            <w:tcW w:w="0" w:type="auto"/>
          </w:tcPr>
          <w:p w:rsidR="00BF2B14" w:rsidRDefault="008E0620" w:rsidP="008E0620">
            <w:r w:rsidRPr="00CC3681">
              <w:t xml:space="preserve">Review the </w:t>
            </w:r>
            <w:r w:rsidR="00BF2B14" w:rsidRPr="00CC3681">
              <w:t>Terms of Reference and programme of engagement for the</w:t>
            </w:r>
            <w:r w:rsidRPr="00CC3681">
              <w:t xml:space="preserve"> NAFRA2 u</w:t>
            </w:r>
            <w:r w:rsidR="00FB3B64" w:rsidRPr="00CC3681">
              <w:t>ser</w:t>
            </w:r>
            <w:r w:rsidR="00BF2B14" w:rsidRPr="00CC3681">
              <w:t xml:space="preserve"> group</w:t>
            </w:r>
            <w:r w:rsidRPr="00CC3681">
              <w:t xml:space="preserve"> (produced by the project team)</w:t>
            </w:r>
            <w:r w:rsidR="00FB3B64" w:rsidRPr="00CC3681">
              <w:t>,</w:t>
            </w:r>
            <w:r w:rsidR="00BF2B14" w:rsidRPr="00CC3681">
              <w:t xml:space="preserve"> </w:t>
            </w:r>
            <w:r w:rsidR="00FB3B64" w:rsidRPr="00CC3681">
              <w:t>and</w:t>
            </w:r>
            <w:r w:rsidR="00BF2B14" w:rsidRPr="00CC3681">
              <w:t xml:space="preserve"> incorporate</w:t>
            </w:r>
            <w:r w:rsidR="00FB3B64" w:rsidRPr="00CC3681">
              <w:t xml:space="preserve"> </w:t>
            </w:r>
            <w:r w:rsidRPr="00CC3681">
              <w:t>them</w:t>
            </w:r>
            <w:r w:rsidR="00BF2B14" w:rsidRPr="00CC3681">
              <w:t xml:space="preserve"> in the Benefit Realisation Plan and timeline plan</w:t>
            </w:r>
            <w:r w:rsidR="00BF2B14">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Produce a programme and a plan for realising benefits (timeline, milestones, dependencies linked to project activities or outputs)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 xml:space="preserve">5 </w:t>
            </w:r>
            <w:r w:rsidR="00BF2B14" w:rsidRPr="00D92235">
              <w:rPr>
                <w:b/>
              </w:rPr>
              <w:t>Produce a Benefit Profile for each benefit (internal to EA only)</w:t>
            </w:r>
          </w:p>
        </w:tc>
        <w:tc>
          <w:tcPr>
            <w:tcW w:w="0" w:type="auto"/>
            <w:vMerge w:val="restart"/>
          </w:tcPr>
          <w:p w:rsidR="00BF2B14" w:rsidRDefault="00BF2B14" w:rsidP="000637B7">
            <w:r w:rsidRPr="006C2CDF">
              <w:t xml:space="preserve">Benefit Profile </w:t>
            </w:r>
            <w:r>
              <w:t>(for each agreed benefit)</w:t>
            </w:r>
          </w:p>
          <w:p w:rsidR="00BF2B14" w:rsidRDefault="00BF2B14" w:rsidP="000637B7"/>
          <w:p w:rsidR="00BF2B14" w:rsidRDefault="00BF2B14" w:rsidP="000637B7">
            <w:r>
              <w:t>A brief</w:t>
            </w:r>
            <w:r w:rsidRPr="006B3776">
              <w:t xml:space="preserve"> report </w:t>
            </w:r>
            <w:r>
              <w:t>collating</w:t>
            </w:r>
            <w:r w:rsidRPr="006B3776">
              <w:t xml:space="preserve"> results </w:t>
            </w:r>
            <w:r>
              <w:t xml:space="preserve">of interviews </w:t>
            </w:r>
          </w:p>
          <w:p w:rsidR="00BF2B14" w:rsidRPr="006C2CDF" w:rsidRDefault="00BF2B14" w:rsidP="000637B7"/>
        </w:tc>
      </w:tr>
      <w:tr w:rsidR="00BF2B14" w:rsidRPr="006C2CDF" w:rsidTr="00BF2B14">
        <w:trPr>
          <w:cantSplit/>
        </w:trPr>
        <w:tc>
          <w:tcPr>
            <w:tcW w:w="0" w:type="auto"/>
          </w:tcPr>
          <w:p w:rsidR="00BF2B14" w:rsidRPr="006C2CDF" w:rsidRDefault="008E0620" w:rsidP="002B2400">
            <w:r>
              <w:t>Produce a</w:t>
            </w:r>
            <w:r w:rsidR="00BF2B14" w:rsidRPr="006C2CDF">
              <w:t xml:space="preserve"> Benefit Profile for each Benefit (as listed in Appendix A with any agreed changes) with such information as can reasonably be collected from desk exercise and by consulting the NaFRA2 project team</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CC3681" w:rsidP="00CC3681">
            <w:r>
              <w:lastRenderedPageBreak/>
              <w:t>P</w:t>
            </w:r>
            <w:r w:rsidRPr="006C2CDF">
              <w:t>roduce a list of prospective benefit owners for consulting (organised according to each benefit, including EA Owner benefits only)</w:t>
            </w:r>
            <w:r>
              <w:t xml:space="preserve"> by l</w:t>
            </w:r>
            <w:r w:rsidR="00BF2B14" w:rsidRPr="006C2CDF">
              <w:t xml:space="preserve">iaising </w:t>
            </w:r>
            <w:r>
              <w:t xml:space="preserve">with NaFRA2 Communication Leads. </w:t>
            </w:r>
            <w:r w:rsidR="00BF2B14" w:rsidRPr="006C2CDF">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Conduct introductory telephone </w:t>
            </w:r>
            <w:r>
              <w:t>interviews</w:t>
            </w:r>
            <w:r w:rsidRPr="006C2CDF">
              <w:t xml:space="preserve"> with benefit owners to introduce the Consultant, and to confirm the individual’s involvement and their likely role as benefit owner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Arrange and undertake follow up interviews in person or by telephone (as applicable) in order to populate the benefit template with such information as can reasonably be collected</w:t>
            </w:r>
            <w:r>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Report any remaining gaps in the benefit profiles</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6</w:t>
            </w:r>
            <w:r w:rsidR="00BF2B14" w:rsidRPr="00D92235">
              <w:rPr>
                <w:b/>
              </w:rPr>
              <w:t xml:space="preserve"> Document Business Processes (internal to EA only)</w:t>
            </w:r>
          </w:p>
        </w:tc>
        <w:tc>
          <w:tcPr>
            <w:tcW w:w="0" w:type="auto"/>
            <w:vMerge w:val="restart"/>
          </w:tcPr>
          <w:p w:rsidR="00BF2B14" w:rsidRPr="006C2CDF" w:rsidRDefault="00BF2B14" w:rsidP="000637B7">
            <w:r w:rsidRPr="006C2CDF">
              <w:t>Document</w:t>
            </w:r>
            <w:r>
              <w:t>ed</w:t>
            </w:r>
            <w:r w:rsidRPr="006C2CDF">
              <w:t xml:space="preserve"> business process</w:t>
            </w:r>
            <w:r>
              <w:t>es</w:t>
            </w:r>
          </w:p>
        </w:tc>
      </w:tr>
      <w:tr w:rsidR="00BF2B14" w:rsidRPr="006C2CDF" w:rsidTr="00BF2B14">
        <w:trPr>
          <w:cantSplit/>
        </w:trPr>
        <w:tc>
          <w:tcPr>
            <w:tcW w:w="0" w:type="auto"/>
          </w:tcPr>
          <w:p w:rsidR="00BF2B14" w:rsidRPr="006C2CDF" w:rsidRDefault="00CC3681" w:rsidP="00CC3681">
            <w:r>
              <w:t>E</w:t>
            </w:r>
            <w:r w:rsidRPr="006C2CDF">
              <w:t>ngage with benefit owners</w:t>
            </w:r>
            <w:r>
              <w:t>,</w:t>
            </w:r>
            <w:r w:rsidRPr="006C2CDF">
              <w:t xml:space="preserve"> </w:t>
            </w:r>
            <w:r>
              <w:t>u</w:t>
            </w:r>
            <w:r w:rsidR="00BF2B14" w:rsidRPr="006C2CDF">
              <w:t>sing a recognised and agreed process</w:t>
            </w:r>
            <w:r>
              <w:t>,</w:t>
            </w:r>
            <w:r w:rsidR="00BF2B14">
              <w:t>*</w:t>
            </w:r>
            <w:r w:rsidR="00BF2B14" w:rsidRPr="006C2CDF">
              <w:t xml:space="preserve"> to document the business process in which they currently use flood risk data (this may require liaison with other individuals as directed by benefit owner)</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Document any barriers or perceived barriers to using flood risk data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any business process that may have to change in order to use NaFRA2 risk data</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D10A75">
            <w:pPr>
              <w:rPr>
                <w:b/>
              </w:rPr>
            </w:pPr>
            <w:r>
              <w:rPr>
                <w:b/>
              </w:rPr>
              <w:t>7</w:t>
            </w:r>
            <w:r w:rsidR="00BF2B14" w:rsidRPr="00D92235">
              <w:rPr>
                <w:b/>
              </w:rPr>
              <w:t xml:space="preserve"> </w:t>
            </w:r>
            <w:r w:rsidR="00D10A75">
              <w:rPr>
                <w:b/>
              </w:rPr>
              <w:t>User survey</w:t>
            </w:r>
            <w:r w:rsidR="00BF2B14">
              <w:rPr>
                <w:b/>
              </w:rPr>
              <w:t xml:space="preserve"> </w:t>
            </w:r>
            <w:r w:rsidR="00BF2B14" w:rsidRPr="00D92235">
              <w:rPr>
                <w:b/>
              </w:rPr>
              <w:t>(internal to EA only)</w:t>
            </w:r>
          </w:p>
        </w:tc>
        <w:tc>
          <w:tcPr>
            <w:tcW w:w="0" w:type="auto"/>
            <w:vMerge w:val="restart"/>
          </w:tcPr>
          <w:p w:rsidR="00BF2B14" w:rsidRPr="006C2CDF" w:rsidRDefault="00BF2B14" w:rsidP="000637B7">
            <w:r>
              <w:t>U</w:t>
            </w:r>
            <w:r w:rsidRPr="006C2CDF">
              <w:t>ser satisfaction survey</w:t>
            </w:r>
            <w:r>
              <w:t xml:space="preserve"> and survey method</w:t>
            </w:r>
          </w:p>
        </w:tc>
      </w:tr>
      <w:tr w:rsidR="00BF2B14" w:rsidRPr="006C2CDF" w:rsidTr="00BF2B14">
        <w:trPr>
          <w:cantSplit/>
        </w:trPr>
        <w:tc>
          <w:tcPr>
            <w:tcW w:w="0" w:type="auto"/>
          </w:tcPr>
          <w:p w:rsidR="00BF2B14" w:rsidRPr="006C2CDF" w:rsidRDefault="00BF2B14" w:rsidP="00D10A75">
            <w:r w:rsidRPr="006C2CDF">
              <w:t>Design a measureable, repeatable and targeted user satisfaction survey and survey method</w:t>
            </w:r>
            <w:r w:rsidR="00D10A75">
              <w:t xml:space="preserve"> to provide a b</w:t>
            </w:r>
            <w:r w:rsidR="00D10A75" w:rsidRPr="00D10A75">
              <w:t>aseline</w:t>
            </w:r>
            <w:r w:rsidR="00D10A75">
              <w:t xml:space="preserve"> of the</w:t>
            </w:r>
            <w:r w:rsidR="00D10A75" w:rsidRPr="00D10A75">
              <w:t xml:space="preserve"> existing business processes</w:t>
            </w:r>
            <w:r w:rsidR="00D10A75">
              <w:t xml:space="preserve"> </w:t>
            </w:r>
            <w:r>
              <w:t>**</w:t>
            </w:r>
            <w:r w:rsidR="00833271">
              <w:t xml:space="preserve"> </w:t>
            </w:r>
            <w:r w:rsidR="00833271" w:rsidRPr="006C2CDF">
              <w:t xml:space="preserve"> </w:t>
            </w:r>
            <w:r w:rsidR="00833271">
              <w:t>(see Appendix B)</w:t>
            </w:r>
            <w:r w:rsidR="00D10A75">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Secure approval for the survey and the survey method from the NaFRA2 project team</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when, how, to whom the survey should be repeated after NaFRA2 is delivered in order to support the measurement of realisation of the expected benefits.</w:t>
            </w:r>
          </w:p>
        </w:tc>
        <w:tc>
          <w:tcPr>
            <w:tcW w:w="0" w:type="auto"/>
            <w:vMerge/>
          </w:tcPr>
          <w:p w:rsidR="00BF2B14" w:rsidRPr="006C2CDF" w:rsidRDefault="00BF2B14" w:rsidP="000637B7"/>
        </w:tc>
      </w:tr>
      <w:tr w:rsidR="00626853" w:rsidRPr="006C2CDF" w:rsidTr="00BF2B14">
        <w:trPr>
          <w:cantSplit/>
        </w:trPr>
        <w:tc>
          <w:tcPr>
            <w:tcW w:w="0" w:type="auto"/>
          </w:tcPr>
          <w:p w:rsidR="00626853" w:rsidRPr="00626853" w:rsidRDefault="00626853" w:rsidP="00626853">
            <w:pPr>
              <w:rPr>
                <w:b/>
              </w:rPr>
            </w:pPr>
            <w:r w:rsidRPr="00626853">
              <w:rPr>
                <w:b/>
              </w:rPr>
              <w:t>8 Reporting and communication</w:t>
            </w:r>
          </w:p>
        </w:tc>
        <w:tc>
          <w:tcPr>
            <w:tcW w:w="0" w:type="auto"/>
            <w:vMerge w:val="restart"/>
          </w:tcPr>
          <w:p w:rsidR="00626853" w:rsidRDefault="00626853" w:rsidP="000637B7">
            <w:r>
              <w:t>Weekly highlight report</w:t>
            </w:r>
            <w:r w:rsidR="00CC3681">
              <w:t>s</w:t>
            </w:r>
            <w:r>
              <w:t xml:space="preserve"> </w:t>
            </w:r>
          </w:p>
          <w:p w:rsidR="00626853" w:rsidRDefault="00626853" w:rsidP="000637B7"/>
          <w:p w:rsidR="00626853" w:rsidRDefault="00626853" w:rsidP="000637B7">
            <w:r>
              <w:t>End of contract summary report</w:t>
            </w:r>
          </w:p>
        </w:tc>
      </w:tr>
      <w:tr w:rsidR="00626853" w:rsidRPr="006C2CDF" w:rsidTr="00BF2B14">
        <w:trPr>
          <w:cantSplit/>
        </w:trPr>
        <w:tc>
          <w:tcPr>
            <w:tcW w:w="0" w:type="auto"/>
          </w:tcPr>
          <w:p w:rsidR="00626853" w:rsidRDefault="00CC3681" w:rsidP="00626853">
            <w:r>
              <w:t>Produce w</w:t>
            </w:r>
            <w:r w:rsidR="00626853">
              <w:t>eekly progress highlight report</w:t>
            </w:r>
            <w:r>
              <w:t>s</w:t>
            </w:r>
            <w:r w:rsidR="00626853">
              <w:t xml:space="preserve"> (headings to be agreed by EA) - by email </w:t>
            </w:r>
          </w:p>
          <w:p w:rsidR="00626853" w:rsidRDefault="00CC3681" w:rsidP="00626853">
            <w:r>
              <w:t>Conduct a w</w:t>
            </w:r>
            <w:r w:rsidR="00626853">
              <w:t xml:space="preserve">eekly check-in </w:t>
            </w:r>
            <w:r>
              <w:t xml:space="preserve">with the </w:t>
            </w:r>
            <w:r>
              <w:t xml:space="preserve">Project manager </w:t>
            </w:r>
            <w:r w:rsidR="00626853">
              <w:t xml:space="preserve">– </w:t>
            </w:r>
            <w:r>
              <w:t xml:space="preserve">by </w:t>
            </w:r>
            <w:r w:rsidR="00626853">
              <w:t xml:space="preserve">phone or face to face </w:t>
            </w:r>
          </w:p>
          <w:p w:rsidR="00626853" w:rsidRDefault="00CC3681" w:rsidP="00626853">
            <w:r>
              <w:t xml:space="preserve">Produce an </w:t>
            </w:r>
            <w:r w:rsidR="00626853">
              <w:t xml:space="preserve">End of contract summary report – Word document, by email </w:t>
            </w:r>
          </w:p>
          <w:p w:rsidR="00626853" w:rsidRPr="006C2CDF" w:rsidRDefault="00626853" w:rsidP="000637B7"/>
        </w:tc>
        <w:tc>
          <w:tcPr>
            <w:tcW w:w="0" w:type="auto"/>
            <w:vMerge/>
          </w:tcPr>
          <w:p w:rsidR="00626853" w:rsidRPr="006C2CDF" w:rsidRDefault="00626853" w:rsidP="000637B7"/>
        </w:tc>
      </w:tr>
    </w:tbl>
    <w:p w:rsidR="00BF2B14" w:rsidRDefault="00BF2B14" w:rsidP="00BF2B14">
      <w:pPr>
        <w:spacing w:after="0"/>
      </w:pPr>
    </w:p>
    <w:p w:rsidR="00BF2B14" w:rsidRDefault="00BF2B14" w:rsidP="00CC3681">
      <w:pPr>
        <w:spacing w:after="0" w:line="240" w:lineRule="auto"/>
      </w:pPr>
      <w:r>
        <w:t xml:space="preserve">* Describe in the tender the process you intend to use. The project team will review the proposed method as part of the tender analysis. </w:t>
      </w:r>
    </w:p>
    <w:p w:rsidR="00BF2B14" w:rsidRDefault="00BF2B14" w:rsidP="00CC3681">
      <w:pPr>
        <w:spacing w:after="0" w:line="240" w:lineRule="auto"/>
      </w:pPr>
      <w:r>
        <w:t xml:space="preserve">** </w:t>
      </w:r>
      <w:r w:rsidRPr="006C2CDF">
        <w:t xml:space="preserve">Consultant </w:t>
      </w:r>
      <w:r>
        <w:t>is not required to</w:t>
      </w:r>
      <w:r w:rsidRPr="006C2CDF">
        <w:t xml:space="preserve"> carry out the surveys.</w:t>
      </w:r>
    </w:p>
    <w:p w:rsidR="00CC3681" w:rsidRDefault="008E0620" w:rsidP="00CC3681">
      <w:pPr>
        <w:spacing w:after="0"/>
      </w:pPr>
      <w:r>
        <w:t xml:space="preserve">‘Review’ means read, understand, take account of </w:t>
      </w:r>
      <w:r w:rsidR="00CC3681">
        <w:t>(</w:t>
      </w:r>
      <w:r>
        <w:t>in related tasks and products</w:t>
      </w:r>
      <w:r w:rsidR="00CC3681">
        <w:t>)</w:t>
      </w:r>
      <w:r>
        <w:t xml:space="preserve">, and provide written comments </w:t>
      </w:r>
      <w:r w:rsidR="00CC3681">
        <w:t>to the P</w:t>
      </w:r>
      <w:r>
        <w:t xml:space="preserve">roject manager. </w:t>
      </w:r>
      <w:r w:rsidR="00CC3681">
        <w:t xml:space="preserve"> </w:t>
      </w:r>
    </w:p>
    <w:p w:rsidR="007D6891" w:rsidRPr="00010D03" w:rsidRDefault="007D6891" w:rsidP="009A707F">
      <w:pPr>
        <w:pStyle w:val="ListParagraph"/>
        <w:numPr>
          <w:ilvl w:val="0"/>
          <w:numId w:val="4"/>
        </w:numPr>
      </w:pPr>
      <w:r>
        <w:br w:type="page"/>
      </w:r>
    </w:p>
    <w:p w:rsidR="00B852CB" w:rsidRDefault="00C96837" w:rsidP="00B452D2">
      <w:pPr>
        <w:pStyle w:val="Heading1"/>
        <w:numPr>
          <w:ilvl w:val="0"/>
          <w:numId w:val="0"/>
        </w:numPr>
        <w:ind w:left="432" w:hanging="432"/>
      </w:pPr>
      <w:r>
        <w:lastRenderedPageBreak/>
        <w:t xml:space="preserve">Appendix </w:t>
      </w:r>
      <w:r w:rsidR="00B452D2">
        <w:t xml:space="preserve">A </w:t>
      </w:r>
      <w:r w:rsidR="005F3DEB">
        <w:t>– Summary list of benefits</w:t>
      </w:r>
    </w:p>
    <w:p w:rsidR="005F3DEB" w:rsidRPr="005F3DEB" w:rsidRDefault="005F3DEB" w:rsidP="005F3DEB"/>
    <w:tbl>
      <w:tblPr>
        <w:tblStyle w:val="TableGrid"/>
        <w:tblW w:w="0" w:type="auto"/>
        <w:tblLook w:val="04A0" w:firstRow="1" w:lastRow="0" w:firstColumn="1" w:lastColumn="0" w:noHBand="0" w:noVBand="1"/>
      </w:tblPr>
      <w:tblGrid>
        <w:gridCol w:w="655"/>
        <w:gridCol w:w="5057"/>
        <w:gridCol w:w="1696"/>
        <w:gridCol w:w="1608"/>
      </w:tblGrid>
      <w:tr w:rsidR="00F17122" w:rsidTr="00684455">
        <w:tc>
          <w:tcPr>
            <w:tcW w:w="657" w:type="dxa"/>
            <w:vMerge w:val="restart"/>
            <w:shd w:val="clear" w:color="auto" w:fill="C6D9F1" w:themeFill="text2" w:themeFillTint="33"/>
            <w:vAlign w:val="center"/>
          </w:tcPr>
          <w:p w:rsidR="00F17122" w:rsidRPr="005838BA" w:rsidRDefault="00F17122" w:rsidP="00684455">
            <w:pPr>
              <w:jc w:val="center"/>
              <w:rPr>
                <w:b/>
              </w:rPr>
            </w:pPr>
            <w:r>
              <w:rPr>
                <w:b/>
              </w:rPr>
              <w:t>B1</w:t>
            </w:r>
          </w:p>
        </w:tc>
        <w:tc>
          <w:tcPr>
            <w:tcW w:w="8585" w:type="dxa"/>
            <w:gridSpan w:val="3"/>
            <w:shd w:val="clear" w:color="auto" w:fill="C6D9F1" w:themeFill="text2" w:themeFillTint="33"/>
          </w:tcPr>
          <w:p w:rsidR="00F17122" w:rsidRPr="005838BA" w:rsidRDefault="00F17122" w:rsidP="00684455">
            <w:pPr>
              <w:rPr>
                <w:b/>
              </w:rPr>
            </w:pPr>
            <w:r w:rsidRPr="00B452D2">
              <w:rPr>
                <w:b/>
              </w:rPr>
              <w:t>Capital works and maintenance</w:t>
            </w:r>
          </w:p>
        </w:tc>
      </w:tr>
      <w:tr w:rsidR="00F17122" w:rsidTr="00684455">
        <w:tc>
          <w:tcPr>
            <w:tcW w:w="657" w:type="dxa"/>
            <w:vMerge/>
            <w:shd w:val="clear" w:color="auto" w:fill="C6D9F1" w:themeFill="text2" w:themeFillTint="33"/>
            <w:vAlign w:val="center"/>
          </w:tcPr>
          <w:p w:rsidR="00F17122" w:rsidRPr="005838BA" w:rsidRDefault="00F17122" w:rsidP="00684455">
            <w:pPr>
              <w:jc w:val="center"/>
              <w:rPr>
                <w:b/>
              </w:rPr>
            </w:pPr>
          </w:p>
        </w:tc>
        <w:tc>
          <w:tcPr>
            <w:tcW w:w="8585" w:type="dxa"/>
            <w:gridSpan w:val="3"/>
            <w:shd w:val="clear" w:color="auto" w:fill="C6D9F1" w:themeFill="text2" w:themeFillTint="33"/>
          </w:tcPr>
          <w:p w:rsidR="00F17122" w:rsidRPr="005838BA" w:rsidRDefault="00F17122" w:rsidP="00684455">
            <w:pPr>
              <w:rPr>
                <w:b/>
              </w:rPr>
            </w:pPr>
            <w:r w:rsidRPr="00B452D2">
              <w:rPr>
                <w:b/>
              </w:rPr>
              <w:t>Effectiveness and efficiency savings to capital works and maintenance programmes.</w:t>
            </w:r>
          </w:p>
        </w:tc>
      </w:tr>
      <w:tr w:rsidR="00F17122" w:rsidTr="00684455">
        <w:tc>
          <w:tcPr>
            <w:tcW w:w="657" w:type="dxa"/>
            <w:shd w:val="clear" w:color="auto" w:fill="FFFFFF" w:themeFill="background1"/>
            <w:vAlign w:val="center"/>
          </w:tcPr>
          <w:p w:rsidR="00F17122" w:rsidRPr="00B452D2" w:rsidRDefault="00F17122" w:rsidP="00684455">
            <w:pPr>
              <w:jc w:val="center"/>
            </w:pPr>
            <w:r w:rsidRPr="00B452D2">
              <w:t>B1.1</w:t>
            </w:r>
          </w:p>
        </w:tc>
        <w:tc>
          <w:tcPr>
            <w:tcW w:w="5263" w:type="dxa"/>
            <w:shd w:val="clear" w:color="auto" w:fill="FFFFFF" w:themeFill="background1"/>
          </w:tcPr>
          <w:p w:rsidR="00F17122" w:rsidRDefault="00F17122" w:rsidP="00684455">
            <w:r>
              <w:t>(1)</w:t>
            </w:r>
            <w:r w:rsidRPr="00B452D2">
              <w:t>Reduction in flood risk due to more optimal capital investment (or an improved return on investment by enabling more effective delivery of capital works).</w:t>
            </w:r>
            <w:r>
              <w:t xml:space="preserve"> </w:t>
            </w:r>
          </w:p>
          <w:p w:rsidR="00F17122" w:rsidRPr="00B452D2" w:rsidRDefault="00F17122" w:rsidP="00684455">
            <w:r>
              <w:t xml:space="preserve">(2) </w:t>
            </w:r>
            <w:r w:rsidRPr="00B452D2">
              <w:t>Reduction in flood risk due to more optimal maintenance programme (reducing more flood risk more for the same level of input), with evidence provided by asset failure and management scenarios.</w:t>
            </w:r>
          </w:p>
        </w:tc>
        <w:tc>
          <w:tcPr>
            <w:tcW w:w="1701" w:type="dxa"/>
            <w:shd w:val="clear" w:color="auto" w:fill="FFFFFF" w:themeFill="background1"/>
          </w:tcPr>
          <w:p w:rsidR="00F17122" w:rsidRDefault="00F17122" w:rsidP="00684455">
            <w:r w:rsidRPr="00B452D2">
              <w:t>Receptors/EA</w:t>
            </w:r>
          </w:p>
          <w:p w:rsidR="00F17122" w:rsidRDefault="00F17122" w:rsidP="00684455">
            <w:r w:rsidRPr="00B452D2">
              <w:t>Receptors/</w:t>
            </w:r>
            <w:r>
              <w:t>LLFA</w:t>
            </w:r>
          </w:p>
          <w:p w:rsidR="00F17122" w:rsidRPr="00B452D2" w:rsidRDefault="00F17122" w:rsidP="00684455">
            <w:r w:rsidRPr="00B452D2">
              <w:t>Receptors/</w:t>
            </w:r>
            <w:r>
              <w:t>IDB</w:t>
            </w:r>
          </w:p>
        </w:tc>
        <w:tc>
          <w:tcPr>
            <w:tcW w:w="1621" w:type="dxa"/>
            <w:shd w:val="clear" w:color="auto" w:fill="FFFFFF" w:themeFill="background1"/>
          </w:tcPr>
          <w:p w:rsidR="00F17122" w:rsidRPr="00B452D2" w:rsidRDefault="00F17122" w:rsidP="00684455">
            <w:r w:rsidRPr="00B452D2">
              <w:t>Risk Reduction</w:t>
            </w:r>
          </w:p>
          <w:p w:rsidR="00F17122" w:rsidRPr="005838BA" w:rsidRDefault="00F17122" w:rsidP="00684455">
            <w:pPr>
              <w:rPr>
                <w:b/>
              </w:rPr>
            </w:pPr>
            <w:r w:rsidRPr="00B452D2">
              <w:t>Effectiveness</w:t>
            </w:r>
          </w:p>
        </w:tc>
      </w:tr>
      <w:tr w:rsidR="00F17122" w:rsidTr="00684455">
        <w:tc>
          <w:tcPr>
            <w:tcW w:w="657" w:type="dxa"/>
            <w:shd w:val="clear" w:color="auto" w:fill="FFFFFF" w:themeFill="background1"/>
            <w:vAlign w:val="center"/>
          </w:tcPr>
          <w:p w:rsidR="00F17122" w:rsidRPr="005838BA" w:rsidRDefault="00F17122" w:rsidP="00684455">
            <w:pPr>
              <w:jc w:val="center"/>
            </w:pPr>
            <w:r w:rsidRPr="005838BA">
              <w:t>B1.2</w:t>
            </w:r>
          </w:p>
        </w:tc>
        <w:tc>
          <w:tcPr>
            <w:tcW w:w="5263" w:type="dxa"/>
            <w:shd w:val="clear" w:color="auto" w:fill="FFFFFF" w:themeFill="background1"/>
          </w:tcPr>
          <w:p w:rsidR="00F17122" w:rsidRPr="005838BA" w:rsidRDefault="00F17122" w:rsidP="00684455">
            <w:r w:rsidRPr="005838BA">
              <w:t>Less time spent by EA and LLFAs developing local models (if the approach enables baseline / defended scenarios to be delivered more efficiently).</w:t>
            </w:r>
          </w:p>
        </w:tc>
        <w:tc>
          <w:tcPr>
            <w:tcW w:w="1701" w:type="dxa"/>
            <w:shd w:val="clear" w:color="auto" w:fill="FFFFFF" w:themeFill="background1"/>
          </w:tcPr>
          <w:p w:rsidR="00F17122" w:rsidRPr="005838BA" w:rsidRDefault="00F17122" w:rsidP="00684455">
            <w:r w:rsidRPr="005838BA">
              <w:t>EA, LLFA</w:t>
            </w:r>
          </w:p>
        </w:tc>
        <w:tc>
          <w:tcPr>
            <w:tcW w:w="1621" w:type="dxa"/>
            <w:shd w:val="clear" w:color="auto" w:fill="FFFFFF" w:themeFill="background1"/>
          </w:tcPr>
          <w:p w:rsidR="00F17122" w:rsidRPr="005838BA" w:rsidRDefault="00F17122" w:rsidP="00684455">
            <w:r w:rsidRPr="005838BA">
              <w:t>Effic</w:t>
            </w:r>
            <w:r>
              <w:t>i</w:t>
            </w:r>
            <w:r w:rsidRPr="005838BA">
              <w:t xml:space="preserve">ency </w:t>
            </w:r>
          </w:p>
        </w:tc>
      </w:tr>
      <w:tr w:rsidR="00F17122" w:rsidTr="00684455">
        <w:tc>
          <w:tcPr>
            <w:tcW w:w="657" w:type="dxa"/>
            <w:vMerge w:val="restart"/>
            <w:shd w:val="clear" w:color="auto" w:fill="C6D9F1" w:themeFill="text2" w:themeFillTint="33"/>
            <w:vAlign w:val="center"/>
          </w:tcPr>
          <w:p w:rsidR="00F17122" w:rsidRPr="005838BA" w:rsidRDefault="00F17122" w:rsidP="00684455">
            <w:pPr>
              <w:jc w:val="center"/>
              <w:rPr>
                <w:b/>
              </w:rPr>
            </w:pPr>
            <w:r w:rsidRPr="005838BA">
              <w:rPr>
                <w:b/>
              </w:rPr>
              <w:t>B2</w:t>
            </w:r>
          </w:p>
        </w:tc>
        <w:tc>
          <w:tcPr>
            <w:tcW w:w="8585" w:type="dxa"/>
            <w:gridSpan w:val="3"/>
            <w:shd w:val="clear" w:color="auto" w:fill="C6D9F1" w:themeFill="text2" w:themeFillTint="33"/>
          </w:tcPr>
          <w:p w:rsidR="00F17122" w:rsidRPr="005838BA" w:rsidRDefault="00F17122" w:rsidP="00684455">
            <w:pPr>
              <w:rPr>
                <w:b/>
              </w:rPr>
            </w:pPr>
            <w:r w:rsidRPr="005838BA">
              <w:rPr>
                <w:b/>
              </w:rPr>
              <w:t>National Data set</w:t>
            </w:r>
          </w:p>
        </w:tc>
      </w:tr>
      <w:tr w:rsidR="00F17122" w:rsidTr="00684455">
        <w:tc>
          <w:tcPr>
            <w:tcW w:w="657" w:type="dxa"/>
            <w:vMerge/>
            <w:shd w:val="clear" w:color="auto" w:fill="C6D9F1" w:themeFill="text2" w:themeFillTint="33"/>
            <w:vAlign w:val="center"/>
          </w:tcPr>
          <w:p w:rsidR="00F17122" w:rsidRPr="005838BA" w:rsidRDefault="00F17122" w:rsidP="00684455">
            <w:pPr>
              <w:jc w:val="center"/>
              <w:rPr>
                <w:b/>
              </w:rPr>
            </w:pPr>
          </w:p>
        </w:tc>
        <w:tc>
          <w:tcPr>
            <w:tcW w:w="8585" w:type="dxa"/>
            <w:gridSpan w:val="3"/>
            <w:shd w:val="clear" w:color="auto" w:fill="C6D9F1" w:themeFill="text2" w:themeFillTint="33"/>
          </w:tcPr>
          <w:p w:rsidR="00F17122" w:rsidRPr="005838BA" w:rsidRDefault="00F17122" w:rsidP="00684455">
            <w:pPr>
              <w:rPr>
                <w:b/>
              </w:rPr>
            </w:pPr>
            <w:r w:rsidRPr="005838BA">
              <w:rPr>
                <w:b/>
              </w:rPr>
              <w:t>Efficiency savings by providing a single, richer, national dataset source for all model outputs, suitable for use at a local / property scale.</w:t>
            </w:r>
          </w:p>
        </w:tc>
      </w:tr>
      <w:tr w:rsidR="00F17122" w:rsidTr="00684455">
        <w:tc>
          <w:tcPr>
            <w:tcW w:w="657" w:type="dxa"/>
            <w:vAlign w:val="center"/>
          </w:tcPr>
          <w:p w:rsidR="00F17122" w:rsidRDefault="00F17122" w:rsidP="00684455">
            <w:pPr>
              <w:jc w:val="center"/>
            </w:pPr>
            <w:r>
              <w:t>B2.1</w:t>
            </w:r>
          </w:p>
        </w:tc>
        <w:tc>
          <w:tcPr>
            <w:tcW w:w="5263" w:type="dxa"/>
          </w:tcPr>
          <w:p w:rsidR="00F17122" w:rsidRDefault="00F17122" w:rsidP="00684455">
            <w:r>
              <w:t xml:space="preserve">(1) </w:t>
            </w:r>
            <w:r w:rsidRPr="00B452D2">
              <w:t>Less time spent by EA Areas maintaining local model metadata.</w:t>
            </w:r>
          </w:p>
          <w:p w:rsidR="00F17122" w:rsidRPr="00810B09" w:rsidRDefault="00F17122" w:rsidP="00684455">
            <w:r>
              <w:t xml:space="preserve">(2) </w:t>
            </w:r>
            <w:r w:rsidRPr="001E60A7">
              <w:t>Less time spent by EA, LLFAs, infrastructure providers and the insurance industry finding, collating and processing data suitable for use at a local scale.</w:t>
            </w:r>
          </w:p>
        </w:tc>
        <w:tc>
          <w:tcPr>
            <w:tcW w:w="1701" w:type="dxa"/>
          </w:tcPr>
          <w:p w:rsidR="00F17122" w:rsidRDefault="00F17122" w:rsidP="00684455">
            <w:r>
              <w:t>EA, LLFA</w:t>
            </w:r>
          </w:p>
          <w:p w:rsidR="00F17122" w:rsidRDefault="00F17122" w:rsidP="00684455">
            <w:r>
              <w:t>Infrastructure</w:t>
            </w:r>
          </w:p>
          <w:p w:rsidR="00F17122" w:rsidRPr="00081C5C" w:rsidRDefault="00F17122" w:rsidP="00684455">
            <w:r>
              <w:t>Insurance</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B2.2</w:t>
            </w:r>
          </w:p>
        </w:tc>
        <w:tc>
          <w:tcPr>
            <w:tcW w:w="5263" w:type="dxa"/>
          </w:tcPr>
          <w:p w:rsidR="00F17122" w:rsidRPr="00810B09" w:rsidRDefault="00F17122" w:rsidP="00684455">
            <w:r w:rsidRPr="001E60A7">
              <w:t>Less time spent by LLFAs considering flood risk from local sources.</w:t>
            </w:r>
          </w:p>
        </w:tc>
        <w:tc>
          <w:tcPr>
            <w:tcW w:w="1701" w:type="dxa"/>
          </w:tcPr>
          <w:p w:rsidR="00F17122" w:rsidRPr="00081C5C" w:rsidRDefault="00F17122" w:rsidP="00684455">
            <w:r>
              <w:t>LLFA</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B2.3</w:t>
            </w:r>
          </w:p>
        </w:tc>
        <w:tc>
          <w:tcPr>
            <w:tcW w:w="5263" w:type="dxa"/>
          </w:tcPr>
          <w:p w:rsidR="00F17122" w:rsidRPr="00810B09" w:rsidRDefault="00F17122" w:rsidP="00684455">
            <w:r w:rsidRPr="001E60A7">
              <w:t>Reduction in flood risk (or an improved return on investment) by enabling EA and LLFAs to make more optimal decisions to determine which properties would benefit most from PLP.</w:t>
            </w:r>
          </w:p>
        </w:tc>
        <w:tc>
          <w:tcPr>
            <w:tcW w:w="1701" w:type="dxa"/>
          </w:tcPr>
          <w:p w:rsidR="00F17122" w:rsidRPr="00081C5C" w:rsidRDefault="00F17122" w:rsidP="00684455">
            <w:r>
              <w:t>LLFA</w:t>
            </w:r>
          </w:p>
        </w:tc>
        <w:tc>
          <w:tcPr>
            <w:tcW w:w="1621" w:type="dxa"/>
          </w:tcPr>
          <w:p w:rsidR="00F17122" w:rsidRDefault="00F17122" w:rsidP="00684455">
            <w:r>
              <w:t>Risk Reduction</w:t>
            </w:r>
          </w:p>
        </w:tc>
      </w:tr>
      <w:tr w:rsidR="00F17122" w:rsidTr="00684455">
        <w:tc>
          <w:tcPr>
            <w:tcW w:w="657" w:type="dxa"/>
            <w:vAlign w:val="center"/>
          </w:tcPr>
          <w:p w:rsidR="00F17122" w:rsidRDefault="00F17122" w:rsidP="00684455">
            <w:pPr>
              <w:jc w:val="center"/>
            </w:pPr>
            <w:r>
              <w:t>B2.4</w:t>
            </w:r>
          </w:p>
        </w:tc>
        <w:tc>
          <w:tcPr>
            <w:tcW w:w="5263" w:type="dxa"/>
          </w:tcPr>
          <w:p w:rsidR="00F17122" w:rsidRPr="00810B09" w:rsidRDefault="00F17122" w:rsidP="00684455">
            <w:r w:rsidRPr="001E60A7">
              <w:t>Less time spent by EA responding to data requests.</w:t>
            </w:r>
          </w:p>
        </w:tc>
        <w:tc>
          <w:tcPr>
            <w:tcW w:w="1701" w:type="dxa"/>
          </w:tcPr>
          <w:p w:rsidR="00F17122" w:rsidRPr="00081C5C" w:rsidRDefault="00F17122" w:rsidP="00684455">
            <w:r>
              <w:t>EA</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B2.5</w:t>
            </w:r>
          </w:p>
        </w:tc>
        <w:tc>
          <w:tcPr>
            <w:tcW w:w="5263" w:type="dxa"/>
          </w:tcPr>
          <w:p w:rsidR="00F17122" w:rsidRPr="00810B09" w:rsidRDefault="00F17122" w:rsidP="00684455">
            <w:r w:rsidRPr="001E60A7">
              <w:t>Improved site selection by LLFAs commissioning their own local flood risk studies.</w:t>
            </w:r>
          </w:p>
        </w:tc>
        <w:tc>
          <w:tcPr>
            <w:tcW w:w="1701" w:type="dxa"/>
          </w:tcPr>
          <w:p w:rsidR="00F17122" w:rsidRPr="00081C5C" w:rsidRDefault="00F17122" w:rsidP="00684455">
            <w:r>
              <w:t>EA</w:t>
            </w:r>
          </w:p>
        </w:tc>
        <w:tc>
          <w:tcPr>
            <w:tcW w:w="1621" w:type="dxa"/>
          </w:tcPr>
          <w:p w:rsidR="00F17122" w:rsidRDefault="00F17122" w:rsidP="00684455">
            <w:r>
              <w:t>Effectiveness</w:t>
            </w:r>
          </w:p>
        </w:tc>
      </w:tr>
      <w:tr w:rsidR="00F17122" w:rsidTr="00684455">
        <w:tc>
          <w:tcPr>
            <w:tcW w:w="657" w:type="dxa"/>
            <w:vAlign w:val="center"/>
          </w:tcPr>
          <w:p w:rsidR="00F17122" w:rsidRDefault="00F17122" w:rsidP="00684455">
            <w:pPr>
              <w:jc w:val="center"/>
            </w:pPr>
            <w:r>
              <w:t>B2.6</w:t>
            </w:r>
          </w:p>
        </w:tc>
        <w:tc>
          <w:tcPr>
            <w:tcW w:w="5263" w:type="dxa"/>
          </w:tcPr>
          <w:p w:rsidR="00F17122" w:rsidRPr="00810B09" w:rsidRDefault="00F17122" w:rsidP="00684455">
            <w:r w:rsidRPr="00810B09">
              <w:t>Increased availability of partnership funding and other funding sources.</w:t>
            </w:r>
          </w:p>
        </w:tc>
        <w:tc>
          <w:tcPr>
            <w:tcW w:w="1701" w:type="dxa"/>
          </w:tcPr>
          <w:p w:rsidR="00F17122" w:rsidRPr="00081C5C" w:rsidRDefault="00F17122" w:rsidP="00684455">
            <w:r>
              <w:t>LPA</w:t>
            </w:r>
          </w:p>
        </w:tc>
        <w:tc>
          <w:tcPr>
            <w:tcW w:w="1621" w:type="dxa"/>
          </w:tcPr>
          <w:p w:rsidR="00F17122" w:rsidRDefault="00F17122" w:rsidP="00684455">
            <w:r>
              <w:t>Funding</w:t>
            </w:r>
          </w:p>
        </w:tc>
      </w:tr>
      <w:tr w:rsidR="00F17122" w:rsidTr="00684455">
        <w:tc>
          <w:tcPr>
            <w:tcW w:w="657" w:type="dxa"/>
            <w:vAlign w:val="center"/>
          </w:tcPr>
          <w:p w:rsidR="00F17122" w:rsidRDefault="00F17122" w:rsidP="00684455">
            <w:pPr>
              <w:jc w:val="center"/>
            </w:pPr>
            <w:r>
              <w:t>B2.7</w:t>
            </w:r>
          </w:p>
        </w:tc>
        <w:tc>
          <w:tcPr>
            <w:tcW w:w="5263" w:type="dxa"/>
          </w:tcPr>
          <w:p w:rsidR="00F17122" w:rsidRPr="00810B09" w:rsidRDefault="00F17122" w:rsidP="00684455">
            <w:r w:rsidRPr="00810B09">
              <w:t>Less time spent producing spatial plans.</w:t>
            </w:r>
          </w:p>
        </w:tc>
        <w:tc>
          <w:tcPr>
            <w:tcW w:w="1701" w:type="dxa"/>
          </w:tcPr>
          <w:p w:rsidR="00F17122" w:rsidRPr="00081C5C" w:rsidRDefault="00F17122" w:rsidP="00684455">
            <w:r>
              <w:t>LPA</w:t>
            </w:r>
          </w:p>
        </w:tc>
        <w:tc>
          <w:tcPr>
            <w:tcW w:w="1621" w:type="dxa"/>
          </w:tcPr>
          <w:p w:rsidR="00F17122" w:rsidRDefault="00F17122" w:rsidP="00684455">
            <w:r>
              <w:t>Effectiveness</w:t>
            </w:r>
          </w:p>
        </w:tc>
      </w:tr>
      <w:tr w:rsidR="00F17122" w:rsidTr="00684455">
        <w:tc>
          <w:tcPr>
            <w:tcW w:w="657" w:type="dxa"/>
            <w:vAlign w:val="center"/>
          </w:tcPr>
          <w:p w:rsidR="00F17122" w:rsidRDefault="00F17122" w:rsidP="00684455">
            <w:pPr>
              <w:jc w:val="center"/>
            </w:pPr>
            <w:r>
              <w:t>B2.8</w:t>
            </w:r>
          </w:p>
        </w:tc>
        <w:tc>
          <w:tcPr>
            <w:tcW w:w="5263" w:type="dxa"/>
          </w:tcPr>
          <w:p w:rsidR="00F17122" w:rsidRPr="00810B09" w:rsidRDefault="00F17122" w:rsidP="00684455">
            <w:r w:rsidRPr="00810B09">
              <w:t>Reduction in flood risk due to more effective emergency plans.</w:t>
            </w:r>
          </w:p>
        </w:tc>
        <w:tc>
          <w:tcPr>
            <w:tcW w:w="1701" w:type="dxa"/>
          </w:tcPr>
          <w:p w:rsidR="00F17122" w:rsidRPr="00081C5C" w:rsidRDefault="00F17122" w:rsidP="00684455">
            <w:r>
              <w:t>Receptors</w:t>
            </w:r>
          </w:p>
        </w:tc>
        <w:tc>
          <w:tcPr>
            <w:tcW w:w="1621" w:type="dxa"/>
          </w:tcPr>
          <w:p w:rsidR="00F17122" w:rsidRDefault="00F17122" w:rsidP="00684455">
            <w:r>
              <w:t>Risk Reduction</w:t>
            </w:r>
          </w:p>
        </w:tc>
      </w:tr>
      <w:tr w:rsidR="00F17122" w:rsidTr="00684455">
        <w:tc>
          <w:tcPr>
            <w:tcW w:w="657" w:type="dxa"/>
            <w:vAlign w:val="center"/>
          </w:tcPr>
          <w:p w:rsidR="00F17122" w:rsidRDefault="00F17122" w:rsidP="00684455">
            <w:pPr>
              <w:jc w:val="center"/>
            </w:pPr>
            <w:r>
              <w:t>B2.9</w:t>
            </w:r>
          </w:p>
        </w:tc>
        <w:tc>
          <w:tcPr>
            <w:tcW w:w="5263" w:type="dxa"/>
          </w:tcPr>
          <w:p w:rsidR="00F17122" w:rsidRDefault="00F17122" w:rsidP="00684455">
            <w:r w:rsidRPr="00810B09">
              <w:t>Reduction in flood risk as property owners (or equivalent for business, infrastructure and other plots of land) have stronger evidence to support investment t</w:t>
            </w:r>
          </w:p>
          <w:p w:rsidR="00F17122" w:rsidRPr="00810B09" w:rsidRDefault="00F17122" w:rsidP="00684455">
            <w:r w:rsidRPr="00810B09">
              <w:t>o protect themselves and their assets.</w:t>
            </w:r>
          </w:p>
        </w:tc>
        <w:tc>
          <w:tcPr>
            <w:tcW w:w="1701" w:type="dxa"/>
          </w:tcPr>
          <w:p w:rsidR="00F17122" w:rsidRPr="00081C5C" w:rsidRDefault="00F17122" w:rsidP="00684455">
            <w:r>
              <w:t>Receptors</w:t>
            </w:r>
          </w:p>
        </w:tc>
        <w:tc>
          <w:tcPr>
            <w:tcW w:w="1621" w:type="dxa"/>
          </w:tcPr>
          <w:p w:rsidR="00F17122" w:rsidRDefault="00F17122" w:rsidP="00684455">
            <w: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B3</w:t>
            </w:r>
          </w:p>
        </w:tc>
        <w:tc>
          <w:tcPr>
            <w:tcW w:w="8585" w:type="dxa"/>
            <w:gridSpan w:val="3"/>
            <w:shd w:val="clear" w:color="auto" w:fill="C6D9F1" w:themeFill="text2" w:themeFillTint="33"/>
          </w:tcPr>
          <w:p w:rsidR="00F17122" w:rsidRPr="00810B09" w:rsidRDefault="00F17122" w:rsidP="00684455">
            <w:pPr>
              <w:rPr>
                <w:b/>
              </w:rPr>
            </w:pPr>
            <w:r w:rsidRPr="00810B09">
              <w:rPr>
                <w:b/>
              </w:rPr>
              <w:t>Data robustness and trust</w:t>
            </w:r>
          </w:p>
        </w:tc>
      </w:tr>
      <w:tr w:rsidR="00F17122" w:rsidTr="00684455">
        <w:tc>
          <w:tcPr>
            <w:tcW w:w="657" w:type="dxa"/>
            <w:vMerge/>
            <w:shd w:val="clear" w:color="auto" w:fill="C6D9F1" w:themeFill="text2" w:themeFillTint="33"/>
          </w:tcPr>
          <w:p w:rsidR="00F17122" w:rsidRPr="00810B09" w:rsidRDefault="00F17122" w:rsidP="00684455">
            <w:pPr>
              <w:rPr>
                <w:b/>
              </w:rPr>
            </w:pPr>
          </w:p>
        </w:tc>
        <w:tc>
          <w:tcPr>
            <w:tcW w:w="8585" w:type="dxa"/>
            <w:gridSpan w:val="3"/>
            <w:shd w:val="clear" w:color="auto" w:fill="C6D9F1" w:themeFill="text2" w:themeFillTint="33"/>
          </w:tcPr>
          <w:p w:rsidR="00F17122" w:rsidRPr="00810B09" w:rsidRDefault="00F17122" w:rsidP="00684455">
            <w:pPr>
              <w:rPr>
                <w:rFonts w:ascii="Arial" w:hAnsi="Arial" w:cs="Arial"/>
                <w:b/>
                <w:color w:val="000000"/>
                <w:sz w:val="20"/>
                <w:szCs w:val="20"/>
              </w:rPr>
            </w:pPr>
            <w:r w:rsidRPr="00810B09">
              <w:rPr>
                <w:rFonts w:ascii="Arial" w:hAnsi="Arial" w:cs="Arial"/>
                <w:b/>
                <w:color w:val="000000"/>
                <w:sz w:val="20"/>
                <w:szCs w:val="20"/>
              </w:rPr>
              <w:t>Effectiveness and efficiency savings due to improved data robustness and trust, resulting in fewer data challenges.</w:t>
            </w:r>
          </w:p>
        </w:tc>
      </w:tr>
      <w:tr w:rsidR="00F17122" w:rsidTr="00684455">
        <w:tc>
          <w:tcPr>
            <w:tcW w:w="657" w:type="dxa"/>
            <w:vAlign w:val="center"/>
          </w:tcPr>
          <w:p w:rsidR="00F17122" w:rsidRDefault="00F17122" w:rsidP="00684455">
            <w:pPr>
              <w:jc w:val="center"/>
            </w:pPr>
            <w:r>
              <w:t>B3.1</w:t>
            </w:r>
          </w:p>
        </w:tc>
        <w:tc>
          <w:tcPr>
            <w:tcW w:w="5263" w:type="dxa"/>
          </w:tcPr>
          <w:p w:rsidR="00F17122" w:rsidRPr="00081C5C" w:rsidRDefault="00F17122" w:rsidP="00684455">
            <w:r w:rsidRPr="00810B09">
              <w:t>Less time spent by EA responding to data challenges.</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t>B3.2</w:t>
            </w:r>
          </w:p>
        </w:tc>
        <w:tc>
          <w:tcPr>
            <w:tcW w:w="5263" w:type="dxa"/>
          </w:tcPr>
          <w:p w:rsidR="00F17122" w:rsidRPr="00081C5C" w:rsidRDefault="00F17122" w:rsidP="00684455">
            <w:r w:rsidRPr="00810B09">
              <w:t>Less time spent by EA, LLFAs, water companies and infrastructure providers repeating work (e.g. developing new models), due to increased trust in the national dataset.</w:t>
            </w:r>
          </w:p>
        </w:tc>
        <w:tc>
          <w:tcPr>
            <w:tcW w:w="1701" w:type="dxa"/>
          </w:tcPr>
          <w:p w:rsidR="00F17122" w:rsidRDefault="00F17122" w:rsidP="00684455">
            <w:r>
              <w:t>EA</w:t>
            </w:r>
          </w:p>
          <w:p w:rsidR="00F17122" w:rsidRDefault="00F17122" w:rsidP="00684455">
            <w:r>
              <w:t>LLFA</w:t>
            </w:r>
          </w:p>
          <w:p w:rsidR="00F17122" w:rsidRDefault="00F17122" w:rsidP="00684455">
            <w:r>
              <w:t>Water industry</w:t>
            </w:r>
          </w:p>
          <w:p w:rsidR="00F17122" w:rsidRPr="00081C5C" w:rsidRDefault="00F17122" w:rsidP="00684455">
            <w:r>
              <w:t>Infrastructure</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t>B3.3</w:t>
            </w:r>
          </w:p>
        </w:tc>
        <w:tc>
          <w:tcPr>
            <w:tcW w:w="5263" w:type="dxa"/>
          </w:tcPr>
          <w:p w:rsidR="00F17122" w:rsidRPr="00810B09" w:rsidRDefault="00F17122" w:rsidP="00684455">
            <w:pPr>
              <w:rPr>
                <w:rFonts w:ascii="Arial" w:hAnsi="Arial" w:cs="Arial"/>
                <w:color w:val="000000"/>
                <w:sz w:val="20"/>
                <w:szCs w:val="20"/>
              </w:rPr>
            </w:pPr>
            <w:r>
              <w:rPr>
                <w:rFonts w:ascii="Arial" w:hAnsi="Arial" w:cs="Arial"/>
                <w:color w:val="000000"/>
                <w:sz w:val="20"/>
                <w:szCs w:val="20"/>
              </w:rPr>
              <w:t>Less time spent by EA trying to gain ‘buy in’.</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lastRenderedPageBreak/>
              <w:t>B3.4</w:t>
            </w:r>
          </w:p>
        </w:tc>
        <w:tc>
          <w:tcPr>
            <w:tcW w:w="5263" w:type="dxa"/>
          </w:tcPr>
          <w:p w:rsidR="00F17122" w:rsidRPr="00081C5C" w:rsidRDefault="00F17122" w:rsidP="00684455">
            <w:r w:rsidRPr="00810B09">
              <w:t>Less time spent by local planning authorities dealing with challenges during consultation of spatial plans.</w:t>
            </w:r>
          </w:p>
        </w:tc>
        <w:tc>
          <w:tcPr>
            <w:tcW w:w="1701" w:type="dxa"/>
          </w:tcPr>
          <w:p w:rsidR="00F17122" w:rsidRPr="00081C5C" w:rsidRDefault="00F17122" w:rsidP="00684455">
            <w:r>
              <w:t>Local Planning Authorities</w:t>
            </w:r>
          </w:p>
        </w:tc>
        <w:tc>
          <w:tcPr>
            <w:tcW w:w="1621" w:type="dxa"/>
          </w:tcPr>
          <w:p w:rsidR="00F17122" w:rsidRPr="00081C5C" w:rsidRDefault="00F17122" w:rsidP="00684455">
            <w:r>
              <w:t>Efficiency</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B4</w:t>
            </w:r>
          </w:p>
        </w:tc>
        <w:tc>
          <w:tcPr>
            <w:tcW w:w="8585" w:type="dxa"/>
            <w:gridSpan w:val="3"/>
            <w:shd w:val="clear" w:color="auto" w:fill="C6D9F1" w:themeFill="text2" w:themeFillTint="33"/>
          </w:tcPr>
          <w:p w:rsidR="00F17122" w:rsidRPr="00810B09" w:rsidRDefault="00F17122" w:rsidP="00684455">
            <w:pPr>
              <w:rPr>
                <w:b/>
              </w:rPr>
            </w:pPr>
            <w:r w:rsidRPr="00810B09">
              <w:rPr>
                <w:b/>
              </w:rPr>
              <w:t>National dataset updates</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Efficiency savings by making it easier to incorporate new or updated local modelling into the national flood risk dataset.</w:t>
            </w:r>
          </w:p>
        </w:tc>
      </w:tr>
      <w:tr w:rsidR="00F17122" w:rsidTr="00684455">
        <w:tc>
          <w:tcPr>
            <w:tcW w:w="657" w:type="dxa"/>
            <w:vAlign w:val="center"/>
          </w:tcPr>
          <w:p w:rsidR="00F17122" w:rsidRDefault="00F17122" w:rsidP="00684455">
            <w:pPr>
              <w:jc w:val="center"/>
            </w:pPr>
            <w:r>
              <w:t>B4.1</w:t>
            </w:r>
          </w:p>
        </w:tc>
        <w:tc>
          <w:tcPr>
            <w:tcW w:w="5263" w:type="dxa"/>
          </w:tcPr>
          <w:p w:rsidR="00F17122" w:rsidRPr="00081C5C" w:rsidRDefault="00F17122" w:rsidP="00684455">
            <w:r w:rsidRPr="00810B09">
              <w:t>Less time spent by EA incorporating local model updates into NaFRA2 and reviewing national model outputs (due to increased buy-in and confidence in the source of the modelling).</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B5</w:t>
            </w:r>
          </w:p>
        </w:tc>
        <w:tc>
          <w:tcPr>
            <w:tcW w:w="8585" w:type="dxa"/>
            <w:gridSpan w:val="3"/>
            <w:shd w:val="clear" w:color="auto" w:fill="C6D9F1" w:themeFill="text2" w:themeFillTint="33"/>
          </w:tcPr>
          <w:p w:rsidR="00F17122" w:rsidRPr="00810B09" w:rsidRDefault="00F17122" w:rsidP="00684455">
            <w:pPr>
              <w:rPr>
                <w:b/>
              </w:rPr>
            </w:pPr>
            <w:r w:rsidRPr="00810B09">
              <w:rPr>
                <w:b/>
              </w:rPr>
              <w:t>Strategic Decision Making</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More optimal strategic decision making for national investment programmes.</w:t>
            </w:r>
          </w:p>
        </w:tc>
      </w:tr>
      <w:tr w:rsidR="00F17122" w:rsidTr="00684455">
        <w:tc>
          <w:tcPr>
            <w:tcW w:w="657" w:type="dxa"/>
            <w:vAlign w:val="center"/>
          </w:tcPr>
          <w:p w:rsidR="00F17122" w:rsidRDefault="00F17122" w:rsidP="00684455">
            <w:pPr>
              <w:jc w:val="center"/>
            </w:pPr>
            <w:r>
              <w:t>B5.1</w:t>
            </w:r>
          </w:p>
        </w:tc>
        <w:tc>
          <w:tcPr>
            <w:tcW w:w="5263" w:type="dxa"/>
          </w:tcPr>
          <w:p w:rsidR="00F17122" w:rsidRPr="00081C5C" w:rsidRDefault="00F17122" w:rsidP="00684455">
            <w:r w:rsidRPr="00810B09">
              <w:t>Reduction in flood risk due to more effective long term strategic response to flooding.</w:t>
            </w:r>
          </w:p>
        </w:tc>
        <w:tc>
          <w:tcPr>
            <w:tcW w:w="1701" w:type="dxa"/>
          </w:tcPr>
          <w:p w:rsidR="00F17122" w:rsidRPr="00081C5C" w:rsidRDefault="00F17122" w:rsidP="00684455">
            <w:r>
              <w:t>Receptors</w:t>
            </w:r>
          </w:p>
        </w:tc>
        <w:tc>
          <w:tcPr>
            <w:tcW w:w="1621" w:type="dxa"/>
          </w:tcPr>
          <w:p w:rsidR="00F17122" w:rsidRPr="00081C5C" w:rsidRDefault="00F17122" w:rsidP="00684455">
            <w:r>
              <w:t>Risk reduction</w:t>
            </w:r>
          </w:p>
        </w:tc>
      </w:tr>
      <w:tr w:rsidR="00F17122" w:rsidTr="00684455">
        <w:tc>
          <w:tcPr>
            <w:tcW w:w="657" w:type="dxa"/>
            <w:vAlign w:val="center"/>
          </w:tcPr>
          <w:p w:rsidR="00F17122" w:rsidRDefault="00F17122" w:rsidP="00684455">
            <w:pPr>
              <w:jc w:val="center"/>
            </w:pPr>
            <w:r>
              <w:t>B5.2</w:t>
            </w:r>
          </w:p>
        </w:tc>
        <w:tc>
          <w:tcPr>
            <w:tcW w:w="5263" w:type="dxa"/>
          </w:tcPr>
          <w:p w:rsidR="00F17122" w:rsidRPr="00081C5C" w:rsidRDefault="00F17122" w:rsidP="00684455">
            <w:r w:rsidRPr="00810B09">
              <w:t>Risk reduction and increased resilience by enabling asset owners to identify future changes in risk.</w:t>
            </w:r>
          </w:p>
        </w:tc>
        <w:tc>
          <w:tcPr>
            <w:tcW w:w="1701" w:type="dxa"/>
          </w:tcPr>
          <w:p w:rsidR="00F17122" w:rsidRDefault="00F17122" w:rsidP="00684455">
            <w:r>
              <w:t>Water Industry</w:t>
            </w:r>
          </w:p>
          <w:p w:rsidR="00F17122" w:rsidRDefault="00F17122" w:rsidP="00684455">
            <w:r>
              <w:t>Infrastructure</w:t>
            </w:r>
          </w:p>
          <w:p w:rsidR="00F17122" w:rsidRPr="00081C5C" w:rsidRDefault="00F17122" w:rsidP="00684455">
            <w:r>
              <w:t>Providers</w:t>
            </w:r>
          </w:p>
        </w:tc>
        <w:tc>
          <w:tcPr>
            <w:tcW w:w="1621" w:type="dxa"/>
          </w:tcPr>
          <w:p w:rsidR="00F17122" w:rsidRPr="00081C5C" w:rsidRDefault="00F17122" w:rsidP="00684455">
            <w: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B6</w:t>
            </w:r>
          </w:p>
        </w:tc>
        <w:tc>
          <w:tcPr>
            <w:tcW w:w="8585" w:type="dxa"/>
            <w:gridSpan w:val="3"/>
            <w:shd w:val="clear" w:color="auto" w:fill="C6D9F1" w:themeFill="text2" w:themeFillTint="33"/>
          </w:tcPr>
          <w:p w:rsidR="00F17122" w:rsidRPr="00810B09" w:rsidRDefault="00F17122" w:rsidP="00684455">
            <w:pPr>
              <w:rPr>
                <w:b/>
              </w:rPr>
            </w:pPr>
            <w:r w:rsidRPr="00810B09">
              <w:rPr>
                <w:b/>
              </w:rPr>
              <w:t>Incident decision making</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Effectiveness and risk reduction savings through improved information for decision making during a flood incident, enabled by responses to ad-hoc questions.</w:t>
            </w:r>
          </w:p>
        </w:tc>
      </w:tr>
      <w:tr w:rsidR="00F17122" w:rsidTr="00684455">
        <w:tc>
          <w:tcPr>
            <w:tcW w:w="657" w:type="dxa"/>
            <w:vAlign w:val="center"/>
          </w:tcPr>
          <w:p w:rsidR="00F17122" w:rsidRDefault="00F17122" w:rsidP="00684455">
            <w:pPr>
              <w:jc w:val="center"/>
            </w:pPr>
            <w:r>
              <w:t>B6.1</w:t>
            </w:r>
          </w:p>
        </w:tc>
        <w:tc>
          <w:tcPr>
            <w:tcW w:w="5263" w:type="dxa"/>
          </w:tcPr>
          <w:p w:rsidR="00F17122" w:rsidRDefault="00F17122" w:rsidP="009A707F">
            <w:pPr>
              <w:pStyle w:val="ListParagraph"/>
              <w:numPr>
                <w:ilvl w:val="0"/>
                <w:numId w:val="3"/>
              </w:numPr>
              <w:jc w:val="both"/>
            </w:pPr>
            <w:r w:rsidRPr="00081C5C">
              <w:t>Reduction in flood risk due to more effective incident response.</w:t>
            </w:r>
            <w:r>
              <w:t xml:space="preserve"> </w:t>
            </w:r>
          </w:p>
          <w:p w:rsidR="00F17122" w:rsidRPr="00081C5C" w:rsidRDefault="00F17122" w:rsidP="009A707F">
            <w:pPr>
              <w:pStyle w:val="ListParagraph"/>
              <w:numPr>
                <w:ilvl w:val="0"/>
                <w:numId w:val="3"/>
              </w:numPr>
              <w:jc w:val="both"/>
            </w:pPr>
            <w:r>
              <w:t>M</w:t>
            </w:r>
            <w:r w:rsidRPr="00081C5C">
              <w:t>ore effective response and reduction in flood risk due to more optimal real time management of resources during a flood incident.</w:t>
            </w:r>
          </w:p>
        </w:tc>
        <w:tc>
          <w:tcPr>
            <w:tcW w:w="1701" w:type="dxa"/>
          </w:tcPr>
          <w:p w:rsidR="00F17122" w:rsidRDefault="00F17122" w:rsidP="00684455">
            <w:r>
              <w:t>Receptors</w:t>
            </w:r>
          </w:p>
          <w:p w:rsidR="00F17122" w:rsidRPr="00081C5C" w:rsidRDefault="00F17122" w:rsidP="00684455">
            <w:r>
              <w:t>EA</w:t>
            </w:r>
          </w:p>
        </w:tc>
        <w:tc>
          <w:tcPr>
            <w:tcW w:w="1621" w:type="dxa"/>
          </w:tcPr>
          <w:p w:rsidR="00F17122" w:rsidRDefault="00F17122" w:rsidP="00684455">
            <w:pPr>
              <w:rPr>
                <w:rFonts w:ascii="Arial" w:hAnsi="Arial" w:cs="Arial"/>
                <w:color w:val="000000"/>
                <w:sz w:val="20"/>
                <w:szCs w:val="20"/>
              </w:rPr>
            </w:pPr>
            <w:r>
              <w:rPr>
                <w:rFonts w:ascii="Arial" w:hAnsi="Arial" w:cs="Arial"/>
                <w:color w:val="000000"/>
                <w:sz w:val="20"/>
                <w:szCs w:val="20"/>
              </w:rPr>
              <w:t>Risk reduction</w:t>
            </w:r>
          </w:p>
          <w:p w:rsidR="00F17122" w:rsidRPr="00081C5C" w:rsidRDefault="00F17122" w:rsidP="00684455">
            <w:pPr>
              <w:rPr>
                <w:rFonts w:ascii="Arial" w:hAnsi="Arial" w:cs="Arial"/>
                <w:color w:val="000000"/>
                <w:sz w:val="20"/>
                <w:szCs w:val="20"/>
              </w:rPr>
            </w:pPr>
            <w:r>
              <w:rPr>
                <w:rFonts w:ascii="Arial" w:hAnsi="Arial" w:cs="Arial"/>
                <w:color w:val="000000"/>
                <w:sz w:val="20"/>
                <w:szCs w:val="20"/>
              </w:rPr>
              <w:t>Effectiveness</w:t>
            </w:r>
          </w:p>
        </w:tc>
      </w:tr>
      <w:tr w:rsidR="00F17122" w:rsidTr="00684455">
        <w:tc>
          <w:tcPr>
            <w:tcW w:w="657" w:type="dxa"/>
            <w:vAlign w:val="center"/>
          </w:tcPr>
          <w:p w:rsidR="00F17122" w:rsidRDefault="00F17122" w:rsidP="00684455">
            <w:pPr>
              <w:jc w:val="center"/>
            </w:pPr>
            <w:r>
              <w:t>B6.2</w:t>
            </w:r>
          </w:p>
        </w:tc>
        <w:tc>
          <w:tcPr>
            <w:tcW w:w="5263" w:type="dxa"/>
          </w:tcPr>
          <w:p w:rsidR="00F17122" w:rsidRPr="00081C5C" w:rsidRDefault="00F17122" w:rsidP="00684455">
            <w:r w:rsidRPr="00081C5C">
              <w:t>Risk reduction due to improved information going out to partners and communities during flood incidents.</w:t>
            </w:r>
          </w:p>
        </w:tc>
        <w:tc>
          <w:tcPr>
            <w:tcW w:w="1701" w:type="dxa"/>
          </w:tcPr>
          <w:p w:rsidR="00F17122" w:rsidRDefault="00F17122" w:rsidP="00684455">
            <w:r>
              <w:t>Water Industry</w:t>
            </w:r>
          </w:p>
          <w:p w:rsidR="00F17122" w:rsidRPr="00081C5C" w:rsidRDefault="00F17122" w:rsidP="00684455">
            <w:r>
              <w:t>Receptors</w:t>
            </w:r>
          </w:p>
        </w:tc>
        <w:tc>
          <w:tcPr>
            <w:tcW w:w="1621" w:type="dxa"/>
          </w:tcPr>
          <w:p w:rsidR="00F17122" w:rsidRPr="00081C5C" w:rsidRDefault="00F17122" w:rsidP="00684455">
            <w:pPr>
              <w:rPr>
                <w:rFonts w:ascii="Arial" w:hAnsi="Arial" w:cs="Arial"/>
                <w:color w:val="000000"/>
                <w:sz w:val="20"/>
                <w:szCs w:val="20"/>
              </w:rPr>
            </w:pPr>
            <w:r>
              <w:rPr>
                <w:rFonts w:ascii="Arial" w:hAnsi="Arial" w:cs="Arial"/>
                <w:color w:val="000000"/>
                <w:sz w:val="20"/>
                <w:szCs w:val="20"/>
              </w:rP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B7</w:t>
            </w:r>
          </w:p>
        </w:tc>
        <w:tc>
          <w:tcPr>
            <w:tcW w:w="8585" w:type="dxa"/>
            <w:gridSpan w:val="3"/>
            <w:shd w:val="clear" w:color="auto" w:fill="C6D9F1" w:themeFill="text2" w:themeFillTint="33"/>
          </w:tcPr>
          <w:p w:rsidR="00F17122" w:rsidRPr="00810B09" w:rsidRDefault="00F17122" w:rsidP="00684455">
            <w:pPr>
              <w:rPr>
                <w:b/>
              </w:rPr>
            </w:pPr>
            <w:r w:rsidRPr="00810B09">
              <w:rPr>
                <w:b/>
              </w:rPr>
              <w:t>Planning Process</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Efficiency savings and risk reduction through the planning process</w:t>
            </w:r>
          </w:p>
        </w:tc>
      </w:tr>
      <w:tr w:rsidR="00F17122" w:rsidTr="00684455">
        <w:tc>
          <w:tcPr>
            <w:tcW w:w="657" w:type="dxa"/>
            <w:vAlign w:val="center"/>
          </w:tcPr>
          <w:p w:rsidR="00F17122" w:rsidRDefault="00F17122" w:rsidP="00684455">
            <w:pPr>
              <w:jc w:val="center"/>
            </w:pPr>
            <w:r>
              <w:t>B7.1</w:t>
            </w:r>
          </w:p>
        </w:tc>
        <w:tc>
          <w:tcPr>
            <w:tcW w:w="5263" w:type="dxa"/>
          </w:tcPr>
          <w:p w:rsidR="00F17122" w:rsidRDefault="00F17122" w:rsidP="00684455">
            <w:r w:rsidRPr="00081C5C">
              <w:t>Reduction in flood risk due to fewer properties bein</w:t>
            </w:r>
            <w:r>
              <w:t>g constructed in the floodplain.</w:t>
            </w:r>
          </w:p>
        </w:tc>
        <w:tc>
          <w:tcPr>
            <w:tcW w:w="1701" w:type="dxa"/>
          </w:tcPr>
          <w:p w:rsidR="00F17122" w:rsidRPr="00081C5C" w:rsidRDefault="00F17122" w:rsidP="00684455">
            <w:r>
              <w:t>Receptors</w:t>
            </w:r>
          </w:p>
        </w:tc>
        <w:tc>
          <w:tcPr>
            <w:tcW w:w="1621" w:type="dxa"/>
          </w:tcPr>
          <w:p w:rsidR="00F17122" w:rsidRPr="00081C5C" w:rsidRDefault="00F17122" w:rsidP="00684455">
            <w:pPr>
              <w:rPr>
                <w:rFonts w:ascii="Arial" w:hAnsi="Arial" w:cs="Arial"/>
                <w:color w:val="000000"/>
                <w:sz w:val="20"/>
                <w:szCs w:val="20"/>
              </w:rPr>
            </w:pPr>
            <w:r>
              <w:rPr>
                <w:rFonts w:ascii="Arial" w:hAnsi="Arial" w:cs="Arial"/>
                <w:color w:val="000000"/>
                <w:sz w:val="20"/>
                <w:szCs w:val="20"/>
              </w:rPr>
              <w:t>Risk reduction</w:t>
            </w:r>
          </w:p>
        </w:tc>
      </w:tr>
      <w:tr w:rsidR="00F17122" w:rsidTr="00684455">
        <w:tc>
          <w:tcPr>
            <w:tcW w:w="657" w:type="dxa"/>
            <w:vAlign w:val="center"/>
          </w:tcPr>
          <w:p w:rsidR="00F17122" w:rsidRDefault="00F17122" w:rsidP="00684455">
            <w:pPr>
              <w:jc w:val="center"/>
            </w:pPr>
            <w:r>
              <w:t>B7.2</w:t>
            </w:r>
          </w:p>
        </w:tc>
        <w:tc>
          <w:tcPr>
            <w:tcW w:w="5263" w:type="dxa"/>
          </w:tcPr>
          <w:p w:rsidR="00F17122" w:rsidRDefault="00F17122" w:rsidP="00684455">
            <w:r w:rsidRPr="00081C5C">
              <w:t>Less time spent per planning application due to efficient access to comprehensive flood data.</w:t>
            </w:r>
          </w:p>
        </w:tc>
        <w:tc>
          <w:tcPr>
            <w:tcW w:w="1701" w:type="dxa"/>
          </w:tcPr>
          <w:p w:rsidR="00F17122" w:rsidRPr="00081C5C" w:rsidRDefault="00F17122" w:rsidP="00684455">
            <w:r w:rsidRPr="00081C5C">
              <w:t>Local planning authorities</w:t>
            </w:r>
          </w:p>
        </w:tc>
        <w:tc>
          <w:tcPr>
            <w:tcW w:w="1621" w:type="dxa"/>
          </w:tcPr>
          <w:p w:rsidR="00F17122" w:rsidRPr="00081C5C" w:rsidRDefault="00F17122" w:rsidP="00684455">
            <w:r>
              <w:t>Efficiency</w:t>
            </w:r>
          </w:p>
        </w:tc>
      </w:tr>
    </w:tbl>
    <w:p w:rsidR="00900AAA" w:rsidRDefault="00900AAA">
      <w:r>
        <w:br w:type="page"/>
      </w:r>
    </w:p>
    <w:p w:rsidR="004B1E46" w:rsidRDefault="004B1E46" w:rsidP="004B1E46">
      <w:pPr>
        <w:pStyle w:val="Heading1"/>
        <w:numPr>
          <w:ilvl w:val="0"/>
          <w:numId w:val="0"/>
        </w:numPr>
        <w:ind w:left="432" w:hanging="432"/>
      </w:pPr>
      <w:r>
        <w:lastRenderedPageBreak/>
        <w:t xml:space="preserve">Appendix B </w:t>
      </w:r>
      <w:r w:rsidR="00833271">
        <w:t xml:space="preserve">- Further </w:t>
      </w:r>
      <w:r w:rsidR="002B2400">
        <w:t>t</w:t>
      </w:r>
      <w:r>
        <w:t>ask and product details</w:t>
      </w:r>
    </w:p>
    <w:p w:rsidR="004E5E37" w:rsidRDefault="001469E0" w:rsidP="001469E0">
      <w:pPr>
        <w:pStyle w:val="Heading2"/>
        <w:numPr>
          <w:ilvl w:val="0"/>
          <w:numId w:val="0"/>
        </w:numPr>
      </w:pPr>
      <w:r>
        <w:t xml:space="preserve">Task 3 - </w:t>
      </w:r>
      <w:r w:rsidR="004E5E37">
        <w:t>Identify missing and/or duplicated benefits</w:t>
      </w:r>
    </w:p>
    <w:p w:rsidR="001469E0" w:rsidRPr="001469E0" w:rsidRDefault="001469E0" w:rsidP="001469E0">
      <w:pPr>
        <w:spacing w:after="0"/>
      </w:pPr>
    </w:p>
    <w:p w:rsidR="004E5E37" w:rsidRDefault="004E5E37" w:rsidP="00833271">
      <w:pPr>
        <w:jc w:val="both"/>
      </w:pPr>
      <w:r>
        <w:t xml:space="preserve">The NaFRA2 team have recently followed a process of </w:t>
      </w:r>
      <w:r w:rsidRPr="001469E0">
        <w:t>removing benefits</w:t>
      </w:r>
      <w:r>
        <w:t xml:space="preserve"> that are no longer realisable as they have either not been included in the list of requirements (an input to the specification) OR because they were considered aspirational requirements in the specification which are not being delivered (all basic requirements in the specification and some aspirational requirements are being delivered in full or part respectively). The Consultant is required to review the process that has been followed and the outcome</w:t>
      </w:r>
      <w:r w:rsidR="001469E0">
        <w:t xml:space="preserve">. </w:t>
      </w:r>
      <w:r>
        <w:t xml:space="preserve"> </w:t>
      </w:r>
    </w:p>
    <w:p w:rsidR="004E5E37" w:rsidRDefault="00833271" w:rsidP="00833271">
      <w:pPr>
        <w:pStyle w:val="Heading2"/>
        <w:numPr>
          <w:ilvl w:val="0"/>
          <w:numId w:val="0"/>
        </w:numPr>
      </w:pPr>
      <w:r>
        <w:t xml:space="preserve">Task 7 - </w:t>
      </w:r>
      <w:r w:rsidR="004E5E37">
        <w:t>Baseline existing (internal to EA only)</w:t>
      </w:r>
    </w:p>
    <w:p w:rsidR="00833271" w:rsidRPr="001469E0" w:rsidRDefault="00833271" w:rsidP="00833271">
      <w:pPr>
        <w:spacing w:after="0"/>
      </w:pPr>
    </w:p>
    <w:p w:rsidR="004E5E37" w:rsidRDefault="004E5E37" w:rsidP="004E5E37">
      <w:pPr>
        <w:jc w:val="both"/>
      </w:pPr>
      <w:r>
        <w:t xml:space="preserve">The Consultant shall </w:t>
      </w:r>
      <w:r w:rsidR="00D10A75">
        <w:t>design</w:t>
      </w:r>
      <w:r w:rsidR="00833271">
        <w:t xml:space="preserve"> a </w:t>
      </w:r>
      <w:r w:rsidR="00D10A75">
        <w:t xml:space="preserve">survey </w:t>
      </w:r>
      <w:r w:rsidR="00833271">
        <w:t>of beneficiary and</w:t>
      </w:r>
      <w:r w:rsidRPr="00833271">
        <w:t xml:space="preserve"> </w:t>
      </w:r>
      <w:r w:rsidR="00833271">
        <w:t>user</w:t>
      </w:r>
      <w:r w:rsidRPr="00833271">
        <w:t xml:space="preserve"> satisfaction</w:t>
      </w:r>
      <w:r>
        <w:t xml:space="preserve"> with existing NaFRA risk data in the context of the business processes</w:t>
      </w:r>
      <w:r w:rsidR="00D10A75">
        <w:t xml:space="preserve"> </w:t>
      </w:r>
      <w:r>
        <w:t xml:space="preserve">to ascertain their satisfaction with the </w:t>
      </w:r>
      <w:r w:rsidR="00D10A75">
        <w:t xml:space="preserve">flood </w:t>
      </w:r>
      <w:r>
        <w:t xml:space="preserve">risk data within their business process, not </w:t>
      </w:r>
      <w:r w:rsidR="00833271">
        <w:t xml:space="preserve">satisfaction with </w:t>
      </w:r>
      <w:r>
        <w:t xml:space="preserve">the business process </w:t>
      </w:r>
      <w:r w:rsidR="00833271">
        <w:t>as a whole</w:t>
      </w:r>
      <w:r>
        <w:t xml:space="preserve">. </w:t>
      </w:r>
    </w:p>
    <w:p w:rsidR="004B1E46" w:rsidRDefault="004B1E46">
      <w:pPr>
        <w:rPr>
          <w:rFonts w:asciiTheme="majorHAnsi" w:eastAsiaTheme="majorEastAsia" w:hAnsiTheme="majorHAnsi" w:cstheme="majorBidi"/>
          <w:b/>
          <w:bCs/>
          <w:color w:val="365F91" w:themeColor="accent1" w:themeShade="BF"/>
          <w:sz w:val="28"/>
          <w:szCs w:val="28"/>
        </w:rPr>
      </w:pPr>
    </w:p>
    <w:p w:rsidR="004B1E46" w:rsidRDefault="004B1E46">
      <w:pPr>
        <w:rPr>
          <w:rFonts w:asciiTheme="majorHAnsi" w:eastAsiaTheme="majorEastAsia" w:hAnsiTheme="majorHAnsi" w:cstheme="majorBidi"/>
          <w:b/>
          <w:bCs/>
          <w:color w:val="365F91" w:themeColor="accent1" w:themeShade="BF"/>
          <w:sz w:val="28"/>
          <w:szCs w:val="28"/>
        </w:rPr>
      </w:pPr>
      <w:r>
        <w:br w:type="page"/>
      </w:r>
    </w:p>
    <w:p w:rsidR="00900AAA" w:rsidRDefault="00900AAA" w:rsidP="00900AAA">
      <w:pPr>
        <w:pStyle w:val="Heading1"/>
        <w:numPr>
          <w:ilvl w:val="0"/>
          <w:numId w:val="0"/>
        </w:numPr>
        <w:ind w:left="432" w:hanging="432"/>
      </w:pPr>
      <w:r>
        <w:lastRenderedPageBreak/>
        <w:t xml:space="preserve">Appendix </w:t>
      </w:r>
      <w:r w:rsidR="00833271">
        <w:t>C</w:t>
      </w:r>
      <w:r>
        <w:t xml:space="preserve"> - Documents </w:t>
      </w:r>
      <w:r w:rsidR="00833271">
        <w:t>for</w:t>
      </w:r>
      <w:r>
        <w:t xml:space="preserve"> </w:t>
      </w:r>
      <w:r w:rsidR="0014333F">
        <w:t>review</w:t>
      </w:r>
    </w:p>
    <w:p w:rsidR="00B7175C" w:rsidRDefault="00B7175C" w:rsidP="00833271">
      <w:pPr>
        <w:spacing w:after="0"/>
        <w:jc w:val="both"/>
      </w:pPr>
    </w:p>
    <w:p w:rsidR="00626853" w:rsidRDefault="00626853" w:rsidP="009A707F">
      <w:pPr>
        <w:pStyle w:val="ListParagraph"/>
        <w:numPr>
          <w:ilvl w:val="0"/>
          <w:numId w:val="1"/>
        </w:numPr>
        <w:jc w:val="both"/>
      </w:pPr>
      <w:r>
        <w:t>MMD</w:t>
      </w:r>
      <w:r w:rsidRPr="00626853">
        <w:t xml:space="preserve"> programme benefit map</w:t>
      </w:r>
      <w:r>
        <w:t xml:space="preserve"> </w:t>
      </w:r>
    </w:p>
    <w:p w:rsidR="00900AAA" w:rsidRDefault="00900AAA" w:rsidP="009A707F">
      <w:pPr>
        <w:pStyle w:val="ListParagraph"/>
        <w:numPr>
          <w:ilvl w:val="0"/>
          <w:numId w:val="1"/>
        </w:numPr>
        <w:jc w:val="both"/>
      </w:pPr>
      <w:r>
        <w:t>Summary of Benefits (</w:t>
      </w:r>
      <w:r w:rsidRPr="002921BD">
        <w:t xml:space="preserve">20170615NaFRA2_BenefitsDRAFT_detailed </w:t>
      </w:r>
      <w:r w:rsidR="002B2400">
        <w:t>RH</w:t>
      </w:r>
      <w:r>
        <w:t>.doc)</w:t>
      </w:r>
    </w:p>
    <w:p w:rsidR="00900AAA" w:rsidRDefault="00900AAA" w:rsidP="009A707F">
      <w:pPr>
        <w:pStyle w:val="ListParagraph"/>
        <w:numPr>
          <w:ilvl w:val="0"/>
          <w:numId w:val="1"/>
        </w:numPr>
      </w:pPr>
      <w:r>
        <w:t>ABC1 Report (</w:t>
      </w:r>
      <w:r w:rsidRPr="002921BD">
        <w:t>9 - Enhancing Flood Risk Info Report_Final v2.1</w:t>
      </w:r>
      <w:r>
        <w:t>.pdf)</w:t>
      </w:r>
    </w:p>
    <w:p w:rsidR="00900AAA" w:rsidRDefault="00900AAA" w:rsidP="009A707F">
      <w:pPr>
        <w:pStyle w:val="ListParagraph"/>
        <w:numPr>
          <w:ilvl w:val="0"/>
          <w:numId w:val="1"/>
        </w:numPr>
      </w:pPr>
      <w:r>
        <w:t>Benefit appraisal calculations (</w:t>
      </w:r>
      <w:r w:rsidRPr="002921BD">
        <w:t>20170406_Appendix 3 - Ben</w:t>
      </w:r>
      <w:r>
        <w:t xml:space="preserve">efits appraisal calculations) </w:t>
      </w:r>
    </w:p>
    <w:p w:rsidR="00900AAA" w:rsidRDefault="00900AAA" w:rsidP="009A707F">
      <w:pPr>
        <w:pStyle w:val="ListParagraph"/>
        <w:numPr>
          <w:ilvl w:val="0"/>
          <w:numId w:val="1"/>
        </w:numPr>
      </w:pPr>
      <w:r>
        <w:t xml:space="preserve">Benefit Profiles </w:t>
      </w:r>
    </w:p>
    <w:p w:rsidR="00900AAA" w:rsidRDefault="00F14AF8" w:rsidP="009A707F">
      <w:pPr>
        <w:pStyle w:val="ListParagraph"/>
        <w:numPr>
          <w:ilvl w:val="0"/>
          <w:numId w:val="1"/>
        </w:numPr>
      </w:pPr>
      <w:r>
        <w:t>Benefit manager’s</w:t>
      </w:r>
      <w:r w:rsidR="00900AAA">
        <w:t xml:space="preserve"> review</w:t>
      </w:r>
      <w:r>
        <w:t xml:space="preserve"> of outline business case</w:t>
      </w:r>
      <w:r w:rsidR="00900AAA">
        <w:t xml:space="preserve"> (NaFRA2 OBC benefits review 0.1.doc)</w:t>
      </w:r>
    </w:p>
    <w:p w:rsidR="00900AAA" w:rsidRDefault="00900AAA" w:rsidP="009A707F">
      <w:pPr>
        <w:pStyle w:val="ListParagraph"/>
        <w:numPr>
          <w:ilvl w:val="0"/>
          <w:numId w:val="1"/>
        </w:numPr>
      </w:pPr>
      <w:r>
        <w:t>Portfolio benefit strategy</w:t>
      </w:r>
    </w:p>
    <w:p w:rsidR="00900AAA" w:rsidRDefault="00900AAA" w:rsidP="009A707F">
      <w:pPr>
        <w:pStyle w:val="ListParagraph"/>
        <w:numPr>
          <w:ilvl w:val="0"/>
          <w:numId w:val="1"/>
        </w:numPr>
        <w:jc w:val="both"/>
      </w:pPr>
      <w:r>
        <w:t>NaFRA2 Narrative</w:t>
      </w:r>
    </w:p>
    <w:p w:rsidR="00900AAA" w:rsidRDefault="00900AAA" w:rsidP="009A707F">
      <w:pPr>
        <w:pStyle w:val="ListParagraph"/>
        <w:numPr>
          <w:ilvl w:val="0"/>
          <w:numId w:val="1"/>
        </w:numPr>
        <w:jc w:val="both"/>
      </w:pPr>
      <w:r>
        <w:t xml:space="preserve">NaFRA2 Integrated Assurance and Approval Plan </w:t>
      </w:r>
      <w:r w:rsidR="00010D03">
        <w:t>3</w:t>
      </w:r>
      <w:r w:rsidR="00010D03" w:rsidRPr="00010D03">
        <w:rPr>
          <w:vertAlign w:val="superscript"/>
        </w:rPr>
        <w:t>rd</w:t>
      </w:r>
      <w:r w:rsidR="00010D03">
        <w:t xml:space="preserve"> edition </w:t>
      </w:r>
      <w:r>
        <w:t>(IAAP)</w:t>
      </w:r>
    </w:p>
    <w:p w:rsidR="00900AAA" w:rsidRDefault="00900AAA" w:rsidP="009A707F">
      <w:pPr>
        <w:pStyle w:val="ListParagraph"/>
        <w:numPr>
          <w:ilvl w:val="0"/>
          <w:numId w:val="1"/>
        </w:numPr>
        <w:jc w:val="both"/>
      </w:pPr>
      <w:r>
        <w:t>MMD Programme Benefit Maps</w:t>
      </w:r>
    </w:p>
    <w:p w:rsidR="00010D03" w:rsidRDefault="00010D03" w:rsidP="009A707F">
      <w:pPr>
        <w:pStyle w:val="ListParagraph"/>
        <w:numPr>
          <w:ilvl w:val="0"/>
          <w:numId w:val="1"/>
        </w:numPr>
        <w:jc w:val="both"/>
      </w:pPr>
      <w:r>
        <w:t>Map Edit FBC</w:t>
      </w:r>
    </w:p>
    <w:p w:rsidR="00010D03" w:rsidRDefault="00010D03" w:rsidP="009A707F">
      <w:pPr>
        <w:pStyle w:val="ListParagraph"/>
        <w:numPr>
          <w:ilvl w:val="0"/>
          <w:numId w:val="1"/>
        </w:numPr>
        <w:jc w:val="both"/>
      </w:pPr>
      <w:r>
        <w:t>NaFRA2 Data FBC</w:t>
      </w:r>
    </w:p>
    <w:p w:rsidR="00A630F7" w:rsidRDefault="00010D03" w:rsidP="009A707F">
      <w:pPr>
        <w:pStyle w:val="ListParagraph"/>
        <w:numPr>
          <w:ilvl w:val="0"/>
          <w:numId w:val="1"/>
        </w:numPr>
        <w:jc w:val="both"/>
      </w:pPr>
      <w:r>
        <w:t>Appropriate LTIS Project Documentation</w:t>
      </w:r>
    </w:p>
    <w:p w:rsidR="00833271" w:rsidRDefault="00833271" w:rsidP="00833271">
      <w:pPr>
        <w:pStyle w:val="Heading1"/>
        <w:numPr>
          <w:ilvl w:val="0"/>
          <w:numId w:val="0"/>
        </w:numPr>
        <w:ind w:left="432" w:hanging="432"/>
      </w:pPr>
      <w:r>
        <w:t xml:space="preserve">Appendix D - </w:t>
      </w:r>
      <w:r w:rsidRPr="00833271">
        <w:t>Glossary</w:t>
      </w:r>
    </w:p>
    <w:p w:rsidR="00B7175C" w:rsidRDefault="00B7175C" w:rsidP="00626853">
      <w:pPr>
        <w:spacing w:after="0"/>
      </w:pPr>
    </w:p>
    <w:p w:rsidR="00833271" w:rsidRDefault="00833271" w:rsidP="00833271">
      <w:pPr>
        <w:tabs>
          <w:tab w:val="left" w:pos="1134"/>
        </w:tabs>
        <w:spacing w:after="0"/>
      </w:pPr>
      <w:r w:rsidRPr="00A630F7">
        <w:t xml:space="preserve">ABC1 </w:t>
      </w:r>
      <w:r>
        <w:tab/>
        <w:t xml:space="preserve">Output from </w:t>
      </w:r>
      <w:r w:rsidRPr="00A630F7">
        <w:t>Pre-Business Case work</w:t>
      </w:r>
    </w:p>
    <w:p w:rsidR="00833271" w:rsidRDefault="00833271" w:rsidP="00833271">
      <w:pPr>
        <w:tabs>
          <w:tab w:val="left" w:pos="1134"/>
        </w:tabs>
        <w:spacing w:after="0"/>
      </w:pPr>
      <w:r>
        <w:t xml:space="preserve">EA </w:t>
      </w:r>
      <w:r>
        <w:tab/>
        <w:t xml:space="preserve">Environment Agency </w:t>
      </w:r>
    </w:p>
    <w:p w:rsidR="00F14AF8" w:rsidRDefault="00F14AF8" w:rsidP="00B7175C">
      <w:pPr>
        <w:tabs>
          <w:tab w:val="left" w:pos="1134"/>
        </w:tabs>
        <w:spacing w:after="0"/>
      </w:pPr>
      <w:r>
        <w:t>FBC</w:t>
      </w:r>
      <w:r w:rsidR="00A630F7">
        <w:t xml:space="preserve"> </w:t>
      </w:r>
      <w:r w:rsidR="00A630F7">
        <w:tab/>
      </w:r>
      <w:r>
        <w:t>Full Business Case</w:t>
      </w:r>
    </w:p>
    <w:p w:rsidR="00A630F7" w:rsidRDefault="00A630F7" w:rsidP="00B7175C">
      <w:pPr>
        <w:tabs>
          <w:tab w:val="left" w:pos="1134"/>
        </w:tabs>
        <w:spacing w:after="0"/>
      </w:pPr>
      <w:r>
        <w:t>FCRM</w:t>
      </w:r>
      <w:r>
        <w:tab/>
        <w:t xml:space="preserve">Flood and Coastal Risk Management </w:t>
      </w:r>
    </w:p>
    <w:p w:rsidR="00A630F7" w:rsidRDefault="00A630F7" w:rsidP="00B7175C">
      <w:pPr>
        <w:tabs>
          <w:tab w:val="left" w:pos="1134"/>
        </w:tabs>
        <w:spacing w:after="0"/>
      </w:pPr>
      <w:r w:rsidRPr="0089623B">
        <w:t>FCERM</w:t>
      </w:r>
      <w:r>
        <w:tab/>
        <w:t>Flood Coast and Erosion Risk Management</w:t>
      </w:r>
    </w:p>
    <w:p w:rsidR="002B2400" w:rsidRDefault="00833271" w:rsidP="00B7175C">
      <w:pPr>
        <w:tabs>
          <w:tab w:val="left" w:pos="1134"/>
        </w:tabs>
        <w:spacing w:after="0"/>
      </w:pPr>
      <w:r>
        <w:t>LLFA</w:t>
      </w:r>
      <w:r>
        <w:tab/>
        <w:t xml:space="preserve">Lead Local Flood Authority </w:t>
      </w:r>
    </w:p>
    <w:p w:rsidR="00833271" w:rsidRDefault="002B2400" w:rsidP="00B7175C">
      <w:pPr>
        <w:tabs>
          <w:tab w:val="left" w:pos="1134"/>
        </w:tabs>
        <w:spacing w:after="0"/>
      </w:pPr>
      <w:r>
        <w:t>LPA</w:t>
      </w:r>
      <w:r>
        <w:tab/>
        <w:t xml:space="preserve">Local Planning Authority </w:t>
      </w:r>
    </w:p>
    <w:p w:rsidR="00A630F7" w:rsidRDefault="00A630F7" w:rsidP="00B7175C">
      <w:pPr>
        <w:tabs>
          <w:tab w:val="left" w:pos="1134"/>
        </w:tabs>
        <w:spacing w:after="0"/>
      </w:pPr>
      <w:r>
        <w:t xml:space="preserve">MMD </w:t>
      </w:r>
      <w:r>
        <w:tab/>
        <w:t xml:space="preserve">Mapping Modelling and Data </w:t>
      </w:r>
    </w:p>
    <w:p w:rsidR="00833271" w:rsidRDefault="00833271" w:rsidP="00833271">
      <w:pPr>
        <w:tabs>
          <w:tab w:val="left" w:pos="1134"/>
        </w:tabs>
        <w:spacing w:after="0"/>
      </w:pPr>
      <w:r>
        <w:t xml:space="preserve">NaFRA  </w:t>
      </w:r>
      <w:r>
        <w:tab/>
      </w:r>
      <w:r w:rsidRPr="0089623B">
        <w:t>National Flood Risk Assessment</w:t>
      </w:r>
    </w:p>
    <w:p w:rsidR="00833271" w:rsidRDefault="002B2400" w:rsidP="00833271">
      <w:pPr>
        <w:tabs>
          <w:tab w:val="left" w:pos="1134"/>
        </w:tabs>
        <w:spacing w:after="0"/>
      </w:pPr>
      <w:r>
        <w:t>Receptor</w:t>
      </w:r>
      <w:r>
        <w:tab/>
        <w:t>Place</w:t>
      </w:r>
      <w:r w:rsidR="00833271">
        <w:t xml:space="preserve"> </w:t>
      </w:r>
      <w:r>
        <w:t>or entity</w:t>
      </w:r>
      <w:r w:rsidR="00833271">
        <w:t xml:space="preserve"> which may be subject to </w:t>
      </w:r>
      <w:r w:rsidR="00833271" w:rsidRPr="00833271">
        <w:t>flood risk (people, property, environment)</w:t>
      </w:r>
    </w:p>
    <w:p w:rsidR="00A630F7" w:rsidRDefault="00A630F7" w:rsidP="00626853">
      <w:pPr>
        <w:spacing w:after="0"/>
      </w:pPr>
    </w:p>
    <w:p w:rsidR="00626853" w:rsidRPr="00626853" w:rsidRDefault="00626853" w:rsidP="00626853">
      <w:pPr>
        <w:spacing w:after="0"/>
        <w:rPr>
          <w:rFonts w:asciiTheme="majorHAnsi" w:eastAsiaTheme="majorEastAsia" w:hAnsiTheme="majorHAnsi" w:cstheme="majorBidi"/>
          <w:b/>
          <w:bCs/>
          <w:color w:val="365F91" w:themeColor="accent1" w:themeShade="BF"/>
          <w:sz w:val="28"/>
          <w:szCs w:val="28"/>
        </w:rPr>
      </w:pPr>
    </w:p>
    <w:sectPr w:rsidR="00626853" w:rsidRPr="006268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A88" w:rsidRDefault="00C22A88" w:rsidP="00C22A88">
      <w:pPr>
        <w:spacing w:after="0" w:line="240" w:lineRule="auto"/>
      </w:pPr>
      <w:r>
        <w:separator/>
      </w:r>
    </w:p>
  </w:endnote>
  <w:endnote w:type="continuationSeparator" w:id="0">
    <w:p w:rsidR="00C22A88" w:rsidRDefault="00C22A88" w:rsidP="00C2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88" w:rsidRPr="009A707F" w:rsidRDefault="00C22A88">
    <w:pPr>
      <w:pStyle w:val="Footer"/>
      <w:rPr>
        <w:sz w:val="16"/>
      </w:rPr>
    </w:pPr>
    <w:r w:rsidRPr="009A707F">
      <w:rPr>
        <w:sz w:val="16"/>
      </w:rPr>
      <w:fldChar w:fldCharType="begin"/>
    </w:r>
    <w:r w:rsidRPr="009A707F">
      <w:rPr>
        <w:sz w:val="16"/>
      </w:rPr>
      <w:instrText xml:space="preserve"> FILENAME   \* MERGEFORMAT </w:instrText>
    </w:r>
    <w:r w:rsidRPr="009A707F">
      <w:rPr>
        <w:sz w:val="16"/>
      </w:rPr>
      <w:fldChar w:fldCharType="separate"/>
    </w:r>
    <w:r w:rsidRPr="009A707F">
      <w:rPr>
        <w:noProof/>
        <w:sz w:val="16"/>
      </w:rPr>
      <w:t>NaFRA2 Benefit Management ITT Briefing Note v0.3</w:t>
    </w:r>
    <w:r w:rsidRPr="009A707F">
      <w:rPr>
        <w:sz w:val="16"/>
      </w:rPr>
      <w:fldChar w:fldCharType="end"/>
    </w:r>
    <w:r w:rsidRPr="009A707F">
      <w:rPr>
        <w:sz w:val="16"/>
      </w:rPr>
      <w:tab/>
    </w:r>
    <w:r w:rsidR="009A707F" w:rsidRPr="009A707F">
      <w:rPr>
        <w:sz w:val="16"/>
      </w:rPr>
      <w:fldChar w:fldCharType="begin"/>
    </w:r>
    <w:r w:rsidR="009A707F" w:rsidRPr="009A707F">
      <w:rPr>
        <w:sz w:val="16"/>
      </w:rPr>
      <w:instrText xml:space="preserve"> PAGE   \* MERGEFORMAT </w:instrText>
    </w:r>
    <w:r w:rsidR="009A707F" w:rsidRPr="009A707F">
      <w:rPr>
        <w:sz w:val="16"/>
      </w:rPr>
      <w:fldChar w:fldCharType="separate"/>
    </w:r>
    <w:r w:rsidR="000B4178">
      <w:rPr>
        <w:noProof/>
        <w:sz w:val="16"/>
      </w:rPr>
      <w:t>1</w:t>
    </w:r>
    <w:r w:rsidR="009A707F" w:rsidRPr="009A707F">
      <w:rPr>
        <w:sz w:val="16"/>
      </w:rPr>
      <w:fldChar w:fldCharType="end"/>
    </w:r>
    <w:r w:rsidR="009A707F" w:rsidRPr="009A707F">
      <w:rPr>
        <w:sz w:val="16"/>
      </w:rPr>
      <w:t>/</w:t>
    </w:r>
    <w:r w:rsidR="009A707F" w:rsidRPr="009A707F">
      <w:rPr>
        <w:sz w:val="16"/>
      </w:rPr>
      <w:fldChar w:fldCharType="begin"/>
    </w:r>
    <w:r w:rsidR="009A707F" w:rsidRPr="009A707F">
      <w:rPr>
        <w:sz w:val="16"/>
      </w:rPr>
      <w:instrText xml:space="preserve"> NUMPAGES   \* MERGEFORMAT </w:instrText>
    </w:r>
    <w:r w:rsidR="009A707F" w:rsidRPr="009A707F">
      <w:rPr>
        <w:sz w:val="16"/>
      </w:rPr>
      <w:fldChar w:fldCharType="separate"/>
    </w:r>
    <w:r w:rsidR="000B4178">
      <w:rPr>
        <w:noProof/>
        <w:sz w:val="16"/>
      </w:rPr>
      <w:t>8</w:t>
    </w:r>
    <w:r w:rsidR="009A707F" w:rsidRPr="009A707F">
      <w:rPr>
        <w:sz w:val="16"/>
      </w:rPr>
      <w:fldChar w:fldCharType="end"/>
    </w:r>
    <w:r w:rsidR="009A707F" w:rsidRPr="009A707F">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A88" w:rsidRDefault="00C22A88" w:rsidP="00C22A88">
      <w:pPr>
        <w:spacing w:after="0" w:line="240" w:lineRule="auto"/>
      </w:pPr>
      <w:r>
        <w:separator/>
      </w:r>
    </w:p>
  </w:footnote>
  <w:footnote w:type="continuationSeparator" w:id="0">
    <w:p w:rsidR="00C22A88" w:rsidRDefault="00C22A88" w:rsidP="00C2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564E"/>
    <w:multiLevelType w:val="hybridMultilevel"/>
    <w:tmpl w:val="0D3E700C"/>
    <w:lvl w:ilvl="0" w:tplc="B9E88C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391548"/>
    <w:multiLevelType w:val="hybridMultilevel"/>
    <w:tmpl w:val="85546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01C85"/>
    <w:multiLevelType w:val="hybridMultilevel"/>
    <w:tmpl w:val="C828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AE4A82"/>
    <w:multiLevelType w:val="multilevel"/>
    <w:tmpl w:val="671AB0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5075C65"/>
    <w:multiLevelType w:val="hybridMultilevel"/>
    <w:tmpl w:val="BC46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49"/>
    <w:rsid w:val="00010D03"/>
    <w:rsid w:val="000200A0"/>
    <w:rsid w:val="000201B4"/>
    <w:rsid w:val="00020FAE"/>
    <w:rsid w:val="0002140C"/>
    <w:rsid w:val="000264A7"/>
    <w:rsid w:val="000337DA"/>
    <w:rsid w:val="00036617"/>
    <w:rsid w:val="00037D43"/>
    <w:rsid w:val="000432F1"/>
    <w:rsid w:val="00044D57"/>
    <w:rsid w:val="000509FB"/>
    <w:rsid w:val="0005175C"/>
    <w:rsid w:val="0007034E"/>
    <w:rsid w:val="0007374C"/>
    <w:rsid w:val="00075581"/>
    <w:rsid w:val="00081C5C"/>
    <w:rsid w:val="00081E98"/>
    <w:rsid w:val="000A5620"/>
    <w:rsid w:val="000B293E"/>
    <w:rsid w:val="000B4178"/>
    <w:rsid w:val="000B4868"/>
    <w:rsid w:val="000C33BA"/>
    <w:rsid w:val="000D0E79"/>
    <w:rsid w:val="000E4DF5"/>
    <w:rsid w:val="00102285"/>
    <w:rsid w:val="0010320C"/>
    <w:rsid w:val="0010561A"/>
    <w:rsid w:val="00114ACC"/>
    <w:rsid w:val="00117B90"/>
    <w:rsid w:val="00143020"/>
    <w:rsid w:val="0014333F"/>
    <w:rsid w:val="00145674"/>
    <w:rsid w:val="001461FC"/>
    <w:rsid w:val="001469E0"/>
    <w:rsid w:val="00157D65"/>
    <w:rsid w:val="00162095"/>
    <w:rsid w:val="0016245A"/>
    <w:rsid w:val="00175575"/>
    <w:rsid w:val="00192305"/>
    <w:rsid w:val="00194C2D"/>
    <w:rsid w:val="00197C04"/>
    <w:rsid w:val="001E60A7"/>
    <w:rsid w:val="001E7C15"/>
    <w:rsid w:val="001F34C5"/>
    <w:rsid w:val="001F5A6E"/>
    <w:rsid w:val="00204684"/>
    <w:rsid w:val="00214E48"/>
    <w:rsid w:val="00217709"/>
    <w:rsid w:val="00223431"/>
    <w:rsid w:val="00230525"/>
    <w:rsid w:val="00231061"/>
    <w:rsid w:val="00243193"/>
    <w:rsid w:val="00246ECB"/>
    <w:rsid w:val="00247949"/>
    <w:rsid w:val="00254B80"/>
    <w:rsid w:val="002805B6"/>
    <w:rsid w:val="00281EC4"/>
    <w:rsid w:val="002921BD"/>
    <w:rsid w:val="002962E7"/>
    <w:rsid w:val="00297C7D"/>
    <w:rsid w:val="002B04F6"/>
    <w:rsid w:val="002B0533"/>
    <w:rsid w:val="002B2400"/>
    <w:rsid w:val="002B30BB"/>
    <w:rsid w:val="002D5460"/>
    <w:rsid w:val="002D7B36"/>
    <w:rsid w:val="00310166"/>
    <w:rsid w:val="00330533"/>
    <w:rsid w:val="00332031"/>
    <w:rsid w:val="00336603"/>
    <w:rsid w:val="00354E5D"/>
    <w:rsid w:val="003568A4"/>
    <w:rsid w:val="00364A8D"/>
    <w:rsid w:val="0036589F"/>
    <w:rsid w:val="00365B49"/>
    <w:rsid w:val="00367B83"/>
    <w:rsid w:val="00374B3B"/>
    <w:rsid w:val="0039594D"/>
    <w:rsid w:val="003A6113"/>
    <w:rsid w:val="003B2853"/>
    <w:rsid w:val="003E5653"/>
    <w:rsid w:val="003E5CE8"/>
    <w:rsid w:val="003E6629"/>
    <w:rsid w:val="003F0360"/>
    <w:rsid w:val="003F7A9B"/>
    <w:rsid w:val="00410763"/>
    <w:rsid w:val="00411B32"/>
    <w:rsid w:val="00413000"/>
    <w:rsid w:val="00415222"/>
    <w:rsid w:val="00416231"/>
    <w:rsid w:val="00422852"/>
    <w:rsid w:val="0042576F"/>
    <w:rsid w:val="0042662F"/>
    <w:rsid w:val="00426D2C"/>
    <w:rsid w:val="0044121C"/>
    <w:rsid w:val="004445FC"/>
    <w:rsid w:val="00445AB0"/>
    <w:rsid w:val="00464DB8"/>
    <w:rsid w:val="004802D0"/>
    <w:rsid w:val="004B1E46"/>
    <w:rsid w:val="004D29F5"/>
    <w:rsid w:val="004E5E37"/>
    <w:rsid w:val="004F09F2"/>
    <w:rsid w:val="004F66AB"/>
    <w:rsid w:val="004F71FE"/>
    <w:rsid w:val="005007CF"/>
    <w:rsid w:val="00501A7D"/>
    <w:rsid w:val="0050423C"/>
    <w:rsid w:val="00532204"/>
    <w:rsid w:val="00536148"/>
    <w:rsid w:val="0054390B"/>
    <w:rsid w:val="005442DB"/>
    <w:rsid w:val="0055233A"/>
    <w:rsid w:val="00554EA7"/>
    <w:rsid w:val="00556CE0"/>
    <w:rsid w:val="00561AEC"/>
    <w:rsid w:val="00561EB4"/>
    <w:rsid w:val="005635A6"/>
    <w:rsid w:val="00564535"/>
    <w:rsid w:val="00565DC3"/>
    <w:rsid w:val="00577F55"/>
    <w:rsid w:val="00580160"/>
    <w:rsid w:val="005813D0"/>
    <w:rsid w:val="005838BA"/>
    <w:rsid w:val="0058636F"/>
    <w:rsid w:val="00590F87"/>
    <w:rsid w:val="00594B67"/>
    <w:rsid w:val="00595106"/>
    <w:rsid w:val="00596497"/>
    <w:rsid w:val="00596A8F"/>
    <w:rsid w:val="00597925"/>
    <w:rsid w:val="005A3298"/>
    <w:rsid w:val="005A7A86"/>
    <w:rsid w:val="005C064C"/>
    <w:rsid w:val="005C4A43"/>
    <w:rsid w:val="005C4F03"/>
    <w:rsid w:val="005D3F1E"/>
    <w:rsid w:val="005E138B"/>
    <w:rsid w:val="005E4693"/>
    <w:rsid w:val="005F3050"/>
    <w:rsid w:val="005F3DEB"/>
    <w:rsid w:val="00603B26"/>
    <w:rsid w:val="006079E1"/>
    <w:rsid w:val="006101A7"/>
    <w:rsid w:val="0062217D"/>
    <w:rsid w:val="00626853"/>
    <w:rsid w:val="00631ADC"/>
    <w:rsid w:val="00633812"/>
    <w:rsid w:val="00640CC7"/>
    <w:rsid w:val="00650331"/>
    <w:rsid w:val="00656A03"/>
    <w:rsid w:val="0066052B"/>
    <w:rsid w:val="00660E9B"/>
    <w:rsid w:val="00664ACF"/>
    <w:rsid w:val="00673D77"/>
    <w:rsid w:val="00676050"/>
    <w:rsid w:val="0067752F"/>
    <w:rsid w:val="00684455"/>
    <w:rsid w:val="0069015F"/>
    <w:rsid w:val="0069089B"/>
    <w:rsid w:val="006978AD"/>
    <w:rsid w:val="006A6792"/>
    <w:rsid w:val="006B3110"/>
    <w:rsid w:val="006B3776"/>
    <w:rsid w:val="006B51E4"/>
    <w:rsid w:val="006C1540"/>
    <w:rsid w:val="006C2CDF"/>
    <w:rsid w:val="006C38D2"/>
    <w:rsid w:val="006D0E04"/>
    <w:rsid w:val="006D2D89"/>
    <w:rsid w:val="006D66C3"/>
    <w:rsid w:val="006E2705"/>
    <w:rsid w:val="006F3190"/>
    <w:rsid w:val="006F5647"/>
    <w:rsid w:val="007006EE"/>
    <w:rsid w:val="00707003"/>
    <w:rsid w:val="00714862"/>
    <w:rsid w:val="0073493C"/>
    <w:rsid w:val="00737F57"/>
    <w:rsid w:val="007435B5"/>
    <w:rsid w:val="00752FBC"/>
    <w:rsid w:val="007614A5"/>
    <w:rsid w:val="00784143"/>
    <w:rsid w:val="0078731A"/>
    <w:rsid w:val="007946A6"/>
    <w:rsid w:val="007B696D"/>
    <w:rsid w:val="007B725E"/>
    <w:rsid w:val="007C228D"/>
    <w:rsid w:val="007D1D75"/>
    <w:rsid w:val="007D6891"/>
    <w:rsid w:val="007D6E51"/>
    <w:rsid w:val="007E20A4"/>
    <w:rsid w:val="007F562D"/>
    <w:rsid w:val="00810B09"/>
    <w:rsid w:val="008212C8"/>
    <w:rsid w:val="00830F94"/>
    <w:rsid w:val="00833271"/>
    <w:rsid w:val="00833518"/>
    <w:rsid w:val="00836A2A"/>
    <w:rsid w:val="00852624"/>
    <w:rsid w:val="008579BD"/>
    <w:rsid w:val="008607A1"/>
    <w:rsid w:val="00860AF7"/>
    <w:rsid w:val="0086433D"/>
    <w:rsid w:val="00866F2F"/>
    <w:rsid w:val="00873178"/>
    <w:rsid w:val="00873DE4"/>
    <w:rsid w:val="00886B61"/>
    <w:rsid w:val="00890106"/>
    <w:rsid w:val="00891A04"/>
    <w:rsid w:val="0089253C"/>
    <w:rsid w:val="008A4D8E"/>
    <w:rsid w:val="008B1AD6"/>
    <w:rsid w:val="008B258A"/>
    <w:rsid w:val="008D05F5"/>
    <w:rsid w:val="008D3524"/>
    <w:rsid w:val="008E0620"/>
    <w:rsid w:val="008E2B86"/>
    <w:rsid w:val="008F052B"/>
    <w:rsid w:val="00900AAA"/>
    <w:rsid w:val="00914F3C"/>
    <w:rsid w:val="00931DFF"/>
    <w:rsid w:val="009320E8"/>
    <w:rsid w:val="00951943"/>
    <w:rsid w:val="0097249F"/>
    <w:rsid w:val="00976AB1"/>
    <w:rsid w:val="00984814"/>
    <w:rsid w:val="00990A7A"/>
    <w:rsid w:val="009973AF"/>
    <w:rsid w:val="009A707F"/>
    <w:rsid w:val="009A720E"/>
    <w:rsid w:val="009B0821"/>
    <w:rsid w:val="009E6A9A"/>
    <w:rsid w:val="009F022E"/>
    <w:rsid w:val="009F08DC"/>
    <w:rsid w:val="009F144B"/>
    <w:rsid w:val="00A02095"/>
    <w:rsid w:val="00A05F46"/>
    <w:rsid w:val="00A31C6A"/>
    <w:rsid w:val="00A32FE5"/>
    <w:rsid w:val="00A3790B"/>
    <w:rsid w:val="00A439FF"/>
    <w:rsid w:val="00A5023A"/>
    <w:rsid w:val="00A53951"/>
    <w:rsid w:val="00A61D14"/>
    <w:rsid w:val="00A630F7"/>
    <w:rsid w:val="00A639E8"/>
    <w:rsid w:val="00A66207"/>
    <w:rsid w:val="00A67A23"/>
    <w:rsid w:val="00A739B5"/>
    <w:rsid w:val="00A75FD6"/>
    <w:rsid w:val="00A803F3"/>
    <w:rsid w:val="00A82122"/>
    <w:rsid w:val="00A85B95"/>
    <w:rsid w:val="00A9290F"/>
    <w:rsid w:val="00AA2535"/>
    <w:rsid w:val="00AA253B"/>
    <w:rsid w:val="00AA3E65"/>
    <w:rsid w:val="00AA5FA0"/>
    <w:rsid w:val="00AB26A9"/>
    <w:rsid w:val="00AE1195"/>
    <w:rsid w:val="00AE6C01"/>
    <w:rsid w:val="00AF57FA"/>
    <w:rsid w:val="00B034AB"/>
    <w:rsid w:val="00B03A5B"/>
    <w:rsid w:val="00B31492"/>
    <w:rsid w:val="00B452D2"/>
    <w:rsid w:val="00B558F5"/>
    <w:rsid w:val="00B624C5"/>
    <w:rsid w:val="00B65569"/>
    <w:rsid w:val="00B7017B"/>
    <w:rsid w:val="00B7175C"/>
    <w:rsid w:val="00B71F19"/>
    <w:rsid w:val="00B83A92"/>
    <w:rsid w:val="00B852CB"/>
    <w:rsid w:val="00B8657F"/>
    <w:rsid w:val="00BA4FF1"/>
    <w:rsid w:val="00BB0EF3"/>
    <w:rsid w:val="00BB1F19"/>
    <w:rsid w:val="00BB615D"/>
    <w:rsid w:val="00BD494D"/>
    <w:rsid w:val="00BD7768"/>
    <w:rsid w:val="00BD7EBE"/>
    <w:rsid w:val="00BF2B14"/>
    <w:rsid w:val="00C06C9B"/>
    <w:rsid w:val="00C10208"/>
    <w:rsid w:val="00C127C6"/>
    <w:rsid w:val="00C14E48"/>
    <w:rsid w:val="00C17EFE"/>
    <w:rsid w:val="00C22A88"/>
    <w:rsid w:val="00C31EAA"/>
    <w:rsid w:val="00C32A70"/>
    <w:rsid w:val="00C33AF5"/>
    <w:rsid w:val="00C549B1"/>
    <w:rsid w:val="00C54CB9"/>
    <w:rsid w:val="00C60BE7"/>
    <w:rsid w:val="00C61659"/>
    <w:rsid w:val="00C625F0"/>
    <w:rsid w:val="00C70233"/>
    <w:rsid w:val="00C7080F"/>
    <w:rsid w:val="00C72DD1"/>
    <w:rsid w:val="00C81736"/>
    <w:rsid w:val="00C86AAD"/>
    <w:rsid w:val="00C932C7"/>
    <w:rsid w:val="00C96630"/>
    <w:rsid w:val="00C96837"/>
    <w:rsid w:val="00CA12B2"/>
    <w:rsid w:val="00CA3796"/>
    <w:rsid w:val="00CB151C"/>
    <w:rsid w:val="00CB30A0"/>
    <w:rsid w:val="00CC3681"/>
    <w:rsid w:val="00CD77B8"/>
    <w:rsid w:val="00D0001A"/>
    <w:rsid w:val="00D0469F"/>
    <w:rsid w:val="00D05F32"/>
    <w:rsid w:val="00D10A75"/>
    <w:rsid w:val="00D12ED1"/>
    <w:rsid w:val="00D16D61"/>
    <w:rsid w:val="00D31AD4"/>
    <w:rsid w:val="00D335FA"/>
    <w:rsid w:val="00D357C4"/>
    <w:rsid w:val="00D36D38"/>
    <w:rsid w:val="00D41A3A"/>
    <w:rsid w:val="00D56FD2"/>
    <w:rsid w:val="00D57CE2"/>
    <w:rsid w:val="00D632C4"/>
    <w:rsid w:val="00D63F5C"/>
    <w:rsid w:val="00D708EC"/>
    <w:rsid w:val="00D71DFD"/>
    <w:rsid w:val="00D92235"/>
    <w:rsid w:val="00DA5417"/>
    <w:rsid w:val="00DC325E"/>
    <w:rsid w:val="00DC5FD1"/>
    <w:rsid w:val="00DC7F37"/>
    <w:rsid w:val="00DD244A"/>
    <w:rsid w:val="00DD3DAC"/>
    <w:rsid w:val="00DD5626"/>
    <w:rsid w:val="00DF2942"/>
    <w:rsid w:val="00E1251F"/>
    <w:rsid w:val="00E14EA2"/>
    <w:rsid w:val="00E17BEC"/>
    <w:rsid w:val="00E438F0"/>
    <w:rsid w:val="00E449D7"/>
    <w:rsid w:val="00E52233"/>
    <w:rsid w:val="00E56A57"/>
    <w:rsid w:val="00E56C20"/>
    <w:rsid w:val="00E6709A"/>
    <w:rsid w:val="00E75189"/>
    <w:rsid w:val="00E9507F"/>
    <w:rsid w:val="00EC795D"/>
    <w:rsid w:val="00ED674E"/>
    <w:rsid w:val="00EE6A1E"/>
    <w:rsid w:val="00EF4003"/>
    <w:rsid w:val="00EF4C65"/>
    <w:rsid w:val="00F14AF8"/>
    <w:rsid w:val="00F14D05"/>
    <w:rsid w:val="00F17122"/>
    <w:rsid w:val="00F22FD6"/>
    <w:rsid w:val="00F2478C"/>
    <w:rsid w:val="00F2550E"/>
    <w:rsid w:val="00F26C6B"/>
    <w:rsid w:val="00F4065A"/>
    <w:rsid w:val="00F444CA"/>
    <w:rsid w:val="00F53A86"/>
    <w:rsid w:val="00F6543D"/>
    <w:rsid w:val="00F66B59"/>
    <w:rsid w:val="00F67BBE"/>
    <w:rsid w:val="00F72989"/>
    <w:rsid w:val="00F842D4"/>
    <w:rsid w:val="00F84D47"/>
    <w:rsid w:val="00F97810"/>
    <w:rsid w:val="00FB1E29"/>
    <w:rsid w:val="00FB3B64"/>
    <w:rsid w:val="00FB7660"/>
    <w:rsid w:val="00FC0663"/>
    <w:rsid w:val="00FC1CBD"/>
    <w:rsid w:val="00FF2B68"/>
    <w:rsid w:val="00FF3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903F0-F876-4BF5-BBA6-FB3588DE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3AF"/>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290F"/>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E04"/>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0E04"/>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D0E04"/>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D0E04"/>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0E04"/>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0E0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0E0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2B"/>
    <w:pPr>
      <w:ind w:left="720"/>
      <w:contextualSpacing/>
    </w:pPr>
  </w:style>
  <w:style w:type="character" w:customStyle="1" w:styleId="Heading2Char">
    <w:name w:val="Heading 2 Char"/>
    <w:basedOn w:val="DefaultParagraphFont"/>
    <w:link w:val="Heading2"/>
    <w:uiPriority w:val="9"/>
    <w:rsid w:val="00A9290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973A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05F4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6D0E0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0E0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D0E0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D0E0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D0E0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D0E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0E0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1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5C"/>
    <w:rPr>
      <w:rFonts w:ascii="Tahoma" w:hAnsi="Tahoma" w:cs="Tahoma"/>
      <w:sz w:val="16"/>
      <w:szCs w:val="16"/>
    </w:rPr>
  </w:style>
  <w:style w:type="table" w:styleId="TableGrid">
    <w:name w:val="Table Grid"/>
    <w:basedOn w:val="TableNormal"/>
    <w:uiPriority w:val="59"/>
    <w:rsid w:val="0008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E46"/>
    <w:rPr>
      <w:color w:val="0000FF" w:themeColor="hyperlink"/>
      <w:u w:val="single"/>
    </w:rPr>
  </w:style>
  <w:style w:type="paragraph" w:styleId="Header">
    <w:name w:val="header"/>
    <w:basedOn w:val="Normal"/>
    <w:link w:val="HeaderChar"/>
    <w:uiPriority w:val="99"/>
    <w:unhideWhenUsed/>
    <w:rsid w:val="00C2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A88"/>
  </w:style>
  <w:style w:type="paragraph" w:styleId="Footer">
    <w:name w:val="footer"/>
    <w:basedOn w:val="Normal"/>
    <w:link w:val="FooterChar"/>
    <w:uiPriority w:val="99"/>
    <w:unhideWhenUsed/>
    <w:rsid w:val="00C2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7213">
      <w:bodyDiv w:val="1"/>
      <w:marLeft w:val="0"/>
      <w:marRight w:val="0"/>
      <w:marTop w:val="0"/>
      <w:marBottom w:val="0"/>
      <w:divBdr>
        <w:top w:val="none" w:sz="0" w:space="0" w:color="auto"/>
        <w:left w:val="none" w:sz="0" w:space="0" w:color="auto"/>
        <w:bottom w:val="none" w:sz="0" w:space="0" w:color="auto"/>
        <w:right w:val="none" w:sz="0" w:space="0" w:color="auto"/>
      </w:divBdr>
    </w:div>
    <w:div w:id="652488402">
      <w:bodyDiv w:val="1"/>
      <w:marLeft w:val="0"/>
      <w:marRight w:val="0"/>
      <w:marTop w:val="0"/>
      <w:marBottom w:val="0"/>
      <w:divBdr>
        <w:top w:val="none" w:sz="0" w:space="0" w:color="auto"/>
        <w:left w:val="none" w:sz="0" w:space="0" w:color="auto"/>
        <w:bottom w:val="none" w:sz="0" w:space="0" w:color="auto"/>
        <w:right w:val="none" w:sz="0" w:space="0" w:color="auto"/>
      </w:divBdr>
    </w:div>
    <w:div w:id="660038550">
      <w:bodyDiv w:val="1"/>
      <w:marLeft w:val="0"/>
      <w:marRight w:val="0"/>
      <w:marTop w:val="0"/>
      <w:marBottom w:val="0"/>
      <w:divBdr>
        <w:top w:val="none" w:sz="0" w:space="0" w:color="auto"/>
        <w:left w:val="none" w:sz="0" w:space="0" w:color="auto"/>
        <w:bottom w:val="none" w:sz="0" w:space="0" w:color="auto"/>
        <w:right w:val="none" w:sz="0" w:space="0" w:color="auto"/>
      </w:divBdr>
    </w:div>
    <w:div w:id="772019649">
      <w:bodyDiv w:val="1"/>
      <w:marLeft w:val="0"/>
      <w:marRight w:val="0"/>
      <w:marTop w:val="0"/>
      <w:marBottom w:val="0"/>
      <w:divBdr>
        <w:top w:val="none" w:sz="0" w:space="0" w:color="auto"/>
        <w:left w:val="none" w:sz="0" w:space="0" w:color="auto"/>
        <w:bottom w:val="none" w:sz="0" w:space="0" w:color="auto"/>
        <w:right w:val="none" w:sz="0" w:space="0" w:color="auto"/>
      </w:divBdr>
    </w:div>
    <w:div w:id="1049380838">
      <w:bodyDiv w:val="1"/>
      <w:marLeft w:val="0"/>
      <w:marRight w:val="0"/>
      <w:marTop w:val="0"/>
      <w:marBottom w:val="0"/>
      <w:divBdr>
        <w:top w:val="none" w:sz="0" w:space="0" w:color="auto"/>
        <w:left w:val="none" w:sz="0" w:space="0" w:color="auto"/>
        <w:bottom w:val="none" w:sz="0" w:space="0" w:color="auto"/>
        <w:right w:val="none" w:sz="0" w:space="0" w:color="auto"/>
      </w:divBdr>
    </w:div>
    <w:div w:id="1142892488">
      <w:bodyDiv w:val="1"/>
      <w:marLeft w:val="0"/>
      <w:marRight w:val="0"/>
      <w:marTop w:val="0"/>
      <w:marBottom w:val="0"/>
      <w:divBdr>
        <w:top w:val="none" w:sz="0" w:space="0" w:color="auto"/>
        <w:left w:val="none" w:sz="0" w:space="0" w:color="auto"/>
        <w:bottom w:val="none" w:sz="0" w:space="0" w:color="auto"/>
        <w:right w:val="none" w:sz="0" w:space="0" w:color="auto"/>
      </w:divBdr>
    </w:div>
    <w:div w:id="1155533048">
      <w:bodyDiv w:val="1"/>
      <w:marLeft w:val="0"/>
      <w:marRight w:val="0"/>
      <w:marTop w:val="0"/>
      <w:marBottom w:val="0"/>
      <w:divBdr>
        <w:top w:val="none" w:sz="0" w:space="0" w:color="auto"/>
        <w:left w:val="none" w:sz="0" w:space="0" w:color="auto"/>
        <w:bottom w:val="none" w:sz="0" w:space="0" w:color="auto"/>
        <w:right w:val="none" w:sz="0" w:space="0" w:color="auto"/>
      </w:divBdr>
    </w:div>
    <w:div w:id="1917471768">
      <w:bodyDiv w:val="1"/>
      <w:marLeft w:val="0"/>
      <w:marRight w:val="0"/>
      <w:marTop w:val="0"/>
      <w:marBottom w:val="0"/>
      <w:divBdr>
        <w:top w:val="none" w:sz="0" w:space="0" w:color="auto"/>
        <w:left w:val="none" w:sz="0" w:space="0" w:color="auto"/>
        <w:bottom w:val="none" w:sz="0" w:space="0" w:color="auto"/>
        <w:right w:val="none" w:sz="0" w:space="0" w:color="auto"/>
      </w:divBdr>
    </w:div>
    <w:div w:id="1959025249">
      <w:bodyDiv w:val="1"/>
      <w:marLeft w:val="0"/>
      <w:marRight w:val="0"/>
      <w:marTop w:val="0"/>
      <w:marBottom w:val="0"/>
      <w:divBdr>
        <w:top w:val="none" w:sz="0" w:space="0" w:color="auto"/>
        <w:left w:val="none" w:sz="0" w:space="0" w:color="auto"/>
        <w:bottom w:val="none" w:sz="0" w:space="0" w:color="auto"/>
        <w:right w:val="none" w:sz="0" w:space="0" w:color="auto"/>
      </w:divBdr>
    </w:div>
    <w:div w:id="2028018118">
      <w:bodyDiv w:val="1"/>
      <w:marLeft w:val="0"/>
      <w:marRight w:val="0"/>
      <w:marTop w:val="0"/>
      <w:marBottom w:val="0"/>
      <w:divBdr>
        <w:top w:val="none" w:sz="0" w:space="0" w:color="auto"/>
        <w:left w:val="none" w:sz="0" w:space="0" w:color="auto"/>
        <w:bottom w:val="none" w:sz="0" w:space="0" w:color="auto"/>
        <w:right w:val="none" w:sz="0" w:space="0" w:color="auto"/>
      </w:divBdr>
    </w:div>
    <w:div w:id="20286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9086/Project_Business_Case_2018.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organisations/environment-agency/about/access-and-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Cook</dc:creator>
  <cp:keywords/>
  <dc:description/>
  <cp:lastModifiedBy>Baldwin, Jeff</cp:lastModifiedBy>
  <cp:revision>2</cp:revision>
  <dcterms:created xsi:type="dcterms:W3CDTF">2019-06-18T14:24:00Z</dcterms:created>
  <dcterms:modified xsi:type="dcterms:W3CDTF">2019-06-18T14:24:00Z</dcterms:modified>
</cp:coreProperties>
</file>