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D40C" w14:textId="173DCE06" w:rsidR="00160B7C" w:rsidRDefault="00C11F08" w:rsidP="000519F5">
      <w:pPr>
        <w:pStyle w:val="Body"/>
        <w:jc w:val="center"/>
        <w:rPr>
          <w:b/>
        </w:rPr>
      </w:pPr>
      <w:r w:rsidRPr="00C11F08">
        <w:t>RSSB2741</w:t>
      </w:r>
      <w:r w:rsidRPr="00C11F08">
        <w:rPr>
          <w:b/>
        </w:rPr>
        <w:t xml:space="preserve"> </w:t>
      </w:r>
      <w:r w:rsidRPr="00C11F08">
        <w:t>-</w:t>
      </w:r>
      <w:r w:rsidRPr="00C11F08">
        <w:rPr>
          <w:b/>
        </w:rPr>
        <w:t xml:space="preserve"> Evaluating variability in train driving under different adhesion conditions</w:t>
      </w:r>
      <w:r>
        <w:rPr>
          <w:b/>
        </w:rPr>
        <w:t xml:space="preserve"> (</w:t>
      </w:r>
      <w:r w:rsidRPr="00C11F08">
        <w:rPr>
          <w:b/>
        </w:rPr>
        <w:t>T1159</w:t>
      </w:r>
      <w:r>
        <w:rPr>
          <w:b/>
        </w:rPr>
        <w:t>)</w:t>
      </w:r>
      <w:r>
        <w:rPr>
          <w:b/>
        </w:rPr>
        <w:br/>
        <w:t>S</w:t>
      </w:r>
      <w:r w:rsidR="00DF42A8">
        <w:rPr>
          <w:b/>
        </w:rPr>
        <w:t>upplier engagement meeting</w:t>
      </w:r>
      <w:r w:rsidR="00DF42A8">
        <w:rPr>
          <w:b/>
        </w:rPr>
        <w:br/>
        <w:t>RSSB (Palace Conference Ro</w:t>
      </w:r>
      <w:r w:rsidR="00583AF2">
        <w:rPr>
          <w:b/>
        </w:rPr>
        <w:t>o</w:t>
      </w:r>
      <w:r w:rsidR="00DF42A8">
        <w:rPr>
          <w:b/>
        </w:rPr>
        <w:t>m), 22 October 2018</w:t>
      </w:r>
      <w:r w:rsidR="00775048">
        <w:rPr>
          <w:b/>
        </w:rPr>
        <w:t xml:space="preserve"> (16:30 – 17:30)</w:t>
      </w:r>
    </w:p>
    <w:p w14:paraId="0DD0A51B" w14:textId="113B1C87" w:rsidR="000519F5" w:rsidRDefault="000519F5" w:rsidP="000519F5">
      <w:pPr>
        <w:pStyle w:val="Body"/>
        <w:jc w:val="center"/>
        <w:rPr>
          <w:b/>
        </w:rPr>
      </w:pPr>
    </w:p>
    <w:p w14:paraId="5F55BA77" w14:textId="4311BFB9" w:rsidR="000519F5" w:rsidRDefault="000519F5" w:rsidP="000519F5">
      <w:pPr>
        <w:pStyle w:val="Body"/>
        <w:rPr>
          <w:b/>
        </w:rPr>
      </w:pPr>
      <w:r>
        <w:rPr>
          <w:b/>
        </w:rPr>
        <w:t>Attendees</w:t>
      </w:r>
    </w:p>
    <w:p w14:paraId="651CE6E6" w14:textId="7B3AF328" w:rsidR="00353F9C" w:rsidRPr="00353F9C" w:rsidRDefault="003511FE" w:rsidP="00DA0A0B">
      <w:pPr>
        <w:pStyle w:val="Body"/>
        <w:numPr>
          <w:ilvl w:val="0"/>
          <w:numId w:val="2"/>
        </w:numPr>
        <w:rPr>
          <w:b/>
        </w:rPr>
      </w:pPr>
      <w:bookmarkStart w:id="0" w:name="_GoBack"/>
      <w:bookmarkEnd w:id="0"/>
      <w:r>
        <w:t xml:space="preserve">Dr </w:t>
      </w:r>
      <w:r w:rsidR="00DA0A0B" w:rsidRPr="00900B0A">
        <w:t>Aaron Barrett (RSSB</w:t>
      </w:r>
      <w:r w:rsidR="00625E0F">
        <w:t>)</w:t>
      </w:r>
    </w:p>
    <w:p w14:paraId="067C7147" w14:textId="1F8F4895" w:rsidR="00353F9C" w:rsidRPr="00353F9C" w:rsidRDefault="00DA0A0B" w:rsidP="00DA0A0B">
      <w:pPr>
        <w:pStyle w:val="Body"/>
        <w:numPr>
          <w:ilvl w:val="0"/>
          <w:numId w:val="2"/>
        </w:numPr>
        <w:rPr>
          <w:b/>
        </w:rPr>
      </w:pPr>
      <w:r w:rsidRPr="00900B0A">
        <w:t>Ben Altman (RSSB</w:t>
      </w:r>
      <w:r w:rsidR="00625E0F">
        <w:t>)</w:t>
      </w:r>
    </w:p>
    <w:p w14:paraId="2E9DCF04" w14:textId="56E04A21" w:rsidR="00353F9C" w:rsidRPr="00353F9C" w:rsidRDefault="00DA0A0B" w:rsidP="00DA0A0B">
      <w:pPr>
        <w:pStyle w:val="Body"/>
        <w:numPr>
          <w:ilvl w:val="0"/>
          <w:numId w:val="2"/>
        </w:numPr>
        <w:rPr>
          <w:b/>
        </w:rPr>
      </w:pPr>
      <w:r w:rsidRPr="00900B0A">
        <w:t>Rob Anderson (RSSB</w:t>
      </w:r>
      <w:r w:rsidR="00625E0F">
        <w:t>)</w:t>
      </w:r>
    </w:p>
    <w:p w14:paraId="1341FCF8" w14:textId="7588B132" w:rsidR="00353F9C" w:rsidRPr="00353F9C" w:rsidRDefault="00DA0A0B" w:rsidP="00DA0A0B">
      <w:pPr>
        <w:pStyle w:val="Body"/>
        <w:numPr>
          <w:ilvl w:val="0"/>
          <w:numId w:val="2"/>
        </w:numPr>
        <w:rPr>
          <w:b/>
        </w:rPr>
      </w:pPr>
      <w:r w:rsidRPr="00900B0A">
        <w:t>Paul Gray (RSSB</w:t>
      </w:r>
      <w:r w:rsidR="00625E0F">
        <w:t>)</w:t>
      </w:r>
    </w:p>
    <w:p w14:paraId="1E9E6FBF" w14:textId="263EA76E" w:rsidR="00353F9C" w:rsidRPr="00353F9C" w:rsidRDefault="003511FE" w:rsidP="00DA0A0B">
      <w:pPr>
        <w:pStyle w:val="Body"/>
        <w:numPr>
          <w:ilvl w:val="0"/>
          <w:numId w:val="2"/>
        </w:numPr>
        <w:rPr>
          <w:b/>
        </w:rPr>
      </w:pPr>
      <w:r>
        <w:t xml:space="preserve">Dr </w:t>
      </w:r>
      <w:r w:rsidR="00DA0A0B" w:rsidRPr="00403A7B">
        <w:t xml:space="preserve">Helen Viner </w:t>
      </w:r>
      <w:r w:rsidR="00C54FE5" w:rsidRPr="00C54FE5">
        <w:t>(Independent</w:t>
      </w:r>
      <w:r w:rsidR="00353F9C">
        <w:t xml:space="preserve"> supplier)</w:t>
      </w:r>
    </w:p>
    <w:p w14:paraId="50A3A4D6" w14:textId="352ADE00" w:rsidR="00353F9C" w:rsidRPr="00353F9C" w:rsidRDefault="00CE59CA" w:rsidP="00DA0A0B">
      <w:pPr>
        <w:pStyle w:val="Body"/>
        <w:numPr>
          <w:ilvl w:val="0"/>
          <w:numId w:val="2"/>
        </w:numPr>
        <w:rPr>
          <w:b/>
        </w:rPr>
      </w:pPr>
      <w:r>
        <w:t>Dr Lewis Gill</w:t>
      </w:r>
      <w:r w:rsidR="00CC5BE7">
        <w:t xml:space="preserve"> (</w:t>
      </w:r>
      <w:r w:rsidR="007D762E">
        <w:t>Incremental Solutions</w:t>
      </w:r>
      <w:r w:rsidR="00625E0F">
        <w:t>)</w:t>
      </w:r>
    </w:p>
    <w:p w14:paraId="47D8240E" w14:textId="4452F263" w:rsidR="00353F9C" w:rsidRPr="00353F9C" w:rsidRDefault="00DA0A0B" w:rsidP="00DA0A0B">
      <w:pPr>
        <w:pStyle w:val="Body"/>
        <w:numPr>
          <w:ilvl w:val="0"/>
          <w:numId w:val="2"/>
        </w:numPr>
        <w:rPr>
          <w:b/>
        </w:rPr>
      </w:pPr>
      <w:r w:rsidRPr="00DF42A8">
        <w:t xml:space="preserve">Michael </w:t>
      </w:r>
      <w:proofErr w:type="spellStart"/>
      <w:r w:rsidRPr="00DF42A8">
        <w:t>Morua</w:t>
      </w:r>
      <w:proofErr w:type="spellEnd"/>
      <w:r w:rsidRPr="00DF42A8">
        <w:t xml:space="preserve"> (</w:t>
      </w:r>
      <w:r w:rsidR="00F459BA" w:rsidRPr="00F459BA">
        <w:t>Frazer-Nash Consultancy</w:t>
      </w:r>
      <w:r w:rsidR="00205CD9">
        <w:t>)</w:t>
      </w:r>
    </w:p>
    <w:p w14:paraId="42DFF5CE" w14:textId="5D880DAE" w:rsidR="00353F9C" w:rsidRPr="00353F9C" w:rsidRDefault="00E0571B" w:rsidP="00DA0A0B">
      <w:pPr>
        <w:pStyle w:val="Body"/>
        <w:numPr>
          <w:ilvl w:val="0"/>
          <w:numId w:val="2"/>
        </w:numPr>
        <w:rPr>
          <w:b/>
        </w:rPr>
      </w:pPr>
      <w:r>
        <w:t xml:space="preserve">Dr </w:t>
      </w:r>
      <w:r w:rsidR="00DA0A0B" w:rsidRPr="00403A7B">
        <w:t>Elizabeth Brock (Met Office</w:t>
      </w:r>
      <w:r w:rsidR="00625E0F">
        <w:t>)</w:t>
      </w:r>
    </w:p>
    <w:p w14:paraId="0C8A16FB" w14:textId="4781C273" w:rsidR="00353F9C" w:rsidRPr="00353F9C" w:rsidRDefault="00DA0A0B" w:rsidP="00DA0A0B">
      <w:pPr>
        <w:pStyle w:val="Body"/>
        <w:numPr>
          <w:ilvl w:val="0"/>
          <w:numId w:val="2"/>
        </w:numPr>
        <w:rPr>
          <w:b/>
        </w:rPr>
      </w:pPr>
      <w:r w:rsidRPr="00403A7B">
        <w:t>Rachel Purkess (</w:t>
      </w:r>
      <w:r w:rsidR="00F459BA" w:rsidRPr="00F459BA">
        <w:t>BAE Systems CORDA</w:t>
      </w:r>
      <w:r w:rsidR="00625E0F">
        <w:t>)</w:t>
      </w:r>
    </w:p>
    <w:p w14:paraId="30F5740A" w14:textId="580D8161" w:rsidR="00353F9C" w:rsidRPr="00353F9C" w:rsidRDefault="00DA0A0B" w:rsidP="00DA0A0B">
      <w:pPr>
        <w:pStyle w:val="Body"/>
        <w:numPr>
          <w:ilvl w:val="0"/>
          <w:numId w:val="2"/>
        </w:numPr>
        <w:rPr>
          <w:b/>
        </w:rPr>
      </w:pPr>
      <w:r w:rsidRPr="00403A7B">
        <w:t>Peter Watson (</w:t>
      </w:r>
      <w:r w:rsidR="00F459BA" w:rsidRPr="00F459BA">
        <w:t>Ricardo Rail</w:t>
      </w:r>
      <w:r w:rsidR="00625E0F">
        <w:t>)</w:t>
      </w:r>
    </w:p>
    <w:p w14:paraId="7365D75B" w14:textId="19294AA5" w:rsidR="00353F9C" w:rsidRPr="00353F9C" w:rsidRDefault="00DA0A0B" w:rsidP="00DA0A0B">
      <w:pPr>
        <w:pStyle w:val="Body"/>
        <w:numPr>
          <w:ilvl w:val="0"/>
          <w:numId w:val="2"/>
        </w:numPr>
        <w:rPr>
          <w:b/>
        </w:rPr>
      </w:pPr>
      <w:r w:rsidRPr="00403A7B">
        <w:t>Paul Teal (</w:t>
      </w:r>
      <w:r w:rsidR="00F459BA" w:rsidRPr="00F459BA">
        <w:t>SNC-Lavalin</w:t>
      </w:r>
      <w:r w:rsidR="00625E0F">
        <w:t>)</w:t>
      </w:r>
    </w:p>
    <w:p w14:paraId="29EAE641" w14:textId="77777777" w:rsidR="00353F9C" w:rsidRDefault="00DA0A0B" w:rsidP="00DA0A0B">
      <w:pPr>
        <w:pStyle w:val="Body"/>
        <w:numPr>
          <w:ilvl w:val="0"/>
          <w:numId w:val="2"/>
        </w:numPr>
        <w:rPr>
          <w:b/>
        </w:rPr>
      </w:pPr>
      <w:r w:rsidRPr="00403A7B">
        <w:t xml:space="preserve">Leila Ainge </w:t>
      </w:r>
      <w:r w:rsidR="00F459BA" w:rsidRPr="00403A7B">
        <w:t>(</w:t>
      </w:r>
      <w:r w:rsidR="00F459BA" w:rsidRPr="00F459BA">
        <w:t>SNC-Lavalin</w:t>
      </w:r>
      <w:r w:rsidR="00F459BA">
        <w:t>)</w:t>
      </w:r>
    </w:p>
    <w:p w14:paraId="5BAF7FF7" w14:textId="16E74EE1" w:rsidR="00353F9C" w:rsidRPr="00353F9C" w:rsidRDefault="003511FE" w:rsidP="00DA0A0B">
      <w:pPr>
        <w:pStyle w:val="Body"/>
        <w:numPr>
          <w:ilvl w:val="0"/>
          <w:numId w:val="2"/>
        </w:numPr>
        <w:rPr>
          <w:b/>
        </w:rPr>
      </w:pPr>
      <w:r>
        <w:t xml:space="preserve">Dr </w:t>
      </w:r>
      <w:r w:rsidR="00DA0A0B" w:rsidRPr="00403A7B">
        <w:t xml:space="preserve">Yunshi Zhao </w:t>
      </w:r>
      <w:r w:rsidR="00F459BA" w:rsidRPr="00403A7B">
        <w:t>(</w:t>
      </w:r>
      <w:r w:rsidR="00F459BA" w:rsidRPr="00F459BA">
        <w:t>SNC-Lavalin</w:t>
      </w:r>
      <w:r w:rsidR="00353F9C">
        <w:t>)</w:t>
      </w:r>
    </w:p>
    <w:p w14:paraId="6625E885" w14:textId="77777777" w:rsidR="00353F9C" w:rsidRDefault="00900B0A" w:rsidP="00DA0A0B">
      <w:pPr>
        <w:pStyle w:val="Body"/>
        <w:numPr>
          <w:ilvl w:val="0"/>
          <w:numId w:val="2"/>
        </w:numPr>
        <w:rPr>
          <w:b/>
        </w:rPr>
      </w:pPr>
      <w:r w:rsidRPr="00900B0A">
        <w:t>Rishabh</w:t>
      </w:r>
      <w:r w:rsidR="00B5588A" w:rsidRPr="00900B0A">
        <w:t xml:space="preserve"> (</w:t>
      </w:r>
      <w:r w:rsidR="00F459BA" w:rsidRPr="00C54FE5">
        <w:t>Transport Research Laboratory</w:t>
      </w:r>
      <w:r w:rsidR="00F459BA">
        <w:t>)</w:t>
      </w:r>
    </w:p>
    <w:p w14:paraId="3D652BC7" w14:textId="77777777" w:rsidR="00353F9C" w:rsidRDefault="00DA0A0B" w:rsidP="00DA0A0B">
      <w:pPr>
        <w:pStyle w:val="Body"/>
        <w:numPr>
          <w:ilvl w:val="0"/>
          <w:numId w:val="2"/>
        </w:numPr>
        <w:rPr>
          <w:b/>
        </w:rPr>
      </w:pPr>
      <w:r w:rsidRPr="0005157A">
        <w:t xml:space="preserve">Nick Mansell </w:t>
      </w:r>
      <w:r w:rsidR="00F94E1D">
        <w:t>(</w:t>
      </w:r>
      <w:r w:rsidR="00F459BA" w:rsidRPr="00F459BA">
        <w:t>CPC Project Services LLP</w:t>
      </w:r>
      <w:r w:rsidR="00F459BA">
        <w:t>)</w:t>
      </w:r>
    </w:p>
    <w:p w14:paraId="44289B00" w14:textId="77777777" w:rsidR="00353F9C" w:rsidRDefault="00FB4215" w:rsidP="000519F5">
      <w:pPr>
        <w:pStyle w:val="Body"/>
        <w:numPr>
          <w:ilvl w:val="0"/>
          <w:numId w:val="2"/>
        </w:numPr>
        <w:rPr>
          <w:b/>
        </w:rPr>
      </w:pPr>
      <w:r>
        <w:t xml:space="preserve">Dr </w:t>
      </w:r>
      <w:r w:rsidR="00DA0A0B" w:rsidRPr="00403A7B">
        <w:t xml:space="preserve">Muhammad Khan </w:t>
      </w:r>
      <w:r w:rsidR="00F94E1D">
        <w:t>(</w:t>
      </w:r>
      <w:r w:rsidR="00DA0A0B" w:rsidRPr="00403A7B">
        <w:t>Cranfield University</w:t>
      </w:r>
      <w:r w:rsidR="00F94E1D">
        <w:t>)</w:t>
      </w:r>
    </w:p>
    <w:p w14:paraId="3FDDD62E" w14:textId="77777777" w:rsidR="00353F9C" w:rsidRDefault="00503BFD" w:rsidP="000519F5">
      <w:pPr>
        <w:pStyle w:val="Body"/>
        <w:numPr>
          <w:ilvl w:val="0"/>
          <w:numId w:val="2"/>
        </w:numPr>
        <w:rPr>
          <w:b/>
        </w:rPr>
      </w:pPr>
      <w:r>
        <w:t xml:space="preserve">Dr </w:t>
      </w:r>
      <w:r w:rsidR="006909B0" w:rsidRPr="006909B0">
        <w:t xml:space="preserve">David </w:t>
      </w:r>
      <w:proofErr w:type="spellStart"/>
      <w:r w:rsidR="006909B0" w:rsidRPr="006909B0">
        <w:t>Wyncoll</w:t>
      </w:r>
      <w:proofErr w:type="spellEnd"/>
      <w:r w:rsidR="006909B0" w:rsidRPr="006909B0">
        <w:t xml:space="preserve"> </w:t>
      </w:r>
      <w:r w:rsidR="00F94E1D">
        <w:t>(</w:t>
      </w:r>
      <w:r w:rsidR="007D762E">
        <w:t>Sm</w:t>
      </w:r>
      <w:r w:rsidR="005928DF">
        <w:t>i</w:t>
      </w:r>
      <w:r w:rsidR="007D762E">
        <w:t>th Institute</w:t>
      </w:r>
      <w:r w:rsidR="00F94E1D">
        <w:t>)</w:t>
      </w:r>
    </w:p>
    <w:p w14:paraId="3D9CA924" w14:textId="15357BDF" w:rsidR="00D7501B" w:rsidRPr="00353F9C" w:rsidRDefault="00F459BA" w:rsidP="000519F5">
      <w:pPr>
        <w:pStyle w:val="Body"/>
        <w:numPr>
          <w:ilvl w:val="0"/>
          <w:numId w:val="2"/>
        </w:numPr>
        <w:rPr>
          <w:b/>
        </w:rPr>
      </w:pPr>
      <w:r>
        <w:t xml:space="preserve">Dr </w:t>
      </w:r>
      <w:r w:rsidRPr="00F459BA">
        <w:t xml:space="preserve">Alexi Reynolds </w:t>
      </w:r>
      <w:r w:rsidR="00F94E1D">
        <w:t>(</w:t>
      </w:r>
      <w:r w:rsidR="007D762E">
        <w:t>Sm</w:t>
      </w:r>
      <w:r w:rsidR="005928DF">
        <w:t>i</w:t>
      </w:r>
      <w:r w:rsidR="007D762E">
        <w:t>th Institute</w:t>
      </w:r>
      <w:r w:rsidR="00F94E1D">
        <w:t>)</w:t>
      </w:r>
    </w:p>
    <w:p w14:paraId="07C1CCF1" w14:textId="77777777" w:rsidR="00576F54" w:rsidRDefault="00576F54" w:rsidP="00576F54">
      <w:pPr>
        <w:pStyle w:val="Body"/>
        <w:rPr>
          <w:b/>
        </w:rPr>
      </w:pPr>
    </w:p>
    <w:p w14:paraId="30DFDF8A" w14:textId="77777777" w:rsidR="00576F54" w:rsidRDefault="00576F54" w:rsidP="00576F54">
      <w:pPr>
        <w:pStyle w:val="Body"/>
      </w:pPr>
      <w:r>
        <w:t xml:space="preserve">[Introductions provided by </w:t>
      </w:r>
      <w:r w:rsidRPr="00223542">
        <w:rPr>
          <w:color w:val="7030A0"/>
        </w:rPr>
        <w:t>attendees</w:t>
      </w:r>
      <w:r>
        <w:t>]</w:t>
      </w:r>
    </w:p>
    <w:p w14:paraId="178F8E7F" w14:textId="77777777" w:rsidR="00576F54" w:rsidRDefault="00576F54" w:rsidP="00576F54">
      <w:pPr>
        <w:pStyle w:val="Body"/>
      </w:pPr>
    </w:p>
    <w:p w14:paraId="795A5E0C" w14:textId="77777777" w:rsidR="00576F54" w:rsidRDefault="00576F54" w:rsidP="00576F54">
      <w:pPr>
        <w:pStyle w:val="Body"/>
      </w:pPr>
      <w:r>
        <w:t xml:space="preserve">[PowerPoint presentation provided by </w:t>
      </w:r>
      <w:r w:rsidRPr="00223542">
        <w:rPr>
          <w:color w:val="7030A0"/>
        </w:rPr>
        <w:t>RSSB</w:t>
      </w:r>
      <w:r>
        <w:t>]</w:t>
      </w:r>
    </w:p>
    <w:p w14:paraId="2C3F3E92" w14:textId="1150399D" w:rsidR="004F24DF" w:rsidRDefault="004F24DF" w:rsidP="000519F5">
      <w:pPr>
        <w:pStyle w:val="Body"/>
      </w:pPr>
    </w:p>
    <w:p w14:paraId="7521A0A5" w14:textId="4EB4B325" w:rsidR="007D62D9" w:rsidRDefault="00223542" w:rsidP="000519F5">
      <w:pPr>
        <w:pStyle w:val="Body"/>
      </w:pPr>
      <w:r>
        <w:rPr>
          <w:b/>
        </w:rPr>
        <w:t xml:space="preserve">Question </w:t>
      </w:r>
      <w:r w:rsidRPr="00223542">
        <w:rPr>
          <w:color w:val="7030A0"/>
        </w:rPr>
        <w:t>(</w:t>
      </w:r>
      <w:r w:rsidR="00E63786" w:rsidRPr="00223542">
        <w:rPr>
          <w:color w:val="7030A0"/>
        </w:rPr>
        <w:t>Cranfield</w:t>
      </w:r>
      <w:r w:rsidR="009F2B03">
        <w:rPr>
          <w:color w:val="7030A0"/>
        </w:rPr>
        <w:t xml:space="preserve"> University</w:t>
      </w:r>
      <w:r w:rsidRPr="00223542">
        <w:rPr>
          <w:color w:val="7030A0"/>
        </w:rPr>
        <w:t>)</w:t>
      </w:r>
      <w:r w:rsidR="00E63786" w:rsidRPr="00223542">
        <w:rPr>
          <w:color w:val="7030A0"/>
        </w:rPr>
        <w:t>:</w:t>
      </w:r>
      <w:r w:rsidR="00E63786">
        <w:t xml:space="preserve"> </w:t>
      </w:r>
      <w:r w:rsidR="007D62D9">
        <w:t>Can RSSB clarify what data (t</w:t>
      </w:r>
      <w:r w:rsidR="00DA3EC3">
        <w:t xml:space="preserve">hat shall be provided to the </w:t>
      </w:r>
      <w:r w:rsidR="007D62D9">
        <w:t xml:space="preserve">awarded tenderer) can be used to </w:t>
      </w:r>
      <w:r w:rsidR="00BD0A3A">
        <w:t>measure</w:t>
      </w:r>
      <w:r w:rsidR="007D62D9">
        <w:t xml:space="preserve"> adhesion conditions</w:t>
      </w:r>
      <w:r w:rsidR="00DA3EC3">
        <w:t>?</w:t>
      </w:r>
    </w:p>
    <w:p w14:paraId="764D4709" w14:textId="3F554D66" w:rsidR="00937686" w:rsidRDefault="007D62D9" w:rsidP="000519F5">
      <w:pPr>
        <w:pStyle w:val="Body"/>
      </w:pPr>
      <w:r>
        <w:rPr>
          <w:b/>
        </w:rPr>
        <w:t>Answer</w:t>
      </w:r>
      <w:r>
        <w:t xml:space="preserve"> </w:t>
      </w:r>
      <w:r w:rsidRPr="007D62D9">
        <w:rPr>
          <w:color w:val="7030A0"/>
        </w:rPr>
        <w:t>(RSSB):</w:t>
      </w:r>
      <w:r>
        <w:t xml:space="preserve"> </w:t>
      </w:r>
      <w:r w:rsidR="005C12BE">
        <w:t xml:space="preserve">RSSB shall provide a wide </w:t>
      </w:r>
      <w:r w:rsidR="00BC0352">
        <w:t>collection</w:t>
      </w:r>
      <w:r w:rsidR="005C12BE">
        <w:t xml:space="preserve"> of data, </w:t>
      </w:r>
      <w:r w:rsidR="00BC0352">
        <w:t>a selection of which</w:t>
      </w:r>
      <w:r w:rsidR="005C12BE">
        <w:t xml:space="preserve"> can be used </w:t>
      </w:r>
      <w:r w:rsidR="00F20199">
        <w:t>as a</w:t>
      </w:r>
      <w:r w:rsidR="00BF02AE">
        <w:t xml:space="preserve"> proxy to</w:t>
      </w:r>
      <w:r w:rsidR="00F20199">
        <w:t xml:space="preserve"> determine how much adhesion </w:t>
      </w:r>
      <w:r w:rsidR="00BD0A3A">
        <w:t>a</w:t>
      </w:r>
      <w:r w:rsidR="00F20199">
        <w:t xml:space="preserve"> train is able to achieve during braking and traction</w:t>
      </w:r>
      <w:r w:rsidR="005C12BE">
        <w:t>.</w:t>
      </w:r>
      <w:r w:rsidR="00950912">
        <w:t xml:space="preserve"> Most importantly to this project, the</w:t>
      </w:r>
      <w:r w:rsidR="00F20199">
        <w:t xml:space="preserve"> </w:t>
      </w:r>
      <w:r w:rsidR="005C12BE" w:rsidRPr="005C12BE">
        <w:t>On-Train Data Recorder (OTDR) data</w:t>
      </w:r>
      <w:r w:rsidR="005C12BE">
        <w:t xml:space="preserve"> record</w:t>
      </w:r>
      <w:r w:rsidR="00950912">
        <w:t>s, break request,</w:t>
      </w:r>
      <w:r w:rsidR="005C12BE">
        <w:t xml:space="preserve"> Wheel Slide Protection (WSP) activity</w:t>
      </w:r>
      <w:r w:rsidR="00950912">
        <w:t xml:space="preserve">, traction demand and speed. These can be used to evaluate the levels of addition being experienced. In addition, monitoring system data from the Class 323 control units </w:t>
      </w:r>
      <w:r w:rsidR="00950912">
        <w:lastRenderedPageBreak/>
        <w:t>will, in part, measure brake cylinder pressure and level of brake demanded, this can give a more detailed evaluation of achieved adhesion during breaking. Further data provided may prove useful for example</w:t>
      </w:r>
      <w:r w:rsidR="00F20199">
        <w:t xml:space="preserve"> </w:t>
      </w:r>
      <w:r w:rsidR="001456F2">
        <w:t>moisture sensor data</w:t>
      </w:r>
      <w:r w:rsidR="00F20199">
        <w:t xml:space="preserve"> will also be provided to the awarded tenderer</w:t>
      </w:r>
      <w:r w:rsidR="00441399">
        <w:t xml:space="preserve"> to provide supporting information.</w:t>
      </w:r>
      <w:r w:rsidR="00BD0A3A">
        <w:br/>
      </w:r>
    </w:p>
    <w:p w14:paraId="748A4786" w14:textId="0526D92B" w:rsidR="002B4CFA" w:rsidRPr="002B4CFA" w:rsidRDefault="002B4CFA" w:rsidP="000519F5">
      <w:pPr>
        <w:pStyle w:val="Body"/>
      </w:pPr>
      <w:r>
        <w:rPr>
          <w:b/>
        </w:rPr>
        <w:t xml:space="preserve">Question </w:t>
      </w:r>
      <w:r w:rsidRPr="00223542">
        <w:rPr>
          <w:color w:val="7030A0"/>
        </w:rPr>
        <w:t>(Cranfield</w:t>
      </w:r>
      <w:r>
        <w:rPr>
          <w:color w:val="7030A0"/>
        </w:rPr>
        <w:t xml:space="preserve"> University</w:t>
      </w:r>
      <w:r w:rsidRPr="00223542">
        <w:rPr>
          <w:color w:val="7030A0"/>
        </w:rPr>
        <w:t>):</w:t>
      </w:r>
      <w:r>
        <w:rPr>
          <w:color w:val="7030A0"/>
        </w:rPr>
        <w:t xml:space="preserve"> </w:t>
      </w:r>
      <w:r w:rsidR="00F20199">
        <w:t>Can RSSB clarify if</w:t>
      </w:r>
      <w:r>
        <w:t xml:space="preserve"> any of the data </w:t>
      </w:r>
      <w:r w:rsidR="002D3961">
        <w:t xml:space="preserve">(that shall be provided to the awarded tenderer) </w:t>
      </w:r>
      <w:r w:rsidR="00F20199">
        <w:t>will be</w:t>
      </w:r>
      <w:r>
        <w:t xml:space="preserve"> timestamped? </w:t>
      </w:r>
    </w:p>
    <w:p w14:paraId="39BD7AFD" w14:textId="5503974D" w:rsidR="002B4CFA" w:rsidRPr="002B4CFA" w:rsidRDefault="002B4CFA" w:rsidP="000519F5">
      <w:pPr>
        <w:pStyle w:val="Body"/>
      </w:pPr>
      <w:r>
        <w:rPr>
          <w:b/>
        </w:rPr>
        <w:t xml:space="preserve">Answer </w:t>
      </w:r>
      <w:r w:rsidRPr="00E315FA">
        <w:rPr>
          <w:color w:val="7030A0"/>
        </w:rPr>
        <w:t>(RSSB)</w:t>
      </w:r>
      <w:r>
        <w:t xml:space="preserve">: </w:t>
      </w:r>
      <w:r w:rsidR="009721EA">
        <w:t xml:space="preserve">OTDR and supporting </w:t>
      </w:r>
      <w:r w:rsidR="00BC0352">
        <w:t xml:space="preserve">data will be time stamped. </w:t>
      </w:r>
    </w:p>
    <w:p w14:paraId="48EB8667" w14:textId="0E900592" w:rsidR="003E5326" w:rsidRDefault="003E5326" w:rsidP="000519F5">
      <w:pPr>
        <w:pStyle w:val="Body"/>
      </w:pPr>
    </w:p>
    <w:p w14:paraId="463277F2" w14:textId="58251733" w:rsidR="003E5326" w:rsidRDefault="007B1EE2" w:rsidP="000519F5">
      <w:pPr>
        <w:pStyle w:val="Body"/>
      </w:pPr>
      <w:r>
        <w:rPr>
          <w:b/>
        </w:rPr>
        <w:t>Question</w:t>
      </w:r>
      <w:r>
        <w:t xml:space="preserve"> </w:t>
      </w:r>
      <w:r w:rsidRPr="007B1EE2">
        <w:rPr>
          <w:color w:val="7030A0"/>
        </w:rPr>
        <w:t>(Frazer-Nash Consultancy)</w:t>
      </w:r>
      <w:r w:rsidR="003E5326">
        <w:t xml:space="preserve">: </w:t>
      </w:r>
      <w:r w:rsidR="0054348C">
        <w:t>Does</w:t>
      </w:r>
      <w:r w:rsidR="00C67A0E">
        <w:t xml:space="preserve"> RSSB require a specific analytical methodology</w:t>
      </w:r>
      <w:r w:rsidR="00A32AE8">
        <w:t xml:space="preserve"> to be used</w:t>
      </w:r>
      <w:r w:rsidR="00C67A0E">
        <w:t xml:space="preserve">, for instance in relation to data models and associated attributes? </w:t>
      </w:r>
    </w:p>
    <w:p w14:paraId="7C637BE5" w14:textId="3EF8DB67" w:rsidR="003E5326" w:rsidRDefault="003E5326" w:rsidP="000519F5">
      <w:pPr>
        <w:pStyle w:val="Body"/>
      </w:pPr>
      <w:r w:rsidRPr="00C67A0E">
        <w:rPr>
          <w:b/>
        </w:rPr>
        <w:t>Answer</w:t>
      </w:r>
      <w:r w:rsidR="00C67A0E">
        <w:t xml:space="preserve"> </w:t>
      </w:r>
      <w:r w:rsidR="00C67A0E" w:rsidRPr="00C67A0E">
        <w:rPr>
          <w:color w:val="7030A0"/>
        </w:rPr>
        <w:t>(RSSB)</w:t>
      </w:r>
      <w:r>
        <w:t xml:space="preserve">: </w:t>
      </w:r>
      <w:r w:rsidR="002673BC">
        <w:t xml:space="preserve">RSSB is open to suggestions in proposed </w:t>
      </w:r>
      <w:r w:rsidR="00950912">
        <w:t xml:space="preserve">or additional </w:t>
      </w:r>
      <w:r w:rsidR="00F96D3C">
        <w:t xml:space="preserve">analytical </w:t>
      </w:r>
      <w:r w:rsidR="002673BC">
        <w:t>methodologies</w:t>
      </w:r>
      <w:r w:rsidR="00F96D3C">
        <w:t xml:space="preserve">, additional data sources and methods to determine adhesion levels. </w:t>
      </w:r>
    </w:p>
    <w:p w14:paraId="60C48A35" w14:textId="6EF6FABA" w:rsidR="00BA164F" w:rsidRDefault="00BA164F" w:rsidP="000519F5">
      <w:pPr>
        <w:pStyle w:val="Body"/>
      </w:pPr>
    </w:p>
    <w:p w14:paraId="13FDABDB" w14:textId="3CA16FD6" w:rsidR="00BA164F" w:rsidRDefault="00F96D3C" w:rsidP="000519F5">
      <w:pPr>
        <w:pStyle w:val="Body"/>
      </w:pPr>
      <w:r>
        <w:rPr>
          <w:b/>
        </w:rPr>
        <w:t xml:space="preserve">Question </w:t>
      </w:r>
      <w:r w:rsidRPr="00F96D3C">
        <w:rPr>
          <w:color w:val="7030A0"/>
        </w:rPr>
        <w:t>(</w:t>
      </w:r>
      <w:r w:rsidR="00BA164F" w:rsidRPr="00F96D3C">
        <w:rPr>
          <w:color w:val="7030A0"/>
        </w:rPr>
        <w:t>Ricardo</w:t>
      </w:r>
      <w:r w:rsidRPr="00F96D3C">
        <w:rPr>
          <w:color w:val="7030A0"/>
        </w:rPr>
        <w:t xml:space="preserve"> Rail)</w:t>
      </w:r>
      <w:r w:rsidR="00BA164F">
        <w:t xml:space="preserve">: </w:t>
      </w:r>
      <w:r w:rsidR="00A32AE8">
        <w:t xml:space="preserve">Noting that </w:t>
      </w:r>
      <w:r w:rsidR="00A249FD">
        <w:t xml:space="preserve">the data to be analysed is collated between October 2018 to December 2018, there is concern that this may be insufficient to result in conclusive findings. </w:t>
      </w:r>
      <w:r w:rsidR="00620520">
        <w:t>Can historic data be provided to the awarded tenderer?</w:t>
      </w:r>
    </w:p>
    <w:p w14:paraId="124E8928" w14:textId="633E6C60" w:rsidR="001C1FB5" w:rsidRDefault="00A859F8" w:rsidP="000519F5">
      <w:pPr>
        <w:pStyle w:val="Body"/>
      </w:pPr>
      <w:r>
        <w:rPr>
          <w:b/>
        </w:rPr>
        <w:t>Answer</w:t>
      </w:r>
      <w:r w:rsidR="00134876">
        <w:t xml:space="preserve"> </w:t>
      </w:r>
      <w:r w:rsidR="00134876">
        <w:rPr>
          <w:color w:val="7030A0"/>
        </w:rPr>
        <w:t>(</w:t>
      </w:r>
      <w:r>
        <w:rPr>
          <w:color w:val="7030A0"/>
        </w:rPr>
        <w:t>RSSB</w:t>
      </w:r>
      <w:r w:rsidR="00C340DE">
        <w:rPr>
          <w:color w:val="7030A0"/>
        </w:rPr>
        <w:t>)</w:t>
      </w:r>
      <w:r w:rsidR="00B91FB0">
        <w:t xml:space="preserve">: </w:t>
      </w:r>
      <w:r w:rsidR="00441399">
        <w:t xml:space="preserve">RSSB cannot provide historic Class 323 OTDR </w:t>
      </w:r>
      <w:r w:rsidR="00C92ACC">
        <w:t xml:space="preserve">data as </w:t>
      </w:r>
      <w:r w:rsidR="00950912">
        <w:t>it</w:t>
      </w:r>
      <w:r w:rsidR="00C92ACC">
        <w:t xml:space="preserve"> is not available. For context, the OTDR units onboard the Class 323s can store approximately 10 days of data. If this data is not (manually) secured, the data </w:t>
      </w:r>
      <w:r w:rsidR="0030694D">
        <w:t>is</w:t>
      </w:r>
      <w:r w:rsidR="00C92ACC">
        <w:t xml:space="preserve"> overwritten. </w:t>
      </w:r>
      <w:r w:rsidR="0030694D">
        <w:t>From late September 2018 to December 2018, RSSB has ensured that all OTDR data from the six Class 323 control units will be secured for subsequent analysis.</w:t>
      </w:r>
    </w:p>
    <w:p w14:paraId="7193482C" w14:textId="77777777" w:rsidR="00647744" w:rsidRDefault="00647744" w:rsidP="000519F5">
      <w:pPr>
        <w:pStyle w:val="Body"/>
      </w:pPr>
    </w:p>
    <w:p w14:paraId="6646D4AE" w14:textId="0CC994AA" w:rsidR="00B91FB0" w:rsidRDefault="00647744" w:rsidP="000519F5">
      <w:pPr>
        <w:pStyle w:val="Body"/>
      </w:pPr>
      <w:r w:rsidRPr="00F80402">
        <w:rPr>
          <w:b/>
        </w:rPr>
        <w:t>Question</w:t>
      </w:r>
      <w:r>
        <w:t xml:space="preserve"> </w:t>
      </w:r>
      <w:r w:rsidRPr="00F80402">
        <w:rPr>
          <w:color w:val="7030A0"/>
        </w:rPr>
        <w:t>(</w:t>
      </w:r>
      <w:r w:rsidR="001C1FB5" w:rsidRPr="00F80402">
        <w:rPr>
          <w:color w:val="7030A0"/>
        </w:rPr>
        <w:t>Smith Institute)</w:t>
      </w:r>
      <w:r w:rsidR="001C1FB5">
        <w:t xml:space="preserve">: </w:t>
      </w:r>
      <w:r w:rsidR="00FE1BF0">
        <w:t xml:space="preserve">The I.T.T. implies that the project shall </w:t>
      </w:r>
      <w:r w:rsidR="008861FB">
        <w:t>evaluate</w:t>
      </w:r>
      <w:r w:rsidR="00FE1BF0">
        <w:t xml:space="preserve"> variability </w:t>
      </w:r>
      <w:r w:rsidR="008861FB">
        <w:t xml:space="preserve">within and outside of the autumn period. </w:t>
      </w:r>
      <w:r w:rsidR="00F318D2">
        <w:t>Noting t</w:t>
      </w:r>
      <w:r w:rsidR="00874371">
        <w:t xml:space="preserve">hat data collation is restricted between late September 2018 to December 2018, how will </w:t>
      </w:r>
      <w:r w:rsidR="002C4E65">
        <w:t>the timeframe be sufficient for non-autumn events?</w:t>
      </w:r>
      <w:r w:rsidR="00386433">
        <w:t xml:space="preserve"> </w:t>
      </w:r>
    </w:p>
    <w:p w14:paraId="42D72981" w14:textId="57FE1082" w:rsidR="001C1FB5" w:rsidRDefault="001C1FB5" w:rsidP="000519F5">
      <w:pPr>
        <w:pStyle w:val="Body"/>
      </w:pPr>
      <w:r w:rsidRPr="00386433">
        <w:rPr>
          <w:b/>
        </w:rPr>
        <w:t>Answer</w:t>
      </w:r>
      <w:r w:rsidR="00386433">
        <w:t xml:space="preserve"> </w:t>
      </w:r>
      <w:r w:rsidR="00386433" w:rsidRPr="00B2770A">
        <w:rPr>
          <w:color w:val="7030A0"/>
        </w:rPr>
        <w:t>(RSSB)</w:t>
      </w:r>
      <w:r>
        <w:t xml:space="preserve">: </w:t>
      </w:r>
      <w:r w:rsidR="005A2D9B">
        <w:t xml:space="preserve">RSSB anticipates </w:t>
      </w:r>
      <w:r w:rsidR="009E4605">
        <w:t>that there will be a wide range of adhesion conditions encountered during the stated timeframe, including ‘good’ adhesion conditions on dry days.</w:t>
      </w:r>
      <w:r w:rsidR="00234BEF">
        <w:t xml:space="preserve"> </w:t>
      </w:r>
    </w:p>
    <w:p w14:paraId="475A8D2F" w14:textId="1212A3B0" w:rsidR="001C1FB5" w:rsidRDefault="001C1FB5" w:rsidP="000519F5">
      <w:pPr>
        <w:pStyle w:val="Body"/>
      </w:pPr>
    </w:p>
    <w:p w14:paraId="701E4611" w14:textId="038B8111" w:rsidR="00487537" w:rsidRPr="00487537" w:rsidRDefault="00487537" w:rsidP="000519F5">
      <w:pPr>
        <w:pStyle w:val="Body"/>
      </w:pPr>
      <w:r>
        <w:rPr>
          <w:b/>
        </w:rPr>
        <w:t>Question</w:t>
      </w:r>
      <w:r>
        <w:t xml:space="preserve"> </w:t>
      </w:r>
      <w:r w:rsidRPr="00487537">
        <w:rPr>
          <w:color w:val="7030A0"/>
        </w:rPr>
        <w:t>(SNC-Lavalin)</w:t>
      </w:r>
      <w:r>
        <w:t xml:space="preserve">: </w:t>
      </w:r>
      <w:r w:rsidR="00B8719E">
        <w:t>Would RSSB consider additional available data sources, for instance, Network Rail’s Open Access train movement data?</w:t>
      </w:r>
    </w:p>
    <w:p w14:paraId="3C0132A7" w14:textId="68C81A9A" w:rsidR="0047135C" w:rsidRDefault="001C1FB5" w:rsidP="000519F5">
      <w:pPr>
        <w:pStyle w:val="Body"/>
      </w:pPr>
      <w:r w:rsidRPr="00B8719E">
        <w:rPr>
          <w:b/>
        </w:rPr>
        <w:t>Answer</w:t>
      </w:r>
      <w:r w:rsidR="00B8719E">
        <w:t xml:space="preserve"> </w:t>
      </w:r>
      <w:r w:rsidR="00B8719E" w:rsidRPr="00B8719E">
        <w:rPr>
          <w:color w:val="7030A0"/>
        </w:rPr>
        <w:t>(RSSB)</w:t>
      </w:r>
      <w:r>
        <w:t xml:space="preserve">: </w:t>
      </w:r>
      <w:r w:rsidR="0028512C">
        <w:t>Suppliers are welcome to suggest additional available data sources as part of their bids. The I.T.T. (listed on ContractsFinder) encourages tenderers to consider additional data sources (PG 26). If additional available data sources are to be proposed, it is recommended that a rationale be provided</w:t>
      </w:r>
      <w:r w:rsidR="00804424">
        <w:t xml:space="preserve"> for each additional data source.</w:t>
      </w:r>
    </w:p>
    <w:p w14:paraId="6205E587" w14:textId="22BE04A2" w:rsidR="0047135C" w:rsidRDefault="00502000" w:rsidP="000519F5">
      <w:pPr>
        <w:pStyle w:val="Body"/>
      </w:pPr>
      <w:r>
        <w:br/>
      </w:r>
      <w:r>
        <w:rPr>
          <w:b/>
        </w:rPr>
        <w:t xml:space="preserve">Question </w:t>
      </w:r>
      <w:r w:rsidRPr="00502000">
        <w:rPr>
          <w:color w:val="7030A0"/>
        </w:rPr>
        <w:t>(</w:t>
      </w:r>
      <w:r w:rsidR="0047135C" w:rsidRPr="00502000">
        <w:rPr>
          <w:color w:val="7030A0"/>
        </w:rPr>
        <w:t>Ricardo</w:t>
      </w:r>
      <w:r w:rsidRPr="00502000">
        <w:rPr>
          <w:color w:val="7030A0"/>
        </w:rPr>
        <w:t xml:space="preserve"> Rail)</w:t>
      </w:r>
      <w:r w:rsidR="0047135C">
        <w:t xml:space="preserve">: </w:t>
      </w:r>
      <w:r w:rsidR="00B96428">
        <w:t>Can RSSB clarify how many of the Class 323 control units are currently collecting data on the Cross-City Line? If all six units are not yet collecting data, is there a possibility to extend data collection to January 2019?</w:t>
      </w:r>
    </w:p>
    <w:p w14:paraId="7D6195ED" w14:textId="3B606420" w:rsidR="0047135C" w:rsidRDefault="0047135C" w:rsidP="000519F5">
      <w:pPr>
        <w:pStyle w:val="Body"/>
      </w:pPr>
      <w:r w:rsidRPr="00B96428">
        <w:rPr>
          <w:b/>
        </w:rPr>
        <w:lastRenderedPageBreak/>
        <w:t>Answer</w:t>
      </w:r>
      <w:r w:rsidR="00B96428">
        <w:rPr>
          <w:b/>
        </w:rPr>
        <w:t xml:space="preserve"> </w:t>
      </w:r>
      <w:r w:rsidR="00B96428" w:rsidRPr="00B96428">
        <w:rPr>
          <w:color w:val="7030A0"/>
        </w:rPr>
        <w:t>(RSSB)</w:t>
      </w:r>
      <w:r>
        <w:t xml:space="preserve">: </w:t>
      </w:r>
      <w:r w:rsidR="00B96428">
        <w:t xml:space="preserve">There are currently four Class 323 control units collecting data on the Cross-City Line. </w:t>
      </w:r>
      <w:r w:rsidR="0054348C">
        <w:t>The remaining two units are planned to collect data by early November 2018. Noting that each control unit collects up to 18 hours of data each day, and the intense metro-type service on the Cross-City Line, RSSB is confident that a sufficient quantity of data will be collected between late September 2018 to December 2018.</w:t>
      </w:r>
    </w:p>
    <w:p w14:paraId="020595D9" w14:textId="2B52545D" w:rsidR="0090433D" w:rsidRDefault="0090433D" w:rsidP="000519F5">
      <w:pPr>
        <w:pStyle w:val="Body"/>
      </w:pPr>
    </w:p>
    <w:p w14:paraId="107B45EA" w14:textId="2F0D382E" w:rsidR="0090433D" w:rsidRDefault="0054348C" w:rsidP="000519F5">
      <w:pPr>
        <w:pStyle w:val="Body"/>
      </w:pPr>
      <w:r>
        <w:rPr>
          <w:b/>
        </w:rPr>
        <w:t xml:space="preserve">Question </w:t>
      </w:r>
      <w:r w:rsidR="0090433D" w:rsidRPr="0054348C">
        <w:rPr>
          <w:color w:val="7030A0"/>
        </w:rPr>
        <w:t>(Smith Institute)</w:t>
      </w:r>
      <w:r w:rsidR="0090433D">
        <w:t xml:space="preserve">: </w:t>
      </w:r>
      <w:r w:rsidR="00223B94">
        <w:t>Does RSSB intend to use the database solely for this project, or</w:t>
      </w:r>
      <w:r w:rsidR="00B31E0C">
        <w:t xml:space="preserve"> are there any </w:t>
      </w:r>
      <w:r w:rsidR="00607B4E">
        <w:t>plans for future use of the data?</w:t>
      </w:r>
    </w:p>
    <w:p w14:paraId="75845CF0" w14:textId="10B0CB8B" w:rsidR="0090433D" w:rsidRDefault="0090433D" w:rsidP="000519F5">
      <w:pPr>
        <w:pStyle w:val="Body"/>
      </w:pPr>
      <w:r w:rsidRPr="00607B4E">
        <w:rPr>
          <w:b/>
        </w:rPr>
        <w:t>Answer</w:t>
      </w:r>
      <w:r w:rsidR="00607B4E">
        <w:rPr>
          <w:b/>
        </w:rPr>
        <w:t xml:space="preserve"> </w:t>
      </w:r>
      <w:r w:rsidR="00607B4E" w:rsidRPr="00607B4E">
        <w:rPr>
          <w:color w:val="7030A0"/>
        </w:rPr>
        <w:t>(RSSB)</w:t>
      </w:r>
      <w:r>
        <w:t xml:space="preserve">: </w:t>
      </w:r>
      <w:r w:rsidR="00607B4E">
        <w:t>RSSB envisages that the database will be used for future research opportunities. As such, it is essential that the database is available in a COTS format that RSSB/future suppliers can</w:t>
      </w:r>
      <w:r w:rsidR="006A2379">
        <w:t xml:space="preserve"> easily access</w:t>
      </w:r>
      <w:r w:rsidR="00607B4E">
        <w:t xml:space="preserve">. RSSB will take full ownership of the database (including the defined relationships within them). </w:t>
      </w:r>
    </w:p>
    <w:p w14:paraId="66945EEB" w14:textId="650A56D4" w:rsidR="00304963" w:rsidRDefault="00304963" w:rsidP="000519F5">
      <w:pPr>
        <w:pStyle w:val="Body"/>
      </w:pPr>
    </w:p>
    <w:p w14:paraId="58B1EDB6" w14:textId="7843BCDC" w:rsidR="00304963" w:rsidRDefault="00114CA5" w:rsidP="000519F5">
      <w:pPr>
        <w:pStyle w:val="Body"/>
      </w:pPr>
      <w:r>
        <w:rPr>
          <w:b/>
        </w:rPr>
        <w:t xml:space="preserve">Question </w:t>
      </w:r>
      <w:r w:rsidRPr="00114CA5">
        <w:rPr>
          <w:color w:val="7030A0"/>
        </w:rPr>
        <w:t>(</w:t>
      </w:r>
      <w:r w:rsidR="00304963" w:rsidRPr="00114CA5">
        <w:rPr>
          <w:color w:val="7030A0"/>
        </w:rPr>
        <w:t>Cranfield</w:t>
      </w:r>
      <w:r w:rsidRPr="00114CA5">
        <w:rPr>
          <w:color w:val="7030A0"/>
        </w:rPr>
        <w:t>)</w:t>
      </w:r>
      <w:r w:rsidR="00304963">
        <w:t xml:space="preserve">: </w:t>
      </w:r>
      <w:r>
        <w:t>If the database is linked to a user interface software, would this be an issue?</w:t>
      </w:r>
    </w:p>
    <w:p w14:paraId="597FFB10" w14:textId="11F14F0D" w:rsidR="00523FAF" w:rsidRDefault="00304963" w:rsidP="000519F5">
      <w:pPr>
        <w:pStyle w:val="Body"/>
      </w:pPr>
      <w:r w:rsidRPr="00114CA5">
        <w:rPr>
          <w:b/>
        </w:rPr>
        <w:t>Answer</w:t>
      </w:r>
      <w:r w:rsidR="00114CA5">
        <w:rPr>
          <w:b/>
        </w:rPr>
        <w:t xml:space="preserve"> </w:t>
      </w:r>
      <w:r w:rsidR="00114CA5" w:rsidRPr="00114CA5">
        <w:rPr>
          <w:color w:val="7030A0"/>
        </w:rPr>
        <w:t>(RSSB)</w:t>
      </w:r>
      <w:r>
        <w:t xml:space="preserve">: </w:t>
      </w:r>
      <w:r w:rsidR="00D3313A">
        <w:t>The awarded tenderer can use a user interface software</w:t>
      </w:r>
      <w:r w:rsidR="00793E98">
        <w:t xml:space="preserve"> if it so wishes</w:t>
      </w:r>
      <w:r w:rsidR="00D3313A">
        <w:t>, however, the database, data and data point relationships must not be contingent on RSSB requiring a license(s) to access the contents of the database.</w:t>
      </w:r>
      <w:r w:rsidR="00793E98">
        <w:t xml:space="preserve"> </w:t>
      </w:r>
      <w:r w:rsidR="00143119">
        <w:t>RSSB will want to understand the analysis undertaken and how the analysis was carried out.</w:t>
      </w:r>
      <w:r w:rsidR="00143119">
        <w:br/>
      </w:r>
    </w:p>
    <w:p w14:paraId="3F9E3A3F" w14:textId="42686617" w:rsidR="00B2707C" w:rsidRDefault="00143119" w:rsidP="000519F5">
      <w:pPr>
        <w:pStyle w:val="Body"/>
      </w:pPr>
      <w:r>
        <w:rPr>
          <w:b/>
        </w:rPr>
        <w:t>Question</w:t>
      </w:r>
      <w:r w:rsidR="009B1DD9">
        <w:t xml:space="preserve"> </w:t>
      </w:r>
      <w:r w:rsidR="009B1DD9" w:rsidRPr="00B2707C">
        <w:rPr>
          <w:color w:val="7030A0"/>
        </w:rPr>
        <w:t>(Smith</w:t>
      </w:r>
      <w:r w:rsidRPr="00B2707C">
        <w:rPr>
          <w:color w:val="7030A0"/>
        </w:rPr>
        <w:t xml:space="preserve"> Institute</w:t>
      </w:r>
      <w:r w:rsidR="009B1DD9" w:rsidRPr="00B2707C">
        <w:rPr>
          <w:color w:val="7030A0"/>
        </w:rPr>
        <w:t>)</w:t>
      </w:r>
      <w:r w:rsidR="009B1DD9">
        <w:t xml:space="preserve">: </w:t>
      </w:r>
      <w:r w:rsidR="00B2707C">
        <w:t xml:space="preserve">Does RSSB require all analysed </w:t>
      </w:r>
      <w:r w:rsidR="00181F5E">
        <w:t xml:space="preserve">data </w:t>
      </w:r>
      <w:r w:rsidR="00B2707C">
        <w:t>to be integrated within the database?</w:t>
      </w:r>
    </w:p>
    <w:p w14:paraId="7F512D01" w14:textId="6396654D" w:rsidR="00523FAF" w:rsidRDefault="00B2707C" w:rsidP="000519F5">
      <w:pPr>
        <w:pStyle w:val="Body"/>
      </w:pPr>
      <w:r>
        <w:rPr>
          <w:b/>
        </w:rPr>
        <w:t>Answer</w:t>
      </w:r>
      <w:r w:rsidR="009B1DD9">
        <w:t xml:space="preserve"> </w:t>
      </w:r>
      <w:r w:rsidRPr="00B2707C">
        <w:rPr>
          <w:color w:val="7030A0"/>
        </w:rPr>
        <w:t>(RSSB):</w:t>
      </w:r>
      <w:r w:rsidR="003D5BCC">
        <w:rPr>
          <w:color w:val="7030A0"/>
        </w:rPr>
        <w:t xml:space="preserve"> </w:t>
      </w:r>
      <w:r w:rsidR="00181F5E">
        <w:t xml:space="preserve">The PowerPoint presentation (Slide 29) lists the data that RSSB requires to be included within the database, critically, this includes all OTDR data from the control units and Cross-City line infrastructure information. This PowerPoint will be shared on the ContractsFinder site following the meeting, so that this can be viewed by all prospective bidders. </w:t>
      </w:r>
    </w:p>
    <w:p w14:paraId="67FC94A3" w14:textId="3435AE7F" w:rsidR="00946D7E" w:rsidRDefault="00181F5E" w:rsidP="000519F5">
      <w:pPr>
        <w:pStyle w:val="Body"/>
      </w:pPr>
      <w:r>
        <w:br/>
      </w:r>
      <w:r>
        <w:rPr>
          <w:b/>
        </w:rPr>
        <w:t xml:space="preserve">Question </w:t>
      </w:r>
      <w:r w:rsidRPr="00181F5E">
        <w:rPr>
          <w:color w:val="7030A0"/>
        </w:rPr>
        <w:t>(SNC-Lavalin</w:t>
      </w:r>
      <w:r w:rsidR="00946D7E" w:rsidRPr="00181F5E">
        <w:rPr>
          <w:color w:val="7030A0"/>
        </w:rPr>
        <w:t>)</w:t>
      </w:r>
      <w:r w:rsidR="00946D7E">
        <w:t xml:space="preserve">: </w:t>
      </w:r>
      <w:r>
        <w:t xml:space="preserve">Will RSSB provide the infrastructure to provide data to the awarded tenderer? </w:t>
      </w:r>
    </w:p>
    <w:p w14:paraId="0DF3811C" w14:textId="608682CE" w:rsidR="00946D7E" w:rsidRDefault="00946D7E" w:rsidP="000519F5">
      <w:pPr>
        <w:pStyle w:val="Body"/>
      </w:pPr>
      <w:r w:rsidRPr="00181F5E">
        <w:rPr>
          <w:b/>
        </w:rPr>
        <w:t>Answer</w:t>
      </w:r>
      <w:r w:rsidR="00181F5E">
        <w:rPr>
          <w:b/>
        </w:rPr>
        <w:t xml:space="preserve"> </w:t>
      </w:r>
      <w:r w:rsidR="00181F5E" w:rsidRPr="00181F5E">
        <w:rPr>
          <w:color w:val="7030A0"/>
        </w:rPr>
        <w:t>(RSSB)</w:t>
      </w:r>
      <w:r>
        <w:t xml:space="preserve">: RSSB will provide a portal </w:t>
      </w:r>
      <w:r w:rsidR="003F2340">
        <w:t>to provide hosted data to the awarded tenderer</w:t>
      </w:r>
      <w:r>
        <w:t>.</w:t>
      </w:r>
    </w:p>
    <w:p w14:paraId="75C4ACE9" w14:textId="77777777" w:rsidR="002D72C4" w:rsidRDefault="002D72C4" w:rsidP="000519F5">
      <w:pPr>
        <w:pStyle w:val="Body"/>
      </w:pPr>
    </w:p>
    <w:p w14:paraId="3BAC7BE5" w14:textId="460410FE" w:rsidR="00946D7E" w:rsidRDefault="002D72C4" w:rsidP="000519F5">
      <w:pPr>
        <w:pStyle w:val="Body"/>
      </w:pPr>
      <w:r w:rsidRPr="00A33D7F">
        <w:rPr>
          <w:b/>
        </w:rPr>
        <w:t>Statement</w:t>
      </w:r>
      <w:r>
        <w:t xml:space="preserve"> </w:t>
      </w:r>
      <w:r w:rsidRPr="002D72C4">
        <w:rPr>
          <w:color w:val="7030A0"/>
        </w:rPr>
        <w:t>(</w:t>
      </w:r>
      <w:r w:rsidR="00946D7E" w:rsidRPr="002D72C4">
        <w:rPr>
          <w:color w:val="7030A0"/>
        </w:rPr>
        <w:t>RSSB</w:t>
      </w:r>
      <w:r w:rsidRPr="002D72C4">
        <w:rPr>
          <w:color w:val="7030A0"/>
        </w:rPr>
        <w:t>)</w:t>
      </w:r>
      <w:r w:rsidR="00946D7E">
        <w:t xml:space="preserve">: </w:t>
      </w:r>
      <w:r w:rsidR="00A33D7F" w:rsidRPr="00A33D7F">
        <w:t xml:space="preserve">Suppliers wishing to receive sample datasets and material should email </w:t>
      </w:r>
      <w:hyperlink r:id="rId5" w:history="1">
        <w:r w:rsidR="00A33D7F" w:rsidRPr="00DA49C0">
          <w:rPr>
            <w:rStyle w:val="Hyperlink"/>
          </w:rPr>
          <w:t>Shareditt@RSSB.co.uk</w:t>
        </w:r>
      </w:hyperlink>
      <w:r w:rsidR="00A33D7F">
        <w:t xml:space="preserve"> </w:t>
      </w:r>
      <w:r w:rsidR="00A33D7F" w:rsidRPr="00A33D7F">
        <w:t xml:space="preserve">to be provided access to a passworded File Transfer Protocol (FTP) site. Please note, RSSB2741 (Evaluating variability in train driving under different adhesion conditions (T1159)) </w:t>
      </w:r>
      <w:r w:rsidR="00A33D7F">
        <w:t xml:space="preserve">and </w:t>
      </w:r>
      <w:r w:rsidR="00A33D7F" w:rsidRPr="00A33D7F">
        <w:t>RSSB2742 (ADHERE: Quantifying the effects of Railhead Treatments on adhesion (COF-DART)) are separate tenders each with their own sample datasets (FTP sites).</w:t>
      </w:r>
    </w:p>
    <w:p w14:paraId="5E5AA9AF" w14:textId="572C86F3" w:rsidR="00523FAF" w:rsidRDefault="00523FAF" w:rsidP="000519F5">
      <w:pPr>
        <w:pStyle w:val="Body"/>
      </w:pPr>
    </w:p>
    <w:p w14:paraId="0CECAE2C" w14:textId="01394183" w:rsidR="00DA3AED" w:rsidRDefault="00A33D7F" w:rsidP="000519F5">
      <w:pPr>
        <w:pStyle w:val="Body"/>
      </w:pPr>
      <w:r>
        <w:rPr>
          <w:b/>
        </w:rPr>
        <w:t xml:space="preserve">Statement </w:t>
      </w:r>
      <w:r w:rsidRPr="00AC1035">
        <w:rPr>
          <w:color w:val="7030A0"/>
        </w:rPr>
        <w:t>(RSSB)</w:t>
      </w:r>
      <w:r>
        <w:t xml:space="preserve">: Suppliers are requested to carefully read the wording within the selection and weighted award criterion (listed within the I.T.T.). In order to pass the selection criteria, suppliers must precisely adhere to the ‘pass’ criteria within the evaluation criteria. If the supplier fails any of the pass criteria, the supplier shall fail the selection criteria. Suppliers are welcome to submit </w:t>
      </w:r>
      <w:r>
        <w:lastRenderedPageBreak/>
        <w:t>questions on the selection and weighted award criterion.</w:t>
      </w:r>
      <w:r>
        <w:br/>
      </w:r>
    </w:p>
    <w:p w14:paraId="04030CBB" w14:textId="3D436F5F" w:rsidR="00DA3AED" w:rsidRDefault="00A33D7F" w:rsidP="000519F5">
      <w:pPr>
        <w:pStyle w:val="Body"/>
      </w:pPr>
      <w:r>
        <w:rPr>
          <w:b/>
        </w:rPr>
        <w:t>Question</w:t>
      </w:r>
      <w:r>
        <w:t xml:space="preserve"> </w:t>
      </w:r>
      <w:r w:rsidRPr="00487537">
        <w:rPr>
          <w:color w:val="7030A0"/>
        </w:rPr>
        <w:t>(SNC-Lavalin)</w:t>
      </w:r>
      <w:r>
        <w:t xml:space="preserve">: </w:t>
      </w:r>
      <w:r w:rsidR="00DA3AED">
        <w:t xml:space="preserve">If </w:t>
      </w:r>
      <w:r>
        <w:t>a tenderer submits a question, will this be shared on ContractsFinder?</w:t>
      </w:r>
    </w:p>
    <w:p w14:paraId="46374DE1" w14:textId="15AF60C1" w:rsidR="00320350" w:rsidRDefault="00950912" w:rsidP="000519F5">
      <w:pPr>
        <w:pStyle w:val="Body"/>
      </w:pPr>
      <w:r>
        <w:rPr>
          <w:b/>
        </w:rPr>
        <w:t>Answer</w:t>
      </w:r>
      <w:r w:rsidR="00A33D7F">
        <w:rPr>
          <w:b/>
        </w:rPr>
        <w:t xml:space="preserve"> </w:t>
      </w:r>
      <w:r w:rsidR="00A33D7F" w:rsidRPr="00A33D7F">
        <w:rPr>
          <w:color w:val="7030A0"/>
        </w:rPr>
        <w:t>(</w:t>
      </w:r>
      <w:r w:rsidR="00DA3AED" w:rsidRPr="00A33D7F">
        <w:rPr>
          <w:color w:val="7030A0"/>
        </w:rPr>
        <w:t>RSSB</w:t>
      </w:r>
      <w:r w:rsidR="00A33D7F" w:rsidRPr="00A33D7F">
        <w:rPr>
          <w:color w:val="7030A0"/>
        </w:rPr>
        <w:t>)</w:t>
      </w:r>
      <w:r w:rsidR="00DA3AED">
        <w:t xml:space="preserve">: RSSB is legally obliged to share </w:t>
      </w:r>
      <w:r w:rsidR="00204C85">
        <w:t>all questions and answers</w:t>
      </w:r>
      <w:r w:rsidR="00DA3AED">
        <w:t xml:space="preserve"> on ContractsFinder</w:t>
      </w:r>
      <w:r w:rsidR="00204C85">
        <w:t xml:space="preserve">. If a tenderer emails an enquiry to </w:t>
      </w:r>
      <w:hyperlink r:id="rId6" w:history="1">
        <w:r w:rsidR="00204C85" w:rsidRPr="00DA49C0">
          <w:rPr>
            <w:rStyle w:val="Hyperlink"/>
          </w:rPr>
          <w:t>Shareditt@RSSB.co.uk</w:t>
        </w:r>
      </w:hyperlink>
      <w:r w:rsidR="00BB4647">
        <w:t xml:space="preserve">, the name of the tenderer will not be listed on ContractsFinder. </w:t>
      </w:r>
      <w:r w:rsidR="00204C85">
        <w:br/>
      </w:r>
    </w:p>
    <w:p w14:paraId="4E22B290" w14:textId="1F30EB16" w:rsidR="00320350" w:rsidRDefault="00542EBA" w:rsidP="000519F5">
      <w:pPr>
        <w:pStyle w:val="Body"/>
      </w:pPr>
      <w:r>
        <w:rPr>
          <w:b/>
        </w:rPr>
        <w:t xml:space="preserve">Question </w:t>
      </w:r>
      <w:r w:rsidR="00320350" w:rsidRPr="00542EBA">
        <w:rPr>
          <w:color w:val="7030A0"/>
        </w:rPr>
        <w:t>(Smith</w:t>
      </w:r>
      <w:r w:rsidRPr="00542EBA">
        <w:rPr>
          <w:color w:val="7030A0"/>
        </w:rPr>
        <w:t xml:space="preserve"> Institute</w:t>
      </w:r>
      <w:r w:rsidR="00320350" w:rsidRPr="00542EBA">
        <w:rPr>
          <w:color w:val="7030A0"/>
        </w:rPr>
        <w:t>)</w:t>
      </w:r>
      <w:r w:rsidR="00320350">
        <w:t xml:space="preserve">: </w:t>
      </w:r>
      <w:r>
        <w:t>Can RSSB provide any information on licenses for Arrowvale Analyser software?</w:t>
      </w:r>
    </w:p>
    <w:p w14:paraId="1E09A0B9" w14:textId="2C404C19" w:rsidR="00320350" w:rsidRDefault="00542EBA" w:rsidP="000519F5">
      <w:pPr>
        <w:pStyle w:val="Body"/>
      </w:pPr>
      <w:r>
        <w:rPr>
          <w:b/>
        </w:rPr>
        <w:t xml:space="preserve">Answer </w:t>
      </w:r>
      <w:r w:rsidRPr="00542EBA">
        <w:rPr>
          <w:color w:val="7030A0"/>
        </w:rPr>
        <w:t>(RSSB)</w:t>
      </w:r>
      <w:r w:rsidR="00320350">
        <w:t xml:space="preserve">: </w:t>
      </w:r>
      <w:r>
        <w:t xml:space="preserve">Suppliers will need to get in contact with </w:t>
      </w:r>
      <w:hyperlink r:id="rId7" w:history="1">
        <w:r w:rsidRPr="00542EBA">
          <w:rPr>
            <w:rStyle w:val="Hyperlink"/>
          </w:rPr>
          <w:t>Arrowvale Electronics</w:t>
        </w:r>
      </w:hyperlink>
      <w:r>
        <w:t xml:space="preserve"> to acquire information on licenses. </w:t>
      </w:r>
      <w:r w:rsidR="00320350">
        <w:t xml:space="preserve"> </w:t>
      </w:r>
    </w:p>
    <w:p w14:paraId="66184C45" w14:textId="4D32F092" w:rsidR="00320350" w:rsidRDefault="00320350" w:rsidP="000519F5">
      <w:pPr>
        <w:pStyle w:val="Body"/>
      </w:pPr>
    </w:p>
    <w:p w14:paraId="3643F465" w14:textId="2BB30131" w:rsidR="00320350" w:rsidRDefault="00542EBA" w:rsidP="000519F5">
      <w:pPr>
        <w:pStyle w:val="Body"/>
      </w:pPr>
      <w:r>
        <w:rPr>
          <w:b/>
        </w:rPr>
        <w:t xml:space="preserve">Question </w:t>
      </w:r>
      <w:r w:rsidRPr="00542EBA">
        <w:rPr>
          <w:color w:val="7030A0"/>
        </w:rPr>
        <w:t>(</w:t>
      </w:r>
      <w:r w:rsidR="00320350" w:rsidRPr="00542EBA">
        <w:rPr>
          <w:color w:val="7030A0"/>
        </w:rPr>
        <w:t>Met Office</w:t>
      </w:r>
      <w:r w:rsidRPr="00542EBA">
        <w:rPr>
          <w:color w:val="7030A0"/>
        </w:rPr>
        <w:t>)</w:t>
      </w:r>
      <w:r w:rsidR="00320350">
        <w:t xml:space="preserve">: </w:t>
      </w:r>
      <w:r>
        <w:t>Will RSSB provide leaf fall data</w:t>
      </w:r>
      <w:r w:rsidR="007C00A9">
        <w:t xml:space="preserve"> to the awarded tenderer</w:t>
      </w:r>
      <w:r>
        <w:t>? What level of granularity does RSSB require in analysing data from the Cross-City Line?</w:t>
      </w:r>
    </w:p>
    <w:p w14:paraId="3C093A5D" w14:textId="71628E0E" w:rsidR="00E82F3F" w:rsidRDefault="00320350" w:rsidP="000519F5">
      <w:pPr>
        <w:pStyle w:val="Body"/>
      </w:pPr>
      <w:r w:rsidRPr="00542EBA">
        <w:rPr>
          <w:b/>
        </w:rPr>
        <w:t>Answer</w:t>
      </w:r>
      <w:r w:rsidR="00542EBA">
        <w:t xml:space="preserve"> </w:t>
      </w:r>
      <w:r w:rsidR="00542EBA" w:rsidRPr="00542EBA">
        <w:rPr>
          <w:color w:val="7030A0"/>
        </w:rPr>
        <w:t>(RSSB)</w:t>
      </w:r>
      <w:r>
        <w:t xml:space="preserve">: </w:t>
      </w:r>
      <w:r w:rsidR="007C00A9">
        <w:t xml:space="preserve">RSSB will provide adhesion notices and forecasts to the awarded tenderer. This will include regional data for ‘Leaves on the Trees’ and ‘Leaves on the Ground’. Key </w:t>
      </w:r>
      <w:r w:rsidR="00D436A0">
        <w:t>environmental</w:t>
      </w:r>
      <w:r w:rsidR="007C00A9">
        <w:t xml:space="preserve"> data will be required as part of the analysis. </w:t>
      </w:r>
      <w:r w:rsidR="00D436A0" w:rsidRPr="00A33D7F">
        <w:t xml:space="preserve">Suppliers wishing to receive sample datasets and material should email </w:t>
      </w:r>
      <w:hyperlink r:id="rId8" w:history="1">
        <w:r w:rsidR="00D436A0" w:rsidRPr="00DA49C0">
          <w:rPr>
            <w:rStyle w:val="Hyperlink"/>
          </w:rPr>
          <w:t>Shareditt@RSSB.co.uk</w:t>
        </w:r>
      </w:hyperlink>
      <w:r w:rsidR="00D436A0">
        <w:t xml:space="preserve"> </w:t>
      </w:r>
      <w:r w:rsidR="00D436A0" w:rsidRPr="00A33D7F">
        <w:t>to be provided access to a passworded File Transfer Protocol (FTP) site.</w:t>
      </w:r>
    </w:p>
    <w:p w14:paraId="6925B189" w14:textId="77777777" w:rsidR="000B78C7" w:rsidRDefault="000B78C7" w:rsidP="000519F5">
      <w:pPr>
        <w:pStyle w:val="Body"/>
      </w:pPr>
    </w:p>
    <w:p w14:paraId="25EBE4A1" w14:textId="210288B6" w:rsidR="00E82F3F" w:rsidRPr="00481835" w:rsidRDefault="000B78C7" w:rsidP="000519F5">
      <w:pPr>
        <w:pStyle w:val="Body"/>
      </w:pPr>
      <w:r>
        <w:rPr>
          <w:b/>
        </w:rPr>
        <w:t xml:space="preserve">Statement </w:t>
      </w:r>
      <w:r w:rsidRPr="000B78C7">
        <w:rPr>
          <w:color w:val="7030A0"/>
        </w:rPr>
        <w:t>(</w:t>
      </w:r>
      <w:r w:rsidR="00E82F3F" w:rsidRPr="000B78C7">
        <w:rPr>
          <w:color w:val="7030A0"/>
        </w:rPr>
        <w:t>RSSB</w:t>
      </w:r>
      <w:r w:rsidRPr="000B78C7">
        <w:rPr>
          <w:color w:val="7030A0"/>
        </w:rPr>
        <w:t>)</w:t>
      </w:r>
      <w:r w:rsidR="00E82F3F">
        <w:t xml:space="preserve">: </w:t>
      </w:r>
      <w:r w:rsidR="00916BBB">
        <w:t xml:space="preserve">Please note that this tender is not subject to OJEU requirements. </w:t>
      </w:r>
    </w:p>
    <w:sectPr w:rsidR="00E82F3F" w:rsidRPr="00481835"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3E9A66BA"/>
    <w:multiLevelType w:val="hybridMultilevel"/>
    <w:tmpl w:val="5518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F5"/>
    <w:rsid w:val="000279F1"/>
    <w:rsid w:val="0005157A"/>
    <w:rsid w:val="000519F5"/>
    <w:rsid w:val="000B78C7"/>
    <w:rsid w:val="000C1949"/>
    <w:rsid w:val="00114CA5"/>
    <w:rsid w:val="00134876"/>
    <w:rsid w:val="00143119"/>
    <w:rsid w:val="001456F2"/>
    <w:rsid w:val="00160B7C"/>
    <w:rsid w:val="00181F5E"/>
    <w:rsid w:val="001C026F"/>
    <w:rsid w:val="001C15CC"/>
    <w:rsid w:val="001C1FB5"/>
    <w:rsid w:val="001C664D"/>
    <w:rsid w:val="001D37CB"/>
    <w:rsid w:val="001D7525"/>
    <w:rsid w:val="00204C85"/>
    <w:rsid w:val="00205CD9"/>
    <w:rsid w:val="00223542"/>
    <w:rsid w:val="002237C1"/>
    <w:rsid w:val="00223B94"/>
    <w:rsid w:val="00234BEF"/>
    <w:rsid w:val="00240030"/>
    <w:rsid w:val="002673BC"/>
    <w:rsid w:val="00276F92"/>
    <w:rsid w:val="0028512C"/>
    <w:rsid w:val="002B4CFA"/>
    <w:rsid w:val="002C4E65"/>
    <w:rsid w:val="002D3961"/>
    <w:rsid w:val="002D3DEC"/>
    <w:rsid w:val="002D72C4"/>
    <w:rsid w:val="00304963"/>
    <w:rsid w:val="0030694D"/>
    <w:rsid w:val="00320350"/>
    <w:rsid w:val="003511FE"/>
    <w:rsid w:val="00353F9C"/>
    <w:rsid w:val="00386433"/>
    <w:rsid w:val="003D5BCC"/>
    <w:rsid w:val="003E5326"/>
    <w:rsid w:val="003E6C6D"/>
    <w:rsid w:val="003F2340"/>
    <w:rsid w:val="00403A7B"/>
    <w:rsid w:val="00405413"/>
    <w:rsid w:val="00441399"/>
    <w:rsid w:val="00453434"/>
    <w:rsid w:val="00463103"/>
    <w:rsid w:val="0047135C"/>
    <w:rsid w:val="00481835"/>
    <w:rsid w:val="00487537"/>
    <w:rsid w:val="00490E46"/>
    <w:rsid w:val="004B782F"/>
    <w:rsid w:val="004F24DF"/>
    <w:rsid w:val="00502000"/>
    <w:rsid w:val="00503BFD"/>
    <w:rsid w:val="00523FAF"/>
    <w:rsid w:val="00542EBA"/>
    <w:rsid w:val="0054348C"/>
    <w:rsid w:val="00576F54"/>
    <w:rsid w:val="00583AF2"/>
    <w:rsid w:val="005928DF"/>
    <w:rsid w:val="005A2D9B"/>
    <w:rsid w:val="005C12BE"/>
    <w:rsid w:val="00607B4E"/>
    <w:rsid w:val="00620520"/>
    <w:rsid w:val="00625E0F"/>
    <w:rsid w:val="00631A96"/>
    <w:rsid w:val="00640DCF"/>
    <w:rsid w:val="0064246C"/>
    <w:rsid w:val="00647744"/>
    <w:rsid w:val="006611B5"/>
    <w:rsid w:val="00675506"/>
    <w:rsid w:val="006909B0"/>
    <w:rsid w:val="006A2379"/>
    <w:rsid w:val="006E65BC"/>
    <w:rsid w:val="00706A28"/>
    <w:rsid w:val="00775048"/>
    <w:rsid w:val="00780087"/>
    <w:rsid w:val="007821AD"/>
    <w:rsid w:val="00793E98"/>
    <w:rsid w:val="007B1EE2"/>
    <w:rsid w:val="007C00A9"/>
    <w:rsid w:val="007D62D9"/>
    <w:rsid w:val="007D762E"/>
    <w:rsid w:val="007F3ED0"/>
    <w:rsid w:val="00800EA0"/>
    <w:rsid w:val="00804424"/>
    <w:rsid w:val="0085135B"/>
    <w:rsid w:val="008650E7"/>
    <w:rsid w:val="00874371"/>
    <w:rsid w:val="008861FB"/>
    <w:rsid w:val="00886280"/>
    <w:rsid w:val="00897AA3"/>
    <w:rsid w:val="008A34E0"/>
    <w:rsid w:val="008E5334"/>
    <w:rsid w:val="00900B0A"/>
    <w:rsid w:val="0090433D"/>
    <w:rsid w:val="00916BBB"/>
    <w:rsid w:val="00937686"/>
    <w:rsid w:val="00946D7E"/>
    <w:rsid w:val="00950912"/>
    <w:rsid w:val="009721EA"/>
    <w:rsid w:val="009B1DD9"/>
    <w:rsid w:val="009E4605"/>
    <w:rsid w:val="009F2B03"/>
    <w:rsid w:val="00A249FD"/>
    <w:rsid w:val="00A32AE8"/>
    <w:rsid w:val="00A33D7F"/>
    <w:rsid w:val="00A44F71"/>
    <w:rsid w:val="00A859F8"/>
    <w:rsid w:val="00AC6A1D"/>
    <w:rsid w:val="00B2707C"/>
    <w:rsid w:val="00B2770A"/>
    <w:rsid w:val="00B31E0C"/>
    <w:rsid w:val="00B54E1A"/>
    <w:rsid w:val="00B5588A"/>
    <w:rsid w:val="00B63267"/>
    <w:rsid w:val="00B8719E"/>
    <w:rsid w:val="00B91FB0"/>
    <w:rsid w:val="00B96428"/>
    <w:rsid w:val="00BA164F"/>
    <w:rsid w:val="00BB4647"/>
    <w:rsid w:val="00BC0352"/>
    <w:rsid w:val="00BD0A3A"/>
    <w:rsid w:val="00BF02AE"/>
    <w:rsid w:val="00C06B76"/>
    <w:rsid w:val="00C11F08"/>
    <w:rsid w:val="00C340DE"/>
    <w:rsid w:val="00C43825"/>
    <w:rsid w:val="00C46B17"/>
    <w:rsid w:val="00C54FE5"/>
    <w:rsid w:val="00C5674E"/>
    <w:rsid w:val="00C67A0E"/>
    <w:rsid w:val="00C85FB8"/>
    <w:rsid w:val="00C92ACC"/>
    <w:rsid w:val="00C9798B"/>
    <w:rsid w:val="00CB648C"/>
    <w:rsid w:val="00CC398C"/>
    <w:rsid w:val="00CC5BE7"/>
    <w:rsid w:val="00CE59CA"/>
    <w:rsid w:val="00D01437"/>
    <w:rsid w:val="00D15D51"/>
    <w:rsid w:val="00D3313A"/>
    <w:rsid w:val="00D436A0"/>
    <w:rsid w:val="00D4482C"/>
    <w:rsid w:val="00D7501B"/>
    <w:rsid w:val="00DA0A0B"/>
    <w:rsid w:val="00DA3AED"/>
    <w:rsid w:val="00DA3EC3"/>
    <w:rsid w:val="00DE6DA5"/>
    <w:rsid w:val="00DF42A8"/>
    <w:rsid w:val="00E0571B"/>
    <w:rsid w:val="00E315FA"/>
    <w:rsid w:val="00E42478"/>
    <w:rsid w:val="00E63786"/>
    <w:rsid w:val="00E82F3F"/>
    <w:rsid w:val="00E846D0"/>
    <w:rsid w:val="00EA7E5E"/>
    <w:rsid w:val="00ED5F17"/>
    <w:rsid w:val="00EF23E8"/>
    <w:rsid w:val="00F20199"/>
    <w:rsid w:val="00F24B31"/>
    <w:rsid w:val="00F318D2"/>
    <w:rsid w:val="00F34524"/>
    <w:rsid w:val="00F459BA"/>
    <w:rsid w:val="00F53722"/>
    <w:rsid w:val="00F80402"/>
    <w:rsid w:val="00F94E1D"/>
    <w:rsid w:val="00F96D3C"/>
    <w:rsid w:val="00F97528"/>
    <w:rsid w:val="00FB4215"/>
    <w:rsid w:val="00FE1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5BB6"/>
  <w15:chartTrackingRefBased/>
  <w15:docId w15:val="{3975974D-3CE9-4A9E-BE5D-B8183075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character" w:styleId="Hyperlink">
    <w:name w:val="Hyperlink"/>
    <w:basedOn w:val="DefaultParagraphFont"/>
    <w:uiPriority w:val="99"/>
    <w:unhideWhenUsed/>
    <w:rsid w:val="007821AD"/>
    <w:rPr>
      <w:color w:val="0000FF" w:themeColor="hyperlink"/>
      <w:u w:val="single"/>
    </w:rPr>
  </w:style>
  <w:style w:type="character" w:styleId="UnresolvedMention">
    <w:name w:val="Unresolved Mention"/>
    <w:basedOn w:val="DefaultParagraphFont"/>
    <w:uiPriority w:val="99"/>
    <w:semiHidden/>
    <w:unhideWhenUsed/>
    <w:rsid w:val="007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79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ettings" Target="settings.xml"/><Relationship Id="rId7" Type="http://schemas.openxmlformats.org/officeDocument/2006/relationships/hyperlink" Target="http://arrowval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editt@RSSB.co.uk" TargetMode="External"/><Relationship Id="rId5" Type="http://schemas.openxmlformats.org/officeDocument/2006/relationships/hyperlink" Target="mailto:Shareditt@RSSB.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Altman</dc:creator>
  <cp:keywords/>
  <dc:description/>
  <cp:lastModifiedBy>Matthew Riley</cp:lastModifiedBy>
  <cp:revision>2</cp:revision>
  <dcterms:created xsi:type="dcterms:W3CDTF">2018-10-24T14:25:00Z</dcterms:created>
  <dcterms:modified xsi:type="dcterms:W3CDTF">2018-10-24T14:25:00Z</dcterms:modified>
</cp:coreProperties>
</file>