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1CD63073"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036276" w:rsidRPr="00036276">
        <w:t>RSSB2630 - T1127 Creating a common framework of how rail can measure and understand its social impact</w:t>
      </w:r>
      <w:r w:rsidR="00036276">
        <w:t xml:space="preserve"> </w:t>
      </w:r>
      <w:r w:rsidR="00036276" w:rsidRPr="00036276">
        <w:t>value as a system</w:t>
      </w:r>
    </w:p>
    <w:p w14:paraId="367CB7EE" w14:textId="73683531" w:rsidR="00E52B87" w:rsidRPr="00E52B87" w:rsidRDefault="00E52B87" w:rsidP="00E52B87">
      <w:pPr>
        <w:pStyle w:val="CoverTitle"/>
      </w:pPr>
    </w:p>
    <w:p w14:paraId="69A8EB25" w14:textId="282F8C89" w:rsidR="00E52B87" w:rsidRPr="00E52B87" w:rsidRDefault="00E52B87" w:rsidP="00E52B87">
      <w:pPr>
        <w:pStyle w:val="CoverSubTitle"/>
      </w:pPr>
      <w:r w:rsidRPr="00E52B87">
        <w:t xml:space="preserve">Deadline: </w:t>
      </w:r>
      <w:r w:rsidR="005356EB">
        <w:t xml:space="preserve">Friday </w:t>
      </w:r>
      <w:r w:rsidR="00036276">
        <w:t>15</w:t>
      </w:r>
      <w:r w:rsidR="00036276" w:rsidRPr="00036276">
        <w:rPr>
          <w:vertAlign w:val="superscript"/>
        </w:rPr>
        <w:t>th</w:t>
      </w:r>
      <w:r w:rsidR="00036276">
        <w:t xml:space="preserve"> September</w:t>
      </w:r>
      <w:r w:rsidR="006D1C93">
        <w:t xml:space="preserve"> </w:t>
      </w:r>
      <w:r w:rsidR="002A7571">
        <w:t>201</w:t>
      </w:r>
      <w:r w:rsidR="00833C7A">
        <w:t>7</w:t>
      </w:r>
      <w:r w:rsidRPr="00E52B87">
        <w:t xml:space="preserve"> </w:t>
      </w:r>
    </w:p>
    <w:p w14:paraId="1051D870" w14:textId="5A3496AE" w:rsidR="00E52B87" w:rsidRPr="00E52B87" w:rsidRDefault="00E52B87" w:rsidP="00E52B87">
      <w:pPr>
        <w:pStyle w:val="CoverSubTitle"/>
      </w:pPr>
      <w:r w:rsidRPr="00E52B87">
        <w:t xml:space="preserve">ITT Reference: </w:t>
      </w:r>
      <w:r w:rsidR="0095659E">
        <w:t xml:space="preserve"> </w:t>
      </w:r>
      <w:r w:rsidR="00036276" w:rsidRPr="00036276">
        <w:t>RSSB2630 - T1127 Creating a common framework of how rail can measure and understand its social impact</w:t>
      </w:r>
      <w:r w:rsidR="00036276">
        <w:t xml:space="preserve"> </w:t>
      </w:r>
      <w:r w:rsidR="00036276" w:rsidRPr="00036276">
        <w:t>value as a system</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036276" w:rsidRPr="00EB323B" w14:paraId="269399D0" w14:textId="77777777" w:rsidTr="00036276">
        <w:trPr>
          <w:trHeight w:val="504"/>
        </w:trPr>
        <w:tc>
          <w:tcPr>
            <w:tcW w:w="3095" w:type="pct"/>
          </w:tcPr>
          <w:p w14:paraId="0B538DCB" w14:textId="77777777" w:rsidR="00036276" w:rsidRPr="00EB323B" w:rsidRDefault="00036276" w:rsidP="00036276">
            <w:pPr>
              <w:spacing w:before="120" w:after="120"/>
              <w:rPr>
                <w:rFonts w:asciiTheme="minorHAnsi" w:hAnsiTheme="minorHAnsi" w:cs="Arial"/>
                <w:b/>
              </w:rPr>
            </w:pPr>
          </w:p>
        </w:tc>
        <w:tc>
          <w:tcPr>
            <w:tcW w:w="1905" w:type="pct"/>
          </w:tcPr>
          <w:p w14:paraId="1F735514" w14:textId="77777777" w:rsidR="00036276" w:rsidRPr="00EB323B" w:rsidRDefault="00036276" w:rsidP="00036276">
            <w:pPr>
              <w:spacing w:before="120" w:after="120"/>
              <w:jc w:val="center"/>
              <w:rPr>
                <w:rFonts w:asciiTheme="minorHAnsi" w:hAnsiTheme="minorHAnsi" w:cs="Arial"/>
                <w:b/>
              </w:rPr>
            </w:pPr>
            <w:r w:rsidRPr="00EB323B">
              <w:rPr>
                <w:rFonts w:asciiTheme="minorHAnsi" w:hAnsiTheme="minorHAnsi" w:cs="Arial"/>
                <w:b/>
              </w:rPr>
              <w:t>Start Date</w:t>
            </w:r>
          </w:p>
        </w:tc>
      </w:tr>
      <w:tr w:rsidR="00036276" w:rsidRPr="00EB323B" w14:paraId="1B3AEEBD" w14:textId="77777777" w:rsidTr="00036276">
        <w:trPr>
          <w:trHeight w:val="504"/>
        </w:trPr>
        <w:tc>
          <w:tcPr>
            <w:tcW w:w="3095" w:type="pct"/>
          </w:tcPr>
          <w:p w14:paraId="07808739" w14:textId="77777777" w:rsidR="00036276" w:rsidRDefault="00036276" w:rsidP="00036276">
            <w:pPr>
              <w:spacing w:before="120" w:after="120"/>
              <w:jc w:val="both"/>
              <w:rPr>
                <w:rFonts w:asciiTheme="minorHAnsi" w:hAnsiTheme="minorHAnsi" w:cs="Arial"/>
              </w:rPr>
            </w:pPr>
            <w:r>
              <w:rPr>
                <w:rFonts w:asciiTheme="minorHAnsi" w:hAnsiTheme="minorHAnsi" w:cs="Arial"/>
              </w:rPr>
              <w:t xml:space="preserve">Expression of interest meeting </w:t>
            </w:r>
          </w:p>
        </w:tc>
        <w:tc>
          <w:tcPr>
            <w:tcW w:w="1905" w:type="pct"/>
          </w:tcPr>
          <w:p w14:paraId="68D05432" w14:textId="77777777" w:rsidR="00036276" w:rsidRDefault="00036276" w:rsidP="00036276">
            <w:pPr>
              <w:spacing w:before="120" w:after="120"/>
              <w:rPr>
                <w:rFonts w:asciiTheme="minorHAnsi" w:hAnsiTheme="minorHAnsi" w:cs="Arial"/>
              </w:rPr>
            </w:pPr>
            <w:r>
              <w:rPr>
                <w:rFonts w:asciiTheme="minorHAnsi" w:hAnsiTheme="minorHAnsi" w:cs="Arial"/>
              </w:rPr>
              <w:t>4 August 2017</w:t>
            </w:r>
          </w:p>
        </w:tc>
      </w:tr>
      <w:tr w:rsidR="00036276" w:rsidRPr="00EB323B" w14:paraId="738DA24F" w14:textId="77777777" w:rsidTr="00036276">
        <w:trPr>
          <w:trHeight w:val="504"/>
        </w:trPr>
        <w:tc>
          <w:tcPr>
            <w:tcW w:w="3095" w:type="pct"/>
          </w:tcPr>
          <w:p w14:paraId="3EE583B4" w14:textId="77777777" w:rsidR="00036276" w:rsidRPr="00EB323B" w:rsidRDefault="00036276" w:rsidP="00036276">
            <w:pPr>
              <w:spacing w:before="120" w:after="120"/>
              <w:jc w:val="both"/>
              <w:rPr>
                <w:rFonts w:asciiTheme="minorHAnsi" w:hAnsiTheme="minorHAnsi" w:cs="Arial"/>
              </w:rPr>
            </w:pPr>
            <w:r>
              <w:rPr>
                <w:rFonts w:asciiTheme="minorHAnsi" w:hAnsiTheme="minorHAnsi" w:cs="Arial"/>
              </w:rPr>
              <w:t>RFP</w:t>
            </w:r>
            <w:r w:rsidRPr="00EB323B">
              <w:rPr>
                <w:rFonts w:asciiTheme="minorHAnsi" w:hAnsiTheme="minorHAnsi" w:cs="Arial"/>
              </w:rPr>
              <w:t xml:space="preserve"> issued</w:t>
            </w:r>
          </w:p>
        </w:tc>
        <w:tc>
          <w:tcPr>
            <w:tcW w:w="1905" w:type="pct"/>
          </w:tcPr>
          <w:p w14:paraId="05FA6F54" w14:textId="77777777" w:rsidR="00036276" w:rsidRPr="00EB323B" w:rsidRDefault="00036276" w:rsidP="00036276">
            <w:pPr>
              <w:spacing w:before="120" w:after="120"/>
              <w:rPr>
                <w:rFonts w:asciiTheme="minorHAnsi" w:hAnsiTheme="minorHAnsi" w:cs="Arial"/>
              </w:rPr>
            </w:pPr>
            <w:r>
              <w:rPr>
                <w:rFonts w:asciiTheme="minorHAnsi" w:hAnsiTheme="minorHAnsi" w:cs="Arial"/>
              </w:rPr>
              <w:t>18 August 2017</w:t>
            </w:r>
          </w:p>
        </w:tc>
      </w:tr>
      <w:tr w:rsidR="00036276" w:rsidRPr="00EB323B" w14:paraId="721EDAD3" w14:textId="77777777" w:rsidTr="00036276">
        <w:trPr>
          <w:trHeight w:val="516"/>
        </w:trPr>
        <w:tc>
          <w:tcPr>
            <w:tcW w:w="3095" w:type="pct"/>
          </w:tcPr>
          <w:p w14:paraId="1B98A4C4" w14:textId="77777777" w:rsidR="00036276" w:rsidRPr="00EB323B" w:rsidRDefault="00036276" w:rsidP="00036276">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49F5B49E" w14:textId="77777777" w:rsidR="00036276" w:rsidRPr="00EB323B" w:rsidRDefault="00036276" w:rsidP="00036276">
            <w:pPr>
              <w:spacing w:before="120" w:after="120"/>
              <w:rPr>
                <w:rFonts w:asciiTheme="minorHAnsi" w:hAnsiTheme="minorHAnsi" w:cs="Arial"/>
              </w:rPr>
            </w:pPr>
            <w:r>
              <w:rPr>
                <w:rFonts w:asciiTheme="minorHAnsi" w:hAnsiTheme="minorHAnsi" w:cs="Arial"/>
              </w:rPr>
              <w:t>08 September 2017; 17:00 hours</w:t>
            </w:r>
          </w:p>
        </w:tc>
      </w:tr>
      <w:tr w:rsidR="00036276" w:rsidRPr="00EB323B" w14:paraId="2590BF42" w14:textId="77777777" w:rsidTr="00036276">
        <w:trPr>
          <w:trHeight w:val="280"/>
        </w:trPr>
        <w:tc>
          <w:tcPr>
            <w:tcW w:w="3095" w:type="pct"/>
          </w:tcPr>
          <w:p w14:paraId="24BDD128" w14:textId="77777777" w:rsidR="00036276" w:rsidRPr="00EB323B" w:rsidRDefault="00036276" w:rsidP="00036276">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210DB2CA" w14:textId="77777777" w:rsidR="00036276" w:rsidRPr="003B6295" w:rsidRDefault="00036276" w:rsidP="00036276">
            <w:pPr>
              <w:spacing w:before="120" w:after="120"/>
              <w:rPr>
                <w:rFonts w:asciiTheme="minorHAnsi" w:hAnsiTheme="minorHAnsi" w:cs="Arial"/>
                <w:b/>
                <w:color w:val="FF0000"/>
              </w:rPr>
            </w:pPr>
            <w:r>
              <w:rPr>
                <w:rFonts w:asciiTheme="minorHAnsi" w:hAnsiTheme="minorHAnsi" w:cs="Arial"/>
                <w:b/>
                <w:color w:val="FF0000"/>
              </w:rPr>
              <w:t>15 September 2017; 17:00 hours</w:t>
            </w:r>
          </w:p>
        </w:tc>
      </w:tr>
      <w:tr w:rsidR="00036276" w:rsidRPr="00EB323B" w14:paraId="7E8B06BE" w14:textId="77777777" w:rsidTr="00036276">
        <w:trPr>
          <w:trHeight w:val="624"/>
        </w:trPr>
        <w:tc>
          <w:tcPr>
            <w:tcW w:w="3095" w:type="pct"/>
          </w:tcPr>
          <w:p w14:paraId="3D061294" w14:textId="77777777" w:rsidR="00036276" w:rsidRPr="00EB323B" w:rsidRDefault="00036276" w:rsidP="00036276">
            <w:pPr>
              <w:tabs>
                <w:tab w:val="left" w:pos="2918"/>
              </w:tabs>
              <w:spacing w:before="120" w:after="120"/>
              <w:jc w:val="both"/>
              <w:rPr>
                <w:rFonts w:asciiTheme="minorHAnsi" w:hAnsiTheme="minorHAnsi" w:cs="Arial"/>
              </w:rPr>
            </w:pPr>
            <w:r>
              <w:rPr>
                <w:rFonts w:asciiTheme="minorHAnsi" w:hAnsiTheme="minorHAnsi" w:cs="Arial"/>
              </w:rPr>
              <w:t>Post Tender Clarification and Evaluation</w:t>
            </w:r>
          </w:p>
        </w:tc>
        <w:tc>
          <w:tcPr>
            <w:tcW w:w="1905" w:type="pct"/>
          </w:tcPr>
          <w:p w14:paraId="2D039C2C" w14:textId="77777777" w:rsidR="00036276" w:rsidRPr="00EB323B" w:rsidRDefault="00036276" w:rsidP="00036276">
            <w:pPr>
              <w:spacing w:before="120" w:after="120"/>
              <w:rPr>
                <w:rFonts w:asciiTheme="minorHAnsi" w:hAnsiTheme="minorHAnsi" w:cs="Arial"/>
              </w:rPr>
            </w:pPr>
            <w:r>
              <w:rPr>
                <w:rFonts w:asciiTheme="minorHAnsi" w:hAnsiTheme="minorHAnsi" w:cs="Arial"/>
              </w:rPr>
              <w:t>W/C 18 September 2017</w:t>
            </w:r>
          </w:p>
        </w:tc>
      </w:tr>
      <w:tr w:rsidR="00036276" w:rsidRPr="00EB323B" w14:paraId="7F4FEA02" w14:textId="77777777" w:rsidTr="00036276">
        <w:trPr>
          <w:trHeight w:val="504"/>
        </w:trPr>
        <w:tc>
          <w:tcPr>
            <w:tcW w:w="3095" w:type="pct"/>
          </w:tcPr>
          <w:p w14:paraId="368EA128" w14:textId="77777777" w:rsidR="00036276" w:rsidRPr="00EB323B" w:rsidRDefault="00036276" w:rsidP="00036276">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18C9585F" w14:textId="77777777" w:rsidR="00036276" w:rsidRPr="00EB323B" w:rsidRDefault="00036276" w:rsidP="00036276">
            <w:pPr>
              <w:spacing w:before="120" w:after="120"/>
              <w:rPr>
                <w:rFonts w:asciiTheme="minorHAnsi" w:hAnsiTheme="minorHAnsi" w:cs="Arial"/>
              </w:rPr>
            </w:pPr>
            <w:r>
              <w:rPr>
                <w:rFonts w:asciiTheme="minorHAnsi" w:hAnsiTheme="minorHAnsi" w:cs="Arial"/>
              </w:rPr>
              <w:t>W/C 02 October 2017</w:t>
            </w:r>
          </w:p>
        </w:tc>
      </w:tr>
      <w:tr w:rsidR="00036276" w:rsidRPr="00EB323B" w14:paraId="2A90C0E3" w14:textId="77777777" w:rsidTr="00036276">
        <w:trPr>
          <w:trHeight w:val="504"/>
        </w:trPr>
        <w:tc>
          <w:tcPr>
            <w:tcW w:w="3095" w:type="pct"/>
          </w:tcPr>
          <w:p w14:paraId="37D14317" w14:textId="77777777" w:rsidR="00036276" w:rsidRPr="00614E1A" w:rsidRDefault="00036276" w:rsidP="00036276">
            <w:pPr>
              <w:spacing w:before="120" w:after="120"/>
              <w:jc w:val="both"/>
              <w:rPr>
                <w:rFonts w:asciiTheme="minorHAnsi" w:hAnsiTheme="minorHAnsi" w:cs="Arial"/>
              </w:rPr>
            </w:pPr>
            <w:r w:rsidRPr="00614E1A">
              <w:rPr>
                <w:rFonts w:asciiTheme="minorHAnsi" w:hAnsiTheme="minorHAnsi" w:cs="Arial"/>
              </w:rPr>
              <w:t>Target contract commencement date</w:t>
            </w:r>
          </w:p>
        </w:tc>
        <w:tc>
          <w:tcPr>
            <w:tcW w:w="1905" w:type="pct"/>
          </w:tcPr>
          <w:p w14:paraId="7207A6A3" w14:textId="77777777" w:rsidR="00036276" w:rsidRPr="00614E1A" w:rsidRDefault="00036276" w:rsidP="00036276">
            <w:pPr>
              <w:spacing w:before="120" w:after="120"/>
              <w:rPr>
                <w:rFonts w:asciiTheme="minorHAnsi" w:hAnsiTheme="minorHAnsi" w:cs="Arial"/>
              </w:rPr>
            </w:pPr>
            <w:r w:rsidRPr="00614E1A">
              <w:rPr>
                <w:rFonts w:asciiTheme="minorHAnsi" w:hAnsiTheme="minorHAnsi" w:cs="Arial"/>
              </w:rPr>
              <w:t xml:space="preserve">w/c </w:t>
            </w:r>
            <w:r>
              <w:rPr>
                <w:rFonts w:asciiTheme="minorHAnsi" w:hAnsiTheme="minorHAnsi" w:cs="Arial"/>
              </w:rPr>
              <w:t>30 October</w:t>
            </w:r>
            <w:r w:rsidRPr="00614E1A">
              <w:rPr>
                <w:rFonts w:asciiTheme="minorHAnsi" w:hAnsiTheme="minorHAnsi" w:cs="Arial"/>
              </w:rPr>
              <w:t xml:space="preserve">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249255C2" w:rsidR="00036276" w:rsidRPr="00036276" w:rsidRDefault="000140D4" w:rsidP="00036276">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5"/>
        <w:gridCol w:w="9178"/>
        <w:gridCol w:w="3213"/>
      </w:tblGrid>
      <w:tr w:rsidR="00036276" w:rsidRPr="00442639" w14:paraId="04D36905" w14:textId="77777777" w:rsidTr="00036276">
        <w:trPr>
          <w:trHeight w:val="876"/>
          <w:tblHeader/>
        </w:trPr>
        <w:tc>
          <w:tcPr>
            <w:tcW w:w="893" w:type="pct"/>
            <w:tcBorders>
              <w:top w:val="single" w:sz="4" w:space="0" w:color="auto"/>
              <w:left w:val="single" w:sz="4" w:space="0" w:color="auto"/>
              <w:bottom w:val="single" w:sz="4" w:space="0" w:color="auto"/>
              <w:right w:val="single" w:sz="4" w:space="0" w:color="auto"/>
            </w:tcBorders>
            <w:hideMark/>
          </w:tcPr>
          <w:p w14:paraId="26485092" w14:textId="77777777" w:rsidR="00036276" w:rsidRPr="00442639" w:rsidRDefault="00036276" w:rsidP="00036276">
            <w:pPr>
              <w:spacing w:after="120" w:line="300" w:lineRule="exact"/>
              <w:jc w:val="both"/>
              <w:rPr>
                <w:rFonts w:asciiTheme="minorHAnsi" w:hAnsiTheme="minorHAnsi" w:cs="Arial"/>
                <w:b/>
                <w:sz w:val="20"/>
                <w:szCs w:val="20"/>
              </w:rPr>
            </w:pPr>
            <w:r w:rsidRPr="00442639">
              <w:rPr>
                <w:rFonts w:asciiTheme="minorHAnsi" w:hAnsiTheme="minorHAnsi" w:cs="Arial"/>
                <w:b/>
                <w:sz w:val="20"/>
                <w:szCs w:val="20"/>
              </w:rPr>
              <w:lastRenderedPageBreak/>
              <w:t>Heading</w:t>
            </w:r>
          </w:p>
        </w:tc>
        <w:tc>
          <w:tcPr>
            <w:tcW w:w="3042" w:type="pct"/>
            <w:tcBorders>
              <w:top w:val="single" w:sz="4" w:space="0" w:color="auto"/>
              <w:left w:val="single" w:sz="4" w:space="0" w:color="auto"/>
              <w:bottom w:val="single" w:sz="4" w:space="0" w:color="auto"/>
              <w:right w:val="single" w:sz="4" w:space="0" w:color="auto"/>
            </w:tcBorders>
            <w:hideMark/>
          </w:tcPr>
          <w:p w14:paraId="3F47A6EA" w14:textId="77777777" w:rsidR="00036276" w:rsidRPr="00442639" w:rsidRDefault="00036276" w:rsidP="00036276">
            <w:pPr>
              <w:spacing w:after="120" w:line="300" w:lineRule="exact"/>
              <w:rPr>
                <w:rFonts w:asciiTheme="minorHAnsi" w:hAnsiTheme="minorHAnsi" w:cs="Arial"/>
                <w:b/>
                <w:sz w:val="20"/>
                <w:szCs w:val="20"/>
              </w:rPr>
            </w:pPr>
            <w:r w:rsidRPr="00442639">
              <w:rPr>
                <w:rFonts w:asciiTheme="minorHAnsi" w:hAnsiTheme="minorHAnsi" w:cs="Arial"/>
                <w:b/>
                <w:sz w:val="20"/>
                <w:szCs w:val="20"/>
              </w:rPr>
              <w:t>Specific question(s)</w:t>
            </w:r>
          </w:p>
        </w:tc>
        <w:tc>
          <w:tcPr>
            <w:tcW w:w="1065" w:type="pct"/>
            <w:tcBorders>
              <w:top w:val="single" w:sz="4" w:space="0" w:color="auto"/>
              <w:left w:val="single" w:sz="4" w:space="0" w:color="auto"/>
              <w:bottom w:val="single" w:sz="4" w:space="0" w:color="auto"/>
              <w:right w:val="single" w:sz="4" w:space="0" w:color="auto"/>
            </w:tcBorders>
            <w:hideMark/>
          </w:tcPr>
          <w:p w14:paraId="3ADB297D" w14:textId="77777777" w:rsidR="00036276" w:rsidRPr="00442639" w:rsidRDefault="00036276" w:rsidP="00036276">
            <w:pPr>
              <w:spacing w:after="120" w:line="300" w:lineRule="exact"/>
              <w:rPr>
                <w:rFonts w:asciiTheme="minorHAnsi" w:hAnsiTheme="minorHAnsi" w:cs="Arial"/>
                <w:b/>
                <w:sz w:val="20"/>
                <w:szCs w:val="20"/>
              </w:rPr>
            </w:pPr>
            <w:r w:rsidRPr="00442639">
              <w:rPr>
                <w:rFonts w:asciiTheme="minorHAnsi" w:hAnsiTheme="minorHAnsi" w:cs="Arial"/>
                <w:b/>
                <w:sz w:val="20"/>
                <w:szCs w:val="20"/>
              </w:rPr>
              <w:t>Evaluation Criteria</w:t>
            </w:r>
          </w:p>
        </w:tc>
      </w:tr>
      <w:tr w:rsidR="00036276" w:rsidRPr="00442639" w14:paraId="6E8B05D8" w14:textId="77777777" w:rsidTr="00036276">
        <w:trPr>
          <w:trHeight w:val="724"/>
          <w:tblHeader/>
        </w:trPr>
        <w:tc>
          <w:tcPr>
            <w:tcW w:w="893" w:type="pct"/>
            <w:tcBorders>
              <w:top w:val="single" w:sz="4" w:space="0" w:color="auto"/>
              <w:left w:val="single" w:sz="4" w:space="0" w:color="auto"/>
              <w:bottom w:val="single" w:sz="4" w:space="0" w:color="auto"/>
              <w:right w:val="single" w:sz="4" w:space="0" w:color="auto"/>
            </w:tcBorders>
            <w:hideMark/>
          </w:tcPr>
          <w:p w14:paraId="3D7098AB"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b/>
                <w:sz w:val="20"/>
                <w:szCs w:val="20"/>
              </w:rPr>
              <w:t>S1</w:t>
            </w:r>
            <w:r w:rsidRPr="00442639">
              <w:rPr>
                <w:rFonts w:asciiTheme="minorHAnsi" w:hAnsiTheme="minorHAnsi" w:cs="Arial"/>
                <w:sz w:val="20"/>
                <w:szCs w:val="20"/>
              </w:rPr>
              <w:t xml:space="preserve"> Supplier’s organisational experience delivering assessments </w:t>
            </w:r>
            <w:r>
              <w:rPr>
                <w:rFonts w:asciiTheme="minorHAnsi" w:hAnsiTheme="minorHAnsi" w:cs="Arial"/>
                <w:sz w:val="20"/>
                <w:szCs w:val="20"/>
              </w:rPr>
              <w:t xml:space="preserve">of social value </w:t>
            </w:r>
            <w:r w:rsidRPr="00442639">
              <w:rPr>
                <w:rFonts w:asciiTheme="minorHAnsi" w:hAnsiTheme="minorHAnsi" w:cs="Arial"/>
                <w:sz w:val="20"/>
                <w:szCs w:val="20"/>
              </w:rPr>
              <w:t>on business and systems within an organisation/sector</w:t>
            </w:r>
            <w:r>
              <w:rPr>
                <w:rFonts w:asciiTheme="minorHAnsi" w:hAnsiTheme="minorHAnsi" w:cs="Arial"/>
                <w:sz w:val="20"/>
                <w:szCs w:val="20"/>
              </w:rPr>
              <w:t>/project</w:t>
            </w:r>
          </w:p>
        </w:tc>
        <w:tc>
          <w:tcPr>
            <w:tcW w:w="3042" w:type="pct"/>
            <w:tcBorders>
              <w:top w:val="single" w:sz="4" w:space="0" w:color="auto"/>
              <w:left w:val="single" w:sz="4" w:space="0" w:color="auto"/>
              <w:bottom w:val="single" w:sz="4" w:space="0" w:color="auto"/>
              <w:right w:val="single" w:sz="4" w:space="0" w:color="auto"/>
            </w:tcBorders>
          </w:tcPr>
          <w:p w14:paraId="239DA646"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sz w:val="20"/>
                <w:szCs w:val="20"/>
              </w:rPr>
              <w:t xml:space="preserve">The tenderer should provide a short description (in no more than </w:t>
            </w:r>
            <w:r>
              <w:rPr>
                <w:rFonts w:asciiTheme="minorHAnsi" w:hAnsiTheme="minorHAnsi" w:cs="Arial"/>
                <w:sz w:val="20"/>
                <w:szCs w:val="20"/>
              </w:rPr>
              <w:t>two</w:t>
            </w:r>
            <w:r w:rsidRPr="00442639">
              <w:rPr>
                <w:rFonts w:asciiTheme="minorHAnsi" w:hAnsiTheme="minorHAnsi" w:cs="Arial"/>
                <w:sz w:val="20"/>
                <w:szCs w:val="20"/>
              </w:rPr>
              <w:t xml:space="preserve"> pages) of at least </w:t>
            </w:r>
            <w:r>
              <w:rPr>
                <w:rFonts w:asciiTheme="minorHAnsi" w:hAnsiTheme="minorHAnsi" w:cs="Arial"/>
                <w:sz w:val="20"/>
                <w:szCs w:val="20"/>
              </w:rPr>
              <w:t>two</w:t>
            </w:r>
            <w:r w:rsidRPr="00442639">
              <w:rPr>
                <w:rFonts w:asciiTheme="minorHAnsi" w:hAnsiTheme="minorHAnsi" w:cs="Arial"/>
                <w:sz w:val="20"/>
                <w:szCs w:val="20"/>
              </w:rPr>
              <w:t xml:space="preserve"> project</w:t>
            </w:r>
            <w:r>
              <w:rPr>
                <w:rFonts w:asciiTheme="minorHAnsi" w:hAnsiTheme="minorHAnsi" w:cs="Arial"/>
                <w:sz w:val="20"/>
                <w:szCs w:val="20"/>
              </w:rPr>
              <w:t>s</w:t>
            </w:r>
            <w:r w:rsidRPr="00442639">
              <w:rPr>
                <w:rFonts w:asciiTheme="minorHAnsi" w:hAnsiTheme="minorHAnsi" w:cs="Arial"/>
                <w:sz w:val="20"/>
                <w:szCs w:val="20"/>
              </w:rPr>
              <w:t>, completed within the last three years that delivered an assessment of the social value of business and systems within an organisation/sector</w:t>
            </w:r>
            <w:r>
              <w:rPr>
                <w:rFonts w:asciiTheme="minorHAnsi" w:hAnsiTheme="minorHAnsi" w:cs="Arial"/>
                <w:sz w:val="20"/>
                <w:szCs w:val="20"/>
              </w:rPr>
              <w:t>/project</w:t>
            </w:r>
            <w:r w:rsidRPr="00442639">
              <w:rPr>
                <w:rFonts w:asciiTheme="minorHAnsi" w:hAnsiTheme="minorHAnsi" w:cs="Arial"/>
                <w:sz w:val="20"/>
                <w:szCs w:val="20"/>
              </w:rPr>
              <w:t>.</w:t>
            </w:r>
          </w:p>
        </w:tc>
        <w:tc>
          <w:tcPr>
            <w:tcW w:w="1065" w:type="pct"/>
            <w:tcBorders>
              <w:top w:val="single" w:sz="4" w:space="0" w:color="auto"/>
              <w:left w:val="single" w:sz="4" w:space="0" w:color="auto"/>
              <w:bottom w:val="single" w:sz="4" w:space="0" w:color="auto"/>
              <w:right w:val="single" w:sz="4" w:space="0" w:color="auto"/>
            </w:tcBorders>
          </w:tcPr>
          <w:p w14:paraId="72009036"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color w:val="00B050"/>
                <w:sz w:val="20"/>
                <w:szCs w:val="20"/>
              </w:rPr>
              <w:t xml:space="preserve">Pass: </w:t>
            </w:r>
            <w:r w:rsidRPr="00442639">
              <w:rPr>
                <w:rFonts w:asciiTheme="minorHAnsi" w:hAnsiTheme="minorHAnsi" w:cs="Arial"/>
                <w:sz w:val="20"/>
                <w:szCs w:val="20"/>
              </w:rPr>
              <w:t xml:space="preserve">The tenderer provides RSSB with a strong degree of confidence in its experience delivering </w:t>
            </w:r>
            <w:r>
              <w:rPr>
                <w:rFonts w:asciiTheme="minorHAnsi" w:hAnsiTheme="minorHAnsi" w:cs="Arial"/>
                <w:sz w:val="20"/>
                <w:szCs w:val="20"/>
              </w:rPr>
              <w:t>assessments of social value on</w:t>
            </w:r>
            <w:r w:rsidRPr="00442639">
              <w:rPr>
                <w:rFonts w:asciiTheme="minorHAnsi" w:hAnsiTheme="minorHAnsi" w:cs="Arial"/>
                <w:sz w:val="20"/>
                <w:szCs w:val="20"/>
              </w:rPr>
              <w:t xml:space="preserve"> business and systems within an organisation/sector</w:t>
            </w:r>
            <w:r>
              <w:rPr>
                <w:rFonts w:asciiTheme="minorHAnsi" w:hAnsiTheme="minorHAnsi" w:cs="Arial"/>
                <w:sz w:val="20"/>
                <w:szCs w:val="20"/>
              </w:rPr>
              <w:t>/project.</w:t>
            </w:r>
          </w:p>
          <w:p w14:paraId="1AA95E15"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color w:val="FF0000"/>
                <w:sz w:val="20"/>
                <w:szCs w:val="20"/>
              </w:rPr>
              <w:t xml:space="preserve">Fail: </w:t>
            </w:r>
            <w:r w:rsidRPr="00442639">
              <w:rPr>
                <w:rFonts w:asciiTheme="minorHAnsi" w:hAnsiTheme="minorHAnsi" w:cs="Arial"/>
                <w:sz w:val="20"/>
                <w:szCs w:val="20"/>
              </w:rPr>
              <w:t>The tenderer either fails to provide evidence</w:t>
            </w:r>
            <w:r>
              <w:rPr>
                <w:rFonts w:asciiTheme="minorHAnsi" w:hAnsiTheme="minorHAnsi" w:cs="Arial"/>
                <w:sz w:val="20"/>
                <w:szCs w:val="20"/>
              </w:rPr>
              <w:t xml:space="preserve"> of at least two examples</w:t>
            </w:r>
            <w:r w:rsidRPr="00442639">
              <w:rPr>
                <w:rFonts w:asciiTheme="minorHAnsi" w:hAnsiTheme="minorHAnsi" w:cs="Arial"/>
                <w:sz w:val="20"/>
                <w:szCs w:val="20"/>
              </w:rPr>
              <w:t xml:space="preserve"> or fails to provide RSSB with sufficient confidence in its experience delivering assessments </w:t>
            </w:r>
            <w:r>
              <w:rPr>
                <w:rFonts w:asciiTheme="minorHAnsi" w:hAnsiTheme="minorHAnsi" w:cs="Arial"/>
                <w:sz w:val="20"/>
                <w:szCs w:val="20"/>
              </w:rPr>
              <w:t xml:space="preserve">of social value </w:t>
            </w:r>
            <w:r w:rsidRPr="00442639">
              <w:rPr>
                <w:rFonts w:asciiTheme="minorHAnsi" w:hAnsiTheme="minorHAnsi" w:cs="Arial"/>
                <w:sz w:val="20"/>
                <w:szCs w:val="20"/>
              </w:rPr>
              <w:t>on business and systems within an organisation/sector</w:t>
            </w:r>
            <w:r>
              <w:rPr>
                <w:rFonts w:asciiTheme="minorHAnsi" w:hAnsiTheme="minorHAnsi" w:cs="Arial"/>
                <w:sz w:val="20"/>
                <w:szCs w:val="20"/>
              </w:rPr>
              <w:t>/project.</w:t>
            </w:r>
          </w:p>
        </w:tc>
      </w:tr>
      <w:tr w:rsidR="00036276" w:rsidRPr="00442639" w14:paraId="7AAF7A94" w14:textId="77777777" w:rsidTr="00036276">
        <w:trPr>
          <w:trHeight w:val="724"/>
          <w:tblHeader/>
        </w:trPr>
        <w:tc>
          <w:tcPr>
            <w:tcW w:w="893"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666C34D7"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b/>
                <w:sz w:val="20"/>
                <w:szCs w:val="20"/>
              </w:rPr>
              <w:lastRenderedPageBreak/>
              <w:t xml:space="preserve">S2 </w:t>
            </w:r>
            <w:r w:rsidRPr="00442639">
              <w:rPr>
                <w:rFonts w:asciiTheme="minorHAnsi" w:hAnsiTheme="minorHAnsi" w:cs="Arial"/>
                <w:sz w:val="20"/>
                <w:szCs w:val="20"/>
              </w:rPr>
              <w:t>Supplier’s organisational experience developing common frameworks and guidance</w:t>
            </w:r>
          </w:p>
        </w:tc>
        <w:tc>
          <w:tcPr>
            <w:tcW w:w="3042"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6034023B"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sz w:val="20"/>
                <w:szCs w:val="20"/>
              </w:rPr>
              <w:t xml:space="preserve">The tenderer should provide a short description (in no more than </w:t>
            </w:r>
            <w:r>
              <w:rPr>
                <w:rFonts w:asciiTheme="minorHAnsi" w:hAnsiTheme="minorHAnsi" w:cs="Arial"/>
                <w:sz w:val="20"/>
                <w:szCs w:val="20"/>
              </w:rPr>
              <w:t>two pages) of at least one project, completed within the last three years that</w:t>
            </w:r>
            <w:r w:rsidRPr="00442639">
              <w:rPr>
                <w:rFonts w:asciiTheme="minorHAnsi" w:hAnsiTheme="minorHAnsi" w:cs="Arial"/>
                <w:sz w:val="20"/>
                <w:szCs w:val="20"/>
              </w:rPr>
              <w:t xml:space="preserve"> involved the development of </w:t>
            </w:r>
            <w:r>
              <w:rPr>
                <w:rFonts w:asciiTheme="minorHAnsi" w:hAnsiTheme="minorHAnsi" w:cs="Arial"/>
                <w:sz w:val="20"/>
                <w:szCs w:val="20"/>
              </w:rPr>
              <w:t>a framework</w:t>
            </w:r>
            <w:r w:rsidRPr="00442639">
              <w:rPr>
                <w:rFonts w:asciiTheme="minorHAnsi" w:hAnsiTheme="minorHAnsi" w:cs="Arial"/>
                <w:sz w:val="20"/>
                <w:szCs w:val="20"/>
              </w:rPr>
              <w:t xml:space="preserve"> and associated guidance.</w:t>
            </w:r>
          </w:p>
        </w:tc>
        <w:tc>
          <w:tcPr>
            <w:tcW w:w="1065"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46468160" w14:textId="77777777" w:rsidR="00036276" w:rsidRPr="00442639" w:rsidRDefault="00036276" w:rsidP="00036276">
            <w:pPr>
              <w:spacing w:after="120" w:line="300" w:lineRule="exact"/>
              <w:rPr>
                <w:rFonts w:asciiTheme="minorHAnsi" w:hAnsiTheme="minorHAnsi" w:cs="Arial"/>
                <w:sz w:val="20"/>
                <w:szCs w:val="20"/>
              </w:rPr>
            </w:pPr>
            <w:r w:rsidRPr="00442639">
              <w:rPr>
                <w:rFonts w:asciiTheme="minorHAnsi" w:hAnsiTheme="minorHAnsi" w:cs="Arial"/>
                <w:color w:val="00B050"/>
                <w:sz w:val="20"/>
                <w:szCs w:val="20"/>
              </w:rPr>
              <w:t xml:space="preserve">Pass: </w:t>
            </w:r>
            <w:r w:rsidRPr="00442639">
              <w:rPr>
                <w:rFonts w:asciiTheme="minorHAnsi" w:hAnsiTheme="minorHAnsi" w:cs="Arial"/>
                <w:sz w:val="20"/>
                <w:szCs w:val="20"/>
              </w:rPr>
              <w:t xml:space="preserve">The tenderer provides RSSB with a strong degree of confidence in its experience developing common frameworks and associated guidance. </w:t>
            </w:r>
          </w:p>
          <w:p w14:paraId="19DE27F4" w14:textId="77777777" w:rsidR="00036276" w:rsidRPr="00442639" w:rsidRDefault="00036276" w:rsidP="00036276">
            <w:pPr>
              <w:spacing w:after="120" w:line="300" w:lineRule="exact"/>
              <w:rPr>
                <w:rFonts w:asciiTheme="minorHAnsi" w:hAnsiTheme="minorHAnsi" w:cs="Arial"/>
                <w:color w:val="00B050"/>
                <w:sz w:val="20"/>
                <w:szCs w:val="20"/>
              </w:rPr>
            </w:pPr>
            <w:r w:rsidRPr="00442639">
              <w:rPr>
                <w:rFonts w:asciiTheme="minorHAnsi" w:hAnsiTheme="minorHAnsi" w:cs="Arial"/>
                <w:color w:val="FF0000"/>
                <w:sz w:val="20"/>
                <w:szCs w:val="20"/>
              </w:rPr>
              <w:t xml:space="preserve">Fail: </w:t>
            </w:r>
            <w:r w:rsidRPr="00442639">
              <w:rPr>
                <w:rFonts w:asciiTheme="minorHAnsi" w:hAnsiTheme="minorHAnsi" w:cs="Arial"/>
                <w:sz w:val="20"/>
                <w:szCs w:val="20"/>
              </w:rPr>
              <w:t xml:space="preserve">The tenderer either fails to provide evidence </w:t>
            </w:r>
            <w:r>
              <w:rPr>
                <w:rFonts w:asciiTheme="minorHAnsi" w:hAnsiTheme="minorHAnsi" w:cs="Arial"/>
                <w:sz w:val="20"/>
                <w:szCs w:val="20"/>
              </w:rPr>
              <w:t xml:space="preserve">of at least one example </w:t>
            </w:r>
            <w:r w:rsidRPr="00442639">
              <w:rPr>
                <w:rFonts w:asciiTheme="minorHAnsi" w:hAnsiTheme="minorHAnsi" w:cs="Arial"/>
                <w:sz w:val="20"/>
                <w:szCs w:val="20"/>
              </w:rPr>
              <w:t xml:space="preserve">or fails to provide RSSB with sufficient confidence in its experience developing common frameworks and associated guidance. </w:t>
            </w:r>
          </w:p>
        </w:tc>
      </w:tr>
    </w:tbl>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58B5421E" w14:textId="178F26E9" w:rsidR="000140D4" w:rsidRDefault="000140D4" w:rsidP="00E52B87">
      <w:pPr>
        <w:pStyle w:val="Body"/>
        <w:rPr>
          <w:rFonts w:asciiTheme="minorHAnsi" w:hAnsiTheme="minorHAnsi"/>
          <w:b/>
        </w:rPr>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68"/>
        <w:gridCol w:w="3207"/>
        <w:gridCol w:w="2519"/>
        <w:gridCol w:w="819"/>
      </w:tblGrid>
      <w:tr w:rsidR="00210091" w:rsidRPr="00E2226E" w14:paraId="3F68A77E"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7018F9" w14:textId="77777777" w:rsidR="00210091" w:rsidRPr="00E2226E" w:rsidRDefault="00210091" w:rsidP="005C6A5B">
            <w:pPr>
              <w:spacing w:after="120" w:line="300" w:lineRule="exact"/>
              <w:rPr>
                <w:rFonts w:asciiTheme="minorHAnsi" w:hAnsiTheme="minorHAnsi" w:cs="Arial"/>
                <w:b/>
                <w:sz w:val="20"/>
                <w:szCs w:val="20"/>
              </w:rPr>
            </w:pPr>
            <w:r w:rsidRPr="00E2226E">
              <w:rPr>
                <w:rFonts w:asciiTheme="minorHAnsi" w:hAnsiTheme="minorHAnsi" w:cs="Arial"/>
                <w:b/>
                <w:sz w:val="20"/>
                <w:szCs w:val="20"/>
              </w:rPr>
              <w:t>Heading</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7ACAC4" w14:textId="77777777" w:rsidR="00210091" w:rsidRPr="00E2226E" w:rsidRDefault="00210091" w:rsidP="005C6A5B">
            <w:pPr>
              <w:spacing w:after="120" w:line="300" w:lineRule="exact"/>
              <w:rPr>
                <w:rFonts w:asciiTheme="minorHAnsi" w:hAnsiTheme="minorHAnsi" w:cs="Arial"/>
                <w:b/>
                <w:sz w:val="20"/>
                <w:szCs w:val="20"/>
              </w:rPr>
            </w:pPr>
            <w:r w:rsidRPr="00E2226E">
              <w:rPr>
                <w:rFonts w:asciiTheme="minorHAnsi" w:hAnsiTheme="minorHAnsi" w:cs="Arial"/>
                <w:b/>
                <w:sz w:val="20"/>
                <w:szCs w:val="20"/>
              </w:rPr>
              <w:t>Specific question(s)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C1B7E3" w14:textId="77777777" w:rsidR="00210091" w:rsidRPr="00E2226E" w:rsidRDefault="00210091" w:rsidP="005C6A5B">
            <w:pPr>
              <w:spacing w:after="120" w:line="300" w:lineRule="exact"/>
              <w:rPr>
                <w:rFonts w:asciiTheme="minorHAnsi" w:hAnsiTheme="minorHAnsi" w:cs="Arial"/>
                <w:b/>
                <w:sz w:val="20"/>
                <w:szCs w:val="20"/>
              </w:rPr>
            </w:pPr>
            <w:r w:rsidRPr="00E2226E">
              <w:rPr>
                <w:rFonts w:asciiTheme="minorHAnsi" w:hAnsiTheme="minorHAnsi" w:cs="Arial"/>
                <w:b/>
                <w:sz w:val="20"/>
                <w:szCs w:val="20"/>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B874E2" w14:textId="77777777" w:rsidR="00210091" w:rsidRPr="00E2226E" w:rsidRDefault="00210091" w:rsidP="005C6A5B">
            <w:pPr>
              <w:spacing w:after="120" w:line="300" w:lineRule="exact"/>
              <w:rPr>
                <w:rFonts w:asciiTheme="minorHAnsi" w:hAnsiTheme="minorHAnsi" w:cs="Arial"/>
                <w:b/>
                <w:sz w:val="20"/>
                <w:szCs w:val="20"/>
              </w:rPr>
            </w:pPr>
            <w:r w:rsidRPr="00E2226E">
              <w:rPr>
                <w:rFonts w:asciiTheme="minorHAnsi" w:hAnsiTheme="minorHAnsi" w:cs="Arial"/>
                <w:b/>
                <w:sz w:val="20"/>
                <w:szCs w:val="20"/>
              </w:rPr>
              <w:t xml:space="preserve">Weight </w:t>
            </w:r>
          </w:p>
        </w:tc>
      </w:tr>
      <w:tr w:rsidR="00210091" w:rsidRPr="00E2226E" w14:paraId="4E025608"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EE58C1" w14:textId="77777777" w:rsidR="00210091" w:rsidRPr="00E2226E" w:rsidRDefault="00210091" w:rsidP="005C6A5B">
            <w:pPr>
              <w:spacing w:after="120" w:line="300" w:lineRule="exact"/>
              <w:rPr>
                <w:rFonts w:asciiTheme="minorHAnsi" w:hAnsiTheme="minorHAnsi" w:cs="Arial"/>
                <w:sz w:val="20"/>
                <w:szCs w:val="20"/>
              </w:rPr>
            </w:pPr>
            <w:r w:rsidRPr="00732C9A">
              <w:rPr>
                <w:rFonts w:asciiTheme="minorHAnsi" w:hAnsiTheme="minorHAnsi" w:cs="Arial"/>
                <w:b/>
                <w:sz w:val="20"/>
                <w:szCs w:val="20"/>
              </w:rPr>
              <w:t>WA1</w:t>
            </w:r>
            <w:r w:rsidRPr="00E2226E">
              <w:rPr>
                <w:rFonts w:asciiTheme="minorHAnsi" w:hAnsiTheme="minorHAnsi" w:cs="Arial"/>
                <w:sz w:val="20"/>
                <w:szCs w:val="20"/>
              </w:rPr>
              <w:t xml:space="preserve"> </w:t>
            </w:r>
            <w:r>
              <w:rPr>
                <w:rFonts w:asciiTheme="minorHAnsi" w:hAnsiTheme="minorHAnsi" w:cs="Arial"/>
                <w:sz w:val="20"/>
                <w:szCs w:val="20"/>
              </w:rPr>
              <w:t>Supplier’s technical competence in delivering</w:t>
            </w:r>
            <w:r w:rsidRPr="00442639">
              <w:rPr>
                <w:rFonts w:asciiTheme="minorHAnsi" w:hAnsiTheme="minorHAnsi" w:cs="Arial"/>
                <w:sz w:val="20"/>
                <w:szCs w:val="20"/>
              </w:rPr>
              <w:t xml:space="preserve"> assessments </w:t>
            </w:r>
            <w:r>
              <w:rPr>
                <w:rFonts w:asciiTheme="minorHAnsi" w:hAnsiTheme="minorHAnsi" w:cs="Arial"/>
                <w:sz w:val="20"/>
                <w:szCs w:val="20"/>
              </w:rPr>
              <w:t xml:space="preserve">of social value </w:t>
            </w:r>
            <w:r w:rsidRPr="00442639">
              <w:rPr>
                <w:rFonts w:asciiTheme="minorHAnsi" w:hAnsiTheme="minorHAnsi" w:cs="Arial"/>
                <w:sz w:val="20"/>
                <w:szCs w:val="20"/>
              </w:rPr>
              <w:t>on</w:t>
            </w:r>
            <w:r>
              <w:rPr>
                <w:rFonts w:asciiTheme="minorHAnsi" w:hAnsiTheme="minorHAnsi" w:cs="Arial"/>
                <w:sz w:val="20"/>
                <w:szCs w:val="20"/>
              </w:rPr>
              <w:t xml:space="preserve"> business and systems within an </w:t>
            </w:r>
            <w:r w:rsidRPr="00442639">
              <w:rPr>
                <w:rFonts w:asciiTheme="minorHAnsi" w:hAnsiTheme="minorHAnsi" w:cs="Arial"/>
                <w:sz w:val="20"/>
                <w:szCs w:val="20"/>
              </w:rPr>
              <w:t>organisation/sector</w:t>
            </w:r>
            <w:r>
              <w:rPr>
                <w:rFonts w:asciiTheme="minorHAnsi" w:hAnsiTheme="minorHAnsi" w:cs="Arial"/>
                <w:sz w:val="20"/>
                <w:szCs w:val="20"/>
              </w:rPr>
              <w:t>/project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CFAA19"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 should provide evidence of their resource’s technical competence in delivering assessments of the social value of business and systems within an organisation/sector/project.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BD4D96"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 xml:space="preserve">The tenderer provides clear evidence (in no more than two pages) of their resource’s technical competence to deliver assessments of social value on business and systems within an organisation/sector/project. </w:t>
            </w:r>
          </w:p>
          <w:p w14:paraId="6C56386D"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tenderers response provides RSSB with a strong degree of confidence in their technical competences in delivering assessments of social value</w:t>
            </w:r>
          </w:p>
          <w:p w14:paraId="42BF8BA2"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tenderers response demonstrates that the tenderers has a high degree of quality in technical competence in delivering assessments of social value.</w:t>
            </w:r>
          </w:p>
          <w:p w14:paraId="495C9E31" w14:textId="77777777" w:rsidR="00210091" w:rsidRPr="00B03A9F" w:rsidRDefault="00210091" w:rsidP="005C6A5B">
            <w:pPr>
              <w:spacing w:after="120" w:line="300" w:lineRule="exact"/>
              <w:rPr>
                <w:rFonts w:asciiTheme="minorHAnsi" w:hAnsiTheme="minorHAnsi" w:cs="Arial"/>
                <w:sz w:val="20"/>
                <w:szCs w:val="20"/>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2D9D90"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10</w:t>
            </w:r>
            <w:r w:rsidRPr="00E2226E">
              <w:rPr>
                <w:rFonts w:asciiTheme="minorHAnsi" w:hAnsiTheme="minorHAnsi" w:cs="Arial"/>
                <w:sz w:val="20"/>
                <w:szCs w:val="20"/>
              </w:rPr>
              <w:t>%</w:t>
            </w:r>
          </w:p>
        </w:tc>
      </w:tr>
      <w:tr w:rsidR="00210091" w:rsidRPr="00E2226E" w14:paraId="59DDF9D2"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AB5E01" w14:textId="77777777" w:rsidR="00210091" w:rsidRPr="004F130E" w:rsidRDefault="00210091" w:rsidP="005C6A5B">
            <w:pPr>
              <w:spacing w:after="120" w:line="300" w:lineRule="exact"/>
              <w:rPr>
                <w:rFonts w:asciiTheme="minorHAnsi" w:hAnsiTheme="minorHAnsi" w:cs="Arial"/>
                <w:sz w:val="20"/>
                <w:szCs w:val="20"/>
              </w:rPr>
            </w:pPr>
            <w:r w:rsidRPr="00732C9A">
              <w:rPr>
                <w:rFonts w:asciiTheme="minorHAnsi" w:hAnsiTheme="minorHAnsi" w:cs="Arial"/>
                <w:b/>
                <w:sz w:val="20"/>
                <w:szCs w:val="20"/>
              </w:rPr>
              <w:t xml:space="preserve">WA2 </w:t>
            </w:r>
            <w:r>
              <w:rPr>
                <w:rFonts w:asciiTheme="minorHAnsi" w:hAnsiTheme="minorHAnsi" w:cs="Arial"/>
                <w:sz w:val="20"/>
                <w:szCs w:val="20"/>
              </w:rPr>
              <w:t xml:space="preserve">Supplier’s technical competence in </w:t>
            </w:r>
            <w:r w:rsidRPr="00442639">
              <w:rPr>
                <w:rFonts w:asciiTheme="minorHAnsi" w:hAnsiTheme="minorHAnsi" w:cs="Arial"/>
                <w:sz w:val="20"/>
                <w:szCs w:val="20"/>
              </w:rPr>
              <w:t>developing common frameworks and guidance</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421D4A"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 should provide evidence of their resource’s technical competence in developing frameworks and associated guidance.</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6A59F4"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 provides clear evidence (in no more than two pages) of their resource’s technical competence to develop common frameworks and associated guidance.</w:t>
            </w:r>
          </w:p>
          <w:p w14:paraId="6509B6B6"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The tenderers response provides RSSB with a strong degree of confidence in their resource’s technical competence in developing frameworks and associated guidance.</w:t>
            </w:r>
          </w:p>
          <w:p w14:paraId="40B3527D"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lastRenderedPageBreak/>
              <w:t>The tenderers response demonstrates that the tenderers has a high degree of quality in their resource’s technical competence in developing frameworks and associated guidance.</w:t>
            </w:r>
          </w:p>
          <w:p w14:paraId="3A704E3E" w14:textId="77777777" w:rsidR="00210091" w:rsidRDefault="00210091" w:rsidP="005C6A5B">
            <w:pPr>
              <w:spacing w:after="120" w:line="300" w:lineRule="exact"/>
              <w:rPr>
                <w:rFonts w:asciiTheme="minorHAnsi" w:hAnsiTheme="minorHAnsi" w:cs="Arial"/>
                <w:sz w:val="20"/>
                <w:szCs w:val="20"/>
              </w:rPr>
            </w:pPr>
          </w:p>
          <w:p w14:paraId="01766948" w14:textId="77777777" w:rsidR="00210091" w:rsidRPr="004F130E" w:rsidRDefault="00210091" w:rsidP="005C6A5B">
            <w:pPr>
              <w:spacing w:after="120" w:line="300" w:lineRule="exact"/>
              <w:rPr>
                <w:rFonts w:asciiTheme="minorHAnsi" w:hAnsiTheme="minorHAnsi" w:cs="Arial"/>
                <w:sz w:val="20"/>
                <w:szCs w:val="20"/>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B1B0F2"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lastRenderedPageBreak/>
              <w:t>10</w:t>
            </w:r>
            <w:r w:rsidRPr="00E2226E">
              <w:rPr>
                <w:rFonts w:asciiTheme="minorHAnsi" w:hAnsiTheme="minorHAnsi" w:cs="Arial"/>
                <w:sz w:val="20"/>
                <w:szCs w:val="20"/>
              </w:rPr>
              <w:t>%</w:t>
            </w:r>
          </w:p>
        </w:tc>
      </w:tr>
      <w:tr w:rsidR="00210091" w:rsidRPr="00E2226E" w14:paraId="23253343"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C5E4A7" w14:textId="77777777" w:rsidR="00210091" w:rsidRPr="00E2226E" w:rsidRDefault="00210091" w:rsidP="005C6A5B">
            <w:pPr>
              <w:spacing w:after="120" w:line="300" w:lineRule="exact"/>
              <w:rPr>
                <w:rFonts w:asciiTheme="minorHAnsi" w:hAnsiTheme="minorHAnsi" w:cs="Arial"/>
                <w:sz w:val="20"/>
                <w:szCs w:val="20"/>
              </w:rPr>
            </w:pPr>
            <w:r w:rsidRPr="00732C9A">
              <w:rPr>
                <w:rFonts w:asciiTheme="minorHAnsi" w:hAnsiTheme="minorHAnsi" w:cs="Arial"/>
                <w:b/>
                <w:sz w:val="20"/>
                <w:szCs w:val="20"/>
              </w:rPr>
              <w:t>WA3</w:t>
            </w:r>
            <w:r w:rsidRPr="00E2226E">
              <w:rPr>
                <w:rFonts w:asciiTheme="minorHAnsi" w:hAnsiTheme="minorHAnsi" w:cs="Arial"/>
                <w:sz w:val="20"/>
                <w:szCs w:val="20"/>
              </w:rPr>
              <w:t xml:space="preserve"> </w:t>
            </w:r>
            <w:r>
              <w:rPr>
                <w:rFonts w:asciiTheme="minorHAnsi" w:hAnsiTheme="minorHAnsi" w:cs="Arial"/>
                <w:sz w:val="20"/>
                <w:szCs w:val="20"/>
              </w:rPr>
              <w:t>Method statement – ability to meet deliverables</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E19BB5"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Tenderers should provide a method statement detailing how it is proposed to fulfil RSSB requirements as described in the specification (‘work package objectives’, ‘scope’, and ‘deliverables’).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F3BB4" w14:textId="77777777" w:rsidR="00210091" w:rsidRPr="00E2226E" w:rsidRDefault="00210091" w:rsidP="005C6A5B">
            <w:pPr>
              <w:spacing w:after="120" w:line="300" w:lineRule="exact"/>
              <w:rPr>
                <w:rFonts w:asciiTheme="minorHAnsi" w:hAnsiTheme="minorHAnsi" w:cs="Arial"/>
                <w:sz w:val="20"/>
                <w:szCs w:val="20"/>
              </w:rPr>
            </w:pPr>
            <w:r w:rsidRPr="00E2226E">
              <w:rPr>
                <w:rFonts w:asciiTheme="minorHAnsi" w:hAnsiTheme="minorHAnsi" w:cs="Arial"/>
                <w:sz w:val="20"/>
                <w:szCs w:val="20"/>
              </w:rPr>
              <w:t xml:space="preserve">The Tenderer’s response </w:t>
            </w:r>
            <w:r>
              <w:rPr>
                <w:rFonts w:asciiTheme="minorHAnsi" w:hAnsiTheme="minorHAnsi" w:cs="Arial"/>
                <w:sz w:val="20"/>
                <w:szCs w:val="20"/>
              </w:rPr>
              <w:t>(in no more than five pages):</w:t>
            </w:r>
          </w:p>
          <w:p w14:paraId="1C425723" w14:textId="77777777" w:rsidR="00210091" w:rsidRDefault="00210091" w:rsidP="00210091">
            <w:pPr>
              <w:pStyle w:val="TableBodyLeft"/>
              <w:numPr>
                <w:ilvl w:val="0"/>
                <w:numId w:val="50"/>
              </w:numPr>
              <w:tabs>
                <w:tab w:val="clear" w:pos="113"/>
              </w:tabs>
              <w:ind w:hanging="190"/>
              <w:rPr>
                <w:sz w:val="20"/>
              </w:rPr>
            </w:pPr>
            <w:r w:rsidRPr="00732C9A">
              <w:rPr>
                <w:sz w:val="20"/>
              </w:rPr>
              <w:t>Explains how they would apply their expertise to meet the specification, including how they would conduct the study;</w:t>
            </w:r>
          </w:p>
          <w:p w14:paraId="38159F2D" w14:textId="77777777" w:rsidR="00210091" w:rsidRDefault="00210091" w:rsidP="00210091">
            <w:pPr>
              <w:pStyle w:val="TableBodyLeft"/>
              <w:numPr>
                <w:ilvl w:val="0"/>
                <w:numId w:val="50"/>
              </w:numPr>
              <w:tabs>
                <w:tab w:val="clear" w:pos="113"/>
              </w:tabs>
              <w:ind w:hanging="190"/>
              <w:rPr>
                <w:sz w:val="20"/>
              </w:rPr>
            </w:pPr>
            <w:r w:rsidRPr="00703DE6">
              <w:rPr>
                <w:sz w:val="20"/>
              </w:rPr>
              <w:t>Demonstrates their understanding of the objectives and provide a coherent and systematic approach to meet these objectives.</w:t>
            </w:r>
          </w:p>
          <w:p w14:paraId="30884370" w14:textId="77777777" w:rsidR="00210091" w:rsidRDefault="00210091" w:rsidP="00210091">
            <w:pPr>
              <w:pStyle w:val="TableBodyLeft"/>
              <w:numPr>
                <w:ilvl w:val="0"/>
                <w:numId w:val="50"/>
              </w:numPr>
              <w:tabs>
                <w:tab w:val="clear" w:pos="113"/>
              </w:tabs>
              <w:ind w:hanging="190"/>
              <w:rPr>
                <w:sz w:val="20"/>
              </w:rPr>
            </w:pPr>
            <w:r>
              <w:rPr>
                <w:sz w:val="20"/>
              </w:rPr>
              <w:t>The tenderers method statement provides RSSB with a high degree of confidence in the tenderers ability to fulfil RSSB’s requirements as described in the specification.</w:t>
            </w:r>
          </w:p>
          <w:p w14:paraId="768FDB1A" w14:textId="77777777" w:rsidR="00210091" w:rsidRPr="00703DE6" w:rsidRDefault="00210091" w:rsidP="00210091">
            <w:pPr>
              <w:pStyle w:val="TableBodyLeft"/>
              <w:numPr>
                <w:ilvl w:val="0"/>
                <w:numId w:val="50"/>
              </w:numPr>
              <w:tabs>
                <w:tab w:val="clear" w:pos="113"/>
              </w:tabs>
              <w:ind w:hanging="190"/>
              <w:rPr>
                <w:sz w:val="20"/>
              </w:rPr>
            </w:pPr>
            <w:r>
              <w:rPr>
                <w:sz w:val="20"/>
              </w:rPr>
              <w:t xml:space="preserve">The tenderers proposes a high quality proposal, in terms of </w:t>
            </w:r>
            <w:r>
              <w:rPr>
                <w:rFonts w:asciiTheme="minorHAnsi" w:hAnsiTheme="minorHAnsi"/>
                <w:sz w:val="20"/>
                <w:szCs w:val="20"/>
              </w:rPr>
              <w:t>fulfilling RSSB requirements as described in the specification.</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D5763A"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t>20</w:t>
            </w:r>
            <w:r w:rsidRPr="00E2226E">
              <w:rPr>
                <w:rFonts w:asciiTheme="minorHAnsi" w:hAnsiTheme="minorHAnsi" w:cs="Arial"/>
                <w:sz w:val="20"/>
                <w:szCs w:val="20"/>
              </w:rPr>
              <w:t>%</w:t>
            </w:r>
          </w:p>
        </w:tc>
      </w:tr>
      <w:tr w:rsidR="00210091" w:rsidRPr="00E2226E" w14:paraId="7950B997"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2C60E9" w14:textId="77777777" w:rsidR="00210091" w:rsidRPr="00732C9A" w:rsidRDefault="00210091" w:rsidP="005C6A5B">
            <w:pPr>
              <w:spacing w:after="120" w:line="300" w:lineRule="exact"/>
              <w:rPr>
                <w:rFonts w:asciiTheme="minorHAnsi" w:hAnsiTheme="minorHAnsi" w:cs="Arial"/>
                <w:sz w:val="20"/>
                <w:szCs w:val="20"/>
              </w:rPr>
            </w:pPr>
            <w:r>
              <w:rPr>
                <w:rFonts w:asciiTheme="minorHAnsi" w:hAnsiTheme="minorHAnsi" w:cs="Arial"/>
                <w:b/>
                <w:sz w:val="20"/>
                <w:szCs w:val="20"/>
              </w:rPr>
              <w:t xml:space="preserve">WA4 </w:t>
            </w:r>
            <w:r>
              <w:rPr>
                <w:rFonts w:asciiTheme="minorHAnsi" w:hAnsiTheme="minorHAnsi" w:cs="Arial"/>
                <w:sz w:val="20"/>
                <w:szCs w:val="20"/>
              </w:rPr>
              <w:t xml:space="preserve">Project management: resource, quality, time and risk management </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EC719" w14:textId="77777777" w:rsidR="00210091" w:rsidRPr="00B3647E" w:rsidRDefault="00210091" w:rsidP="005C6A5B">
            <w:pPr>
              <w:pStyle w:val="TableBodyLeft"/>
              <w:rPr>
                <w:sz w:val="20"/>
              </w:rPr>
            </w:pPr>
            <w:r w:rsidRPr="00B3647E">
              <w:rPr>
                <w:sz w:val="20"/>
              </w:rPr>
              <w:t>Tenderers should outline the processes and resources it proposes to use in order to fulfil RSSB requirements.</w:t>
            </w:r>
          </w:p>
          <w:p w14:paraId="6A78FEF8" w14:textId="77777777" w:rsidR="00210091" w:rsidRPr="00B3647E" w:rsidRDefault="00210091" w:rsidP="005C6A5B">
            <w:pPr>
              <w:spacing w:after="120" w:line="300" w:lineRule="exact"/>
              <w:rPr>
                <w:rFonts w:asciiTheme="minorHAnsi" w:hAnsiTheme="minorHAnsi" w:cs="Arial"/>
                <w:sz w:val="20"/>
              </w:rPr>
            </w:pPr>
            <w:r w:rsidRPr="00B3647E">
              <w:rPr>
                <w:rFonts w:asciiTheme="minorHAnsi" w:hAnsiTheme="minorHAnsi" w:cs="Arial"/>
                <w:sz w:val="20"/>
              </w:rPr>
              <w:t>Tenderers should:</w:t>
            </w:r>
          </w:p>
          <w:p w14:paraId="3EDA57B8" w14:textId="77777777" w:rsidR="00210091" w:rsidRPr="00B3647E" w:rsidRDefault="00210091" w:rsidP="00210091">
            <w:pPr>
              <w:pStyle w:val="ListParagraph"/>
              <w:numPr>
                <w:ilvl w:val="0"/>
                <w:numId w:val="49"/>
              </w:numPr>
              <w:spacing w:after="120" w:line="300" w:lineRule="exact"/>
              <w:rPr>
                <w:rFonts w:asciiTheme="minorHAnsi" w:hAnsiTheme="minorHAnsi"/>
                <w:sz w:val="20"/>
              </w:rPr>
            </w:pPr>
            <w:r w:rsidRPr="00B3647E">
              <w:rPr>
                <w:rFonts w:asciiTheme="minorHAnsi" w:hAnsiTheme="minorHAnsi"/>
                <w:sz w:val="20"/>
              </w:rPr>
              <w:t>Clearly id</w:t>
            </w:r>
            <w:r>
              <w:rPr>
                <w:rFonts w:asciiTheme="minorHAnsi" w:hAnsiTheme="minorHAnsi"/>
                <w:sz w:val="20"/>
              </w:rPr>
              <w:t>entify each team member’s role;</w:t>
            </w:r>
          </w:p>
          <w:p w14:paraId="59640FB3" w14:textId="77777777" w:rsidR="00210091" w:rsidRPr="00B3647E" w:rsidRDefault="00210091" w:rsidP="00210091">
            <w:pPr>
              <w:pStyle w:val="ListParagraph"/>
              <w:numPr>
                <w:ilvl w:val="0"/>
                <w:numId w:val="49"/>
              </w:numPr>
              <w:spacing w:after="120" w:line="300" w:lineRule="exact"/>
              <w:rPr>
                <w:rFonts w:asciiTheme="minorHAnsi" w:hAnsiTheme="minorHAnsi"/>
                <w:sz w:val="20"/>
              </w:rPr>
            </w:pPr>
            <w:r w:rsidRPr="00B3647E">
              <w:rPr>
                <w:rFonts w:asciiTheme="minorHAnsi" w:hAnsiTheme="minorHAnsi"/>
                <w:sz w:val="20"/>
              </w:rPr>
              <w:lastRenderedPageBreak/>
              <w:t>Provide adequate allocation of appropriate resources against deliverables;</w:t>
            </w:r>
          </w:p>
          <w:p w14:paraId="6EBB2868" w14:textId="77777777" w:rsidR="00210091" w:rsidRPr="00B3647E" w:rsidRDefault="00210091" w:rsidP="00210091">
            <w:pPr>
              <w:pStyle w:val="ListParagraph"/>
              <w:numPr>
                <w:ilvl w:val="0"/>
                <w:numId w:val="49"/>
              </w:numPr>
              <w:spacing w:after="120" w:line="300" w:lineRule="exact"/>
              <w:rPr>
                <w:rFonts w:asciiTheme="minorHAnsi" w:hAnsiTheme="minorHAnsi"/>
                <w:sz w:val="20"/>
              </w:rPr>
            </w:pPr>
            <w:r w:rsidRPr="00B3647E">
              <w:rPr>
                <w:rFonts w:asciiTheme="minorHAnsi" w:hAnsiTheme="minorHAnsi"/>
                <w:sz w:val="20"/>
              </w:rPr>
              <w:t>Demonstrate how they would work with RSSB and communicate and engage with relevant industry stakeholders to ensure that the quality and content of the deliverables are fit for purpose;</w:t>
            </w:r>
          </w:p>
          <w:p w14:paraId="1D0A0A94" w14:textId="77777777" w:rsidR="00210091" w:rsidRDefault="00210091" w:rsidP="00210091">
            <w:pPr>
              <w:pStyle w:val="ListParagraph"/>
              <w:numPr>
                <w:ilvl w:val="0"/>
                <w:numId w:val="49"/>
              </w:numPr>
              <w:spacing w:after="120" w:line="300" w:lineRule="exact"/>
              <w:rPr>
                <w:rFonts w:asciiTheme="minorHAnsi" w:hAnsiTheme="minorHAnsi"/>
                <w:sz w:val="20"/>
              </w:rPr>
            </w:pPr>
            <w:r w:rsidRPr="00B3647E">
              <w:rPr>
                <w:rFonts w:asciiTheme="minorHAnsi" w:hAnsiTheme="minorHAnsi"/>
                <w:sz w:val="20"/>
              </w:rPr>
              <w:t>Explain how they would meet the critical success factors for this piece of research</w:t>
            </w:r>
            <w:r>
              <w:rPr>
                <w:rFonts w:asciiTheme="minorHAnsi" w:hAnsiTheme="minorHAnsi"/>
                <w:sz w:val="20"/>
              </w:rPr>
              <w:t>;</w:t>
            </w:r>
          </w:p>
          <w:p w14:paraId="25449FB7" w14:textId="77777777" w:rsidR="00210091" w:rsidRPr="00B3647E" w:rsidRDefault="00210091" w:rsidP="00210091">
            <w:pPr>
              <w:pStyle w:val="ListParagraph"/>
              <w:numPr>
                <w:ilvl w:val="0"/>
                <w:numId w:val="49"/>
              </w:numPr>
              <w:spacing w:after="120" w:line="300" w:lineRule="exact"/>
              <w:rPr>
                <w:rFonts w:asciiTheme="minorHAnsi" w:hAnsiTheme="minorHAnsi"/>
                <w:sz w:val="20"/>
              </w:rPr>
            </w:pPr>
            <w:r w:rsidRPr="00B3647E">
              <w:rPr>
                <w:rFonts w:asciiTheme="minorHAnsi" w:hAnsiTheme="minorHAnsi"/>
                <w:sz w:val="20"/>
              </w:rPr>
              <w:t xml:space="preserve">Demonstrate how they would manage any </w:t>
            </w:r>
            <w:r>
              <w:rPr>
                <w:rFonts w:asciiTheme="minorHAnsi" w:hAnsiTheme="minorHAnsi"/>
                <w:sz w:val="20"/>
              </w:rPr>
              <w:t xml:space="preserve">identified and </w:t>
            </w:r>
            <w:r w:rsidRPr="00B3647E">
              <w:rPr>
                <w:rFonts w:asciiTheme="minorHAnsi" w:hAnsiTheme="minorHAnsi"/>
                <w:sz w:val="20"/>
              </w:rPr>
              <w:t>unforeseen risks to delivering the project.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B0020D" w14:textId="77777777" w:rsidR="00210091"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lastRenderedPageBreak/>
              <w:t>The tenderer’s response shows (in no more than ten pages) that it:</w:t>
            </w:r>
          </w:p>
          <w:p w14:paraId="7F4B8D01" w14:textId="77777777" w:rsidR="00210091" w:rsidRPr="00703DE6" w:rsidRDefault="00210091" w:rsidP="00210091">
            <w:pPr>
              <w:numPr>
                <w:ilvl w:val="0"/>
                <w:numId w:val="42"/>
              </w:numPr>
              <w:spacing w:after="120" w:line="300" w:lineRule="exact"/>
              <w:rPr>
                <w:rFonts w:asciiTheme="minorHAnsi" w:hAnsiTheme="minorHAnsi" w:cs="Arial"/>
                <w:sz w:val="20"/>
                <w:szCs w:val="20"/>
              </w:rPr>
            </w:pPr>
            <w:r w:rsidRPr="00703DE6">
              <w:rPr>
                <w:rFonts w:asciiTheme="minorHAnsi" w:hAnsiTheme="minorHAnsi" w:cs="Arial"/>
                <w:sz w:val="20"/>
                <w:szCs w:val="20"/>
              </w:rPr>
              <w:t>Has identified relevant individuals to deliver the work;</w:t>
            </w:r>
          </w:p>
          <w:p w14:paraId="106D48DE" w14:textId="77777777" w:rsidR="00210091" w:rsidRPr="00703DE6" w:rsidRDefault="00210091" w:rsidP="00210091">
            <w:pPr>
              <w:numPr>
                <w:ilvl w:val="0"/>
                <w:numId w:val="42"/>
              </w:numPr>
              <w:spacing w:after="120" w:line="300" w:lineRule="exact"/>
              <w:rPr>
                <w:rFonts w:asciiTheme="minorHAnsi" w:hAnsiTheme="minorHAnsi" w:cs="Arial"/>
                <w:sz w:val="20"/>
                <w:szCs w:val="20"/>
              </w:rPr>
            </w:pPr>
            <w:r w:rsidRPr="00703DE6">
              <w:rPr>
                <w:rFonts w:asciiTheme="minorHAnsi" w:hAnsiTheme="minorHAnsi" w:cs="Arial"/>
                <w:sz w:val="20"/>
                <w:szCs w:val="20"/>
              </w:rPr>
              <w:lastRenderedPageBreak/>
              <w:t>Has provided a credible plan for delivering successful outcomes to time, quality and cost;</w:t>
            </w:r>
          </w:p>
          <w:p w14:paraId="4B911688" w14:textId="77777777" w:rsidR="00210091" w:rsidRPr="00703DE6" w:rsidRDefault="00210091" w:rsidP="00210091">
            <w:pPr>
              <w:numPr>
                <w:ilvl w:val="0"/>
                <w:numId w:val="42"/>
              </w:numPr>
              <w:spacing w:after="120" w:line="300" w:lineRule="exact"/>
              <w:rPr>
                <w:rFonts w:asciiTheme="minorHAnsi" w:hAnsiTheme="minorHAnsi" w:cs="Arial"/>
                <w:sz w:val="20"/>
                <w:szCs w:val="20"/>
              </w:rPr>
            </w:pPr>
            <w:r w:rsidRPr="00703DE6">
              <w:rPr>
                <w:rFonts w:asciiTheme="minorHAnsi" w:hAnsiTheme="minorHAnsi" w:cs="Arial"/>
                <w:sz w:val="20"/>
                <w:szCs w:val="20"/>
              </w:rPr>
              <w:t>Has identified appropriate ways to engage with RSSB and relevant stakeholders;</w:t>
            </w:r>
          </w:p>
          <w:p w14:paraId="181A4DDA" w14:textId="77777777" w:rsidR="00210091" w:rsidRDefault="00210091" w:rsidP="00210091">
            <w:pPr>
              <w:numPr>
                <w:ilvl w:val="0"/>
                <w:numId w:val="42"/>
              </w:numPr>
              <w:spacing w:after="120" w:line="300" w:lineRule="exact"/>
              <w:rPr>
                <w:rFonts w:asciiTheme="minorHAnsi" w:hAnsiTheme="minorHAnsi" w:cs="Arial"/>
                <w:sz w:val="20"/>
                <w:szCs w:val="20"/>
              </w:rPr>
            </w:pPr>
            <w:r w:rsidRPr="00703DE6">
              <w:rPr>
                <w:rFonts w:asciiTheme="minorHAnsi" w:hAnsiTheme="minorHAnsi" w:cs="Arial"/>
                <w:sz w:val="20"/>
                <w:szCs w:val="20"/>
              </w:rPr>
              <w:t>Has identified suitable ways to address the project’s critical success factors;</w:t>
            </w:r>
          </w:p>
          <w:p w14:paraId="442973FE" w14:textId="77777777" w:rsidR="00210091" w:rsidRPr="00703DE6" w:rsidRDefault="00210091" w:rsidP="00210091">
            <w:pPr>
              <w:numPr>
                <w:ilvl w:val="0"/>
                <w:numId w:val="42"/>
              </w:numPr>
              <w:spacing w:after="120" w:line="300" w:lineRule="exact"/>
              <w:rPr>
                <w:rFonts w:asciiTheme="minorHAnsi" w:hAnsiTheme="minorHAnsi" w:cs="Arial"/>
                <w:sz w:val="20"/>
                <w:szCs w:val="20"/>
              </w:rPr>
            </w:pPr>
            <w:r w:rsidRPr="00703DE6">
              <w:rPr>
                <w:rFonts w:asciiTheme="minorHAnsi" w:hAnsiTheme="minorHAnsi" w:cs="Arial"/>
                <w:sz w:val="20"/>
                <w:szCs w:val="20"/>
              </w:rPr>
              <w:t>Has identified risks and proposed effective management and mitigations.</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3C246" w14:textId="77777777" w:rsidR="00210091" w:rsidRPr="00E2226E" w:rsidRDefault="00210091" w:rsidP="005C6A5B">
            <w:pPr>
              <w:spacing w:after="120" w:line="300" w:lineRule="exact"/>
              <w:rPr>
                <w:rFonts w:asciiTheme="minorHAnsi" w:hAnsiTheme="minorHAnsi" w:cs="Arial"/>
                <w:sz w:val="20"/>
                <w:szCs w:val="20"/>
              </w:rPr>
            </w:pPr>
            <w:r>
              <w:rPr>
                <w:rFonts w:asciiTheme="minorHAnsi" w:hAnsiTheme="minorHAnsi" w:cs="Arial"/>
                <w:sz w:val="20"/>
                <w:szCs w:val="20"/>
              </w:rPr>
              <w:lastRenderedPageBreak/>
              <w:t>30%</w:t>
            </w:r>
          </w:p>
        </w:tc>
      </w:tr>
      <w:tr w:rsidR="00210091" w:rsidRPr="00E2226E" w14:paraId="0EFC5D5C"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ECBE9B" w14:textId="77777777" w:rsidR="00210091" w:rsidRPr="00E2226E" w:rsidRDefault="00210091" w:rsidP="005C6A5B">
            <w:pPr>
              <w:spacing w:after="120" w:line="300" w:lineRule="exact"/>
              <w:rPr>
                <w:rFonts w:asciiTheme="minorHAnsi" w:hAnsiTheme="minorHAnsi" w:cs="Arial"/>
                <w:sz w:val="20"/>
                <w:szCs w:val="20"/>
              </w:rPr>
            </w:pPr>
            <w:r w:rsidRPr="00732C9A">
              <w:rPr>
                <w:rFonts w:asciiTheme="minorHAnsi" w:hAnsiTheme="minorHAnsi" w:cs="Arial"/>
                <w:b/>
                <w:sz w:val="20"/>
                <w:szCs w:val="20"/>
              </w:rPr>
              <w:t>W</w:t>
            </w:r>
            <w:r>
              <w:rPr>
                <w:rFonts w:asciiTheme="minorHAnsi" w:hAnsiTheme="minorHAnsi" w:cs="Arial"/>
                <w:b/>
                <w:sz w:val="20"/>
                <w:szCs w:val="20"/>
              </w:rPr>
              <w:t>A5</w:t>
            </w:r>
            <w:r w:rsidRPr="00732C9A">
              <w:rPr>
                <w:rFonts w:asciiTheme="minorHAnsi" w:hAnsiTheme="minorHAnsi" w:cs="Arial"/>
                <w:b/>
                <w:sz w:val="20"/>
                <w:szCs w:val="20"/>
              </w:rPr>
              <w:t xml:space="preserve"> </w:t>
            </w:r>
            <w:r w:rsidRPr="00E2226E">
              <w:rPr>
                <w:rFonts w:asciiTheme="minorHAnsi" w:hAnsiTheme="minorHAnsi" w:cs="Arial"/>
                <w:sz w:val="20"/>
                <w:szCs w:val="20"/>
              </w:rPr>
              <w:t>Cost of project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917C1" w14:textId="77777777" w:rsidR="00210091" w:rsidRPr="005058DF" w:rsidRDefault="00210091" w:rsidP="005C6A5B">
            <w:pPr>
              <w:pStyle w:val="TableBodyLeft"/>
              <w:rPr>
                <w:sz w:val="20"/>
                <w:szCs w:val="20"/>
              </w:rPr>
            </w:pPr>
            <w:r w:rsidRPr="005058DF">
              <w:rPr>
                <w:sz w:val="20"/>
                <w:szCs w:val="20"/>
              </w:rPr>
              <w:t>Tenderers should:</w:t>
            </w:r>
          </w:p>
          <w:p w14:paraId="7DF0F99D" w14:textId="77777777" w:rsidR="00210091" w:rsidRPr="005058DF" w:rsidRDefault="00210091" w:rsidP="00210091">
            <w:pPr>
              <w:pStyle w:val="ListParagraph"/>
              <w:numPr>
                <w:ilvl w:val="0"/>
                <w:numId w:val="51"/>
              </w:numPr>
              <w:spacing w:after="120" w:line="300" w:lineRule="exact"/>
              <w:rPr>
                <w:rFonts w:asciiTheme="minorHAnsi" w:hAnsiTheme="minorHAnsi"/>
                <w:sz w:val="20"/>
                <w:szCs w:val="20"/>
              </w:rPr>
            </w:pPr>
            <w:r w:rsidRPr="005058DF">
              <w:rPr>
                <w:rFonts w:asciiTheme="minorHAnsi" w:hAnsiTheme="minorHAnsi"/>
                <w:sz w:val="20"/>
                <w:szCs w:val="20"/>
              </w:rPr>
              <w:t>Provide a fixed cost for the project and</w:t>
            </w:r>
            <w:r>
              <w:rPr>
                <w:rFonts w:asciiTheme="minorHAnsi" w:hAnsiTheme="minorHAnsi"/>
                <w:sz w:val="20"/>
                <w:szCs w:val="20"/>
              </w:rPr>
              <w:t xml:space="preserve"> the associated cost break down.</w:t>
            </w:r>
          </w:p>
          <w:p w14:paraId="20A4E636" w14:textId="77777777" w:rsidR="00210091" w:rsidRPr="002922F2" w:rsidRDefault="00210091" w:rsidP="005C6A5B">
            <w:pPr>
              <w:spacing w:after="120" w:line="300" w:lineRule="exact"/>
              <w:rPr>
                <w:rFonts w:asciiTheme="minorHAnsi" w:hAnsiTheme="minorHAnsi" w:cs="Arial"/>
              </w:rPr>
            </w:pP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067ED" w14:textId="77777777" w:rsidR="00210091" w:rsidRDefault="00210091" w:rsidP="00210091">
            <w:pPr>
              <w:pStyle w:val="ListParagraph"/>
              <w:numPr>
                <w:ilvl w:val="0"/>
                <w:numId w:val="43"/>
              </w:numPr>
              <w:spacing w:after="120" w:line="300" w:lineRule="exact"/>
              <w:rPr>
                <w:rFonts w:asciiTheme="minorHAnsi" w:hAnsiTheme="minorHAnsi"/>
                <w:sz w:val="20"/>
                <w:szCs w:val="20"/>
              </w:rPr>
            </w:pPr>
            <w:r w:rsidRPr="00E2226E">
              <w:rPr>
                <w:rFonts w:asciiTheme="minorHAnsi" w:hAnsiTheme="minorHAnsi"/>
                <w:sz w:val="20"/>
                <w:szCs w:val="20"/>
              </w:rPr>
              <w:t>The tender with the lowest total cost will receive 100% of the available weighted score (30%).</w:t>
            </w:r>
          </w:p>
          <w:p w14:paraId="033FE5CA" w14:textId="77777777" w:rsidR="00210091" w:rsidRDefault="00210091" w:rsidP="00210091">
            <w:pPr>
              <w:pStyle w:val="ListParagraph"/>
              <w:numPr>
                <w:ilvl w:val="0"/>
                <w:numId w:val="43"/>
              </w:numPr>
              <w:spacing w:after="120" w:line="300" w:lineRule="exact"/>
              <w:rPr>
                <w:rFonts w:asciiTheme="minorHAnsi" w:hAnsiTheme="minorHAnsi"/>
                <w:sz w:val="20"/>
                <w:szCs w:val="20"/>
              </w:rPr>
            </w:pPr>
            <w:r w:rsidRPr="005058DF">
              <w:rPr>
                <w:rFonts w:asciiTheme="minorHAnsi" w:hAnsiTheme="minorHAnsi"/>
                <w:sz w:val="20"/>
                <w:szCs w:val="20"/>
              </w:rPr>
              <w:t>Other Tenderer’s tenders will receive a pro-rated relative to the lowest cost according to the following formula:</w:t>
            </w:r>
          </w:p>
          <w:p w14:paraId="455F1F12" w14:textId="77777777" w:rsidR="00210091" w:rsidRPr="005058DF" w:rsidRDefault="00210091" w:rsidP="00210091">
            <w:pPr>
              <w:pStyle w:val="ListParagraph"/>
              <w:numPr>
                <w:ilvl w:val="1"/>
                <w:numId w:val="43"/>
              </w:numPr>
              <w:spacing w:after="120" w:line="300" w:lineRule="exact"/>
              <w:rPr>
                <w:rFonts w:asciiTheme="minorHAnsi" w:hAnsiTheme="minorHAnsi"/>
                <w:sz w:val="20"/>
                <w:szCs w:val="20"/>
              </w:rPr>
            </w:pPr>
            <w:r w:rsidRPr="005058DF">
              <w:rPr>
                <w:rFonts w:asciiTheme="minorHAnsi" w:hAnsiTheme="minorHAnsi"/>
                <w:sz w:val="20"/>
                <w:szCs w:val="20"/>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37C137" w14:textId="77777777" w:rsidR="00210091" w:rsidRPr="00E2226E" w:rsidRDefault="00210091" w:rsidP="005C6A5B">
            <w:pPr>
              <w:spacing w:after="120" w:line="300" w:lineRule="exact"/>
              <w:rPr>
                <w:rFonts w:asciiTheme="minorHAnsi" w:hAnsiTheme="minorHAnsi" w:cs="Arial"/>
                <w:sz w:val="20"/>
                <w:szCs w:val="20"/>
              </w:rPr>
            </w:pPr>
            <w:r w:rsidRPr="00E2226E">
              <w:rPr>
                <w:rFonts w:asciiTheme="minorHAnsi" w:hAnsiTheme="minorHAnsi" w:cs="Arial"/>
                <w:sz w:val="20"/>
                <w:szCs w:val="20"/>
              </w:rPr>
              <w:t>30%</w:t>
            </w:r>
          </w:p>
        </w:tc>
      </w:tr>
    </w:tbl>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lastRenderedPageBreak/>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bookmarkStart w:id="10" w:name="_GoBack"/>
      <w:bookmarkEnd w:id="10"/>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t>Specification</w:t>
      </w:r>
    </w:p>
    <w:p w14:paraId="2DB61CE7" w14:textId="77777777" w:rsidR="00A675E0" w:rsidRDefault="00A675E0" w:rsidP="00A675E0">
      <w:pPr>
        <w:pStyle w:val="Body"/>
      </w:pPr>
    </w:p>
    <w:p w14:paraId="0919EA80" w14:textId="77777777" w:rsidR="00210091" w:rsidRDefault="00210091" w:rsidP="00210091">
      <w:pPr>
        <w:pStyle w:val="CoverTitle"/>
      </w:pPr>
      <w:r>
        <w:t xml:space="preserve">Specification for research project </w:t>
      </w:r>
    </w:p>
    <w:p w14:paraId="4245EE04" w14:textId="77777777" w:rsidR="00210091" w:rsidRDefault="00210091" w:rsidP="00210091">
      <w:pPr>
        <w:pStyle w:val="CoverTitle"/>
        <w:rPr>
          <w:sz w:val="40"/>
          <w:szCs w:val="40"/>
        </w:rPr>
      </w:pPr>
      <w:r w:rsidRPr="00293CD5">
        <w:rPr>
          <w:sz w:val="40"/>
          <w:szCs w:val="40"/>
        </w:rPr>
        <w:t>Creating a social value measurement framework for rail</w:t>
      </w:r>
    </w:p>
    <w:p w14:paraId="0FC8EE2A" w14:textId="77777777" w:rsidR="00210091" w:rsidRPr="00142DF2" w:rsidRDefault="00210091" w:rsidP="00210091">
      <w:pPr>
        <w:pStyle w:val="CoverTitle"/>
        <w:rPr>
          <w:sz w:val="40"/>
          <w:szCs w:val="40"/>
        </w:rPr>
      </w:pPr>
      <w:r w:rsidRPr="00142DF2">
        <w:rPr>
          <w:sz w:val="40"/>
          <w:szCs w:val="40"/>
        </w:rPr>
        <w:t>T1127</w:t>
      </w:r>
      <w:r>
        <w:rPr>
          <w:sz w:val="40"/>
          <w:szCs w:val="40"/>
        </w:rPr>
        <w:t>-02 (Work package 2 of 2</w:t>
      </w:r>
      <w:r w:rsidRPr="00142DF2">
        <w:rPr>
          <w:sz w:val="40"/>
          <w:szCs w:val="40"/>
        </w:rPr>
        <w:t>)</w:t>
      </w:r>
    </w:p>
    <w:p w14:paraId="2A658B83" w14:textId="77777777" w:rsidR="00210091" w:rsidRDefault="00210091" w:rsidP="00210091">
      <w:pPr>
        <w:pStyle w:val="CoverTitle"/>
      </w:pPr>
    </w:p>
    <w:p w14:paraId="14A5FAA8" w14:textId="77777777" w:rsidR="00210091" w:rsidRDefault="00210091" w:rsidP="00210091">
      <w:pPr>
        <w:pStyle w:val="CoverTitle"/>
      </w:pPr>
    </w:p>
    <w:p w14:paraId="3E8DBF3F" w14:textId="77777777" w:rsidR="00210091" w:rsidRDefault="00210091" w:rsidP="00210091">
      <w:pPr>
        <w:pStyle w:val="CoverTitle"/>
      </w:pPr>
    </w:p>
    <w:p w14:paraId="5EEEA0E9" w14:textId="77777777" w:rsidR="00210091" w:rsidRDefault="00210091" w:rsidP="00210091">
      <w:pPr>
        <w:pStyle w:val="CoverTitle"/>
      </w:pPr>
    </w:p>
    <w:p w14:paraId="03A0005C" w14:textId="77777777" w:rsidR="00210091" w:rsidRDefault="00210091" w:rsidP="00210091">
      <w:pPr>
        <w:pStyle w:val="CoverTitle"/>
      </w:pPr>
    </w:p>
    <w:tbl>
      <w:tblPr>
        <w:tblStyle w:val="TableGrid"/>
        <w:tblW w:w="0" w:type="auto"/>
        <w:tblLook w:val="04A0" w:firstRow="1" w:lastRow="0" w:firstColumn="1" w:lastColumn="0" w:noHBand="0" w:noVBand="1"/>
      </w:tblPr>
      <w:tblGrid>
        <w:gridCol w:w="4673"/>
        <w:gridCol w:w="3253"/>
      </w:tblGrid>
      <w:tr w:rsidR="00210091" w14:paraId="3FE61D74" w14:textId="77777777" w:rsidTr="005C6A5B">
        <w:tc>
          <w:tcPr>
            <w:tcW w:w="4673" w:type="dxa"/>
          </w:tcPr>
          <w:p w14:paraId="2C3A8A9C" w14:textId="77777777" w:rsidR="00210091" w:rsidRDefault="00210091" w:rsidP="005C6A5B">
            <w:r>
              <w:t>Procurement ID number</w:t>
            </w:r>
          </w:p>
        </w:tc>
        <w:tc>
          <w:tcPr>
            <w:tcW w:w="3253" w:type="dxa"/>
          </w:tcPr>
          <w:p w14:paraId="5CE45D8F" w14:textId="77777777" w:rsidR="00210091" w:rsidRDefault="00210091" w:rsidP="005C6A5B">
            <w:r w:rsidRPr="00FE267C">
              <w:t>RSSB2630</w:t>
            </w:r>
          </w:p>
        </w:tc>
      </w:tr>
      <w:tr w:rsidR="00210091" w14:paraId="4EA851F6" w14:textId="77777777" w:rsidTr="005C6A5B">
        <w:tc>
          <w:tcPr>
            <w:tcW w:w="4673" w:type="dxa"/>
          </w:tcPr>
          <w:p w14:paraId="7A04B132" w14:textId="77777777" w:rsidR="00210091" w:rsidRDefault="00210091" w:rsidP="005C6A5B">
            <w:r>
              <w:t>Procurement Manager</w:t>
            </w:r>
          </w:p>
        </w:tc>
        <w:tc>
          <w:tcPr>
            <w:tcW w:w="3253" w:type="dxa"/>
          </w:tcPr>
          <w:p w14:paraId="210EC500" w14:textId="77777777" w:rsidR="00210091" w:rsidRDefault="00210091" w:rsidP="005C6A5B"/>
        </w:tc>
      </w:tr>
      <w:tr w:rsidR="00210091" w:rsidDel="00206FB1" w14:paraId="4F2C467B" w14:textId="77777777" w:rsidTr="005C6A5B">
        <w:tc>
          <w:tcPr>
            <w:tcW w:w="4673" w:type="dxa"/>
          </w:tcPr>
          <w:p w14:paraId="2A5D36B7" w14:textId="77777777" w:rsidR="00210091" w:rsidDel="00206FB1" w:rsidRDefault="00210091" w:rsidP="005C6A5B">
            <w:r>
              <w:t xml:space="preserve">Version </w:t>
            </w:r>
          </w:p>
        </w:tc>
        <w:tc>
          <w:tcPr>
            <w:tcW w:w="3253" w:type="dxa"/>
          </w:tcPr>
          <w:p w14:paraId="5508D6FB" w14:textId="77777777" w:rsidR="00210091" w:rsidDel="00206FB1" w:rsidRDefault="00210091" w:rsidP="005C6A5B">
            <w:r>
              <w:t>0.7</w:t>
            </w:r>
          </w:p>
        </w:tc>
      </w:tr>
      <w:tr w:rsidR="00210091" w:rsidDel="00206FB1" w14:paraId="67DDF41C" w14:textId="77777777" w:rsidTr="005C6A5B">
        <w:tc>
          <w:tcPr>
            <w:tcW w:w="4673" w:type="dxa"/>
          </w:tcPr>
          <w:p w14:paraId="7098BAB7" w14:textId="77777777" w:rsidR="00210091" w:rsidRDefault="00210091" w:rsidP="005C6A5B">
            <w:r>
              <w:t>Date</w:t>
            </w:r>
          </w:p>
        </w:tc>
        <w:tc>
          <w:tcPr>
            <w:tcW w:w="3253" w:type="dxa"/>
          </w:tcPr>
          <w:p w14:paraId="2E3FFD1C" w14:textId="77777777" w:rsidR="00210091" w:rsidDel="00206FB1" w:rsidRDefault="00210091" w:rsidP="005C6A5B">
            <w:r>
              <w:t>August 2017</w:t>
            </w:r>
          </w:p>
        </w:tc>
      </w:tr>
    </w:tbl>
    <w:p w14:paraId="48EAC750" w14:textId="77777777" w:rsidR="00210091" w:rsidRDefault="00210091" w:rsidP="00210091"/>
    <w:p w14:paraId="71ED2C8A" w14:textId="77777777" w:rsidR="00210091" w:rsidRDefault="00210091" w:rsidP="00210091">
      <w:r>
        <w:br w:type="page"/>
      </w:r>
    </w:p>
    <w:p w14:paraId="32D29A3A" w14:textId="77777777" w:rsidR="00210091" w:rsidRDefault="00210091" w:rsidP="00210091">
      <w:pPr>
        <w:pStyle w:val="Heading1"/>
        <w:keepNext/>
        <w:numPr>
          <w:ilvl w:val="0"/>
          <w:numId w:val="53"/>
        </w:numPr>
        <w:tabs>
          <w:tab w:val="num" w:pos="357"/>
        </w:tabs>
        <w:ind w:left="0" w:firstLine="0"/>
      </w:pPr>
      <w:r>
        <w:lastRenderedPageBreak/>
        <w:t>Background</w:t>
      </w:r>
    </w:p>
    <w:p w14:paraId="547372B8" w14:textId="77777777" w:rsidR="00210091" w:rsidRPr="00B32251" w:rsidRDefault="00210091" w:rsidP="00210091">
      <w:pPr>
        <w:pStyle w:val="Heading2"/>
        <w:numPr>
          <w:ilvl w:val="0"/>
          <w:numId w:val="54"/>
        </w:numPr>
        <w:tabs>
          <w:tab w:val="num" w:pos="720"/>
        </w:tabs>
        <w:ind w:left="0" w:firstLine="0"/>
      </w:pPr>
      <w:r w:rsidRPr="00B32251">
        <w:t>RSSB Overview</w:t>
      </w:r>
    </w:p>
    <w:p w14:paraId="6C04D9E7" w14:textId="77777777" w:rsidR="00210091" w:rsidRDefault="00210091" w:rsidP="00210091">
      <w:pPr>
        <w:pStyle w:val="Body"/>
      </w:pPr>
      <w:r w:rsidRPr="00F737D3">
        <w:t>RSSB</w:t>
      </w:r>
      <w:r>
        <w:t xml:space="preserve"> is a membership organisation that supports the railway industry by understanding risk, guiding standards and managing research. The rail industry in Britain is made up of many different organisations, but they all form a system and share a common purpose, to move people and freight safely and efficiently by rail. </w:t>
      </w:r>
      <w:r w:rsidRPr="00F737D3">
        <w:t>RSSB</w:t>
      </w:r>
      <w:r>
        <w:t xml:space="preserve"> brings all parts of this system together to make collective decisions, products and services, to help industry drive out unnecessary cost, improve business performance and develop long-term strategies. </w:t>
      </w:r>
    </w:p>
    <w:p w14:paraId="112863B0" w14:textId="77777777" w:rsidR="00210091" w:rsidRDefault="00210091" w:rsidP="00210091">
      <w:pPr>
        <w:pStyle w:val="Body"/>
      </w:pPr>
      <w:r w:rsidRPr="00F737D3">
        <w:t>RSSB’s</w:t>
      </w:r>
      <w:r>
        <w:t xml:space="preserve"> activities include</w:t>
      </w:r>
    </w:p>
    <w:p w14:paraId="558518A6" w14:textId="77777777" w:rsidR="00210091" w:rsidRPr="00121705" w:rsidRDefault="00210091" w:rsidP="00210091">
      <w:pPr>
        <w:pStyle w:val="Bullet1"/>
        <w:rPr>
          <w:b/>
        </w:rPr>
      </w:pPr>
      <w:r w:rsidRPr="005F5787">
        <w:rPr>
          <w:b/>
        </w:rPr>
        <w:t>Understanding risk</w:t>
      </w:r>
      <w:r w:rsidRPr="00121705">
        <w:rPr>
          <w:b/>
        </w:rPr>
        <w:t xml:space="preserve"> </w:t>
      </w:r>
      <w:r w:rsidRPr="005A2381">
        <w:t>–</w:t>
      </w:r>
      <w:r w:rsidRPr="00121705">
        <w:rPr>
          <w:b/>
        </w:rPr>
        <w:t xml:space="preserve"> </w:t>
      </w:r>
      <w:r w:rsidRPr="00121705">
        <w:t>Using safety intelligence from across the rail industry and elsewhere with the latest risk modelling to inform members and support safe decision making.</w:t>
      </w:r>
      <w:r w:rsidRPr="00121705">
        <w:rPr>
          <w:b/>
        </w:rPr>
        <w:t xml:space="preserve"> </w:t>
      </w:r>
    </w:p>
    <w:p w14:paraId="6E0F7D9B" w14:textId="77777777" w:rsidR="00210091" w:rsidRPr="005F5787" w:rsidRDefault="00210091" w:rsidP="00210091">
      <w:pPr>
        <w:pStyle w:val="Bullet1"/>
      </w:pPr>
      <w:r w:rsidRPr="005F5787">
        <w:rPr>
          <w:b/>
        </w:rPr>
        <w:t>Guiding standards</w:t>
      </w:r>
      <w:r w:rsidRPr="005F5787">
        <w:t xml:space="preserve"> – Creating, reviewing and simplifying GB standards to align with European requirements; managing the </w:t>
      </w:r>
      <w:r w:rsidRPr="005A2381">
        <w:t>Rule Book</w:t>
      </w:r>
      <w:r w:rsidRPr="005F5787">
        <w:t xml:space="preserve"> and making it easier for the railway to deliver efficiently and safely. </w:t>
      </w:r>
    </w:p>
    <w:p w14:paraId="63529353" w14:textId="77777777" w:rsidR="00210091" w:rsidRPr="005F5787" w:rsidRDefault="00210091" w:rsidP="00210091">
      <w:pPr>
        <w:pStyle w:val="Bullet1"/>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5A2381">
        <w:t>Rail Technical Strategy</w:t>
      </w:r>
      <w:r w:rsidRPr="005F5787">
        <w:t xml:space="preserve">. </w:t>
      </w:r>
    </w:p>
    <w:p w14:paraId="71EAC645" w14:textId="77777777" w:rsidR="00210091" w:rsidRPr="00110776" w:rsidRDefault="00210091" w:rsidP="00210091">
      <w:pPr>
        <w:pStyle w:val="Bullet1"/>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5A2381">
        <w:t>RISQS, RISAS</w:t>
      </w:r>
      <w:r w:rsidRPr="005F5787">
        <w:t>) to confidential reporting (</w:t>
      </w:r>
      <w:r w:rsidRPr="005A2381">
        <w:t>CIRAS</w:t>
      </w:r>
      <w:r w:rsidRPr="005F5787">
        <w:t xml:space="preserve">), from health and wellbeing strategies to sustainability principles. </w:t>
      </w:r>
      <w:r>
        <w:br/>
      </w:r>
    </w:p>
    <w:p w14:paraId="56C52D37" w14:textId="77777777" w:rsidR="00210091" w:rsidRPr="00142DF2" w:rsidRDefault="00210091" w:rsidP="00210091">
      <w:pPr>
        <w:pStyle w:val="ListParagraph"/>
        <w:numPr>
          <w:ilvl w:val="0"/>
          <w:numId w:val="17"/>
        </w:numPr>
        <w:spacing w:after="360" w:line="440" w:lineRule="exact"/>
        <w:contextualSpacing w:val="0"/>
        <w:rPr>
          <w:vanish/>
          <w:color w:val="00968E"/>
          <w:sz w:val="36"/>
        </w:rPr>
      </w:pPr>
    </w:p>
    <w:p w14:paraId="65648366" w14:textId="77777777" w:rsidR="00210091" w:rsidRDefault="00210091" w:rsidP="00210091">
      <w:pPr>
        <w:pStyle w:val="Heading2"/>
        <w:numPr>
          <w:ilvl w:val="0"/>
          <w:numId w:val="54"/>
        </w:numPr>
        <w:tabs>
          <w:tab w:val="num" w:pos="720"/>
        </w:tabs>
        <w:ind w:left="0" w:firstLine="0"/>
        <w:sectPr w:rsidR="00210091" w:rsidSect="000203F8">
          <w:headerReference w:type="even" r:id="rId19"/>
          <w:headerReference w:type="default" r:id="rId20"/>
          <w:footerReference w:type="even" r:id="rId21"/>
          <w:footerReference w:type="default" r:id="rId22"/>
          <w:headerReference w:type="first" r:id="rId23"/>
          <w:pgSz w:w="11906" w:h="16838"/>
          <w:pgMar w:top="1985" w:right="1985" w:bottom="1985" w:left="1985" w:header="941" w:footer="567" w:gutter="0"/>
          <w:cols w:space="708"/>
          <w:docGrid w:linePitch="360"/>
        </w:sectPr>
      </w:pPr>
    </w:p>
    <w:p w14:paraId="5C11D9E3" w14:textId="77777777" w:rsidR="00210091" w:rsidRPr="00293CD5" w:rsidRDefault="00210091" w:rsidP="00210091">
      <w:pPr>
        <w:pStyle w:val="Heading2"/>
        <w:numPr>
          <w:ilvl w:val="0"/>
          <w:numId w:val="54"/>
        </w:numPr>
        <w:tabs>
          <w:tab w:val="num" w:pos="720"/>
        </w:tabs>
        <w:ind w:left="0" w:firstLine="0"/>
      </w:pPr>
      <w:r w:rsidRPr="00293CD5">
        <w:lastRenderedPageBreak/>
        <w:t>Creating a social value measurement framework for rail</w:t>
      </w:r>
    </w:p>
    <w:p w14:paraId="33E0C0A4" w14:textId="77777777" w:rsidR="00210091" w:rsidRDefault="00210091" w:rsidP="00210091">
      <w:pPr>
        <w:pStyle w:val="Body"/>
      </w:pPr>
      <w:r>
        <w:t>The GB rail industry has robust means to measure the economic value of rail, however, social sustainability</w:t>
      </w:r>
      <w:r>
        <w:rPr>
          <w:rStyle w:val="FootnoteReference"/>
        </w:rPr>
        <w:footnoteReference w:id="1"/>
      </w:r>
      <w:r>
        <w:t xml:space="preserve"> still relies largely on narrative explanations and limited metrics. While there has been much progress on understanding and targeting the social value</w:t>
      </w:r>
      <w:r>
        <w:rPr>
          <w:rStyle w:val="FootnoteReference"/>
        </w:rPr>
        <w:footnoteReference w:id="2"/>
      </w:r>
      <w:r>
        <w:t xml:space="preserve"> of rail projects, the absence of a robust methodology and baseline to measure, monitor and evaluate social impacts has resulted in inconsistencies across industry and little trust in existing metrics. This has made it challenging to assess the social return on investment (SROI) within the investment optioneering, planning and delivery of the railway.</w:t>
      </w:r>
    </w:p>
    <w:p w14:paraId="504B31FD" w14:textId="77777777" w:rsidR="00210091" w:rsidRDefault="00210091" w:rsidP="00210091">
      <w:pPr>
        <w:pStyle w:val="Body"/>
      </w:pPr>
      <w:r>
        <w:t>Sustainability is becoming increasingly embedded within industry, as such, there is an increasing need to consistently and proportionally measure and monitor social impacts across the rail system. Recent examples of social impact expectations include</w:t>
      </w:r>
    </w:p>
    <w:p w14:paraId="6FC98BA7" w14:textId="77777777" w:rsidR="00210091" w:rsidRPr="007C7280" w:rsidRDefault="00210091" w:rsidP="00210091">
      <w:pPr>
        <w:pStyle w:val="Bullet1"/>
      </w:pPr>
      <w:r w:rsidRPr="007C7280">
        <w:t>South Western franchise Invitation to Tender (ITT) – Bidders required to ‘develop a dashboard of metrics for Stations or groups of Stations that … evidence improvements to ... meeting the community’s needs’</w:t>
      </w:r>
      <w:r>
        <w:t>;</w:t>
      </w:r>
    </w:p>
    <w:p w14:paraId="21FF7038" w14:textId="77777777" w:rsidR="00210091" w:rsidRPr="007C7280" w:rsidRDefault="00210091" w:rsidP="00210091">
      <w:pPr>
        <w:pStyle w:val="Bullet1"/>
      </w:pPr>
      <w:r w:rsidRPr="007C7280">
        <w:t>East M</w:t>
      </w:r>
      <w:r>
        <w:t>idlands Franchise Prospectus – F</w:t>
      </w:r>
      <w:r w:rsidRPr="007C7280">
        <w:t>ranchisee</w:t>
      </w:r>
      <w:r>
        <w:t>s ‘</w:t>
      </w:r>
      <w:r w:rsidRPr="007C7280">
        <w:t>required to proactively develop meaningful relationships with the communities the franchise serves, working with stakeholders across the region to encourage greater social inclusion’</w:t>
      </w:r>
      <w:r>
        <w:t>;</w:t>
      </w:r>
    </w:p>
    <w:p w14:paraId="5F80D335" w14:textId="77777777" w:rsidR="00210091" w:rsidRPr="007C7280" w:rsidRDefault="00210091" w:rsidP="00210091">
      <w:pPr>
        <w:pStyle w:val="Bullet1"/>
      </w:pPr>
      <w:r>
        <w:t xml:space="preserve">Thameslink and Crossrail - </w:t>
      </w:r>
      <w:r w:rsidRPr="007C7280">
        <w:t>Network Rail teams have been challenged to report on the social value delivered through the life of projects</w:t>
      </w:r>
      <w:r>
        <w:t>;</w:t>
      </w:r>
    </w:p>
    <w:p w14:paraId="6C33814D" w14:textId="77777777" w:rsidR="00210091" w:rsidRPr="007C7280" w:rsidRDefault="00210091" w:rsidP="00210091">
      <w:pPr>
        <w:pStyle w:val="Bullet1"/>
      </w:pPr>
      <w:r>
        <w:lastRenderedPageBreak/>
        <w:t>U</w:t>
      </w:r>
      <w:r w:rsidRPr="007C7280">
        <w:t>pcoming major infrastructure projects such as Crossrail 2, Brighton Main Line Upgrade</w:t>
      </w:r>
      <w:r>
        <w:t xml:space="preserve"> Programme (BMUP)</w:t>
      </w:r>
      <w:r w:rsidRPr="007C7280">
        <w:t xml:space="preserve"> and Tr</w:t>
      </w:r>
      <w:r>
        <w:t>ansPennine Route Upgrade (TRU) - R</w:t>
      </w:r>
      <w:r w:rsidRPr="007C7280">
        <w:t>equirements for clear planning on incorporation of social value within the design and delivery, including improved measurement of benefits analysis</w:t>
      </w:r>
      <w:r>
        <w:t>;</w:t>
      </w:r>
      <w:r w:rsidRPr="007C7280">
        <w:t xml:space="preserve"> </w:t>
      </w:r>
    </w:p>
    <w:p w14:paraId="0EF45A24" w14:textId="77777777" w:rsidR="00210091" w:rsidRDefault="00210091" w:rsidP="00210091">
      <w:pPr>
        <w:pStyle w:val="Bullet1"/>
      </w:pPr>
      <w:r>
        <w:t>Network Rail - S</w:t>
      </w:r>
      <w:r w:rsidRPr="007C7280">
        <w:t>etting contractor requirements around delivery of social benefits as part of the wider environment and socia</w:t>
      </w:r>
      <w:r>
        <w:t xml:space="preserve">l contract requirement updates. </w:t>
      </w:r>
      <w:r w:rsidRPr="007C7280">
        <w:t>However, measurement of benefits del</w:t>
      </w:r>
      <w:r>
        <w:t>ivered is an ongoing challenge;</w:t>
      </w:r>
    </w:p>
    <w:p w14:paraId="4F32D199" w14:textId="77777777" w:rsidR="00210091" w:rsidRDefault="00210091" w:rsidP="00210091">
      <w:pPr>
        <w:pStyle w:val="Bullet1"/>
      </w:pPr>
      <w:r>
        <w:t>Edge Hill station (Liverpool) – Network Rail challenged to report on the social value of the station’s transformation into a vibrant arts centre, with studio and performance space and offices for a local arts organisation.</w:t>
      </w:r>
    </w:p>
    <w:p w14:paraId="6B9FAF19" w14:textId="77777777" w:rsidR="00210091" w:rsidRDefault="00210091" w:rsidP="00210091">
      <w:pPr>
        <w:pStyle w:val="Body"/>
      </w:pPr>
      <w:r>
        <w:br/>
      </w:r>
      <w:r w:rsidRPr="00312E6B">
        <w:t>This project will develop a common framework and guidance to understand and measure social value impacts across GB rail industry</w:t>
      </w:r>
      <w:r>
        <w:t xml:space="preserve"> organisations, projects and programmes</w:t>
      </w:r>
      <w:r w:rsidRPr="00312E6B">
        <w:t xml:space="preserve">. The proposed outputs </w:t>
      </w:r>
      <w:r>
        <w:t>will</w:t>
      </w:r>
      <w:r w:rsidRPr="00312E6B">
        <w:t xml:space="preserve"> provide industry with greater consistency and quality assurance and support the Rail Sustainable Development Principles by enabling industry to have ‘an in-depth understanding of the issues and needs in a local area’.</w:t>
      </w:r>
      <w:r w:rsidRPr="00312E6B">
        <w:rPr>
          <w:rFonts w:ascii="Times New Roman" w:eastAsia="Calibri" w:hAnsi="Times New Roman" w:cs="Times New Roman"/>
          <w:sz w:val="24"/>
          <w:szCs w:val="24"/>
          <w:lang w:val="en-US" w:eastAsia="en-US"/>
        </w:rPr>
        <w:t xml:space="preserve"> </w:t>
      </w:r>
      <w:r w:rsidRPr="00312E6B">
        <w:rPr>
          <w:lang w:val="en-US"/>
        </w:rPr>
        <w:t xml:space="preserve">The project outputs will help inform the development of </w:t>
      </w:r>
      <w:r>
        <w:rPr>
          <w:lang w:val="en-US"/>
        </w:rPr>
        <w:t xml:space="preserve">rail </w:t>
      </w:r>
      <w:r w:rsidRPr="00312E6B">
        <w:rPr>
          <w:lang w:val="en-US"/>
        </w:rPr>
        <w:t>organisations’ social assessment tools</w:t>
      </w:r>
      <w:r>
        <w:rPr>
          <w:lang w:val="en-US"/>
        </w:rPr>
        <w:t xml:space="preserve">, enabling industry to collect metrics and set social performance goals. </w:t>
      </w:r>
      <w:r w:rsidRPr="00811BD1">
        <w:t>Successful implementation could contribute towards government’s expectations on economic and social policy, for example securing ‘wider social, economic and environmental benefits’ as outlined in the Public Services (Social Value) Act</w:t>
      </w:r>
      <w:r>
        <w:t xml:space="preserve">. </w:t>
      </w:r>
    </w:p>
    <w:p w14:paraId="680D4E16" w14:textId="77777777" w:rsidR="00210091" w:rsidRDefault="00210091" w:rsidP="00210091">
      <w:pPr>
        <w:pStyle w:val="Body"/>
      </w:pPr>
      <w:r>
        <w:t>This project is structured in two work packages as follows</w:t>
      </w:r>
    </w:p>
    <w:p w14:paraId="61799382" w14:textId="77777777" w:rsidR="00210091" w:rsidRDefault="00210091" w:rsidP="00210091">
      <w:pPr>
        <w:pStyle w:val="Body"/>
        <w:numPr>
          <w:ilvl w:val="0"/>
          <w:numId w:val="55"/>
        </w:numPr>
      </w:pPr>
      <w:r>
        <w:t>T1127-01 RSSB development costs</w:t>
      </w:r>
    </w:p>
    <w:p w14:paraId="101CC330" w14:textId="77777777" w:rsidR="00210091" w:rsidRDefault="00210091" w:rsidP="00210091">
      <w:pPr>
        <w:pStyle w:val="Body"/>
        <w:numPr>
          <w:ilvl w:val="0"/>
          <w:numId w:val="55"/>
        </w:numPr>
      </w:pPr>
      <w:r>
        <w:t xml:space="preserve">T1127-02 Development of a common framework </w:t>
      </w:r>
    </w:p>
    <w:p w14:paraId="3A78BD90" w14:textId="77777777" w:rsidR="00210091" w:rsidRPr="00063AE9" w:rsidRDefault="00210091" w:rsidP="00210091">
      <w:pPr>
        <w:pStyle w:val="Body"/>
      </w:pPr>
      <w:r>
        <w:t xml:space="preserve">T1127-01 covers the internal costs incurred by RSSB in the development of the project specification and business case. </w:t>
      </w:r>
      <w:r>
        <w:br/>
      </w:r>
    </w:p>
    <w:p w14:paraId="450D0ED6" w14:textId="77777777" w:rsidR="00210091" w:rsidRDefault="00210091" w:rsidP="00210091">
      <w:pPr>
        <w:pStyle w:val="Heading1"/>
        <w:keepNext/>
        <w:numPr>
          <w:ilvl w:val="0"/>
          <w:numId w:val="53"/>
        </w:numPr>
        <w:tabs>
          <w:tab w:val="num" w:pos="357"/>
        </w:tabs>
        <w:ind w:left="0" w:firstLine="0"/>
        <w:sectPr w:rsidR="00210091" w:rsidSect="000203F8">
          <w:pgSz w:w="11906" w:h="16838"/>
          <w:pgMar w:top="1985" w:right="1985" w:bottom="1985" w:left="1985" w:header="941" w:footer="567" w:gutter="0"/>
          <w:cols w:space="708"/>
          <w:docGrid w:linePitch="360"/>
        </w:sectPr>
      </w:pPr>
    </w:p>
    <w:p w14:paraId="20FEF332" w14:textId="77777777" w:rsidR="00210091" w:rsidRDefault="00210091" w:rsidP="00210091">
      <w:pPr>
        <w:pStyle w:val="Heading1"/>
        <w:keepNext/>
        <w:numPr>
          <w:ilvl w:val="0"/>
          <w:numId w:val="53"/>
        </w:numPr>
        <w:tabs>
          <w:tab w:val="num" w:pos="357"/>
        </w:tabs>
        <w:ind w:left="0" w:firstLine="0"/>
      </w:pPr>
      <w:r>
        <w:lastRenderedPageBreak/>
        <w:t>Work package objectives</w:t>
      </w:r>
    </w:p>
    <w:p w14:paraId="6FC49BA1" w14:textId="77777777" w:rsidR="00210091" w:rsidRDefault="00210091" w:rsidP="00210091">
      <w:pPr>
        <w:pStyle w:val="Body"/>
      </w:pPr>
      <w:r>
        <w:rPr>
          <w:lang w:val="en-US"/>
        </w:rPr>
        <w:t xml:space="preserve">This work package sets out to </w:t>
      </w:r>
      <w:r>
        <w:t>develop a common framework for understanding and measuring social value impacts across GB rail industry organisations, projects and programmes. The common framework will</w:t>
      </w:r>
    </w:p>
    <w:p w14:paraId="649360DA" w14:textId="77777777" w:rsidR="00210091" w:rsidRDefault="00210091" w:rsidP="00210091">
      <w:pPr>
        <w:pStyle w:val="Bullet1"/>
      </w:pPr>
      <w:r>
        <w:t>Build upon existing research to reduce the risk of duplicating existing work;</w:t>
      </w:r>
    </w:p>
    <w:p w14:paraId="04F784A8" w14:textId="77777777" w:rsidR="00210091" w:rsidRDefault="00210091" w:rsidP="00210091">
      <w:pPr>
        <w:pStyle w:val="Bullet1"/>
      </w:pPr>
      <w:r>
        <w:t>Be applicable across the whole life of franchises, projects and programmes;</w:t>
      </w:r>
    </w:p>
    <w:p w14:paraId="26A8E55E" w14:textId="77777777" w:rsidR="00210091" w:rsidRDefault="00210091" w:rsidP="00210091">
      <w:pPr>
        <w:pStyle w:val="Bullet1"/>
      </w:pPr>
      <w:r>
        <w:t>Be scalable and useable across the GB rail industry.</w:t>
      </w:r>
    </w:p>
    <w:p w14:paraId="387413CD" w14:textId="77777777" w:rsidR="00210091" w:rsidRDefault="00210091" w:rsidP="00210091">
      <w:pPr>
        <w:pStyle w:val="Bullet1"/>
        <w:numPr>
          <w:ilvl w:val="0"/>
          <w:numId w:val="0"/>
        </w:numPr>
      </w:pPr>
    </w:p>
    <w:p w14:paraId="58287258" w14:textId="77777777" w:rsidR="00210091" w:rsidRDefault="00210091" w:rsidP="00210091">
      <w:pPr>
        <w:pStyle w:val="Bullet1"/>
        <w:numPr>
          <w:ilvl w:val="0"/>
          <w:numId w:val="0"/>
        </w:numPr>
      </w:pPr>
      <w:r>
        <w:t>In order to achieve this aim, this work package will</w:t>
      </w:r>
    </w:p>
    <w:p w14:paraId="22B76FC4" w14:textId="77777777" w:rsidR="00210091" w:rsidRDefault="00210091" w:rsidP="00210091">
      <w:pPr>
        <w:pStyle w:val="Bullet1"/>
      </w:pPr>
      <w:r>
        <w:t>Undertake a literature review on existing frameworks to assess social value impacts, to include a mapping of</w:t>
      </w:r>
    </w:p>
    <w:p w14:paraId="724764DA" w14:textId="77777777" w:rsidR="00210091" w:rsidRDefault="00210091" w:rsidP="00210091">
      <w:pPr>
        <w:pStyle w:val="Body"/>
        <w:numPr>
          <w:ilvl w:val="0"/>
          <w:numId w:val="44"/>
        </w:numPr>
        <w:spacing w:after="60"/>
      </w:pPr>
      <w:r>
        <w:t>WebTAG</w:t>
      </w:r>
    </w:p>
    <w:p w14:paraId="37F4F74E" w14:textId="77777777" w:rsidR="00210091" w:rsidRDefault="00210091" w:rsidP="00210091">
      <w:pPr>
        <w:pStyle w:val="Body"/>
        <w:numPr>
          <w:ilvl w:val="0"/>
          <w:numId w:val="44"/>
        </w:numPr>
        <w:spacing w:after="60"/>
      </w:pPr>
      <w:r>
        <w:t>Olympic Delivery Authority (ODA) Balanced Scorecard</w:t>
      </w:r>
    </w:p>
    <w:p w14:paraId="4BC04BC5" w14:textId="77777777" w:rsidR="00210091" w:rsidRDefault="00210091" w:rsidP="00210091">
      <w:pPr>
        <w:pStyle w:val="Body"/>
        <w:numPr>
          <w:ilvl w:val="0"/>
          <w:numId w:val="44"/>
        </w:numPr>
        <w:spacing w:after="60"/>
      </w:pPr>
      <w:r>
        <w:t>Global Reporting Initiative (GRI) Index</w:t>
      </w:r>
    </w:p>
    <w:p w14:paraId="2B2795A4" w14:textId="77777777" w:rsidR="00210091" w:rsidRDefault="00210091" w:rsidP="00210091">
      <w:pPr>
        <w:pStyle w:val="Body"/>
        <w:numPr>
          <w:ilvl w:val="0"/>
          <w:numId w:val="44"/>
        </w:numPr>
        <w:spacing w:after="60"/>
      </w:pPr>
      <w:r>
        <w:t>United Nations Millennium Development Goals</w:t>
      </w:r>
    </w:p>
    <w:p w14:paraId="28A47C96" w14:textId="77777777" w:rsidR="00210091" w:rsidRDefault="00210091" w:rsidP="00210091">
      <w:pPr>
        <w:pStyle w:val="Body"/>
        <w:numPr>
          <w:ilvl w:val="0"/>
          <w:numId w:val="44"/>
        </w:numPr>
        <w:spacing w:after="60"/>
      </w:pPr>
      <w:r>
        <w:t>Crossrail Sustainability Programme</w:t>
      </w:r>
    </w:p>
    <w:p w14:paraId="494C4F52" w14:textId="77777777" w:rsidR="00210091" w:rsidRDefault="00210091" w:rsidP="00210091">
      <w:pPr>
        <w:pStyle w:val="Body"/>
        <w:numPr>
          <w:ilvl w:val="0"/>
          <w:numId w:val="44"/>
        </w:numPr>
        <w:spacing w:after="60"/>
      </w:pPr>
      <w:r>
        <w:t>T1074 Developing a sustainable stations framework</w:t>
      </w:r>
      <w:r>
        <w:rPr>
          <w:rStyle w:val="FootnoteReference"/>
        </w:rPr>
        <w:footnoteReference w:id="3"/>
      </w:r>
      <w:r>
        <w:t>;</w:t>
      </w:r>
    </w:p>
    <w:p w14:paraId="0F8BEBE9" w14:textId="77777777" w:rsidR="00210091" w:rsidRDefault="00210091" w:rsidP="00210091">
      <w:pPr>
        <w:pStyle w:val="Bullet1"/>
      </w:pPr>
      <w:r>
        <w:t>Collate and analyse social impact data (metrics) from rail and other industries;</w:t>
      </w:r>
    </w:p>
    <w:p w14:paraId="05E60B6F" w14:textId="77777777" w:rsidR="00210091" w:rsidRDefault="00210091" w:rsidP="00210091">
      <w:pPr>
        <w:pStyle w:val="Bullet1"/>
      </w:pPr>
      <w:r>
        <w:t>Review social value monetisation frameworks, tools and techniques used in other industries.</w:t>
      </w:r>
    </w:p>
    <w:p w14:paraId="6551673B" w14:textId="77777777" w:rsidR="00210091" w:rsidRDefault="00210091" w:rsidP="00210091">
      <w:pPr>
        <w:pStyle w:val="Bullet1"/>
      </w:pPr>
      <w:r>
        <w:t>Develop (and trial) a framework that includes</w:t>
      </w:r>
    </w:p>
    <w:p w14:paraId="7EF22E54" w14:textId="77777777" w:rsidR="00210091" w:rsidRDefault="00210091" w:rsidP="00210091">
      <w:pPr>
        <w:pStyle w:val="Body"/>
        <w:numPr>
          <w:ilvl w:val="0"/>
          <w:numId w:val="44"/>
        </w:numPr>
        <w:spacing w:after="60"/>
      </w:pPr>
      <w:r>
        <w:t>List of relevant metrics for rail with appropriate measures/monetisation</w:t>
      </w:r>
    </w:p>
    <w:p w14:paraId="2BE83BF0" w14:textId="77777777" w:rsidR="00210091" w:rsidRDefault="00210091" w:rsidP="00210091">
      <w:pPr>
        <w:pStyle w:val="Body"/>
        <w:numPr>
          <w:ilvl w:val="0"/>
          <w:numId w:val="44"/>
        </w:numPr>
        <w:spacing w:after="60"/>
      </w:pPr>
      <w:r>
        <w:t>Benchmarks of good practice</w:t>
      </w:r>
    </w:p>
    <w:p w14:paraId="07501D90" w14:textId="77777777" w:rsidR="00210091" w:rsidRPr="00530F87" w:rsidRDefault="00210091" w:rsidP="00210091">
      <w:pPr>
        <w:pStyle w:val="Body"/>
        <w:numPr>
          <w:ilvl w:val="0"/>
          <w:numId w:val="44"/>
        </w:numPr>
        <w:spacing w:after="60"/>
      </w:pPr>
      <w:r>
        <w:t>Guidance on decision making on metrics, implementation and measurement/monitoring</w:t>
      </w:r>
      <w:r>
        <w:br/>
      </w:r>
    </w:p>
    <w:p w14:paraId="278AD9B5" w14:textId="77777777" w:rsidR="00210091" w:rsidRDefault="00210091" w:rsidP="00210091">
      <w:pPr>
        <w:pStyle w:val="Heading1"/>
        <w:numPr>
          <w:ilvl w:val="0"/>
          <w:numId w:val="53"/>
        </w:numPr>
        <w:sectPr w:rsidR="00210091" w:rsidSect="000203F8">
          <w:pgSz w:w="11906" w:h="16838"/>
          <w:pgMar w:top="1985" w:right="1985" w:bottom="1985" w:left="1985" w:header="941" w:footer="567" w:gutter="0"/>
          <w:cols w:space="708"/>
          <w:docGrid w:linePitch="360"/>
        </w:sectPr>
      </w:pPr>
    </w:p>
    <w:p w14:paraId="14CEB7AB" w14:textId="77777777" w:rsidR="00210091" w:rsidRPr="00B90DA0" w:rsidRDefault="00210091" w:rsidP="00210091">
      <w:pPr>
        <w:pStyle w:val="Heading1"/>
        <w:numPr>
          <w:ilvl w:val="0"/>
          <w:numId w:val="53"/>
        </w:numPr>
      </w:pPr>
      <w:r>
        <w:lastRenderedPageBreak/>
        <w:t>Scope</w:t>
      </w:r>
    </w:p>
    <w:tbl>
      <w:tblPr>
        <w:tblStyle w:val="TableGrid"/>
        <w:tblW w:w="8877" w:type="dxa"/>
        <w:tblInd w:w="-289" w:type="dxa"/>
        <w:tblLook w:val="04A0" w:firstRow="1" w:lastRow="0" w:firstColumn="1" w:lastColumn="0" w:noHBand="0" w:noVBand="1"/>
      </w:tblPr>
      <w:tblGrid>
        <w:gridCol w:w="4537"/>
        <w:gridCol w:w="4340"/>
      </w:tblGrid>
      <w:tr w:rsidR="00210091" w14:paraId="45AE2686" w14:textId="77777777" w:rsidTr="005C6A5B">
        <w:tc>
          <w:tcPr>
            <w:tcW w:w="4537" w:type="dxa"/>
          </w:tcPr>
          <w:p w14:paraId="5968D677" w14:textId="77777777" w:rsidR="00210091" w:rsidRPr="007617B6" w:rsidRDefault="00210091" w:rsidP="005C6A5B">
            <w:pPr>
              <w:pStyle w:val="BodyIndent1"/>
              <w:ind w:left="0"/>
              <w:rPr>
                <w:b/>
              </w:rPr>
            </w:pPr>
            <w:r w:rsidRPr="007617B6">
              <w:rPr>
                <w:b/>
              </w:rPr>
              <w:t xml:space="preserve">In scope </w:t>
            </w:r>
          </w:p>
        </w:tc>
        <w:tc>
          <w:tcPr>
            <w:tcW w:w="4340" w:type="dxa"/>
          </w:tcPr>
          <w:p w14:paraId="25F867AD" w14:textId="77777777" w:rsidR="00210091" w:rsidRPr="007617B6" w:rsidRDefault="00210091" w:rsidP="005C6A5B">
            <w:pPr>
              <w:pStyle w:val="BodyIndent1"/>
              <w:ind w:left="0"/>
              <w:rPr>
                <w:b/>
              </w:rPr>
            </w:pPr>
            <w:r w:rsidRPr="007617B6">
              <w:rPr>
                <w:b/>
              </w:rPr>
              <w:t>Out of scope</w:t>
            </w:r>
          </w:p>
        </w:tc>
      </w:tr>
      <w:tr w:rsidR="00210091" w14:paraId="2DA7CEF1" w14:textId="77777777" w:rsidTr="005C6A5B">
        <w:tc>
          <w:tcPr>
            <w:tcW w:w="4537" w:type="dxa"/>
          </w:tcPr>
          <w:p w14:paraId="4508B1E1" w14:textId="77777777" w:rsidR="00210091" w:rsidRDefault="00210091" w:rsidP="00210091">
            <w:pPr>
              <w:pStyle w:val="Body"/>
              <w:numPr>
                <w:ilvl w:val="0"/>
                <w:numId w:val="52"/>
              </w:numPr>
              <w:spacing w:after="60"/>
              <w:ind w:left="322" w:hanging="284"/>
            </w:pPr>
            <w:r>
              <w:t>Social impact data (benefits and disbenefits) from rail and other industries, to include consideration of social benefits such as</w:t>
            </w:r>
          </w:p>
          <w:p w14:paraId="799CDE59" w14:textId="77777777" w:rsidR="00210091" w:rsidRDefault="00210091" w:rsidP="00210091">
            <w:pPr>
              <w:pStyle w:val="Body"/>
              <w:numPr>
                <w:ilvl w:val="0"/>
                <w:numId w:val="44"/>
              </w:numPr>
              <w:spacing w:after="60"/>
            </w:pPr>
            <w:r>
              <w:t>Health and wellbeing</w:t>
            </w:r>
          </w:p>
          <w:p w14:paraId="120B05D4" w14:textId="77777777" w:rsidR="00210091" w:rsidRDefault="00210091" w:rsidP="00210091">
            <w:pPr>
              <w:pStyle w:val="Body"/>
              <w:numPr>
                <w:ilvl w:val="0"/>
                <w:numId w:val="44"/>
              </w:numPr>
              <w:spacing w:after="60"/>
            </w:pPr>
            <w:r>
              <w:t>Diversity and inclusion</w:t>
            </w:r>
          </w:p>
          <w:p w14:paraId="4BEB557B" w14:textId="77777777" w:rsidR="00210091" w:rsidRDefault="00210091" w:rsidP="00210091">
            <w:pPr>
              <w:pStyle w:val="Body"/>
              <w:numPr>
                <w:ilvl w:val="0"/>
                <w:numId w:val="44"/>
              </w:numPr>
              <w:spacing w:after="60"/>
            </w:pPr>
            <w:r>
              <w:t>Community cohesion</w:t>
            </w:r>
          </w:p>
          <w:p w14:paraId="1E3B23C1" w14:textId="77777777" w:rsidR="00210091" w:rsidRDefault="00210091" w:rsidP="00210091">
            <w:pPr>
              <w:pStyle w:val="Body"/>
              <w:numPr>
                <w:ilvl w:val="0"/>
                <w:numId w:val="44"/>
              </w:numPr>
              <w:spacing w:after="60"/>
            </w:pPr>
            <w:r>
              <w:t>Community safety, including suicide prevention and anti-social behaviour</w:t>
            </w:r>
          </w:p>
          <w:p w14:paraId="5DD7754F" w14:textId="77777777" w:rsidR="00210091" w:rsidRDefault="00210091" w:rsidP="00210091">
            <w:pPr>
              <w:pStyle w:val="Body"/>
              <w:numPr>
                <w:ilvl w:val="0"/>
                <w:numId w:val="44"/>
              </w:numPr>
              <w:spacing w:after="60"/>
            </w:pPr>
            <w:r>
              <w:t>Employment and skills (including local recruitment)</w:t>
            </w:r>
          </w:p>
          <w:p w14:paraId="2DBC3B81" w14:textId="77777777" w:rsidR="00210091" w:rsidRDefault="00210091" w:rsidP="00210091">
            <w:pPr>
              <w:pStyle w:val="Body"/>
              <w:numPr>
                <w:ilvl w:val="0"/>
                <w:numId w:val="44"/>
              </w:numPr>
              <w:spacing w:after="60"/>
            </w:pPr>
            <w:r>
              <w:t>Local and sustainable procurement (including SMEs and social enterprises)</w:t>
            </w:r>
          </w:p>
          <w:p w14:paraId="29439B9B" w14:textId="77777777" w:rsidR="00210091" w:rsidRDefault="00210091" w:rsidP="00210091">
            <w:pPr>
              <w:pStyle w:val="Body"/>
              <w:numPr>
                <w:ilvl w:val="0"/>
                <w:numId w:val="44"/>
              </w:numPr>
              <w:spacing w:after="60"/>
            </w:pPr>
            <w:r>
              <w:t>Employee engagement</w:t>
            </w:r>
          </w:p>
          <w:p w14:paraId="21B557B0" w14:textId="77777777" w:rsidR="00210091" w:rsidRDefault="00210091" w:rsidP="00210091">
            <w:pPr>
              <w:pStyle w:val="Body"/>
              <w:numPr>
                <w:ilvl w:val="0"/>
                <w:numId w:val="44"/>
              </w:numPr>
              <w:spacing w:after="60"/>
            </w:pPr>
            <w:r>
              <w:t>Customer satisfaction</w:t>
            </w:r>
          </w:p>
          <w:p w14:paraId="44F1AE43" w14:textId="77777777" w:rsidR="00210091" w:rsidRDefault="00210091" w:rsidP="005C6A5B">
            <w:pPr>
              <w:pStyle w:val="Body"/>
              <w:spacing w:after="60"/>
              <w:ind w:left="720"/>
            </w:pPr>
          </w:p>
          <w:p w14:paraId="06B72A71" w14:textId="77777777" w:rsidR="00210091" w:rsidRDefault="00210091" w:rsidP="005C6A5B">
            <w:pPr>
              <w:pStyle w:val="Body"/>
              <w:spacing w:after="60"/>
              <w:ind w:left="322"/>
            </w:pPr>
            <w:r>
              <w:t>Consideration should also be given to the industry specific drivers of social value, to include (but by no means limited to)</w:t>
            </w:r>
          </w:p>
          <w:p w14:paraId="3BE3EC52" w14:textId="77777777" w:rsidR="00210091" w:rsidRDefault="00210091" w:rsidP="00210091">
            <w:pPr>
              <w:pStyle w:val="Body"/>
              <w:numPr>
                <w:ilvl w:val="0"/>
                <w:numId w:val="44"/>
              </w:numPr>
              <w:spacing w:after="60"/>
            </w:pPr>
            <w:r>
              <w:t>Accessibility (i.e. in relation to design and operations)</w:t>
            </w:r>
          </w:p>
          <w:p w14:paraId="31EDD344" w14:textId="77777777" w:rsidR="00210091" w:rsidRDefault="00210091" w:rsidP="00210091">
            <w:pPr>
              <w:pStyle w:val="Body"/>
              <w:numPr>
                <w:ilvl w:val="0"/>
                <w:numId w:val="44"/>
              </w:numPr>
              <w:spacing w:after="60"/>
            </w:pPr>
            <w:r>
              <w:t>Community use of railway assets (including rail heritage, community rail partnerships and community rail volunteering)</w:t>
            </w:r>
            <w:r>
              <w:rPr>
                <w:rStyle w:val="FootnoteReference"/>
              </w:rPr>
              <w:footnoteReference w:id="4"/>
            </w:r>
          </w:p>
          <w:p w14:paraId="0BCEAA81" w14:textId="77777777" w:rsidR="00210091" w:rsidRDefault="00210091" w:rsidP="00210091">
            <w:pPr>
              <w:pStyle w:val="Body"/>
              <w:numPr>
                <w:ilvl w:val="0"/>
                <w:numId w:val="44"/>
              </w:numPr>
              <w:spacing w:after="60"/>
            </w:pPr>
            <w:r>
              <w:t>Travel and tourism</w:t>
            </w:r>
          </w:p>
          <w:p w14:paraId="126FBF54" w14:textId="77777777" w:rsidR="00210091" w:rsidRDefault="00210091" w:rsidP="00210091">
            <w:pPr>
              <w:pStyle w:val="Body"/>
              <w:numPr>
                <w:ilvl w:val="0"/>
                <w:numId w:val="44"/>
              </w:numPr>
              <w:spacing w:after="60"/>
            </w:pPr>
            <w:r>
              <w:t>Polycentric development</w:t>
            </w:r>
          </w:p>
          <w:p w14:paraId="640BB049" w14:textId="77777777" w:rsidR="00210091" w:rsidRDefault="00210091" w:rsidP="00210091">
            <w:pPr>
              <w:pStyle w:val="Body"/>
              <w:numPr>
                <w:ilvl w:val="0"/>
                <w:numId w:val="44"/>
              </w:numPr>
              <w:spacing w:after="60"/>
            </w:pPr>
            <w:r>
              <w:t>Gentrification</w:t>
            </w:r>
            <w:r>
              <w:br/>
            </w:r>
          </w:p>
          <w:p w14:paraId="2F76D842" w14:textId="77777777" w:rsidR="00210091" w:rsidRDefault="00210091" w:rsidP="00210091">
            <w:pPr>
              <w:pStyle w:val="Body"/>
              <w:numPr>
                <w:ilvl w:val="0"/>
                <w:numId w:val="52"/>
              </w:numPr>
              <w:spacing w:after="60"/>
              <w:ind w:left="322" w:hanging="284"/>
            </w:pPr>
            <w:r w:rsidRPr="00363EFD">
              <w:t>Social value monetisation frameworks, tools and techniques used in other industries</w:t>
            </w:r>
            <w:r>
              <w:t>, to include</w:t>
            </w:r>
          </w:p>
          <w:p w14:paraId="7D53197D" w14:textId="77777777" w:rsidR="00210091" w:rsidRDefault="00210091" w:rsidP="00210091">
            <w:pPr>
              <w:pStyle w:val="Body"/>
              <w:numPr>
                <w:ilvl w:val="0"/>
                <w:numId w:val="44"/>
              </w:numPr>
              <w:spacing w:after="60"/>
            </w:pPr>
            <w:r>
              <w:lastRenderedPageBreak/>
              <w:t>Housing Associations' Charitable Trust (HACT) Social Value Calculator</w:t>
            </w:r>
          </w:p>
          <w:p w14:paraId="7805D57B" w14:textId="77777777" w:rsidR="00210091" w:rsidRDefault="00210091" w:rsidP="00210091">
            <w:pPr>
              <w:pStyle w:val="Body"/>
              <w:numPr>
                <w:ilvl w:val="0"/>
                <w:numId w:val="44"/>
              </w:numPr>
              <w:spacing w:after="60"/>
            </w:pPr>
            <w:r>
              <w:t>Differentiation between construction and operational phases (regeneration benefits)</w:t>
            </w:r>
          </w:p>
          <w:p w14:paraId="12DBC04E" w14:textId="77777777" w:rsidR="00210091" w:rsidRDefault="00210091" w:rsidP="00210091">
            <w:pPr>
              <w:pStyle w:val="Body"/>
              <w:numPr>
                <w:ilvl w:val="0"/>
                <w:numId w:val="44"/>
              </w:numPr>
              <w:spacing w:after="60"/>
            </w:pPr>
            <w:r>
              <w:t>Standardisation of quantitative values (including weighting factors)</w:t>
            </w:r>
          </w:p>
          <w:p w14:paraId="136D241D" w14:textId="77777777" w:rsidR="00210091" w:rsidRDefault="00210091" w:rsidP="005C6A5B">
            <w:pPr>
              <w:pStyle w:val="Body"/>
              <w:spacing w:after="60"/>
            </w:pPr>
          </w:p>
          <w:p w14:paraId="5D0F33B7" w14:textId="77777777" w:rsidR="00210091" w:rsidRDefault="00210091" w:rsidP="00210091">
            <w:pPr>
              <w:pStyle w:val="Body"/>
              <w:numPr>
                <w:ilvl w:val="0"/>
                <w:numId w:val="52"/>
              </w:numPr>
              <w:spacing w:after="60"/>
              <w:ind w:left="322" w:hanging="284"/>
            </w:pPr>
            <w:r>
              <w:t>Scalability (to account for geographical/regional, project/programme, organisation and stakeholder types)</w:t>
            </w:r>
          </w:p>
          <w:p w14:paraId="2B3FE2C0" w14:textId="77777777" w:rsidR="00210091" w:rsidRDefault="00210091" w:rsidP="00210091">
            <w:pPr>
              <w:pStyle w:val="Body"/>
              <w:numPr>
                <w:ilvl w:val="0"/>
                <w:numId w:val="44"/>
              </w:numPr>
              <w:spacing w:after="60"/>
            </w:pPr>
            <w:r>
              <w:t>To include Index of Multiple Deprivation</w:t>
            </w:r>
          </w:p>
          <w:p w14:paraId="4CEAAF79" w14:textId="77777777" w:rsidR="00210091" w:rsidRDefault="00210091" w:rsidP="005C6A5B">
            <w:pPr>
              <w:pStyle w:val="Body"/>
              <w:spacing w:after="60"/>
            </w:pPr>
          </w:p>
          <w:p w14:paraId="625A98FC" w14:textId="77777777" w:rsidR="00210091" w:rsidRPr="004F1EE1" w:rsidRDefault="00210091" w:rsidP="00210091">
            <w:pPr>
              <w:pStyle w:val="Body"/>
              <w:numPr>
                <w:ilvl w:val="0"/>
                <w:numId w:val="52"/>
              </w:numPr>
              <w:spacing w:after="60"/>
              <w:ind w:left="322" w:hanging="284"/>
            </w:pPr>
            <w:r w:rsidRPr="004F1EE1">
              <w:t xml:space="preserve">Qualitative factors (to ensure that </w:t>
            </w:r>
            <w:r>
              <w:t>the</w:t>
            </w:r>
            <w:r w:rsidRPr="004F1EE1">
              <w:t xml:space="preserve"> framework is not quantitatively dominant)</w:t>
            </w:r>
            <w:r>
              <w:br/>
            </w:r>
          </w:p>
          <w:p w14:paraId="48ABE831" w14:textId="77777777" w:rsidR="00210091" w:rsidRPr="004F1EE1" w:rsidRDefault="00210091" w:rsidP="00210091">
            <w:pPr>
              <w:pStyle w:val="Body"/>
              <w:numPr>
                <w:ilvl w:val="0"/>
                <w:numId w:val="52"/>
              </w:numPr>
              <w:spacing w:after="60"/>
              <w:ind w:left="322" w:hanging="284"/>
            </w:pPr>
            <w:r w:rsidRPr="004F1EE1">
              <w:t xml:space="preserve">Assessment of benefits timeframe (i.e. </w:t>
            </w:r>
            <w:r>
              <w:t>to assess at</w:t>
            </w:r>
            <w:r w:rsidRPr="004F1EE1">
              <w:t xml:space="preserve"> </w:t>
            </w:r>
            <w:r>
              <w:t>what point social benefits are transferred</w:t>
            </w:r>
            <w:r w:rsidRPr="004F1EE1">
              <w:t>)</w:t>
            </w:r>
            <w:r>
              <w:br/>
            </w:r>
          </w:p>
          <w:p w14:paraId="05F7882E" w14:textId="77777777" w:rsidR="00210091" w:rsidRPr="004F1EE1" w:rsidRDefault="00210091" w:rsidP="00210091">
            <w:pPr>
              <w:pStyle w:val="Body"/>
              <w:numPr>
                <w:ilvl w:val="0"/>
                <w:numId w:val="52"/>
              </w:numPr>
              <w:spacing w:after="60"/>
              <w:ind w:left="322" w:hanging="284"/>
            </w:pPr>
            <w:r w:rsidRPr="004F1EE1">
              <w:t xml:space="preserve">Additionality/deadweight (to reduce risk of double counting </w:t>
            </w:r>
            <w:r>
              <w:t xml:space="preserve">of </w:t>
            </w:r>
            <w:r w:rsidRPr="004F1EE1">
              <w:t>benefits)</w:t>
            </w:r>
            <w:r>
              <w:br/>
            </w:r>
          </w:p>
          <w:p w14:paraId="0430012A" w14:textId="77777777" w:rsidR="00210091" w:rsidRPr="004F1EE1" w:rsidRDefault="00210091" w:rsidP="00210091">
            <w:pPr>
              <w:pStyle w:val="Body"/>
              <w:numPr>
                <w:ilvl w:val="0"/>
                <w:numId w:val="52"/>
              </w:numPr>
              <w:spacing w:after="60"/>
              <w:ind w:left="322" w:hanging="284"/>
            </w:pPr>
            <w:r w:rsidRPr="004F1EE1">
              <w:t xml:space="preserve">Regeneration </w:t>
            </w:r>
            <w:r>
              <w:t>of</w:t>
            </w:r>
            <w:r w:rsidRPr="004F1EE1">
              <w:t xml:space="preserve"> local areas (e.g. </w:t>
            </w:r>
            <w:r>
              <w:t>the influence of train stations</w:t>
            </w:r>
            <w:r w:rsidRPr="004F1EE1">
              <w:t xml:space="preserve"> on town centres)</w:t>
            </w:r>
            <w:r>
              <w:br/>
            </w:r>
          </w:p>
          <w:p w14:paraId="40A9616E" w14:textId="77777777" w:rsidR="00210091" w:rsidRPr="004E0FFB" w:rsidRDefault="00210091" w:rsidP="00210091">
            <w:pPr>
              <w:pStyle w:val="Body"/>
              <w:numPr>
                <w:ilvl w:val="0"/>
                <w:numId w:val="52"/>
              </w:numPr>
              <w:spacing w:after="60"/>
              <w:ind w:left="322" w:hanging="284"/>
            </w:pPr>
            <w:r w:rsidRPr="004F1EE1">
              <w:t>Alignment of soc</w:t>
            </w:r>
            <w:r>
              <w:t xml:space="preserve">ial benefits with local government policy </w:t>
            </w:r>
            <w:r w:rsidRPr="004F1EE1">
              <w:t>(e.g</w:t>
            </w:r>
            <w:r>
              <w:t>. Section 106)</w:t>
            </w:r>
          </w:p>
        </w:tc>
        <w:tc>
          <w:tcPr>
            <w:tcW w:w="4340" w:type="dxa"/>
          </w:tcPr>
          <w:p w14:paraId="3D0B8324" w14:textId="77777777" w:rsidR="00210091" w:rsidRDefault="00210091" w:rsidP="00210091">
            <w:pPr>
              <w:pStyle w:val="Body"/>
              <w:numPr>
                <w:ilvl w:val="0"/>
                <w:numId w:val="52"/>
              </w:numPr>
              <w:spacing w:after="60"/>
              <w:ind w:left="322" w:hanging="284"/>
            </w:pPr>
            <w:r>
              <w:lastRenderedPageBreak/>
              <w:t>Development of a social assessment tool with common monetisation methodology (noting that organisations may develop their own)</w:t>
            </w:r>
            <w:r>
              <w:br/>
            </w:r>
          </w:p>
          <w:p w14:paraId="7DB2CF2C" w14:textId="77777777" w:rsidR="00210091" w:rsidRDefault="00210091" w:rsidP="00210091">
            <w:pPr>
              <w:pStyle w:val="Body"/>
              <w:numPr>
                <w:ilvl w:val="0"/>
                <w:numId w:val="52"/>
              </w:numPr>
              <w:spacing w:after="60"/>
              <w:ind w:left="322" w:hanging="284"/>
            </w:pPr>
            <w:r>
              <w:t>Proposal of targets and indicators of progress for the GB rail industry to measure and understand its social impact/value as a system</w:t>
            </w:r>
            <w:r>
              <w:br/>
            </w:r>
          </w:p>
          <w:p w14:paraId="4FC2B5AE" w14:textId="77777777" w:rsidR="00210091" w:rsidRDefault="00210091" w:rsidP="00210091">
            <w:pPr>
              <w:pStyle w:val="Body"/>
              <w:numPr>
                <w:ilvl w:val="0"/>
                <w:numId w:val="52"/>
              </w:numPr>
              <w:spacing w:after="60"/>
              <w:ind w:left="322" w:hanging="284"/>
            </w:pPr>
            <w:r>
              <w:t>Quantifying the total socio-economic impact of rail on Great Britain</w:t>
            </w:r>
            <w:r>
              <w:br/>
            </w:r>
          </w:p>
          <w:p w14:paraId="7BC0C739" w14:textId="77777777" w:rsidR="00210091" w:rsidRDefault="00210091" w:rsidP="00210091">
            <w:pPr>
              <w:pStyle w:val="Body"/>
              <w:numPr>
                <w:ilvl w:val="0"/>
                <w:numId w:val="52"/>
              </w:numPr>
              <w:spacing w:after="60"/>
              <w:ind w:left="322" w:hanging="284"/>
            </w:pPr>
            <w:r>
              <w:t>Environmental sustainability/natural impact (carbon impact, etc.)</w:t>
            </w:r>
          </w:p>
        </w:tc>
      </w:tr>
    </w:tbl>
    <w:p w14:paraId="19BAC97F" w14:textId="77777777" w:rsidR="00210091" w:rsidRDefault="00210091" w:rsidP="00210091"/>
    <w:p w14:paraId="2DD0CDBA" w14:textId="77777777" w:rsidR="00210091" w:rsidRDefault="00210091" w:rsidP="00210091"/>
    <w:p w14:paraId="3E712213" w14:textId="77777777" w:rsidR="00210091" w:rsidRDefault="00210091" w:rsidP="00210091">
      <w:pPr>
        <w:pStyle w:val="Heading1"/>
        <w:keepNext/>
        <w:numPr>
          <w:ilvl w:val="0"/>
          <w:numId w:val="53"/>
        </w:numPr>
        <w:tabs>
          <w:tab w:val="num" w:pos="357"/>
        </w:tabs>
        <w:ind w:left="0" w:firstLine="0"/>
      </w:pPr>
      <w:r>
        <w:t xml:space="preserve">Methodology </w:t>
      </w:r>
    </w:p>
    <w:p w14:paraId="15351403" w14:textId="77777777" w:rsidR="00210091" w:rsidRPr="00A53EA0" w:rsidRDefault="00210091" w:rsidP="00210091">
      <w:pPr>
        <w:rPr>
          <w:rFonts w:cs="Arial"/>
          <w:lang w:eastAsia="en-GB"/>
        </w:rPr>
      </w:pPr>
      <w:r w:rsidRPr="00A53EA0">
        <w:rPr>
          <w:rFonts w:cs="Arial"/>
          <w:lang w:eastAsia="en-GB"/>
        </w:rPr>
        <w:t xml:space="preserve">Suppliers are </w:t>
      </w:r>
      <w:r>
        <w:rPr>
          <w:rFonts w:cs="Arial"/>
          <w:lang w:eastAsia="en-GB"/>
        </w:rPr>
        <w:t>expected to explain the methodology that they are intending to use to successful meet the project objectives and cover the scope.</w:t>
      </w:r>
      <w:r>
        <w:rPr>
          <w:rFonts w:cs="Arial"/>
          <w:lang w:eastAsia="en-GB"/>
        </w:rPr>
        <w:br/>
      </w:r>
    </w:p>
    <w:p w14:paraId="304D7A27" w14:textId="77777777" w:rsidR="00210091" w:rsidRDefault="00210091" w:rsidP="00210091">
      <w:pPr>
        <w:pStyle w:val="Heading1"/>
        <w:numPr>
          <w:ilvl w:val="0"/>
          <w:numId w:val="53"/>
        </w:numPr>
        <w:sectPr w:rsidR="00210091" w:rsidSect="000203F8">
          <w:pgSz w:w="11906" w:h="16838"/>
          <w:pgMar w:top="1985" w:right="1985" w:bottom="1985" w:left="1985" w:header="941" w:footer="567" w:gutter="0"/>
          <w:cols w:space="708"/>
          <w:docGrid w:linePitch="360"/>
        </w:sectPr>
      </w:pPr>
    </w:p>
    <w:p w14:paraId="2753F373" w14:textId="77777777" w:rsidR="00210091" w:rsidRDefault="00210091" w:rsidP="00210091">
      <w:pPr>
        <w:pStyle w:val="Heading1"/>
        <w:numPr>
          <w:ilvl w:val="0"/>
          <w:numId w:val="53"/>
        </w:numPr>
      </w:pPr>
      <w:r>
        <w:lastRenderedPageBreak/>
        <w:t>Deliverables</w:t>
      </w:r>
    </w:p>
    <w:tbl>
      <w:tblPr>
        <w:tblW w:w="10314" w:type="dxa"/>
        <w:tblLayout w:type="fixed"/>
        <w:tblLook w:val="00A0" w:firstRow="1" w:lastRow="0" w:firstColumn="1" w:lastColumn="0" w:noHBand="0" w:noVBand="0"/>
      </w:tblPr>
      <w:tblGrid>
        <w:gridCol w:w="250"/>
        <w:gridCol w:w="10064"/>
      </w:tblGrid>
      <w:tr w:rsidR="00210091" w14:paraId="50749DE5" w14:textId="77777777" w:rsidTr="005C6A5B">
        <w:tc>
          <w:tcPr>
            <w:tcW w:w="250" w:type="dxa"/>
          </w:tcPr>
          <w:p w14:paraId="5AAF4EFA" w14:textId="77777777" w:rsidR="00210091" w:rsidRDefault="00210091" w:rsidP="005C6A5B">
            <w:pPr>
              <w:pStyle w:val="TableText0"/>
            </w:pPr>
          </w:p>
        </w:tc>
        <w:tc>
          <w:tcPr>
            <w:tcW w:w="10064" w:type="dxa"/>
          </w:tcPr>
          <w:tbl>
            <w:tblPr>
              <w:tblStyle w:val="TableGrid"/>
              <w:tblW w:w="0" w:type="auto"/>
              <w:tblLayout w:type="fixed"/>
              <w:tblLook w:val="04A0" w:firstRow="1" w:lastRow="0" w:firstColumn="1" w:lastColumn="0" w:noHBand="0" w:noVBand="1"/>
            </w:tblPr>
            <w:tblGrid>
              <w:gridCol w:w="3963"/>
              <w:gridCol w:w="4325"/>
            </w:tblGrid>
            <w:tr w:rsidR="00210091" w14:paraId="01EE75C9" w14:textId="77777777" w:rsidTr="005C6A5B">
              <w:tc>
                <w:tcPr>
                  <w:tcW w:w="3963" w:type="dxa"/>
                  <w:shd w:val="clear" w:color="auto" w:fill="99CC00"/>
                </w:tcPr>
                <w:p w14:paraId="1275C29C" w14:textId="77777777" w:rsidR="00210091" w:rsidRPr="00A033E8" w:rsidRDefault="00210091" w:rsidP="005C6A5B">
                  <w:pPr>
                    <w:pStyle w:val="BodyIndent1"/>
                    <w:rPr>
                      <w:b/>
                    </w:rPr>
                  </w:pPr>
                  <w:r w:rsidRPr="00A033E8">
                    <w:rPr>
                      <w:b/>
                    </w:rPr>
                    <w:t>Deliverable Name</w:t>
                  </w:r>
                </w:p>
              </w:tc>
              <w:tc>
                <w:tcPr>
                  <w:tcW w:w="4325" w:type="dxa"/>
                  <w:shd w:val="clear" w:color="auto" w:fill="99CC00"/>
                </w:tcPr>
                <w:p w14:paraId="4AB7A2D4" w14:textId="77777777" w:rsidR="00210091" w:rsidRPr="00A033E8" w:rsidRDefault="00210091" w:rsidP="005C6A5B">
                  <w:pPr>
                    <w:pStyle w:val="BodyIndent1"/>
                    <w:rPr>
                      <w:b/>
                    </w:rPr>
                  </w:pPr>
                  <w:r w:rsidRPr="00A033E8">
                    <w:rPr>
                      <w:b/>
                    </w:rPr>
                    <w:t>Type</w:t>
                  </w:r>
                </w:p>
              </w:tc>
            </w:tr>
            <w:tr w:rsidR="00210091" w14:paraId="0788EE92" w14:textId="77777777" w:rsidTr="005C6A5B">
              <w:tc>
                <w:tcPr>
                  <w:tcW w:w="3963" w:type="dxa"/>
                </w:tcPr>
                <w:p w14:paraId="34296089" w14:textId="77777777" w:rsidR="00210091" w:rsidRPr="008A3B64" w:rsidRDefault="00210091" w:rsidP="005C6A5B">
                  <w:pPr>
                    <w:pStyle w:val="BodyIndent1"/>
                    <w:rPr>
                      <w:rFonts w:eastAsia="Arial" w:cs="Times New Roman"/>
                      <w:sz w:val="16"/>
                      <w:szCs w:val="16"/>
                      <w:lang w:eastAsia="en-US" w:bidi="he-IL"/>
                    </w:rPr>
                  </w:pPr>
                  <w:r w:rsidRPr="00293CD5">
                    <w:t>Creating a social value measurement framework for rail</w:t>
                  </w:r>
                  <w:r>
                    <w:t xml:space="preserve"> – Social value monetisation frameworks, tools and techniques</w:t>
                  </w:r>
                </w:p>
              </w:tc>
              <w:tc>
                <w:tcPr>
                  <w:tcW w:w="4325" w:type="dxa"/>
                </w:tcPr>
                <w:p w14:paraId="32692A4F" w14:textId="77777777" w:rsidR="00210091" w:rsidRDefault="00210091" w:rsidP="005C6A5B">
                  <w:pPr>
                    <w:pStyle w:val="BodyIndent1"/>
                  </w:pPr>
                  <w:r>
                    <w:t>Report</w:t>
                  </w:r>
                </w:p>
              </w:tc>
            </w:tr>
            <w:tr w:rsidR="00210091" w14:paraId="2DCCF106" w14:textId="77777777" w:rsidTr="005C6A5B">
              <w:tc>
                <w:tcPr>
                  <w:tcW w:w="8288" w:type="dxa"/>
                  <w:gridSpan w:val="2"/>
                </w:tcPr>
                <w:p w14:paraId="2B3510A9" w14:textId="77777777" w:rsidR="00210091" w:rsidRPr="00A033E8" w:rsidRDefault="00210091" w:rsidP="005C6A5B">
                  <w:pPr>
                    <w:pStyle w:val="BodyIndent1"/>
                    <w:rPr>
                      <w:b/>
                    </w:rPr>
                  </w:pPr>
                  <w:r w:rsidRPr="00A033E8">
                    <w:rPr>
                      <w:b/>
                    </w:rPr>
                    <w:t>Description</w:t>
                  </w:r>
                </w:p>
              </w:tc>
            </w:tr>
            <w:tr w:rsidR="00210091" w14:paraId="0FC5DBCE" w14:textId="77777777" w:rsidTr="005C6A5B">
              <w:tc>
                <w:tcPr>
                  <w:tcW w:w="8288" w:type="dxa"/>
                  <w:gridSpan w:val="2"/>
                </w:tcPr>
                <w:p w14:paraId="2A472D8D" w14:textId="77777777" w:rsidR="00210091" w:rsidRDefault="00210091" w:rsidP="005C6A5B">
                  <w:pPr>
                    <w:pStyle w:val="BodyIndent1"/>
                    <w:ind w:left="360"/>
                  </w:pPr>
                  <w:r>
                    <w:t>The report will incorporate the following</w:t>
                  </w:r>
                </w:p>
                <w:p w14:paraId="07AB40CF" w14:textId="77777777" w:rsidR="00210091" w:rsidRPr="000226AA" w:rsidRDefault="00210091" w:rsidP="00210091">
                  <w:pPr>
                    <w:pStyle w:val="BodyIndent1"/>
                    <w:numPr>
                      <w:ilvl w:val="0"/>
                      <w:numId w:val="56"/>
                    </w:numPr>
                  </w:pPr>
                  <w:r>
                    <w:t>A literature review that identifies existing frameworks to assess social value impacts, this should include a mapping of WebTAG, a review of the Olympic Delivery Authority (ODA) Balanced Scorecard, Global Reporting Initiative (GRI) Index, United Nations Millennium Development Goals, Crossrail Sustainability Programme and T1074 Developing a sustainable stations framework;</w:t>
                  </w:r>
                </w:p>
                <w:p w14:paraId="4FE1FCB8" w14:textId="77777777" w:rsidR="00210091" w:rsidRPr="002401AB" w:rsidRDefault="00210091" w:rsidP="00210091">
                  <w:pPr>
                    <w:pStyle w:val="Body"/>
                    <w:numPr>
                      <w:ilvl w:val="0"/>
                      <w:numId w:val="56"/>
                    </w:numPr>
                  </w:pPr>
                  <w:r>
                    <w:t>A collation</w:t>
                  </w:r>
                  <w:r w:rsidRPr="002401AB">
                    <w:t xml:space="preserve"> and assess</w:t>
                  </w:r>
                  <w:r>
                    <w:t>ment of</w:t>
                  </w:r>
                  <w:r w:rsidRPr="002401AB">
                    <w:t xml:space="preserve"> social value monetisation frameworks, tools and techniques used in other industries.</w:t>
                  </w:r>
                </w:p>
                <w:p w14:paraId="2BA90F8A" w14:textId="77777777" w:rsidR="00210091" w:rsidRPr="00106B04" w:rsidRDefault="00210091" w:rsidP="005C6A5B">
                  <w:pPr>
                    <w:pStyle w:val="BodyIndent1"/>
                    <w:ind w:left="360"/>
                  </w:pPr>
                  <w:r>
                    <w:t xml:space="preserve">The report will be reviewed by the project steering group, Sustainable Development Steering Group and RSSB and will feed into the common framework. The report will be produced in a RSSB template and will be made available on SPARK (a free-to-access interactive web library) to RSSB members. </w:t>
                  </w:r>
                </w:p>
              </w:tc>
            </w:tr>
          </w:tbl>
          <w:p w14:paraId="348E29EE" w14:textId="77777777" w:rsidR="00210091" w:rsidRDefault="00210091" w:rsidP="005C6A5B">
            <w:pPr>
              <w:pStyle w:val="Body"/>
            </w:pPr>
          </w:p>
          <w:tbl>
            <w:tblPr>
              <w:tblW w:w="8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981"/>
            </w:tblGrid>
            <w:tr w:rsidR="00210091" w14:paraId="1732697C" w14:textId="77777777" w:rsidTr="005C6A5B">
              <w:trPr>
                <w:cantSplit/>
              </w:trPr>
              <w:tc>
                <w:tcPr>
                  <w:tcW w:w="5307" w:type="dxa"/>
                  <w:shd w:val="clear" w:color="auto" w:fill="99CC00"/>
                </w:tcPr>
                <w:p w14:paraId="4CEB5CDD" w14:textId="77777777" w:rsidR="00210091" w:rsidRDefault="00210091" w:rsidP="005C6A5B">
                  <w:pPr>
                    <w:pStyle w:val="BodyIndent1"/>
                    <w:rPr>
                      <w:b/>
                    </w:rPr>
                  </w:pPr>
                  <w:r>
                    <w:rPr>
                      <w:b/>
                    </w:rPr>
                    <w:t>Deliverable Name</w:t>
                  </w:r>
                </w:p>
              </w:tc>
              <w:tc>
                <w:tcPr>
                  <w:tcW w:w="2981" w:type="dxa"/>
                  <w:shd w:val="clear" w:color="auto" w:fill="99CC00"/>
                </w:tcPr>
                <w:p w14:paraId="7C56561C" w14:textId="77777777" w:rsidR="00210091" w:rsidRDefault="00210091" w:rsidP="005C6A5B">
                  <w:pPr>
                    <w:pStyle w:val="BodyIndent1"/>
                    <w:rPr>
                      <w:b/>
                    </w:rPr>
                  </w:pPr>
                  <w:r>
                    <w:rPr>
                      <w:b/>
                    </w:rPr>
                    <w:t>Type</w:t>
                  </w:r>
                </w:p>
              </w:tc>
            </w:tr>
            <w:tr w:rsidR="00210091" w14:paraId="0FEE04B7" w14:textId="77777777" w:rsidTr="005C6A5B">
              <w:trPr>
                <w:cantSplit/>
                <w:tblHeader/>
              </w:trPr>
              <w:tc>
                <w:tcPr>
                  <w:tcW w:w="5307" w:type="dxa"/>
                  <w:shd w:val="clear" w:color="auto" w:fill="FFFFFF"/>
                </w:tcPr>
                <w:p w14:paraId="04057086" w14:textId="77777777" w:rsidR="00210091" w:rsidRDefault="00210091" w:rsidP="005C6A5B">
                  <w:pPr>
                    <w:pStyle w:val="BodyIndent1"/>
                  </w:pPr>
                  <w:r w:rsidRPr="00293CD5">
                    <w:t>Creating a social value measurement framework for rail</w:t>
                  </w:r>
                  <w:r>
                    <w:t xml:space="preserve"> - Common framework</w:t>
                  </w:r>
                </w:p>
              </w:tc>
              <w:tc>
                <w:tcPr>
                  <w:tcW w:w="2981" w:type="dxa"/>
                  <w:shd w:val="clear" w:color="auto" w:fill="FFFFFF"/>
                </w:tcPr>
                <w:p w14:paraId="5FBA7A2D" w14:textId="77777777" w:rsidR="00210091" w:rsidRDefault="00210091" w:rsidP="005C6A5B">
                  <w:pPr>
                    <w:pStyle w:val="BodyIndent1"/>
                  </w:pPr>
                  <w:r>
                    <w:t>Framework</w:t>
                  </w:r>
                </w:p>
              </w:tc>
            </w:tr>
            <w:tr w:rsidR="00210091" w14:paraId="24B549DC" w14:textId="77777777" w:rsidTr="005C6A5B">
              <w:trPr>
                <w:cantSplit/>
                <w:tblHeader/>
              </w:trPr>
              <w:tc>
                <w:tcPr>
                  <w:tcW w:w="8288" w:type="dxa"/>
                  <w:gridSpan w:val="2"/>
                  <w:shd w:val="clear" w:color="auto" w:fill="FFFFFF"/>
                </w:tcPr>
                <w:p w14:paraId="39379754" w14:textId="77777777" w:rsidR="00210091" w:rsidRPr="00A033E8" w:rsidRDefault="00210091" w:rsidP="005C6A5B">
                  <w:pPr>
                    <w:pStyle w:val="BodyIndent1"/>
                    <w:rPr>
                      <w:b/>
                    </w:rPr>
                  </w:pPr>
                  <w:r w:rsidRPr="00A033E8">
                    <w:rPr>
                      <w:b/>
                    </w:rPr>
                    <w:t>Description</w:t>
                  </w:r>
                </w:p>
              </w:tc>
            </w:tr>
            <w:tr w:rsidR="00210091" w14:paraId="4EA18852" w14:textId="77777777" w:rsidTr="005C6A5B">
              <w:trPr>
                <w:cantSplit/>
                <w:tblHeader/>
              </w:trPr>
              <w:tc>
                <w:tcPr>
                  <w:tcW w:w="8288" w:type="dxa"/>
                  <w:gridSpan w:val="2"/>
                  <w:shd w:val="clear" w:color="auto" w:fill="FFFFFF"/>
                </w:tcPr>
                <w:p w14:paraId="59DF3651" w14:textId="77777777" w:rsidR="00210091" w:rsidRPr="000164F2" w:rsidRDefault="00210091" w:rsidP="005C6A5B">
                  <w:pPr>
                    <w:pStyle w:val="BodyIndent1"/>
                  </w:pPr>
                  <w:r>
                    <w:lastRenderedPageBreak/>
                    <w:t>A practical common framework will be developed to understand and measure social value impacts across GB rail industry organisations, projects and programmes. The framework should apply the findings of the report and include a l</w:t>
                  </w:r>
                  <w:r w:rsidRPr="00296D01">
                    <w:t>ist of relevant metrics for rail with appropriate measures/monetisation</w:t>
                  </w:r>
                  <w:r>
                    <w:t>; and b</w:t>
                  </w:r>
                  <w:r w:rsidRPr="00296D01">
                    <w:t>enchmarks of good practice</w:t>
                  </w:r>
                  <w:r>
                    <w:t xml:space="preserve">. The framework should be interactive and user-friendly for non-experts; the framework should be scalable by region, organisation, project and programme types and should incorporate guidance on decision making for metrics, implementation and measurement/monitoring. </w:t>
                  </w:r>
                </w:p>
                <w:p w14:paraId="6333A082" w14:textId="77777777" w:rsidR="00210091" w:rsidRPr="00692759" w:rsidRDefault="00210091" w:rsidP="005C6A5B">
                  <w:pPr>
                    <w:pStyle w:val="BodyIndent1"/>
                  </w:pPr>
                  <w:r w:rsidRPr="006F0060">
                    <w:t xml:space="preserve">The </w:t>
                  </w:r>
                  <w:r>
                    <w:t xml:space="preserve">framework will be reviewed by the project steering group, Sustainable Development Steering Group and RSSB and will be made available on SPARK to all users. The framework will be produced in a RSSB template.  </w:t>
                  </w:r>
                </w:p>
              </w:tc>
            </w:tr>
          </w:tbl>
          <w:p w14:paraId="25F79D9D" w14:textId="77777777" w:rsidR="00210091" w:rsidRPr="00520B02" w:rsidRDefault="00210091" w:rsidP="005C6A5B">
            <w:pPr>
              <w:pStyle w:val="Body"/>
            </w:pPr>
          </w:p>
          <w:tbl>
            <w:tblPr>
              <w:tblStyle w:val="TableGrid"/>
              <w:tblW w:w="0" w:type="auto"/>
              <w:tblLayout w:type="fixed"/>
              <w:tblLook w:val="04A0" w:firstRow="1" w:lastRow="0" w:firstColumn="1" w:lastColumn="0" w:noHBand="0" w:noVBand="1"/>
            </w:tblPr>
            <w:tblGrid>
              <w:gridCol w:w="3963"/>
              <w:gridCol w:w="4325"/>
            </w:tblGrid>
            <w:tr w:rsidR="00210091" w14:paraId="3256EE69" w14:textId="77777777" w:rsidTr="005C6A5B">
              <w:tc>
                <w:tcPr>
                  <w:tcW w:w="3963" w:type="dxa"/>
                  <w:shd w:val="clear" w:color="auto" w:fill="99CC00"/>
                </w:tcPr>
                <w:p w14:paraId="27665220" w14:textId="77777777" w:rsidR="00210091" w:rsidRPr="00A033E8" w:rsidRDefault="00210091" w:rsidP="005C6A5B">
                  <w:pPr>
                    <w:pStyle w:val="BodyIndent1"/>
                    <w:rPr>
                      <w:b/>
                    </w:rPr>
                  </w:pPr>
                  <w:r w:rsidRPr="00A033E8">
                    <w:rPr>
                      <w:b/>
                    </w:rPr>
                    <w:t>Deliverable Name</w:t>
                  </w:r>
                </w:p>
              </w:tc>
              <w:tc>
                <w:tcPr>
                  <w:tcW w:w="4325" w:type="dxa"/>
                  <w:shd w:val="clear" w:color="auto" w:fill="99CC00"/>
                </w:tcPr>
                <w:p w14:paraId="1B69510C" w14:textId="77777777" w:rsidR="00210091" w:rsidRPr="00A033E8" w:rsidRDefault="00210091" w:rsidP="005C6A5B">
                  <w:pPr>
                    <w:pStyle w:val="BodyIndent1"/>
                    <w:rPr>
                      <w:b/>
                    </w:rPr>
                  </w:pPr>
                  <w:r w:rsidRPr="00A033E8">
                    <w:rPr>
                      <w:b/>
                    </w:rPr>
                    <w:t>Type</w:t>
                  </w:r>
                </w:p>
              </w:tc>
            </w:tr>
            <w:tr w:rsidR="00210091" w14:paraId="3C8BA00A" w14:textId="77777777" w:rsidTr="005C6A5B">
              <w:tc>
                <w:tcPr>
                  <w:tcW w:w="3963" w:type="dxa"/>
                </w:tcPr>
                <w:p w14:paraId="4C04FCB3" w14:textId="77777777" w:rsidR="00210091" w:rsidRDefault="00210091" w:rsidP="005C6A5B">
                  <w:pPr>
                    <w:pStyle w:val="BodyIndent1"/>
                  </w:pPr>
                  <w:r w:rsidRPr="00293CD5">
                    <w:t>Creating a social value measurement framework for rail</w:t>
                  </w:r>
                  <w:r>
                    <w:t xml:space="preserve"> - Draft Research in Brief</w:t>
                  </w:r>
                </w:p>
              </w:tc>
              <w:tc>
                <w:tcPr>
                  <w:tcW w:w="4325" w:type="dxa"/>
                </w:tcPr>
                <w:p w14:paraId="765F2E99" w14:textId="77777777" w:rsidR="00210091" w:rsidRDefault="00210091" w:rsidP="005C6A5B">
                  <w:pPr>
                    <w:pStyle w:val="BodyIndent1"/>
                  </w:pPr>
                  <w:r>
                    <w:t>Research in Brief</w:t>
                  </w:r>
                </w:p>
              </w:tc>
            </w:tr>
            <w:tr w:rsidR="00210091" w14:paraId="0D9CBC08" w14:textId="77777777" w:rsidTr="005C6A5B">
              <w:tc>
                <w:tcPr>
                  <w:tcW w:w="8288" w:type="dxa"/>
                  <w:gridSpan w:val="2"/>
                </w:tcPr>
                <w:p w14:paraId="53876E3B" w14:textId="77777777" w:rsidR="00210091" w:rsidRPr="00A033E8" w:rsidRDefault="00210091" w:rsidP="005C6A5B">
                  <w:pPr>
                    <w:pStyle w:val="BodyIndent1"/>
                    <w:rPr>
                      <w:b/>
                    </w:rPr>
                  </w:pPr>
                  <w:r w:rsidRPr="00A033E8">
                    <w:rPr>
                      <w:b/>
                    </w:rPr>
                    <w:t>Description</w:t>
                  </w:r>
                </w:p>
              </w:tc>
            </w:tr>
            <w:tr w:rsidR="00210091" w14:paraId="352FF822" w14:textId="77777777" w:rsidTr="005C6A5B">
              <w:tc>
                <w:tcPr>
                  <w:tcW w:w="8288" w:type="dxa"/>
                  <w:gridSpan w:val="2"/>
                </w:tcPr>
                <w:p w14:paraId="50E63647" w14:textId="77777777" w:rsidR="00210091" w:rsidRDefault="00210091" w:rsidP="005C6A5B">
                  <w:pPr>
                    <w:pStyle w:val="BodyIndent1"/>
                  </w:pPr>
                  <w:r>
                    <w:t>The research in brief</w:t>
                  </w:r>
                  <w:r w:rsidRPr="004A32E7">
                    <w:t xml:space="preserve"> will summarise the </w:t>
                  </w:r>
                  <w:r>
                    <w:t xml:space="preserve">aim, findings, impacts and benefits, background and methodology of the project. The </w:t>
                  </w:r>
                  <w:r w:rsidRPr="004A32E7">
                    <w:t>document should identify indicative ownerships of recommendations and next steps which are realistic and indicatively accepted (if achievable).</w:t>
                  </w:r>
                </w:p>
                <w:p w14:paraId="2ABD248D" w14:textId="77777777" w:rsidR="00210091" w:rsidRDefault="00210091" w:rsidP="005C6A5B">
                  <w:pPr>
                    <w:pStyle w:val="BodyIndent1"/>
                  </w:pPr>
                  <w:r>
                    <w:t xml:space="preserve">The deliverable will be reviewed and finalised by RSSB and will be made available on SPARK and RSSB’s websites. </w:t>
                  </w:r>
                  <w:r w:rsidRPr="000B471C">
                    <w:t xml:space="preserve">The </w:t>
                  </w:r>
                  <w:r>
                    <w:t xml:space="preserve">draft </w:t>
                  </w:r>
                  <w:r w:rsidRPr="000B471C">
                    <w:t xml:space="preserve">research </w:t>
                  </w:r>
                  <w:r>
                    <w:t xml:space="preserve">in </w:t>
                  </w:r>
                  <w:r w:rsidRPr="000B471C">
                    <w:t>brief will be produced in a RSSB template, no more than four pages in length.</w:t>
                  </w:r>
                </w:p>
              </w:tc>
            </w:tr>
          </w:tbl>
          <w:p w14:paraId="0C4F1210" w14:textId="77777777" w:rsidR="00210091" w:rsidRDefault="00210091" w:rsidP="005C6A5B">
            <w:pPr>
              <w:pStyle w:val="BodyIndent1"/>
            </w:pPr>
          </w:p>
        </w:tc>
      </w:tr>
    </w:tbl>
    <w:p w14:paraId="24DA28DE" w14:textId="77777777" w:rsidR="00210091" w:rsidRDefault="00210091" w:rsidP="00210091">
      <w:pPr>
        <w:tabs>
          <w:tab w:val="left" w:pos="1890"/>
        </w:tabs>
        <w:rPr>
          <w:lang w:eastAsia="en-GB"/>
        </w:rPr>
      </w:pPr>
    </w:p>
    <w:p w14:paraId="605E9BD9" w14:textId="77777777" w:rsidR="00210091" w:rsidRDefault="00210091" w:rsidP="00210091">
      <w:pPr>
        <w:tabs>
          <w:tab w:val="left" w:pos="1890"/>
        </w:tabs>
        <w:rPr>
          <w:lang w:eastAsia="en-GB"/>
        </w:rPr>
      </w:pPr>
    </w:p>
    <w:p w14:paraId="288DAD73" w14:textId="77777777" w:rsidR="00210091" w:rsidRDefault="00210091" w:rsidP="00210091">
      <w:pPr>
        <w:rPr>
          <w:lang w:eastAsia="en-GB"/>
        </w:rPr>
      </w:pPr>
    </w:p>
    <w:p w14:paraId="5E43D18B" w14:textId="77777777" w:rsidR="00210091" w:rsidRDefault="00210091" w:rsidP="00210091">
      <w:pPr>
        <w:rPr>
          <w:lang w:eastAsia="en-GB"/>
        </w:rPr>
      </w:pPr>
    </w:p>
    <w:p w14:paraId="6ACAA73F" w14:textId="77777777" w:rsidR="00210091" w:rsidRDefault="00210091" w:rsidP="00210091">
      <w:pPr>
        <w:rPr>
          <w:lang w:eastAsia="en-GB"/>
        </w:rPr>
      </w:pPr>
    </w:p>
    <w:p w14:paraId="7B7F0F59" w14:textId="77777777" w:rsidR="00210091" w:rsidRPr="00824153" w:rsidRDefault="00210091" w:rsidP="00210091">
      <w:pPr>
        <w:rPr>
          <w:lang w:eastAsia="en-GB"/>
        </w:rPr>
      </w:pPr>
    </w:p>
    <w:p w14:paraId="547CC616" w14:textId="77777777" w:rsidR="00210091" w:rsidRDefault="00210091" w:rsidP="00210091">
      <w:pPr>
        <w:pStyle w:val="Heading1"/>
        <w:numPr>
          <w:ilvl w:val="0"/>
          <w:numId w:val="53"/>
        </w:numPr>
        <w:sectPr w:rsidR="00210091" w:rsidSect="000203F8">
          <w:pgSz w:w="11906" w:h="16838"/>
          <w:pgMar w:top="1985" w:right="1985" w:bottom="1985" w:left="1985" w:header="941" w:footer="567" w:gutter="0"/>
          <w:cols w:space="708"/>
          <w:docGrid w:linePitch="360"/>
        </w:sectPr>
      </w:pPr>
    </w:p>
    <w:p w14:paraId="51C82477" w14:textId="77777777" w:rsidR="00210091" w:rsidRDefault="00210091" w:rsidP="00210091">
      <w:pPr>
        <w:pStyle w:val="Heading1"/>
        <w:numPr>
          <w:ilvl w:val="0"/>
          <w:numId w:val="53"/>
        </w:numPr>
      </w:pPr>
      <w:r>
        <w:lastRenderedPageBreak/>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210091" w14:paraId="0141F683" w14:textId="77777777" w:rsidTr="005C6A5B">
        <w:tc>
          <w:tcPr>
            <w:tcW w:w="1816" w:type="dxa"/>
          </w:tcPr>
          <w:p w14:paraId="062BC758" w14:textId="77777777" w:rsidR="00210091" w:rsidRPr="00325F01" w:rsidRDefault="00210091" w:rsidP="005C6A5B">
            <w:pPr>
              <w:pStyle w:val="Body"/>
              <w:rPr>
                <w:rFonts w:asciiTheme="minorHAnsi" w:hAnsiTheme="minorHAnsi"/>
              </w:rPr>
            </w:pPr>
            <w:r w:rsidRPr="002D2271">
              <w:rPr>
                <w:rFonts w:cs="Calibri"/>
                <w:b/>
              </w:rPr>
              <w:t>Stakeholder</w:t>
            </w:r>
            <w:r>
              <w:rPr>
                <w:rFonts w:cs="Calibri"/>
                <w:b/>
              </w:rPr>
              <w:t>(s)</w:t>
            </w:r>
          </w:p>
        </w:tc>
        <w:tc>
          <w:tcPr>
            <w:tcW w:w="3849" w:type="dxa"/>
          </w:tcPr>
          <w:p w14:paraId="588B33D7" w14:textId="77777777" w:rsidR="00210091" w:rsidRPr="00325F01" w:rsidRDefault="00210091" w:rsidP="005C6A5B">
            <w:pPr>
              <w:jc w:val="center"/>
              <w:rPr>
                <w:rFonts w:asciiTheme="minorHAnsi" w:hAnsiTheme="minorHAnsi" w:cs="Arial"/>
                <w:lang w:eastAsia="en-GB"/>
              </w:rPr>
            </w:pPr>
            <w:r w:rsidRPr="00425161">
              <w:rPr>
                <w:rFonts w:cs="Calibri"/>
                <w:b/>
                <w:bCs/>
                <w:kern w:val="28"/>
              </w:rPr>
              <w:t>General role in project</w:t>
            </w:r>
          </w:p>
        </w:tc>
        <w:tc>
          <w:tcPr>
            <w:tcW w:w="2694" w:type="dxa"/>
          </w:tcPr>
          <w:p w14:paraId="6F5093C6" w14:textId="77777777" w:rsidR="00210091" w:rsidRPr="00325F01" w:rsidRDefault="00210091" w:rsidP="005C6A5B">
            <w:pPr>
              <w:rPr>
                <w:rFonts w:asciiTheme="minorHAnsi" w:hAnsiTheme="minorHAnsi" w:cs="Arial"/>
                <w:lang w:eastAsia="en-GB"/>
              </w:rPr>
            </w:pPr>
            <w:r w:rsidRPr="00425161">
              <w:rPr>
                <w:rFonts w:cs="Calibri"/>
                <w:b/>
                <w:bCs/>
                <w:kern w:val="28"/>
              </w:rPr>
              <w:t>Specific role in acceptance of deliverables</w:t>
            </w:r>
          </w:p>
        </w:tc>
      </w:tr>
      <w:tr w:rsidR="00210091" w14:paraId="16CEEDDD" w14:textId="77777777" w:rsidTr="005C6A5B">
        <w:tc>
          <w:tcPr>
            <w:tcW w:w="1816" w:type="dxa"/>
            <w:vAlign w:val="center"/>
          </w:tcPr>
          <w:p w14:paraId="5A9AC280" w14:textId="77777777" w:rsidR="00210091" w:rsidRPr="006B076F" w:rsidRDefault="00210091" w:rsidP="005C6A5B">
            <w:pPr>
              <w:rPr>
                <w:rFonts w:asciiTheme="minorHAnsi" w:hAnsiTheme="minorHAnsi" w:cs="Arial"/>
                <w:color w:val="000000" w:themeColor="dark1"/>
                <w:kern w:val="28"/>
              </w:rPr>
            </w:pPr>
            <w:r>
              <w:rPr>
                <w:rFonts w:cs="Calibri"/>
                <w:color w:val="000000" w:themeColor="dark1"/>
                <w:kern w:val="28"/>
              </w:rPr>
              <w:t>RSSB Delivery M</w:t>
            </w:r>
            <w:r w:rsidRPr="00425161">
              <w:rPr>
                <w:rFonts w:cs="Calibri"/>
                <w:color w:val="000000" w:themeColor="dark1"/>
                <w:kern w:val="28"/>
              </w:rPr>
              <w:t>anager</w:t>
            </w:r>
          </w:p>
        </w:tc>
        <w:tc>
          <w:tcPr>
            <w:tcW w:w="3849" w:type="dxa"/>
            <w:vAlign w:val="center"/>
          </w:tcPr>
          <w:p w14:paraId="7E248A34" w14:textId="77777777" w:rsidR="00210091" w:rsidRPr="00425161" w:rsidRDefault="00210091" w:rsidP="005C6A5B">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Pr>
                <w:rFonts w:ascii="Calibri" w:hAnsi="Calibri" w:cs="Calibri"/>
                <w:color w:val="000000" w:themeColor="dark1"/>
                <w:kern w:val="28"/>
                <w:lang w:eastAsia="en-US"/>
              </w:rPr>
              <w:t xml:space="preserve"> Delivery M</w:t>
            </w:r>
            <w:r w:rsidRPr="00425161">
              <w:rPr>
                <w:rFonts w:ascii="Calibri" w:hAnsi="Calibri" w:cs="Calibri"/>
                <w:color w:val="000000" w:themeColor="dark1"/>
                <w:kern w:val="28"/>
                <w:lang w:eastAsia="en-US"/>
              </w:rPr>
              <w:t>anager is the first point of c</w:t>
            </w:r>
            <w:r>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5AD6F329" w14:textId="77777777" w:rsidR="00210091" w:rsidRPr="006B076F" w:rsidRDefault="00210091" w:rsidP="005C6A5B">
            <w:pPr>
              <w:rPr>
                <w:rFonts w:asciiTheme="minorHAnsi" w:hAnsiTheme="minorHAnsi" w:cs="Arial"/>
                <w:color w:val="000000" w:themeColor="dark1"/>
                <w:kern w:val="28"/>
              </w:rPr>
            </w:pPr>
            <w:r>
              <w:rPr>
                <w:rFonts w:cs="Calibri"/>
                <w:color w:val="000000" w:themeColor="dark1"/>
                <w:kern w:val="28"/>
              </w:rPr>
              <w:t>The Delivery M</w:t>
            </w:r>
            <w:r w:rsidRPr="00425161">
              <w:rPr>
                <w:rFonts w:cs="Calibri"/>
                <w:color w:val="000000" w:themeColor="dark1"/>
                <w:kern w:val="28"/>
              </w:rPr>
              <w:t>anager leads the project in organising meetings, etc and ensures timely and effective delivery towards project objectives.</w:t>
            </w:r>
          </w:p>
        </w:tc>
        <w:tc>
          <w:tcPr>
            <w:tcW w:w="2694" w:type="dxa"/>
          </w:tcPr>
          <w:p w14:paraId="033B58EB" w14:textId="77777777" w:rsidR="00210091" w:rsidRPr="006B076F" w:rsidRDefault="00210091" w:rsidP="005C6A5B">
            <w:pPr>
              <w:rPr>
                <w:rFonts w:asciiTheme="minorHAnsi" w:hAnsiTheme="minorHAnsi" w:cs="Arial"/>
                <w:color w:val="000000" w:themeColor="dark1"/>
                <w:kern w:val="28"/>
              </w:rPr>
            </w:pPr>
            <w:r w:rsidRPr="00425161">
              <w:rPr>
                <w:rFonts w:cs="Calibri"/>
                <w:color w:val="000000" w:themeColor="dark1"/>
                <w:kern w:val="28"/>
              </w:rPr>
              <w:t>Facilitates technical review and acceptance processes, identifies and monitors corrective actions where needed, including facilitating decision making.</w:t>
            </w:r>
          </w:p>
        </w:tc>
      </w:tr>
      <w:tr w:rsidR="00210091" w14:paraId="3935ED79" w14:textId="77777777" w:rsidTr="005C6A5B">
        <w:tc>
          <w:tcPr>
            <w:tcW w:w="1816" w:type="dxa"/>
            <w:vAlign w:val="center"/>
          </w:tcPr>
          <w:p w14:paraId="1B87FD7F" w14:textId="77777777" w:rsidR="00210091" w:rsidRPr="007715AE" w:rsidRDefault="00210091" w:rsidP="005C6A5B">
            <w:pPr>
              <w:rPr>
                <w:rFonts w:asciiTheme="minorHAnsi" w:hAnsiTheme="minorHAnsi" w:cs="Arial"/>
                <w:lang w:eastAsia="en-GB"/>
              </w:rPr>
            </w:pPr>
            <w:r>
              <w:rPr>
                <w:rFonts w:cs="Calibri"/>
                <w:color w:val="000000" w:themeColor="dark1"/>
                <w:kern w:val="28"/>
              </w:rPr>
              <w:t xml:space="preserve">RSSB </w:t>
            </w:r>
            <w:r w:rsidRPr="00425161">
              <w:rPr>
                <w:rFonts w:cs="Calibri"/>
                <w:color w:val="000000" w:themeColor="dark1"/>
                <w:kern w:val="28"/>
              </w:rPr>
              <w:t xml:space="preserve">Technical </w:t>
            </w:r>
            <w:r>
              <w:rPr>
                <w:rFonts w:cs="Calibri"/>
                <w:color w:val="000000" w:themeColor="dark1"/>
                <w:kern w:val="28"/>
              </w:rPr>
              <w:t>Lead</w:t>
            </w:r>
          </w:p>
        </w:tc>
        <w:tc>
          <w:tcPr>
            <w:tcW w:w="3849" w:type="dxa"/>
            <w:vAlign w:val="center"/>
          </w:tcPr>
          <w:p w14:paraId="4B14C32F" w14:textId="77777777" w:rsidR="00210091" w:rsidRPr="00425161" w:rsidRDefault="00210091" w:rsidP="005C6A5B">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7690B7F0" w14:textId="77777777" w:rsidR="00210091" w:rsidRPr="007715AE" w:rsidRDefault="00210091" w:rsidP="005C6A5B">
            <w:pPr>
              <w:rPr>
                <w:rFonts w:asciiTheme="minorHAnsi" w:hAnsiTheme="minorHAnsi" w:cs="Arial"/>
                <w:lang w:eastAsia="en-GB"/>
              </w:rPr>
            </w:pPr>
            <w:r w:rsidRPr="00425161">
              <w:rPr>
                <w:rFonts w:cs="Calibri"/>
                <w:color w:val="000000" w:themeColor="dark1"/>
                <w:kern w:val="28"/>
              </w:rPr>
              <w:t>Technical aspects can refer to specific issues around railway signalling, track engineering, safety relevant operations or any other specialist field.</w:t>
            </w:r>
          </w:p>
        </w:tc>
        <w:tc>
          <w:tcPr>
            <w:tcW w:w="2694" w:type="dxa"/>
          </w:tcPr>
          <w:p w14:paraId="28ED7889" w14:textId="77777777" w:rsidR="00210091" w:rsidRPr="007715AE" w:rsidRDefault="00210091" w:rsidP="005C6A5B">
            <w:pPr>
              <w:rPr>
                <w:rFonts w:asciiTheme="minorHAnsi" w:hAnsiTheme="minorHAnsi" w:cs="Arial"/>
                <w:lang w:eastAsia="en-GB"/>
              </w:rPr>
            </w:pPr>
            <w:r w:rsidRPr="00425161">
              <w:rPr>
                <w:rFonts w:cs="Calibri"/>
                <w:color w:val="000000" w:themeColor="dark1"/>
                <w:kern w:val="28"/>
              </w:rPr>
              <w:t xml:space="preserve">Reviews emerging outputs from </w:t>
            </w:r>
            <w:r>
              <w:rPr>
                <w:rFonts w:cs="Calibri"/>
                <w:color w:val="000000" w:themeColor="dark1"/>
                <w:kern w:val="28"/>
              </w:rPr>
              <w:t xml:space="preserve">a </w:t>
            </w:r>
            <w:r w:rsidRPr="00425161">
              <w:rPr>
                <w:rFonts w:cs="Calibri"/>
                <w:color w:val="000000" w:themeColor="dark1"/>
                <w:kern w:val="28"/>
              </w:rPr>
              <w:t>technical perspective.</w:t>
            </w:r>
          </w:p>
        </w:tc>
      </w:tr>
      <w:tr w:rsidR="00210091" w14:paraId="6AF44395" w14:textId="77777777" w:rsidTr="005C6A5B">
        <w:tc>
          <w:tcPr>
            <w:tcW w:w="1816" w:type="dxa"/>
            <w:vAlign w:val="center"/>
          </w:tcPr>
          <w:p w14:paraId="64E3FC4B" w14:textId="77777777" w:rsidR="00210091" w:rsidRPr="00420F8C" w:rsidRDefault="00210091" w:rsidP="005C6A5B">
            <w:pPr>
              <w:rPr>
                <w:rFonts w:asciiTheme="minorHAnsi" w:hAnsiTheme="minorHAnsi" w:cs="Arial"/>
                <w:lang w:eastAsia="en-GB"/>
              </w:rPr>
            </w:pPr>
            <w:r>
              <w:rPr>
                <w:rFonts w:cs="Calibri"/>
                <w:color w:val="000000" w:themeColor="dark1"/>
                <w:kern w:val="28"/>
              </w:rPr>
              <w:t>Industry sponsor and RSSB sponsor</w:t>
            </w:r>
          </w:p>
        </w:tc>
        <w:tc>
          <w:tcPr>
            <w:tcW w:w="3849" w:type="dxa"/>
            <w:vAlign w:val="center"/>
          </w:tcPr>
          <w:p w14:paraId="1952B213" w14:textId="77777777" w:rsidR="00210091" w:rsidRPr="00425161" w:rsidRDefault="00210091" w:rsidP="005C6A5B">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 xml:space="preserve">ndustry and RSSB sponsors act as a figurehead for the research, championing its importance and its outputs. </w:t>
            </w:r>
          </w:p>
          <w:p w14:paraId="14863ACD"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t>Their key role is to provide steer to the research as it progresses and exert pressure on the industry to make use of its findings.</w:t>
            </w:r>
          </w:p>
        </w:tc>
        <w:tc>
          <w:tcPr>
            <w:tcW w:w="2694" w:type="dxa"/>
          </w:tcPr>
          <w:p w14:paraId="7C8A9147" w14:textId="77777777" w:rsidR="00210091" w:rsidRPr="00325F01" w:rsidRDefault="00210091" w:rsidP="005C6A5B">
            <w:pPr>
              <w:rPr>
                <w:rFonts w:asciiTheme="minorHAnsi" w:hAnsiTheme="minorHAnsi" w:cs="Arial"/>
                <w:color w:val="000000" w:themeColor="dark1"/>
                <w:kern w:val="28"/>
              </w:rPr>
            </w:pPr>
            <w:r w:rsidRPr="00425161">
              <w:rPr>
                <w:rFonts w:cs="Calibri"/>
                <w:color w:val="000000" w:themeColor="dark1"/>
                <w:kern w:val="28"/>
              </w:rPr>
              <w:t xml:space="preserve">Formally accepts deliverables </w:t>
            </w:r>
          </w:p>
        </w:tc>
      </w:tr>
      <w:tr w:rsidR="00210091" w14:paraId="1190DAE0" w14:textId="77777777" w:rsidTr="005C6A5B">
        <w:tc>
          <w:tcPr>
            <w:tcW w:w="1816" w:type="dxa"/>
            <w:vAlign w:val="center"/>
          </w:tcPr>
          <w:p w14:paraId="37D18F75"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t>Project supporters</w:t>
            </w:r>
          </w:p>
        </w:tc>
        <w:tc>
          <w:tcPr>
            <w:tcW w:w="3849" w:type="dxa"/>
            <w:vAlign w:val="center"/>
          </w:tcPr>
          <w:p w14:paraId="7D795DBB"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t xml:space="preserve">The project supporters represent parts of industry complementary to the </w:t>
            </w:r>
            <w:r>
              <w:rPr>
                <w:rFonts w:cs="Calibri"/>
                <w:color w:val="000000" w:themeColor="dark1"/>
                <w:kern w:val="28"/>
              </w:rPr>
              <w:t>industry sponsor’s</w:t>
            </w:r>
            <w:r w:rsidRPr="00425161">
              <w:rPr>
                <w:rFonts w:cs="Calibri"/>
                <w:color w:val="000000" w:themeColor="dark1"/>
                <w:kern w:val="28"/>
              </w:rPr>
              <w:t xml:space="preserve"> organisation. They offer expertise for effective project delivery and support the implementation of findings led by the </w:t>
            </w:r>
            <w:r>
              <w:rPr>
                <w:rFonts w:cs="Calibri"/>
                <w:color w:val="000000" w:themeColor="dark1"/>
                <w:kern w:val="28"/>
              </w:rPr>
              <w:t>industry sponsor</w:t>
            </w:r>
            <w:r w:rsidRPr="00425161">
              <w:rPr>
                <w:rFonts w:cs="Calibri"/>
                <w:color w:val="000000" w:themeColor="dark1"/>
                <w:kern w:val="28"/>
              </w:rPr>
              <w:t xml:space="preserve"> through networking, advice and other support.</w:t>
            </w:r>
          </w:p>
        </w:tc>
        <w:tc>
          <w:tcPr>
            <w:tcW w:w="2694" w:type="dxa"/>
          </w:tcPr>
          <w:p w14:paraId="340DD428" w14:textId="77777777" w:rsidR="00210091" w:rsidRPr="00325F01" w:rsidRDefault="00210091" w:rsidP="005C6A5B">
            <w:pPr>
              <w:rPr>
                <w:rFonts w:asciiTheme="minorHAnsi" w:hAnsiTheme="minorHAnsi" w:cs="Arial"/>
                <w:color w:val="000000" w:themeColor="dark1"/>
                <w:kern w:val="28"/>
              </w:rPr>
            </w:pPr>
            <w:r w:rsidRPr="00425161">
              <w:rPr>
                <w:rFonts w:cs="Calibri"/>
                <w:color w:val="000000" w:themeColor="dark1"/>
                <w:kern w:val="28"/>
              </w:rPr>
              <w:t xml:space="preserve">Formally accepts deliverables </w:t>
            </w:r>
          </w:p>
        </w:tc>
      </w:tr>
      <w:tr w:rsidR="00210091" w14:paraId="3028ECB8" w14:textId="77777777" w:rsidTr="005C6A5B">
        <w:tc>
          <w:tcPr>
            <w:tcW w:w="1816" w:type="dxa"/>
            <w:vAlign w:val="center"/>
          </w:tcPr>
          <w:p w14:paraId="7D297CC4"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lastRenderedPageBreak/>
              <w:t>Project steering group</w:t>
            </w:r>
          </w:p>
        </w:tc>
        <w:tc>
          <w:tcPr>
            <w:tcW w:w="3849" w:type="dxa"/>
            <w:vAlign w:val="center"/>
          </w:tcPr>
          <w:p w14:paraId="3BA470A7" w14:textId="77777777" w:rsidR="00210091" w:rsidRPr="00425161" w:rsidRDefault="00210091" w:rsidP="005C6A5B">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The project steering group ensures the project delivers to industry needs. </w:t>
            </w:r>
          </w:p>
          <w:p w14:paraId="2E827D7A"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t>As such, it helps formulate specifications, assesses tenders, reviews draft and final outputs and other relevant tasks.</w:t>
            </w:r>
          </w:p>
        </w:tc>
        <w:tc>
          <w:tcPr>
            <w:tcW w:w="2694" w:type="dxa"/>
          </w:tcPr>
          <w:p w14:paraId="5F147DBF" w14:textId="77777777" w:rsidR="00210091" w:rsidRPr="00420F8C" w:rsidRDefault="00210091" w:rsidP="005C6A5B">
            <w:pPr>
              <w:rPr>
                <w:rFonts w:asciiTheme="minorHAnsi" w:hAnsiTheme="minorHAnsi" w:cs="Arial"/>
                <w:lang w:eastAsia="en-GB"/>
              </w:rPr>
            </w:pPr>
            <w:r w:rsidRPr="00425161">
              <w:rPr>
                <w:rFonts w:cs="Calibri"/>
                <w:color w:val="000000" w:themeColor="dark1"/>
                <w:kern w:val="28"/>
              </w:rPr>
              <w:t xml:space="preserve">Formally accepts deliverables </w:t>
            </w:r>
          </w:p>
        </w:tc>
      </w:tr>
    </w:tbl>
    <w:p w14:paraId="2D0E0AA3" w14:textId="77777777" w:rsidR="00210091" w:rsidRDefault="00210091" w:rsidP="00210091">
      <w:pPr>
        <w:rPr>
          <w:rFonts w:cs="Arial"/>
          <w:lang w:eastAsia="en-GB"/>
        </w:rPr>
      </w:pPr>
    </w:p>
    <w:p w14:paraId="0EBAE71C" w14:textId="77777777" w:rsidR="00210091" w:rsidRDefault="00210091" w:rsidP="00210091">
      <w:pPr>
        <w:pStyle w:val="Heading1"/>
      </w:pPr>
    </w:p>
    <w:p w14:paraId="3340D31F" w14:textId="77777777" w:rsidR="00210091" w:rsidRDefault="00210091" w:rsidP="00210091">
      <w:pPr>
        <w:pStyle w:val="Body"/>
      </w:pPr>
      <w:r>
        <w:rPr>
          <w:noProof/>
        </w:rPr>
        <w:drawing>
          <wp:anchor distT="0" distB="0" distL="114300" distR="114300" simplePos="0" relativeHeight="251659264" behindDoc="0" locked="0" layoutInCell="1" allowOverlap="1" wp14:anchorId="09AA81BC" wp14:editId="6D3FC5B0">
            <wp:simplePos x="0" y="0"/>
            <wp:positionH relativeFrom="margin">
              <wp:posOffset>-635</wp:posOffset>
            </wp:positionH>
            <wp:positionV relativeFrom="paragraph">
              <wp:posOffset>465407</wp:posOffset>
            </wp:positionV>
            <wp:extent cx="5032375" cy="33794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4684" b="1215"/>
                    <a:stretch/>
                  </pic:blipFill>
                  <pic:spPr bwMode="auto">
                    <a:xfrm>
                      <a:off x="0" y="0"/>
                      <a:ext cx="5032375" cy="337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w:t>
      </w:r>
      <w:r w:rsidRPr="00232F6B">
        <w:t>wo diagrams are included below to outline RSSB’s governance process for reviewing and publishing T# deliverables and Research in Briefs</w:t>
      </w:r>
    </w:p>
    <w:p w14:paraId="58F01DB5" w14:textId="77777777" w:rsidR="00210091" w:rsidRDefault="00210091" w:rsidP="00210091">
      <w:pPr>
        <w:pStyle w:val="Body"/>
      </w:pPr>
    </w:p>
    <w:p w14:paraId="0EB0939B" w14:textId="77777777" w:rsidR="00210091" w:rsidRDefault="00210091" w:rsidP="00210091">
      <w:pPr>
        <w:pStyle w:val="Body"/>
      </w:pPr>
      <w:r>
        <w:rPr>
          <w:noProof/>
        </w:rPr>
        <w:lastRenderedPageBreak/>
        <w:drawing>
          <wp:anchor distT="0" distB="0" distL="114300" distR="114300" simplePos="0" relativeHeight="251660288" behindDoc="0" locked="0" layoutInCell="1" allowOverlap="1" wp14:anchorId="428FDA36" wp14:editId="23B32B67">
            <wp:simplePos x="0" y="0"/>
            <wp:positionH relativeFrom="margin">
              <wp:align>center</wp:align>
            </wp:positionH>
            <wp:positionV relativeFrom="paragraph">
              <wp:posOffset>7908</wp:posOffset>
            </wp:positionV>
            <wp:extent cx="4060209" cy="345249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597" r="19258"/>
                    <a:stretch/>
                  </pic:blipFill>
                  <pic:spPr bwMode="auto">
                    <a:xfrm>
                      <a:off x="0" y="0"/>
                      <a:ext cx="4060209" cy="3452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1B5589" w14:textId="77777777" w:rsidR="00210091" w:rsidRPr="00232F6B" w:rsidRDefault="00210091" w:rsidP="00210091">
      <w:pPr>
        <w:pStyle w:val="Body"/>
        <w:sectPr w:rsidR="00210091" w:rsidRPr="00232F6B" w:rsidSect="000203F8">
          <w:pgSz w:w="11906" w:h="16838"/>
          <w:pgMar w:top="1985" w:right="1985" w:bottom="1985" w:left="1985" w:header="941" w:footer="567" w:gutter="0"/>
          <w:cols w:space="708"/>
          <w:docGrid w:linePitch="360"/>
        </w:sectPr>
      </w:pPr>
    </w:p>
    <w:p w14:paraId="5EAD3366" w14:textId="77777777" w:rsidR="00210091" w:rsidRDefault="00210091" w:rsidP="00210091">
      <w:pPr>
        <w:pStyle w:val="Heading1"/>
        <w:numPr>
          <w:ilvl w:val="0"/>
          <w:numId w:val="53"/>
        </w:numPr>
      </w:pPr>
      <w:r>
        <w:lastRenderedPageBreak/>
        <w:t>Budget and timescales</w:t>
      </w:r>
    </w:p>
    <w:p w14:paraId="3599A699" w14:textId="77777777" w:rsidR="00210091" w:rsidRDefault="00210091" w:rsidP="00210091">
      <w:pPr>
        <w:rPr>
          <w:rFonts w:cs="Arial"/>
          <w:lang w:eastAsia="en-GB"/>
        </w:rPr>
      </w:pPr>
      <w:r>
        <w:rPr>
          <w:rFonts w:cs="Arial"/>
          <w:lang w:eastAsia="en-GB"/>
        </w:rPr>
        <w:t>The budget for this work i</w:t>
      </w:r>
      <w:r w:rsidRPr="00947B6E">
        <w:rPr>
          <w:rFonts w:cs="Arial"/>
          <w:lang w:eastAsia="en-GB"/>
        </w:rPr>
        <w:t>s up to £</w:t>
      </w:r>
      <w:r>
        <w:rPr>
          <w:rFonts w:cs="Arial"/>
          <w:lang w:eastAsia="en-GB"/>
        </w:rPr>
        <w:t>75</w:t>
      </w:r>
      <w:r w:rsidRPr="00947B6E">
        <w:rPr>
          <w:rFonts w:cs="Arial"/>
          <w:lang w:eastAsia="en-GB"/>
        </w:rPr>
        <w:t>,000</w:t>
      </w:r>
      <w:r w:rsidRPr="00947B6E">
        <w:rPr>
          <w:rFonts w:cs="Arial"/>
          <w:i/>
          <w:lang w:eastAsia="en-GB"/>
        </w:rPr>
        <w:t xml:space="preserve">. </w:t>
      </w:r>
      <w:r w:rsidRPr="00947B6E">
        <w:rPr>
          <w:rFonts w:cs="Arial"/>
          <w:lang w:eastAsia="en-GB"/>
        </w:rPr>
        <w:t>Any bid</w:t>
      </w:r>
      <w:r>
        <w:rPr>
          <w:rFonts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62990D8D" w14:textId="77777777" w:rsidR="00210091" w:rsidRDefault="00210091" w:rsidP="00210091">
      <w:pPr>
        <w:rPr>
          <w:rFonts w:cs="Arial"/>
          <w:lang w:eastAsia="en-GB"/>
        </w:rPr>
      </w:pPr>
    </w:p>
    <w:p w14:paraId="24A9CF7D" w14:textId="77777777" w:rsidR="00210091" w:rsidRDefault="00210091" w:rsidP="00210091">
      <w:pPr>
        <w:rPr>
          <w:rFonts w:cs="Arial"/>
          <w:lang w:eastAsia="en-GB"/>
        </w:rPr>
      </w:pPr>
      <w:r>
        <w:rPr>
          <w:rFonts w:cs="Arial"/>
          <w:lang w:eastAsia="en-GB"/>
        </w:rPr>
        <w:t xml:space="preserve">The work is expected to start in October 2017 and be completed by June 2018. These are indicative dates and RSSB is prepared to consider bids that vary from these expectations if they have a robust and realistic project plan, and an explanation of changes to the proposed start and end dates.  </w:t>
      </w:r>
    </w:p>
    <w:p w14:paraId="2189AC27" w14:textId="77777777" w:rsidR="00210091" w:rsidRDefault="00210091" w:rsidP="00210091">
      <w:pPr>
        <w:rPr>
          <w:rFonts w:cs="Arial"/>
          <w:lang w:eastAsia="en-GB"/>
        </w:rPr>
      </w:pPr>
    </w:p>
    <w:p w14:paraId="399E216B" w14:textId="77777777" w:rsidR="00210091" w:rsidRPr="00325F01" w:rsidRDefault="00210091" w:rsidP="00210091">
      <w:pPr>
        <w:rPr>
          <w:rFonts w:cs="Arial"/>
          <w:lang w:eastAsia="en-GB"/>
        </w:rPr>
      </w:pPr>
    </w:p>
    <w:p w14:paraId="0274EA21" w14:textId="77777777" w:rsidR="00210091" w:rsidRDefault="00210091" w:rsidP="00210091">
      <w:pPr>
        <w:pStyle w:val="Heading1"/>
        <w:numPr>
          <w:ilvl w:val="0"/>
          <w:numId w:val="53"/>
        </w:numPr>
      </w:pPr>
      <w:r>
        <w:t>Critical success factors and risk management</w:t>
      </w:r>
    </w:p>
    <w:p w14:paraId="5A46A8D0" w14:textId="77777777" w:rsidR="00210091" w:rsidRPr="00351187" w:rsidRDefault="00210091" w:rsidP="00210091">
      <w:pPr>
        <w:rPr>
          <w:rFonts w:cs="Arial"/>
          <w:lang w:eastAsia="en-GB"/>
        </w:rPr>
      </w:pPr>
      <w:r w:rsidRPr="00A03C5E">
        <w:rPr>
          <w:rFonts w:cs="Arial"/>
          <w:lang w:eastAsia="en-GB"/>
        </w:rPr>
        <w:t>The following critical success factors/risks have been identified to help ensure successful delivery of the project and increased likelihood of ind</w:t>
      </w:r>
      <w:r>
        <w:rPr>
          <w:rFonts w:cs="Arial"/>
          <w:lang w:eastAsia="en-GB"/>
        </w:rPr>
        <w:t>ustry acceptance/implementation</w:t>
      </w:r>
    </w:p>
    <w:p w14:paraId="63C70F93" w14:textId="77777777" w:rsidR="00210091" w:rsidRDefault="00210091" w:rsidP="00210091">
      <w:pPr>
        <w:pStyle w:val="Bullet1"/>
      </w:pPr>
      <w:r>
        <w:t>Stakeholder engagement and buy-in</w:t>
      </w:r>
    </w:p>
    <w:p w14:paraId="66AD6D57" w14:textId="77777777" w:rsidR="00210091" w:rsidRDefault="00210091" w:rsidP="00210091">
      <w:pPr>
        <w:pStyle w:val="Body"/>
        <w:numPr>
          <w:ilvl w:val="0"/>
          <w:numId w:val="44"/>
        </w:numPr>
        <w:spacing w:after="60"/>
      </w:pPr>
      <w:r>
        <w:t xml:space="preserve">Access to social impact data </w:t>
      </w:r>
    </w:p>
    <w:p w14:paraId="264894DF" w14:textId="77777777" w:rsidR="00210091" w:rsidRDefault="00210091" w:rsidP="00210091">
      <w:pPr>
        <w:pStyle w:val="Body"/>
        <w:numPr>
          <w:ilvl w:val="0"/>
          <w:numId w:val="44"/>
        </w:numPr>
        <w:spacing w:after="60"/>
      </w:pPr>
      <w:r>
        <w:t>Mitigation of potential Intellectual Property Right (IPR) issues</w:t>
      </w:r>
    </w:p>
    <w:p w14:paraId="498408ED" w14:textId="77777777" w:rsidR="00210091" w:rsidRDefault="00210091" w:rsidP="00210091">
      <w:pPr>
        <w:pStyle w:val="Bullet1"/>
      </w:pPr>
      <w:r>
        <w:t xml:space="preserve">Industry consensus on weighting factors </w:t>
      </w:r>
    </w:p>
    <w:p w14:paraId="695744BC" w14:textId="77777777" w:rsidR="00210091" w:rsidRDefault="00210091" w:rsidP="00210091">
      <w:pPr>
        <w:pStyle w:val="Bullet1"/>
      </w:pPr>
      <w:r>
        <w:t xml:space="preserve">Framework useable (intuitive) for non-specialists </w:t>
      </w:r>
    </w:p>
    <w:p w14:paraId="53F4DBED" w14:textId="77777777" w:rsidR="00210091" w:rsidRDefault="00210091" w:rsidP="00210091">
      <w:pPr>
        <w:pStyle w:val="Bullet1"/>
      </w:pPr>
      <w:r>
        <w:t xml:space="preserve">Ability to identify single set of indicators at industry level </w:t>
      </w:r>
    </w:p>
    <w:p w14:paraId="73A6080F" w14:textId="77777777" w:rsidR="00210091" w:rsidRDefault="00210091" w:rsidP="00210091">
      <w:pPr>
        <w:rPr>
          <w:rFonts w:cs="Arial"/>
          <w:lang w:eastAsia="en-GB"/>
        </w:rPr>
      </w:pPr>
    </w:p>
    <w:p w14:paraId="4390160B" w14:textId="77777777" w:rsidR="00210091" w:rsidRDefault="00210091" w:rsidP="00210091">
      <w:pPr>
        <w:pStyle w:val="Body"/>
      </w:pPr>
      <w:r>
        <w:t>A</w:t>
      </w:r>
      <w:r w:rsidRPr="008574B4">
        <w:t xml:space="preserve"> detailed risk assessment/register </w:t>
      </w:r>
      <w:r>
        <w:t xml:space="preserve">and assumptions register should be provided </w:t>
      </w:r>
      <w:r w:rsidRPr="008574B4">
        <w:t>highlighting areas where greater attention may be required to ensure success of the project.</w:t>
      </w: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036276">
        <w:rPr>
          <w:rFonts w:asciiTheme="minorHAnsi" w:hAnsiTheme="minorHAnsi" w:cs="Arial"/>
          <w:b/>
          <w:bCs/>
          <w:sz w:val="22"/>
          <w:szCs w:val="22"/>
        </w:rPr>
      </w:r>
      <w:r w:rsidR="0003627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03627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6"/>
      <w:footerReference w:type="even" r:id="rId27"/>
      <w:footerReference w:type="default" r:id="rId28"/>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925C" w14:textId="77777777" w:rsidR="00DB1D9D" w:rsidRDefault="00DB1D9D" w:rsidP="0003785D">
      <w:r>
        <w:separator/>
      </w:r>
    </w:p>
  </w:endnote>
  <w:endnote w:type="continuationSeparator" w:id="0">
    <w:p w14:paraId="05C253B5" w14:textId="77777777" w:rsidR="00DB1D9D" w:rsidRDefault="00DB1D9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036276" w:rsidRDefault="00036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091">
      <w:rPr>
        <w:rStyle w:val="PageNumber"/>
        <w:noProof/>
      </w:rPr>
      <w:t>2</w:t>
    </w:r>
    <w:r>
      <w:rPr>
        <w:rStyle w:val="PageNumber"/>
      </w:rPr>
      <w:fldChar w:fldCharType="end"/>
    </w:r>
  </w:p>
  <w:p w14:paraId="2A2B9D60" w14:textId="77777777" w:rsidR="00036276" w:rsidRDefault="0003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036276" w:rsidRPr="00F735CB" w:rsidRDefault="0003627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10091">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036276" w:rsidRDefault="0003627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036276" w:rsidRDefault="000362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27A8222F" w:rsidR="00210091" w:rsidRDefault="00210091"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15-Aug-17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210091" w:rsidRDefault="00210091"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036276" w:rsidRDefault="00036276" w:rsidP="00674166">
    <w:pPr>
      <w:pStyle w:val="FooterLeft"/>
    </w:pPr>
    <w:r>
      <w:fldChar w:fldCharType="begin"/>
    </w:r>
    <w:r>
      <w:instrText xml:space="preserve"> PAGE   \* MERGEFORMAT </w:instrText>
    </w:r>
    <w:r>
      <w:fldChar w:fldCharType="separate"/>
    </w:r>
    <w:r w:rsidR="00210091">
      <w:rPr>
        <w:noProof/>
      </w:rPr>
      <w:t>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036276" w:rsidRDefault="00036276" w:rsidP="00674166">
    <w:pPr>
      <w:pStyle w:val="FooterRight"/>
    </w:pPr>
    <w:r>
      <w:fldChar w:fldCharType="begin"/>
    </w:r>
    <w:r>
      <w:instrText xml:space="preserve"> PAGE   \* MERGEFORMAT </w:instrText>
    </w:r>
    <w:r>
      <w:fldChar w:fldCharType="separate"/>
    </w:r>
    <w:r w:rsidR="00210091">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E4C4" w14:textId="77777777" w:rsidR="00DB1D9D" w:rsidRDefault="00DB1D9D" w:rsidP="0003785D">
      <w:r>
        <w:separator/>
      </w:r>
    </w:p>
  </w:footnote>
  <w:footnote w:type="continuationSeparator" w:id="0">
    <w:p w14:paraId="53C19C70" w14:textId="77777777" w:rsidR="00DB1D9D" w:rsidRDefault="00DB1D9D" w:rsidP="0003785D">
      <w:r>
        <w:continuationSeparator/>
      </w:r>
    </w:p>
  </w:footnote>
  <w:footnote w:id="1">
    <w:p w14:paraId="2B94C378" w14:textId="77777777" w:rsidR="00210091" w:rsidRDefault="00210091" w:rsidP="00210091">
      <w:pPr>
        <w:pStyle w:val="FootnoteText"/>
      </w:pPr>
      <w:r>
        <w:rPr>
          <w:rStyle w:val="FootnoteReference"/>
        </w:rPr>
        <w:footnoteRef/>
      </w:r>
      <w:r>
        <w:t xml:space="preserve"> Social sustainability is defined as ‘identifying and managing business impacts, both positive and negative, on people, </w:t>
      </w:r>
      <w:r w:rsidRPr="00B62BEA">
        <w:t xml:space="preserve">be they employees, suppliers, rail users, communities or other groups affected by </w:t>
      </w:r>
      <w:r>
        <w:t>the rail industry’s</w:t>
      </w:r>
      <w:r w:rsidRPr="00B62BEA">
        <w:t xml:space="preserve"> physical and socio-economic presence.</w:t>
      </w:r>
      <w:r>
        <w:t>’</w:t>
      </w:r>
    </w:p>
  </w:footnote>
  <w:footnote w:id="2">
    <w:p w14:paraId="051B9D27" w14:textId="77777777" w:rsidR="00210091" w:rsidRPr="0064271F" w:rsidRDefault="00210091" w:rsidP="00210091">
      <w:pPr>
        <w:pStyle w:val="FootnoteText"/>
      </w:pPr>
      <w:r>
        <w:rPr>
          <w:rStyle w:val="FootnoteReference"/>
        </w:rPr>
        <w:footnoteRef/>
      </w:r>
      <w:r>
        <w:t xml:space="preserve"> </w:t>
      </w:r>
      <w:r w:rsidRPr="0064271F">
        <w:t xml:space="preserve">Social </w:t>
      </w:r>
      <w:r>
        <w:t>value includes consideration of social benefits such as</w:t>
      </w:r>
    </w:p>
    <w:p w14:paraId="0F688A62" w14:textId="77777777" w:rsidR="00210091" w:rsidRPr="0064271F" w:rsidRDefault="00210091" w:rsidP="00210091">
      <w:pPr>
        <w:pStyle w:val="FootnoteText"/>
        <w:numPr>
          <w:ilvl w:val="0"/>
          <w:numId w:val="44"/>
        </w:numPr>
        <w:tabs>
          <w:tab w:val="clear" w:pos="360"/>
        </w:tabs>
        <w:spacing w:after="0"/>
      </w:pPr>
      <w:r w:rsidRPr="0064271F">
        <w:t>Health and wellbeing</w:t>
      </w:r>
    </w:p>
    <w:p w14:paraId="38918155" w14:textId="77777777" w:rsidR="00210091" w:rsidRPr="0064271F" w:rsidRDefault="00210091" w:rsidP="00210091">
      <w:pPr>
        <w:pStyle w:val="FootnoteText"/>
        <w:numPr>
          <w:ilvl w:val="0"/>
          <w:numId w:val="44"/>
        </w:numPr>
        <w:tabs>
          <w:tab w:val="clear" w:pos="360"/>
        </w:tabs>
        <w:spacing w:after="0"/>
      </w:pPr>
      <w:r w:rsidRPr="0064271F">
        <w:t>Diversity and inclusion</w:t>
      </w:r>
    </w:p>
    <w:p w14:paraId="411B6867" w14:textId="77777777" w:rsidR="00210091" w:rsidRPr="0064271F" w:rsidRDefault="00210091" w:rsidP="00210091">
      <w:pPr>
        <w:pStyle w:val="FootnoteText"/>
        <w:numPr>
          <w:ilvl w:val="0"/>
          <w:numId w:val="44"/>
        </w:numPr>
        <w:tabs>
          <w:tab w:val="clear" w:pos="360"/>
        </w:tabs>
        <w:spacing w:after="0"/>
      </w:pPr>
      <w:r w:rsidRPr="0064271F">
        <w:t>Community cohesion</w:t>
      </w:r>
    </w:p>
    <w:p w14:paraId="53811F0B" w14:textId="77777777" w:rsidR="00210091" w:rsidRPr="0064271F" w:rsidRDefault="00210091" w:rsidP="00210091">
      <w:pPr>
        <w:pStyle w:val="FootnoteText"/>
        <w:numPr>
          <w:ilvl w:val="0"/>
          <w:numId w:val="44"/>
        </w:numPr>
        <w:tabs>
          <w:tab w:val="clear" w:pos="360"/>
        </w:tabs>
        <w:spacing w:after="0"/>
      </w:pPr>
      <w:r w:rsidRPr="0064271F">
        <w:t>Community safety, including suicide prevention and anti-social behaviour</w:t>
      </w:r>
    </w:p>
    <w:p w14:paraId="1B90CADB" w14:textId="77777777" w:rsidR="00210091" w:rsidRPr="0064271F" w:rsidRDefault="00210091" w:rsidP="00210091">
      <w:pPr>
        <w:pStyle w:val="FootnoteText"/>
        <w:numPr>
          <w:ilvl w:val="0"/>
          <w:numId w:val="44"/>
        </w:numPr>
        <w:tabs>
          <w:tab w:val="clear" w:pos="360"/>
        </w:tabs>
        <w:spacing w:after="0"/>
      </w:pPr>
      <w:r w:rsidRPr="0064271F">
        <w:t>Employment and skills (including local recruitment)</w:t>
      </w:r>
    </w:p>
    <w:p w14:paraId="1CC2EF94" w14:textId="77777777" w:rsidR="00210091" w:rsidRPr="0064271F" w:rsidRDefault="00210091" w:rsidP="00210091">
      <w:pPr>
        <w:pStyle w:val="FootnoteText"/>
        <w:numPr>
          <w:ilvl w:val="0"/>
          <w:numId w:val="44"/>
        </w:numPr>
        <w:tabs>
          <w:tab w:val="clear" w:pos="360"/>
        </w:tabs>
        <w:spacing w:after="0"/>
      </w:pPr>
      <w:r w:rsidRPr="0064271F">
        <w:t>Local and sustainable procurement (including SMEs and social enterprises)</w:t>
      </w:r>
    </w:p>
    <w:p w14:paraId="7D6DC732" w14:textId="77777777" w:rsidR="00210091" w:rsidRPr="0064271F" w:rsidRDefault="00210091" w:rsidP="00210091">
      <w:pPr>
        <w:pStyle w:val="FootnoteText"/>
        <w:numPr>
          <w:ilvl w:val="0"/>
          <w:numId w:val="44"/>
        </w:numPr>
        <w:tabs>
          <w:tab w:val="clear" w:pos="360"/>
        </w:tabs>
        <w:spacing w:after="0"/>
      </w:pPr>
      <w:r w:rsidRPr="0064271F">
        <w:t>Employee engagement</w:t>
      </w:r>
    </w:p>
    <w:p w14:paraId="777FBF79" w14:textId="77777777" w:rsidR="00210091" w:rsidRPr="0064271F" w:rsidRDefault="00210091" w:rsidP="00210091">
      <w:pPr>
        <w:pStyle w:val="FootnoteText"/>
        <w:numPr>
          <w:ilvl w:val="0"/>
          <w:numId w:val="44"/>
        </w:numPr>
        <w:tabs>
          <w:tab w:val="clear" w:pos="360"/>
        </w:tabs>
        <w:spacing w:after="0"/>
      </w:pPr>
      <w:r w:rsidRPr="0064271F">
        <w:t>Customer satisfaction</w:t>
      </w:r>
    </w:p>
    <w:p w14:paraId="7AE17DF7" w14:textId="77777777" w:rsidR="00210091" w:rsidRPr="0064271F" w:rsidRDefault="00210091" w:rsidP="00210091">
      <w:pPr>
        <w:pStyle w:val="FootnoteText"/>
      </w:pPr>
    </w:p>
    <w:p w14:paraId="37AA540F" w14:textId="77777777" w:rsidR="00210091" w:rsidRPr="0064271F" w:rsidRDefault="00210091" w:rsidP="00210091">
      <w:pPr>
        <w:pStyle w:val="FootnoteText"/>
      </w:pPr>
      <w:r>
        <w:t>I</w:t>
      </w:r>
      <w:r w:rsidRPr="0064271F">
        <w:t>ndustry specific drivers of social value</w:t>
      </w:r>
      <w:r>
        <w:t xml:space="preserve"> </w:t>
      </w:r>
      <w:r w:rsidRPr="0064271F">
        <w:t xml:space="preserve">include (but </w:t>
      </w:r>
      <w:r>
        <w:t xml:space="preserve">are </w:t>
      </w:r>
      <w:r w:rsidRPr="0064271F">
        <w:t>by no means limited to)</w:t>
      </w:r>
    </w:p>
    <w:p w14:paraId="1C678982" w14:textId="77777777" w:rsidR="00210091" w:rsidRPr="0064271F" w:rsidRDefault="00210091" w:rsidP="00210091">
      <w:pPr>
        <w:pStyle w:val="FootnoteText"/>
        <w:numPr>
          <w:ilvl w:val="0"/>
          <w:numId w:val="44"/>
        </w:numPr>
        <w:tabs>
          <w:tab w:val="clear" w:pos="360"/>
        </w:tabs>
        <w:spacing w:after="0"/>
      </w:pPr>
      <w:r w:rsidRPr="0064271F">
        <w:t>Accessibility (i.e. in relation to design and operations)</w:t>
      </w:r>
    </w:p>
    <w:p w14:paraId="4B1313B2" w14:textId="77777777" w:rsidR="00210091" w:rsidRPr="0064271F" w:rsidRDefault="00210091" w:rsidP="00210091">
      <w:pPr>
        <w:pStyle w:val="FootnoteText"/>
        <w:numPr>
          <w:ilvl w:val="0"/>
          <w:numId w:val="44"/>
        </w:numPr>
        <w:tabs>
          <w:tab w:val="clear" w:pos="360"/>
        </w:tabs>
        <w:spacing w:after="0"/>
      </w:pPr>
      <w:r w:rsidRPr="0064271F">
        <w:t>Community use of railway assets (including rail heritage, community rail partnerships and community rail volunteering)</w:t>
      </w:r>
    </w:p>
    <w:p w14:paraId="35E77AD7" w14:textId="77777777" w:rsidR="00210091" w:rsidRPr="0064271F" w:rsidRDefault="00210091" w:rsidP="00210091">
      <w:pPr>
        <w:pStyle w:val="FootnoteText"/>
        <w:numPr>
          <w:ilvl w:val="0"/>
          <w:numId w:val="44"/>
        </w:numPr>
        <w:tabs>
          <w:tab w:val="clear" w:pos="360"/>
        </w:tabs>
        <w:spacing w:after="0"/>
      </w:pPr>
      <w:r w:rsidRPr="0064271F">
        <w:t>Travel and tourism</w:t>
      </w:r>
    </w:p>
    <w:p w14:paraId="0C606885" w14:textId="77777777" w:rsidR="00210091" w:rsidRDefault="00210091" w:rsidP="00210091">
      <w:pPr>
        <w:pStyle w:val="FootnoteText"/>
        <w:numPr>
          <w:ilvl w:val="0"/>
          <w:numId w:val="44"/>
        </w:numPr>
        <w:tabs>
          <w:tab w:val="clear" w:pos="360"/>
        </w:tabs>
        <w:spacing w:after="0"/>
      </w:pPr>
      <w:r w:rsidRPr="0064271F">
        <w:t>Polycentric development</w:t>
      </w:r>
    </w:p>
    <w:p w14:paraId="699664B2" w14:textId="77777777" w:rsidR="00210091" w:rsidRDefault="00210091" w:rsidP="00210091">
      <w:pPr>
        <w:pStyle w:val="FootnoteText"/>
        <w:numPr>
          <w:ilvl w:val="0"/>
          <w:numId w:val="44"/>
        </w:numPr>
        <w:tabs>
          <w:tab w:val="clear" w:pos="360"/>
        </w:tabs>
        <w:spacing w:after="0"/>
      </w:pPr>
      <w:r w:rsidRPr="0064271F">
        <w:t>Gentrification</w:t>
      </w:r>
    </w:p>
  </w:footnote>
  <w:footnote w:id="3">
    <w:p w14:paraId="49A1EB36" w14:textId="77777777" w:rsidR="00210091" w:rsidRDefault="00210091" w:rsidP="00210091">
      <w:pPr>
        <w:pStyle w:val="FootnoteText"/>
      </w:pPr>
      <w:r>
        <w:rPr>
          <w:rStyle w:val="FootnoteReference"/>
        </w:rPr>
        <w:footnoteRef/>
      </w:r>
      <w:r>
        <w:t xml:space="preserve"> Further to this, a review should be undertaken of the DfT’s 2010 report ‘</w:t>
      </w:r>
      <w:r w:rsidRPr="00C92723">
        <w:t>Station Usage and Demand Forecasts for Newly Opened Railway Lines and Stations</w:t>
      </w:r>
      <w:r>
        <w:t>’</w:t>
      </w:r>
    </w:p>
  </w:footnote>
  <w:footnote w:id="4">
    <w:p w14:paraId="63C95BB2" w14:textId="77777777" w:rsidR="00210091" w:rsidRDefault="00210091" w:rsidP="00210091">
      <w:pPr>
        <w:pStyle w:val="FootnoteText"/>
      </w:pPr>
      <w:r>
        <w:rPr>
          <w:rStyle w:val="FootnoteReference"/>
        </w:rPr>
        <w:footnoteRef/>
      </w:r>
      <w:r>
        <w:t xml:space="preserve"> The review should, in part, include RDG’s report ‘</w:t>
      </w:r>
      <w:r w:rsidRPr="00166B2D">
        <w:t>Community Stations: Innovative community uses for railway stations and land’</w:t>
      </w:r>
    </w:p>
  </w:footnote>
  <w:footnote w:id="5">
    <w:p w14:paraId="383B7734" w14:textId="77777777" w:rsidR="00036276" w:rsidRPr="00B13B50" w:rsidRDefault="0003627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036276" w:rsidRDefault="0003627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036276" w:rsidRDefault="0003627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036276" w:rsidRDefault="0003627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210091" w:rsidRDefault="00210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210091" w:rsidRPr="0003785D" w:rsidRDefault="00210091"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210091" w:rsidRDefault="002100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036276" w:rsidRPr="0003785D" w:rsidRDefault="0003627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180421"/>
    <w:multiLevelType w:val="hybridMultilevel"/>
    <w:tmpl w:val="307A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F44AB"/>
    <w:multiLevelType w:val="hybridMultilevel"/>
    <w:tmpl w:val="217AA590"/>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3578D4"/>
    <w:multiLevelType w:val="hybridMultilevel"/>
    <w:tmpl w:val="3F36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86C5E"/>
    <w:multiLevelType w:val="hybridMultilevel"/>
    <w:tmpl w:val="612A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45E531C6"/>
    <w:multiLevelType w:val="hybridMultilevel"/>
    <w:tmpl w:val="2FAE8EF4"/>
    <w:lvl w:ilvl="0" w:tplc="62CCCB6A">
      <w:start w:val="1"/>
      <w:numFmt w:val="decimal"/>
      <w:lvlText w:val="1.%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5F1282"/>
    <w:multiLevelType w:val="hybridMultilevel"/>
    <w:tmpl w:val="6B8C5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5"/>
  </w:num>
  <w:num w:numId="4">
    <w:abstractNumId w:val="29"/>
  </w:num>
  <w:num w:numId="5">
    <w:abstractNumId w:val="46"/>
  </w:num>
  <w:num w:numId="6">
    <w:abstractNumId w:val="0"/>
  </w:num>
  <w:num w:numId="7">
    <w:abstractNumId w:val="50"/>
  </w:num>
  <w:num w:numId="8">
    <w:abstractNumId w:val="45"/>
  </w:num>
  <w:num w:numId="9">
    <w:abstractNumId w:val="1"/>
  </w:num>
  <w:num w:numId="10">
    <w:abstractNumId w:val="30"/>
  </w:num>
  <w:num w:numId="11">
    <w:abstractNumId w:val="52"/>
  </w:num>
  <w:num w:numId="12">
    <w:abstractNumId w:val="3"/>
  </w:num>
  <w:num w:numId="13">
    <w:abstractNumId w:val="51"/>
  </w:num>
  <w:num w:numId="14">
    <w:abstractNumId w:val="38"/>
  </w:num>
  <w:num w:numId="15">
    <w:abstractNumId w:val="35"/>
  </w:num>
  <w:num w:numId="16">
    <w:abstractNumId w:val="6"/>
  </w:num>
  <w:num w:numId="17">
    <w:abstractNumId w:val="8"/>
  </w:num>
  <w:num w:numId="18">
    <w:abstractNumId w:val="44"/>
  </w:num>
  <w:num w:numId="19">
    <w:abstractNumId w:val="11"/>
  </w:num>
  <w:num w:numId="20">
    <w:abstractNumId w:val="24"/>
  </w:num>
  <w:num w:numId="21">
    <w:abstractNumId w:val="27"/>
  </w:num>
  <w:num w:numId="22">
    <w:abstractNumId w:val="36"/>
  </w:num>
  <w:num w:numId="23">
    <w:abstractNumId w:val="4"/>
  </w:num>
  <w:num w:numId="24">
    <w:abstractNumId w:val="53"/>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9"/>
  </w:num>
  <w:num w:numId="34">
    <w:abstractNumId w:val="5"/>
  </w:num>
  <w:num w:numId="35">
    <w:abstractNumId w:val="42"/>
  </w:num>
  <w:num w:numId="36">
    <w:abstractNumId w:val="19"/>
  </w:num>
  <w:num w:numId="37">
    <w:abstractNumId w:val="9"/>
  </w:num>
  <w:num w:numId="38">
    <w:abstractNumId w:val="48"/>
  </w:num>
  <w:num w:numId="39">
    <w:abstractNumId w:val="17"/>
  </w:num>
  <w:num w:numId="40">
    <w:abstractNumId w:val="47"/>
  </w:num>
  <w:num w:numId="41">
    <w:abstractNumId w:val="26"/>
  </w:num>
  <w:num w:numId="42">
    <w:abstractNumId w:val="20"/>
  </w:num>
  <w:num w:numId="43">
    <w:abstractNumId w:val="7"/>
  </w:num>
  <w:num w:numId="44">
    <w:abstractNumId w:val="37"/>
  </w:num>
  <w:num w:numId="45">
    <w:abstractNumId w:val="31"/>
  </w:num>
  <w:num w:numId="46">
    <w:abstractNumId w:val="18"/>
  </w:num>
  <w:num w:numId="47">
    <w:abstractNumId w:val="28"/>
  </w:num>
  <w:num w:numId="48">
    <w:abstractNumId w:val="39"/>
  </w:num>
  <w:num w:numId="49">
    <w:abstractNumId w:val="23"/>
  </w:num>
  <w:num w:numId="50">
    <w:abstractNumId w:val="12"/>
  </w:num>
  <w:num w:numId="51">
    <w:abstractNumId w:val="21"/>
  </w:num>
  <w:num w:numId="52">
    <w:abstractNumId w:val="13"/>
  </w:num>
  <w:num w:numId="53">
    <w:abstractNumId w:val="10"/>
  </w:num>
  <w:num w:numId="54">
    <w:abstractNumId w:val="32"/>
  </w:num>
  <w:num w:numId="55">
    <w:abstractNumId w:val="25"/>
  </w:num>
  <w:num w:numId="56">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695A8CDC-6F1E-48E8-8089-6ECCFAE4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39</Pages>
  <Words>7345</Words>
  <Characters>41870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2017-08-18T08:57:00Z</dcterms:created>
  <dcterms:modified xsi:type="dcterms:W3CDTF">2017-08-18T08:57:00Z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