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92" w:rsidRPr="00FE0292" w:rsidRDefault="00FE0292" w:rsidP="00FE0292">
      <w:pPr>
        <w:spacing w:after="0" w:line="240" w:lineRule="auto"/>
        <w:jc w:val="center"/>
        <w:rPr>
          <w:rFonts w:ascii="Arial" w:eastAsia="Times New Roman" w:hAnsi="Arial" w:cs="Arial"/>
          <w:b/>
          <w:bCs/>
          <w:lang w:eastAsia="en-GB"/>
        </w:rPr>
      </w:pPr>
    </w:p>
    <w:p w:rsidR="00FE0292" w:rsidRPr="00EE28DA" w:rsidRDefault="009A2056" w:rsidP="00FE0292">
      <w:pPr>
        <w:spacing w:after="0" w:line="240" w:lineRule="auto"/>
        <w:rPr>
          <w:rFonts w:ascii="Arial" w:eastAsia="Times New Roman" w:hAnsi="Arial" w:cs="Arial"/>
          <w:b/>
          <w:bCs/>
          <w:color w:val="00B0F0"/>
          <w:lang w:eastAsia="en-GB"/>
        </w:rPr>
      </w:pPr>
      <w:r>
        <w:rPr>
          <w:rFonts w:ascii="Arial" w:eastAsia="Times New Roman" w:hAnsi="Arial" w:cs="Arial"/>
          <w:b/>
          <w:bCs/>
          <w:lang w:eastAsia="en-GB"/>
        </w:rPr>
        <w:tab/>
      </w:r>
      <w:r w:rsidR="003D36A6">
        <w:rPr>
          <w:rFonts w:ascii="Arial" w:eastAsia="Times New Roman" w:hAnsi="Arial" w:cs="Arial"/>
          <w:b/>
          <w:bCs/>
          <w:lang w:eastAsia="en-GB"/>
        </w:rPr>
        <w:t>BACKGROUND</w:t>
      </w:r>
    </w:p>
    <w:p w:rsidR="009A2056" w:rsidRDefault="00FE0292" w:rsidP="00DE0642">
      <w:pPr>
        <w:spacing w:after="0" w:line="240" w:lineRule="auto"/>
        <w:ind w:left="709" w:hanging="709"/>
        <w:rPr>
          <w:rFonts w:ascii="Arial" w:eastAsia="Times New Roman" w:hAnsi="Arial" w:cs="Arial"/>
          <w:lang w:eastAsia="en-GB"/>
        </w:rPr>
      </w:pPr>
      <w:r w:rsidRPr="00FE0292">
        <w:rPr>
          <w:rFonts w:ascii="Arial" w:eastAsia="Times New Roman" w:hAnsi="Arial" w:cs="Arial"/>
          <w:lang w:eastAsia="en-GB"/>
        </w:rPr>
        <w:tab/>
      </w:r>
    </w:p>
    <w:p w:rsidR="00DE0642" w:rsidRDefault="009A2056" w:rsidP="00DE0642">
      <w:pPr>
        <w:spacing w:after="0" w:line="240" w:lineRule="auto"/>
        <w:ind w:left="709" w:hanging="709"/>
        <w:rPr>
          <w:rFonts w:ascii="Arial" w:eastAsia="Times New Roman" w:hAnsi="Arial" w:cs="Arial"/>
          <w:lang w:eastAsia="en-GB"/>
        </w:rPr>
      </w:pPr>
      <w:r>
        <w:rPr>
          <w:rFonts w:ascii="Arial" w:eastAsia="Times New Roman" w:hAnsi="Arial" w:cs="Arial"/>
          <w:lang w:eastAsia="en-GB"/>
        </w:rPr>
        <w:tab/>
      </w:r>
      <w:r w:rsidR="001A784B">
        <w:rPr>
          <w:rFonts w:ascii="Arial" w:eastAsia="Times New Roman" w:hAnsi="Arial" w:cs="Arial"/>
          <w:lang w:eastAsia="en-GB"/>
        </w:rPr>
        <w:t>NHS Improvement commenced purchasing data collection</w:t>
      </w:r>
      <w:r w:rsidR="00076CFD">
        <w:rPr>
          <w:rFonts w:ascii="Arial" w:eastAsia="Times New Roman" w:hAnsi="Arial" w:cs="Arial"/>
          <w:lang w:eastAsia="en-GB"/>
        </w:rPr>
        <w:t xml:space="preserve"> (through PO data)</w:t>
      </w:r>
      <w:r w:rsidR="001A784B">
        <w:rPr>
          <w:rFonts w:ascii="Arial" w:eastAsia="Times New Roman" w:hAnsi="Arial" w:cs="Arial"/>
          <w:lang w:eastAsia="en-GB"/>
        </w:rPr>
        <w:t xml:space="preserve"> </w:t>
      </w:r>
      <w:r w:rsidR="00DE0642">
        <w:rPr>
          <w:rFonts w:ascii="Arial" w:eastAsia="Times New Roman" w:hAnsi="Arial" w:cs="Arial"/>
          <w:lang w:eastAsia="en-GB"/>
        </w:rPr>
        <w:t>from provider Trusts in September</w:t>
      </w:r>
      <w:r w:rsidR="001A784B">
        <w:rPr>
          <w:rFonts w:ascii="Arial" w:eastAsia="Times New Roman" w:hAnsi="Arial" w:cs="Arial"/>
          <w:lang w:eastAsia="en-GB"/>
        </w:rPr>
        <w:t xml:space="preserve"> 2016.</w:t>
      </w:r>
      <w:r w:rsidR="00DE0642">
        <w:rPr>
          <w:rFonts w:ascii="Arial" w:eastAsia="Times New Roman" w:hAnsi="Arial" w:cs="Arial"/>
          <w:lang w:eastAsia="en-GB"/>
        </w:rPr>
        <w:t xml:space="preserve"> The first Procurement League Table was an</w:t>
      </w:r>
      <w:r w:rsidR="00A1465E">
        <w:rPr>
          <w:rFonts w:ascii="Arial" w:eastAsia="Times New Roman" w:hAnsi="Arial" w:cs="Arial"/>
          <w:lang w:eastAsia="en-GB"/>
        </w:rPr>
        <w:t xml:space="preserve">nounced in November 2017. </w:t>
      </w:r>
    </w:p>
    <w:p w:rsidR="009A2056" w:rsidRDefault="00DE0642" w:rsidP="00DE0642">
      <w:pPr>
        <w:spacing w:after="0" w:line="240" w:lineRule="auto"/>
        <w:ind w:left="709" w:hanging="709"/>
        <w:rPr>
          <w:rFonts w:ascii="Arial" w:eastAsia="Times New Roman" w:hAnsi="Arial" w:cs="Arial"/>
          <w:lang w:eastAsia="en-GB"/>
        </w:rPr>
      </w:pPr>
      <w:r>
        <w:rPr>
          <w:rFonts w:ascii="Arial" w:eastAsia="Times New Roman" w:hAnsi="Arial" w:cs="Arial"/>
          <w:lang w:eastAsia="en-GB"/>
        </w:rPr>
        <w:tab/>
      </w:r>
    </w:p>
    <w:p w:rsidR="00DE0642" w:rsidRDefault="009A2056" w:rsidP="00DE0642">
      <w:pPr>
        <w:spacing w:after="0" w:line="240" w:lineRule="auto"/>
        <w:ind w:left="709" w:hanging="709"/>
        <w:rPr>
          <w:rFonts w:ascii="Arial" w:eastAsia="Times New Roman" w:hAnsi="Arial" w:cs="Arial"/>
          <w:lang w:eastAsia="en-GB"/>
        </w:rPr>
      </w:pPr>
      <w:r>
        <w:rPr>
          <w:rFonts w:ascii="Arial" w:eastAsia="Times New Roman" w:hAnsi="Arial" w:cs="Arial"/>
          <w:lang w:eastAsia="en-GB"/>
        </w:rPr>
        <w:tab/>
      </w:r>
      <w:r w:rsidR="00DE0642">
        <w:rPr>
          <w:rFonts w:ascii="Arial" w:eastAsia="Times New Roman" w:hAnsi="Arial" w:cs="Arial"/>
          <w:lang w:eastAsia="en-GB"/>
        </w:rPr>
        <w:t>The use of PPIB</w:t>
      </w:r>
      <w:r>
        <w:rPr>
          <w:rFonts w:ascii="Arial" w:eastAsia="Times New Roman" w:hAnsi="Arial" w:cs="Arial"/>
          <w:lang w:eastAsia="en-GB"/>
        </w:rPr>
        <w:t xml:space="preserve"> (an NHSI toolkit)</w:t>
      </w:r>
      <w:r w:rsidR="00DE0642">
        <w:rPr>
          <w:rFonts w:ascii="Arial" w:eastAsia="Times New Roman" w:hAnsi="Arial" w:cs="Arial"/>
          <w:lang w:eastAsia="en-GB"/>
        </w:rPr>
        <w:t xml:space="preserve"> allows PAH to benchmark across providers on median and best price basis. This also allows for opportunity to deliver cost improvement across the Trust by targeting categories, products or suppliers who are outliers in price performance. </w:t>
      </w:r>
    </w:p>
    <w:p w:rsidR="00DE0642" w:rsidRDefault="00DE0642" w:rsidP="00DE0642">
      <w:pPr>
        <w:spacing w:after="0" w:line="240" w:lineRule="auto"/>
        <w:ind w:left="709" w:hanging="709"/>
        <w:rPr>
          <w:rFonts w:ascii="Arial" w:eastAsia="Times New Roman" w:hAnsi="Arial" w:cs="Arial"/>
          <w:lang w:eastAsia="en-GB"/>
        </w:rPr>
      </w:pPr>
    </w:p>
    <w:p w:rsidR="00A1465E" w:rsidRDefault="00DE0642" w:rsidP="00DE0642">
      <w:pPr>
        <w:spacing w:after="0" w:line="240" w:lineRule="auto"/>
        <w:ind w:left="709" w:hanging="709"/>
        <w:rPr>
          <w:rFonts w:ascii="Arial" w:eastAsia="Times New Roman" w:hAnsi="Arial" w:cs="Arial"/>
          <w:lang w:eastAsia="en-GB"/>
        </w:rPr>
      </w:pPr>
      <w:r>
        <w:rPr>
          <w:rFonts w:ascii="Arial" w:eastAsia="Times New Roman" w:hAnsi="Arial" w:cs="Arial"/>
          <w:lang w:eastAsia="en-GB"/>
        </w:rPr>
        <w:tab/>
        <w:t>PAH’s price data is submitted to NHS Improvement for data cleansing and analytics at every end of the month</w:t>
      </w:r>
      <w:r w:rsidR="00A1465E">
        <w:rPr>
          <w:rFonts w:ascii="Arial" w:eastAsia="Times New Roman" w:hAnsi="Arial" w:cs="Arial"/>
          <w:lang w:eastAsia="en-GB"/>
        </w:rPr>
        <w:t xml:space="preserve"> (submitted by first working day of the following month)</w:t>
      </w:r>
      <w:r>
        <w:rPr>
          <w:rFonts w:ascii="Arial" w:eastAsia="Times New Roman" w:hAnsi="Arial" w:cs="Arial"/>
          <w:lang w:eastAsia="en-GB"/>
        </w:rPr>
        <w:t xml:space="preserve">. </w:t>
      </w:r>
    </w:p>
    <w:p w:rsidR="00A1465E" w:rsidRDefault="00A1465E" w:rsidP="00DE0642">
      <w:pPr>
        <w:spacing w:after="0" w:line="240" w:lineRule="auto"/>
        <w:ind w:left="709" w:hanging="709"/>
        <w:rPr>
          <w:rFonts w:ascii="Arial" w:eastAsia="Times New Roman" w:hAnsi="Arial" w:cs="Arial"/>
          <w:lang w:eastAsia="en-GB"/>
        </w:rPr>
      </w:pPr>
    </w:p>
    <w:p w:rsidR="00FE0292" w:rsidRPr="00DE0642" w:rsidRDefault="00A1465E" w:rsidP="00DE0642">
      <w:pPr>
        <w:spacing w:after="0" w:line="240" w:lineRule="auto"/>
        <w:ind w:left="709" w:hanging="709"/>
        <w:rPr>
          <w:rFonts w:ascii="Arial" w:eastAsia="Times New Roman" w:hAnsi="Arial" w:cs="Arial"/>
          <w:lang w:eastAsia="en-GB"/>
        </w:rPr>
      </w:pPr>
      <w:r>
        <w:rPr>
          <w:rFonts w:ascii="Arial" w:eastAsia="Times New Roman" w:hAnsi="Arial" w:cs="Arial"/>
          <w:lang w:eastAsia="en-GB"/>
        </w:rPr>
        <w:tab/>
        <w:t>Nonetheless, the Cost Improvement agenda is an important focus for the Trust as it looks to deliver financial balance in 2017/18. This paper highlights the steps that will be initiated by the Procurement Department to deliver better Cost Improvement (price) performance through PPIB to support health groups on their Cost Improvement agenda.</w:t>
      </w:r>
    </w:p>
    <w:p w:rsidR="00E7101F" w:rsidRDefault="00E7101F" w:rsidP="00461460">
      <w:pPr>
        <w:spacing w:after="0" w:line="240" w:lineRule="auto"/>
        <w:rPr>
          <w:rFonts w:ascii="Arial" w:eastAsia="Times New Roman" w:hAnsi="Arial" w:cs="Arial"/>
          <w:b/>
          <w:bCs/>
          <w:lang w:eastAsia="en-GB"/>
        </w:rPr>
      </w:pPr>
    </w:p>
    <w:p w:rsidR="00BB25B1" w:rsidRDefault="00BB25B1" w:rsidP="00461460">
      <w:pPr>
        <w:spacing w:after="0" w:line="240" w:lineRule="auto"/>
        <w:rPr>
          <w:rFonts w:ascii="Arial" w:eastAsia="Times New Roman" w:hAnsi="Arial" w:cs="Arial"/>
          <w:b/>
          <w:bCs/>
          <w:lang w:eastAsia="en-GB"/>
        </w:rPr>
      </w:pPr>
    </w:p>
    <w:p w:rsidR="00FE0292" w:rsidRPr="00FE0292" w:rsidRDefault="00EB7348" w:rsidP="00461460">
      <w:pPr>
        <w:spacing w:after="0" w:line="240" w:lineRule="auto"/>
        <w:rPr>
          <w:rFonts w:ascii="Arial" w:eastAsia="Times New Roman" w:hAnsi="Arial" w:cs="Arial"/>
          <w:b/>
          <w:bCs/>
          <w:i/>
          <w:color w:val="FF0000"/>
          <w:lang w:eastAsia="en-GB"/>
        </w:rPr>
      </w:pPr>
      <w:r>
        <w:rPr>
          <w:rFonts w:ascii="Arial" w:eastAsia="Times New Roman" w:hAnsi="Arial" w:cs="Arial"/>
          <w:b/>
          <w:bCs/>
          <w:lang w:eastAsia="en-GB"/>
        </w:rPr>
        <w:tab/>
      </w:r>
      <w:r w:rsidR="009A2056">
        <w:rPr>
          <w:rFonts w:ascii="Arial" w:eastAsia="Times New Roman" w:hAnsi="Arial" w:cs="Arial"/>
          <w:b/>
          <w:bCs/>
          <w:lang w:eastAsia="en-GB"/>
        </w:rPr>
        <w:t>PAH PPIB DATASET AND OBJECTIVE</w:t>
      </w:r>
    </w:p>
    <w:p w:rsidR="003478F8" w:rsidRDefault="00B20600" w:rsidP="00B20600">
      <w:pPr>
        <w:spacing w:after="0" w:line="240" w:lineRule="auto"/>
        <w:ind w:left="709" w:hanging="709"/>
        <w:rPr>
          <w:rFonts w:ascii="Arial" w:eastAsia="Times New Roman" w:hAnsi="Arial" w:cs="Arial"/>
          <w:color w:val="00B0F0"/>
          <w:lang w:eastAsia="en-GB"/>
        </w:rPr>
      </w:pPr>
      <w:r>
        <w:rPr>
          <w:rFonts w:ascii="Arial" w:eastAsia="Times New Roman" w:hAnsi="Arial" w:cs="Arial"/>
          <w:color w:val="00B0F0"/>
          <w:lang w:eastAsia="en-GB"/>
        </w:rPr>
        <w:tab/>
      </w:r>
    </w:p>
    <w:p w:rsidR="003478F8" w:rsidRPr="003478F8" w:rsidRDefault="003478F8" w:rsidP="00B20600">
      <w:pPr>
        <w:spacing w:after="0" w:line="240" w:lineRule="auto"/>
        <w:ind w:left="709" w:hanging="709"/>
        <w:rPr>
          <w:rFonts w:ascii="Arial" w:eastAsia="Times New Roman" w:hAnsi="Arial" w:cs="Arial"/>
          <w:b/>
          <w:bCs/>
          <w:lang w:eastAsia="en-GB"/>
        </w:rPr>
      </w:pPr>
      <w:r>
        <w:rPr>
          <w:rFonts w:ascii="Arial" w:eastAsia="Times New Roman" w:hAnsi="Arial" w:cs="Arial"/>
          <w:color w:val="00B0F0"/>
          <w:lang w:eastAsia="en-GB"/>
        </w:rPr>
        <w:tab/>
      </w:r>
      <w:r w:rsidRPr="003478F8">
        <w:rPr>
          <w:rFonts w:ascii="Arial" w:eastAsia="Times New Roman" w:hAnsi="Arial" w:cs="Arial"/>
          <w:b/>
          <w:bCs/>
          <w:lang w:eastAsia="en-GB"/>
        </w:rPr>
        <w:t>Objective</w:t>
      </w:r>
    </w:p>
    <w:p w:rsidR="003478F8" w:rsidRPr="00874454" w:rsidRDefault="003478F8" w:rsidP="00B20600">
      <w:pPr>
        <w:spacing w:after="0" w:line="240" w:lineRule="auto"/>
        <w:ind w:left="709" w:hanging="709"/>
        <w:rPr>
          <w:rFonts w:ascii="Arial" w:eastAsia="Times New Roman" w:hAnsi="Arial" w:cs="Arial"/>
          <w:lang w:eastAsia="en-GB"/>
        </w:rPr>
      </w:pPr>
    </w:p>
    <w:p w:rsidR="003478F8" w:rsidRPr="00874454" w:rsidRDefault="003478F8" w:rsidP="003478F8">
      <w:pPr>
        <w:pStyle w:val="ListParagraph"/>
        <w:numPr>
          <w:ilvl w:val="0"/>
          <w:numId w:val="11"/>
        </w:numPr>
        <w:spacing w:after="0" w:line="240" w:lineRule="auto"/>
        <w:rPr>
          <w:rFonts w:ascii="Arial" w:eastAsia="Times New Roman" w:hAnsi="Arial" w:cs="Arial"/>
          <w:lang w:eastAsia="en-GB"/>
        </w:rPr>
      </w:pPr>
      <w:r w:rsidRPr="00874454">
        <w:rPr>
          <w:rFonts w:ascii="Arial" w:eastAsia="Times New Roman" w:hAnsi="Arial" w:cs="Arial"/>
          <w:lang w:eastAsia="en-GB"/>
        </w:rPr>
        <w:t xml:space="preserve">To </w:t>
      </w:r>
      <w:r w:rsidR="00874454" w:rsidRPr="00874454">
        <w:rPr>
          <w:rFonts w:ascii="Arial" w:eastAsia="Times New Roman" w:hAnsi="Arial" w:cs="Arial"/>
          <w:lang w:eastAsia="en-GB"/>
        </w:rPr>
        <w:t>improve quality of captured data across procurement and finance departments to enable expansion of captured opportunities in PPIB.</w:t>
      </w:r>
    </w:p>
    <w:p w:rsidR="003478F8" w:rsidRPr="00874454" w:rsidRDefault="003478F8" w:rsidP="003478F8">
      <w:pPr>
        <w:pStyle w:val="ListParagraph"/>
        <w:numPr>
          <w:ilvl w:val="0"/>
          <w:numId w:val="11"/>
        </w:numPr>
        <w:spacing w:after="0" w:line="240" w:lineRule="auto"/>
        <w:rPr>
          <w:rFonts w:ascii="Arial" w:eastAsia="Times New Roman" w:hAnsi="Arial" w:cs="Arial"/>
          <w:lang w:eastAsia="en-GB"/>
        </w:rPr>
      </w:pPr>
      <w:r w:rsidRPr="00874454">
        <w:rPr>
          <w:rFonts w:ascii="Arial" w:eastAsia="Times New Roman" w:hAnsi="Arial" w:cs="Arial"/>
          <w:lang w:eastAsia="en-GB"/>
        </w:rPr>
        <w:t xml:space="preserve">To </w:t>
      </w:r>
      <w:proofErr w:type="gramStart"/>
      <w:r w:rsidRPr="00874454">
        <w:rPr>
          <w:rFonts w:ascii="Arial" w:eastAsia="Times New Roman" w:hAnsi="Arial" w:cs="Arial"/>
          <w:lang w:eastAsia="en-GB"/>
        </w:rPr>
        <w:t>effect</w:t>
      </w:r>
      <w:proofErr w:type="gramEnd"/>
      <w:r w:rsidRPr="00874454">
        <w:rPr>
          <w:rFonts w:ascii="Arial" w:eastAsia="Times New Roman" w:hAnsi="Arial" w:cs="Arial"/>
          <w:lang w:eastAsia="en-GB"/>
        </w:rPr>
        <w:t xml:space="preserve"> rapid cost reduction across captured product</w:t>
      </w:r>
      <w:r w:rsidR="00874454" w:rsidRPr="00874454">
        <w:rPr>
          <w:rFonts w:ascii="Arial" w:eastAsia="Times New Roman" w:hAnsi="Arial" w:cs="Arial"/>
          <w:lang w:eastAsia="en-GB"/>
        </w:rPr>
        <w:t xml:space="preserve"> and price</w:t>
      </w:r>
      <w:r w:rsidRPr="00874454">
        <w:rPr>
          <w:rFonts w:ascii="Arial" w:eastAsia="Times New Roman" w:hAnsi="Arial" w:cs="Arial"/>
          <w:lang w:eastAsia="en-GB"/>
        </w:rPr>
        <w:t xml:space="preserve"> lines (in PPIB) through better pricing</w:t>
      </w:r>
      <w:r w:rsidR="00874454" w:rsidRPr="00874454">
        <w:rPr>
          <w:rFonts w:ascii="Arial" w:eastAsia="Times New Roman" w:hAnsi="Arial" w:cs="Arial"/>
          <w:lang w:eastAsia="en-GB"/>
        </w:rPr>
        <w:t xml:space="preserve"> and negotiations.</w:t>
      </w:r>
      <w:r w:rsidR="009742D0">
        <w:rPr>
          <w:rFonts w:ascii="Arial" w:eastAsia="Times New Roman" w:hAnsi="Arial" w:cs="Arial"/>
          <w:lang w:eastAsia="en-GB"/>
        </w:rPr>
        <w:t xml:space="preserve"> The Trust is targeting at least £400k - £500k in year cost improvement through this route in the final quarter of 2017/18 (January – March 2018)</w:t>
      </w:r>
      <w:r w:rsidRPr="00874454">
        <w:rPr>
          <w:rFonts w:ascii="Arial" w:eastAsia="Times New Roman" w:hAnsi="Arial" w:cs="Arial"/>
          <w:lang w:eastAsia="en-GB"/>
        </w:rPr>
        <w:t>.</w:t>
      </w:r>
      <w:r w:rsidR="00874454" w:rsidRPr="00874454">
        <w:rPr>
          <w:rFonts w:ascii="Arial" w:eastAsia="Times New Roman" w:hAnsi="Arial" w:cs="Arial"/>
          <w:lang w:eastAsia="en-GB"/>
        </w:rPr>
        <w:t xml:space="preserve"> </w:t>
      </w:r>
    </w:p>
    <w:p w:rsidR="00874454" w:rsidRPr="00874454" w:rsidRDefault="00874454" w:rsidP="00874454">
      <w:pPr>
        <w:pStyle w:val="ListParagraph"/>
        <w:numPr>
          <w:ilvl w:val="0"/>
          <w:numId w:val="11"/>
        </w:numPr>
        <w:spacing w:after="0" w:line="240" w:lineRule="auto"/>
        <w:rPr>
          <w:rFonts w:ascii="Arial" w:eastAsia="Times New Roman" w:hAnsi="Arial" w:cs="Arial"/>
          <w:lang w:eastAsia="en-GB"/>
        </w:rPr>
      </w:pPr>
      <w:r w:rsidRPr="00874454">
        <w:rPr>
          <w:rFonts w:ascii="Arial" w:eastAsia="Times New Roman" w:hAnsi="Arial" w:cs="Arial"/>
          <w:lang w:eastAsia="en-GB"/>
        </w:rPr>
        <w:t xml:space="preserve">To effect conversion to </w:t>
      </w:r>
      <w:proofErr w:type="gramStart"/>
      <w:r w:rsidRPr="00874454">
        <w:rPr>
          <w:rFonts w:ascii="Arial" w:eastAsia="Times New Roman" w:hAnsi="Arial" w:cs="Arial"/>
          <w:lang w:eastAsia="en-GB"/>
        </w:rPr>
        <w:t>Nationally</w:t>
      </w:r>
      <w:proofErr w:type="gramEnd"/>
      <w:r w:rsidRPr="00874454">
        <w:rPr>
          <w:rFonts w:ascii="Arial" w:eastAsia="Times New Roman" w:hAnsi="Arial" w:cs="Arial"/>
          <w:lang w:eastAsia="en-GB"/>
        </w:rPr>
        <w:t xml:space="preserve"> Contracted Product (NCPs) if it provides costs reduction in comparison of Trust pricing.</w:t>
      </w:r>
    </w:p>
    <w:p w:rsidR="003478F8" w:rsidRDefault="003478F8" w:rsidP="00B20600">
      <w:pPr>
        <w:spacing w:after="0" w:line="240" w:lineRule="auto"/>
        <w:ind w:left="709" w:hanging="709"/>
        <w:rPr>
          <w:rFonts w:ascii="Arial" w:eastAsia="Times New Roman" w:hAnsi="Arial" w:cs="Arial"/>
          <w:color w:val="00B0F0"/>
          <w:lang w:eastAsia="en-GB"/>
        </w:rPr>
      </w:pPr>
    </w:p>
    <w:p w:rsidR="009742D0" w:rsidRPr="009742D0" w:rsidRDefault="009742D0" w:rsidP="00B20600">
      <w:pPr>
        <w:spacing w:after="0" w:line="240" w:lineRule="auto"/>
        <w:ind w:left="709" w:hanging="709"/>
        <w:rPr>
          <w:rFonts w:ascii="Arial" w:eastAsia="Times New Roman" w:hAnsi="Arial" w:cs="Arial"/>
          <w:b/>
          <w:bCs/>
          <w:lang w:eastAsia="en-GB"/>
        </w:rPr>
      </w:pPr>
      <w:r>
        <w:rPr>
          <w:rFonts w:ascii="Arial" w:eastAsia="Times New Roman" w:hAnsi="Arial" w:cs="Arial"/>
          <w:color w:val="00B0F0"/>
          <w:lang w:eastAsia="en-GB"/>
        </w:rPr>
        <w:tab/>
      </w:r>
      <w:r w:rsidRPr="009742D0">
        <w:rPr>
          <w:rFonts w:ascii="Arial" w:eastAsia="Times New Roman" w:hAnsi="Arial" w:cs="Arial"/>
          <w:b/>
          <w:bCs/>
          <w:lang w:eastAsia="en-GB"/>
        </w:rPr>
        <w:t>Current PAH dataset</w:t>
      </w:r>
    </w:p>
    <w:p w:rsidR="009742D0" w:rsidRDefault="00B20600" w:rsidP="00B20600">
      <w:pPr>
        <w:spacing w:after="0" w:line="240" w:lineRule="auto"/>
        <w:ind w:left="709" w:hanging="709"/>
        <w:rPr>
          <w:rFonts w:ascii="Arial" w:eastAsia="Times New Roman" w:hAnsi="Arial" w:cs="Arial"/>
          <w:color w:val="00B0F0"/>
          <w:lang w:eastAsia="en-GB"/>
        </w:rPr>
      </w:pPr>
      <w:r>
        <w:rPr>
          <w:rFonts w:ascii="Arial" w:eastAsia="Times New Roman" w:hAnsi="Arial" w:cs="Arial"/>
          <w:color w:val="00B0F0"/>
          <w:lang w:eastAsia="en-GB"/>
        </w:rPr>
        <w:tab/>
      </w:r>
    </w:p>
    <w:p w:rsidR="00B20600" w:rsidRPr="004959A8" w:rsidRDefault="009742D0" w:rsidP="00B20600">
      <w:pPr>
        <w:spacing w:after="0" w:line="240" w:lineRule="auto"/>
        <w:ind w:left="709" w:hanging="709"/>
        <w:rPr>
          <w:rFonts w:ascii="Arial" w:eastAsia="Times New Roman" w:hAnsi="Arial" w:cs="Arial"/>
          <w:lang w:eastAsia="en-GB"/>
        </w:rPr>
      </w:pPr>
      <w:r>
        <w:rPr>
          <w:rFonts w:ascii="Arial" w:eastAsia="Times New Roman" w:hAnsi="Arial" w:cs="Arial"/>
          <w:color w:val="00B0F0"/>
          <w:lang w:eastAsia="en-GB"/>
        </w:rPr>
        <w:tab/>
      </w:r>
      <w:r w:rsidR="00B20600" w:rsidRPr="004959A8">
        <w:rPr>
          <w:rFonts w:ascii="Arial" w:eastAsia="Times New Roman" w:hAnsi="Arial" w:cs="Arial"/>
          <w:lang w:eastAsia="en-GB"/>
        </w:rPr>
        <w:t>The Procurement League Table is constructed and evaluated using the following criteria.</w:t>
      </w:r>
    </w:p>
    <w:p w:rsidR="00B20600" w:rsidRDefault="00B20600" w:rsidP="00B20600">
      <w:pPr>
        <w:spacing w:after="0" w:line="240" w:lineRule="auto"/>
        <w:rPr>
          <w:rFonts w:ascii="Arial" w:eastAsia="Times New Roman" w:hAnsi="Arial" w:cs="Arial"/>
          <w:color w:val="00B0F0"/>
          <w:lang w:eastAsia="en-GB"/>
        </w:rPr>
      </w:pPr>
    </w:p>
    <w:tbl>
      <w:tblPr>
        <w:tblStyle w:val="TableGrid"/>
        <w:tblW w:w="9605" w:type="dxa"/>
        <w:tblInd w:w="709" w:type="dxa"/>
        <w:tblLayout w:type="fixed"/>
        <w:tblLook w:val="04A0" w:firstRow="1" w:lastRow="0" w:firstColumn="1" w:lastColumn="0" w:noHBand="0" w:noVBand="1"/>
      </w:tblPr>
      <w:tblGrid>
        <w:gridCol w:w="1485"/>
        <w:gridCol w:w="1648"/>
        <w:gridCol w:w="1280"/>
        <w:gridCol w:w="1415"/>
        <w:gridCol w:w="1368"/>
        <w:gridCol w:w="1041"/>
        <w:gridCol w:w="1368"/>
      </w:tblGrid>
      <w:tr w:rsidR="00B20600" w:rsidTr="00B20600">
        <w:tc>
          <w:tcPr>
            <w:tcW w:w="1485" w:type="dxa"/>
          </w:tcPr>
          <w:p w:rsidR="00B20600" w:rsidRPr="004959A8" w:rsidRDefault="00B20600" w:rsidP="00B20600">
            <w:pPr>
              <w:jc w:val="center"/>
              <w:rPr>
                <w:rFonts w:ascii="Arial" w:eastAsia="Times New Roman" w:hAnsi="Arial" w:cs="Arial"/>
                <w:b/>
                <w:lang w:eastAsia="en-GB"/>
              </w:rPr>
            </w:pPr>
            <w:r w:rsidRPr="004959A8">
              <w:rPr>
                <w:rFonts w:ascii="Arial" w:eastAsia="Times New Roman" w:hAnsi="Arial" w:cs="Arial"/>
                <w:b/>
                <w:lang w:eastAsia="en-GB"/>
              </w:rPr>
              <w:t>Criteria</w:t>
            </w:r>
          </w:p>
        </w:tc>
        <w:tc>
          <w:tcPr>
            <w:tcW w:w="1648" w:type="dxa"/>
          </w:tcPr>
          <w:p w:rsidR="00B20600" w:rsidRPr="004959A8" w:rsidRDefault="00B20600" w:rsidP="00B20600">
            <w:pPr>
              <w:jc w:val="center"/>
              <w:rPr>
                <w:rFonts w:ascii="Arial" w:eastAsia="Times New Roman" w:hAnsi="Arial" w:cs="Arial"/>
                <w:b/>
                <w:lang w:eastAsia="en-GB"/>
              </w:rPr>
            </w:pPr>
            <w:r w:rsidRPr="004959A8">
              <w:rPr>
                <w:rFonts w:ascii="Arial" w:eastAsia="Times New Roman" w:hAnsi="Arial" w:cs="Arial"/>
                <w:b/>
                <w:lang w:eastAsia="en-GB"/>
              </w:rPr>
              <w:t>Source data</w:t>
            </w:r>
          </w:p>
        </w:tc>
        <w:tc>
          <w:tcPr>
            <w:tcW w:w="1280" w:type="dxa"/>
          </w:tcPr>
          <w:p w:rsidR="00B20600" w:rsidRPr="004959A8" w:rsidRDefault="00B20600" w:rsidP="00B20600">
            <w:pPr>
              <w:jc w:val="center"/>
              <w:rPr>
                <w:rFonts w:ascii="Arial" w:eastAsia="Times New Roman" w:hAnsi="Arial" w:cs="Arial"/>
                <w:b/>
                <w:lang w:eastAsia="en-GB"/>
              </w:rPr>
            </w:pPr>
            <w:r w:rsidRPr="004959A8">
              <w:rPr>
                <w:rFonts w:ascii="Arial" w:eastAsia="Times New Roman" w:hAnsi="Arial" w:cs="Arial"/>
                <w:b/>
                <w:lang w:eastAsia="en-GB"/>
              </w:rPr>
              <w:t>Weighting</w:t>
            </w:r>
          </w:p>
        </w:tc>
        <w:tc>
          <w:tcPr>
            <w:tcW w:w="1415" w:type="dxa"/>
          </w:tcPr>
          <w:p w:rsidR="00B20600" w:rsidRDefault="00B20600" w:rsidP="00B20600">
            <w:pPr>
              <w:jc w:val="center"/>
              <w:rPr>
                <w:rFonts w:ascii="Arial" w:eastAsia="Times New Roman" w:hAnsi="Arial" w:cs="Arial"/>
                <w:b/>
                <w:lang w:eastAsia="en-GB"/>
              </w:rPr>
            </w:pPr>
            <w:r>
              <w:rPr>
                <w:rFonts w:ascii="Arial" w:eastAsia="Times New Roman" w:hAnsi="Arial" w:cs="Arial"/>
                <w:b/>
                <w:lang w:eastAsia="en-GB"/>
              </w:rPr>
              <w:t>Benchmark Stats (Top Performer)</w:t>
            </w:r>
          </w:p>
        </w:tc>
        <w:tc>
          <w:tcPr>
            <w:tcW w:w="1368" w:type="dxa"/>
          </w:tcPr>
          <w:p w:rsidR="00B20600" w:rsidRDefault="00B20600" w:rsidP="00B20600">
            <w:pPr>
              <w:jc w:val="center"/>
              <w:rPr>
                <w:rFonts w:ascii="Arial" w:eastAsia="Times New Roman" w:hAnsi="Arial" w:cs="Arial"/>
                <w:b/>
                <w:lang w:eastAsia="en-GB"/>
              </w:rPr>
            </w:pPr>
            <w:r>
              <w:rPr>
                <w:rFonts w:ascii="Arial" w:eastAsia="Times New Roman" w:hAnsi="Arial" w:cs="Arial"/>
                <w:b/>
                <w:lang w:eastAsia="en-GB"/>
              </w:rPr>
              <w:t>PAH Stats</w:t>
            </w:r>
          </w:p>
        </w:tc>
        <w:tc>
          <w:tcPr>
            <w:tcW w:w="1041" w:type="dxa"/>
          </w:tcPr>
          <w:p w:rsidR="00B20600" w:rsidRDefault="00B20600" w:rsidP="00B20600">
            <w:pPr>
              <w:jc w:val="center"/>
              <w:rPr>
                <w:rFonts w:ascii="Arial" w:eastAsia="Times New Roman" w:hAnsi="Arial" w:cs="Arial"/>
                <w:b/>
                <w:lang w:eastAsia="en-GB"/>
              </w:rPr>
            </w:pPr>
            <w:r>
              <w:rPr>
                <w:rFonts w:ascii="Arial" w:eastAsia="Times New Roman" w:hAnsi="Arial" w:cs="Arial"/>
                <w:b/>
                <w:lang w:eastAsia="en-GB"/>
              </w:rPr>
              <w:t>PAH Rank</w:t>
            </w:r>
          </w:p>
          <w:p w:rsidR="00B20600" w:rsidRPr="004959A8" w:rsidRDefault="00B20600" w:rsidP="00B20600">
            <w:pPr>
              <w:jc w:val="center"/>
              <w:rPr>
                <w:rFonts w:ascii="Arial" w:eastAsia="Times New Roman" w:hAnsi="Arial" w:cs="Arial"/>
                <w:b/>
                <w:lang w:eastAsia="en-GB"/>
              </w:rPr>
            </w:pPr>
            <w:r>
              <w:rPr>
                <w:rFonts w:ascii="Arial" w:eastAsia="Times New Roman" w:hAnsi="Arial" w:cs="Arial"/>
                <w:b/>
                <w:lang w:eastAsia="en-GB"/>
              </w:rPr>
              <w:t>(n=136)</w:t>
            </w:r>
          </w:p>
        </w:tc>
        <w:tc>
          <w:tcPr>
            <w:tcW w:w="1368" w:type="dxa"/>
          </w:tcPr>
          <w:p w:rsidR="00B20600" w:rsidRDefault="00B20600" w:rsidP="00B20600">
            <w:pPr>
              <w:jc w:val="center"/>
              <w:rPr>
                <w:rFonts w:ascii="Arial" w:eastAsia="Times New Roman" w:hAnsi="Arial" w:cs="Arial"/>
                <w:b/>
                <w:lang w:eastAsia="en-GB"/>
              </w:rPr>
            </w:pPr>
            <w:r>
              <w:rPr>
                <w:rFonts w:ascii="Arial" w:eastAsia="Times New Roman" w:hAnsi="Arial" w:cs="Arial"/>
                <w:b/>
                <w:lang w:eastAsia="en-GB"/>
              </w:rPr>
              <w:t>Driver</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 as % of non-pay</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PPIB/NHSI</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35%</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19%</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£6.65mil (10%)</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96</w:t>
            </w:r>
          </w:p>
        </w:tc>
        <w:tc>
          <w:tcPr>
            <w:tcW w:w="1368" w:type="dxa"/>
          </w:tcPr>
          <w:p w:rsidR="00B20600" w:rsidRPr="00E94B90" w:rsidRDefault="00B20600" w:rsidP="00B20600">
            <w:pPr>
              <w:jc w:val="center"/>
              <w:rPr>
                <w:rFonts w:ascii="Arial" w:eastAsia="Times New Roman" w:hAnsi="Arial" w:cs="Arial"/>
                <w:sz w:val="18"/>
                <w:szCs w:val="18"/>
                <w:lang w:eastAsia="en-GB"/>
              </w:rPr>
            </w:pPr>
            <w:r w:rsidRPr="00E94B90">
              <w:rPr>
                <w:rFonts w:ascii="Arial" w:eastAsia="Times New Roman" w:hAnsi="Arial" w:cs="Arial"/>
                <w:sz w:val="18"/>
                <w:szCs w:val="18"/>
                <w:lang w:eastAsia="en-GB"/>
              </w:rPr>
              <w:t>Performance</w:t>
            </w:r>
            <w:r>
              <w:rPr>
                <w:rFonts w:ascii="Arial" w:eastAsia="Times New Roman" w:hAnsi="Arial" w:cs="Arial"/>
                <w:sz w:val="18"/>
                <w:szCs w:val="18"/>
                <w:lang w:eastAsia="en-GB"/>
              </w:rPr>
              <w:t>/ Effectiveness</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Top 100 lines</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15%</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1.3%</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+7.3% of median</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111</w:t>
            </w:r>
          </w:p>
        </w:tc>
        <w:tc>
          <w:tcPr>
            <w:tcW w:w="1368" w:type="dxa"/>
          </w:tcPr>
          <w:p w:rsidR="00B20600" w:rsidRPr="00E94B90" w:rsidRDefault="00B20600" w:rsidP="00B20600">
            <w:pPr>
              <w:jc w:val="center"/>
              <w:rPr>
                <w:rFonts w:ascii="Arial" w:eastAsia="Times New Roman" w:hAnsi="Arial" w:cs="Arial"/>
                <w:sz w:val="18"/>
                <w:szCs w:val="18"/>
                <w:lang w:eastAsia="en-GB"/>
              </w:rPr>
            </w:pPr>
            <w:r w:rsidRPr="00E94B90">
              <w:rPr>
                <w:rFonts w:ascii="Arial" w:eastAsia="Times New Roman" w:hAnsi="Arial" w:cs="Arial"/>
                <w:sz w:val="18"/>
                <w:szCs w:val="18"/>
                <w:lang w:eastAsia="en-GB"/>
              </w:rPr>
              <w:t>Price</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Variance to Median</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13%</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0.6%</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+2.2% of median</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110</w:t>
            </w:r>
          </w:p>
        </w:tc>
        <w:tc>
          <w:tcPr>
            <w:tcW w:w="1368" w:type="dxa"/>
          </w:tcPr>
          <w:p w:rsidR="00B20600" w:rsidRPr="00E94B90" w:rsidRDefault="00B20600" w:rsidP="00B20600">
            <w:pPr>
              <w:jc w:val="center"/>
              <w:rPr>
                <w:rFonts w:ascii="Arial" w:eastAsia="Times New Roman" w:hAnsi="Arial" w:cs="Arial"/>
                <w:sz w:val="18"/>
                <w:szCs w:val="18"/>
                <w:lang w:eastAsia="en-GB"/>
              </w:rPr>
            </w:pPr>
            <w:r w:rsidRPr="00E94B90">
              <w:rPr>
                <w:rFonts w:ascii="Arial" w:eastAsia="Times New Roman" w:hAnsi="Arial" w:cs="Arial"/>
                <w:sz w:val="18"/>
                <w:szCs w:val="18"/>
                <w:lang w:eastAsia="en-GB"/>
              </w:rPr>
              <w:t>Price</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 Outliers</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13%</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+0.5%</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+2.0%</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84</w:t>
            </w:r>
          </w:p>
        </w:tc>
        <w:tc>
          <w:tcPr>
            <w:tcW w:w="1368" w:type="dxa"/>
          </w:tcPr>
          <w:p w:rsidR="00B20600" w:rsidRPr="00E94B90" w:rsidRDefault="00874454" w:rsidP="00B20600">
            <w:pPr>
              <w:jc w:val="center"/>
              <w:rPr>
                <w:rFonts w:ascii="Arial" w:eastAsia="Times New Roman" w:hAnsi="Arial" w:cs="Arial"/>
                <w:sz w:val="18"/>
                <w:szCs w:val="18"/>
                <w:lang w:eastAsia="en-GB"/>
              </w:rPr>
            </w:pPr>
            <w:r>
              <w:rPr>
                <w:rFonts w:ascii="Arial" w:eastAsia="Times New Roman" w:hAnsi="Arial" w:cs="Arial"/>
                <w:sz w:val="18"/>
                <w:szCs w:val="18"/>
                <w:lang w:eastAsia="en-GB"/>
              </w:rPr>
              <w:t>Performance</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PO as % of non-pay</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PO/NHSI</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10%</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312%</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£26.1 mil / £63.6 mil (41%)</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65</w:t>
            </w:r>
          </w:p>
        </w:tc>
        <w:tc>
          <w:tcPr>
            <w:tcW w:w="1368" w:type="dxa"/>
          </w:tcPr>
          <w:p w:rsidR="00B20600" w:rsidRPr="00E94B90" w:rsidRDefault="00B20600" w:rsidP="00B20600">
            <w:pPr>
              <w:jc w:val="center"/>
              <w:rPr>
                <w:rFonts w:ascii="Arial" w:eastAsia="Times New Roman" w:hAnsi="Arial" w:cs="Arial"/>
                <w:sz w:val="18"/>
                <w:szCs w:val="18"/>
                <w:lang w:eastAsia="en-GB"/>
              </w:rPr>
            </w:pPr>
            <w:r w:rsidRPr="00E94B90">
              <w:rPr>
                <w:rFonts w:ascii="Arial" w:eastAsia="Times New Roman" w:hAnsi="Arial" w:cs="Arial"/>
                <w:sz w:val="18"/>
                <w:szCs w:val="18"/>
                <w:lang w:eastAsia="en-GB"/>
              </w:rPr>
              <w:t>Performance</w:t>
            </w:r>
            <w:r>
              <w:rPr>
                <w:rFonts w:ascii="Arial" w:eastAsia="Times New Roman" w:hAnsi="Arial" w:cs="Arial"/>
                <w:sz w:val="18"/>
                <w:szCs w:val="18"/>
                <w:lang w:eastAsia="en-GB"/>
              </w:rPr>
              <w:t>/ Effectiveness</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Variance to minimum</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9%</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3.5%</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+10% of minimum</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113</w:t>
            </w:r>
          </w:p>
        </w:tc>
        <w:tc>
          <w:tcPr>
            <w:tcW w:w="1368" w:type="dxa"/>
          </w:tcPr>
          <w:p w:rsidR="00B20600" w:rsidRPr="00E94B90" w:rsidRDefault="00B20600" w:rsidP="00B20600">
            <w:pPr>
              <w:jc w:val="center"/>
              <w:rPr>
                <w:rFonts w:ascii="Arial" w:eastAsia="Times New Roman" w:hAnsi="Arial" w:cs="Arial"/>
                <w:sz w:val="18"/>
                <w:szCs w:val="18"/>
                <w:lang w:eastAsia="en-GB"/>
              </w:rPr>
            </w:pPr>
            <w:r w:rsidRPr="00E94B90">
              <w:rPr>
                <w:rFonts w:ascii="Arial" w:eastAsia="Times New Roman" w:hAnsi="Arial" w:cs="Arial"/>
                <w:sz w:val="18"/>
                <w:szCs w:val="18"/>
                <w:lang w:eastAsia="en-GB"/>
              </w:rPr>
              <w:t>Price</w:t>
            </w:r>
          </w:p>
        </w:tc>
      </w:tr>
      <w:tr w:rsidR="00B20600" w:rsidTr="00B20600">
        <w:tc>
          <w:tcPr>
            <w:tcW w:w="1485"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 logins</w:t>
            </w:r>
          </w:p>
        </w:tc>
        <w:tc>
          <w:tcPr>
            <w:tcW w:w="1648" w:type="dxa"/>
          </w:tcPr>
          <w:p w:rsidR="00B20600" w:rsidRPr="004959A8" w:rsidRDefault="00B20600" w:rsidP="00B20600">
            <w:pPr>
              <w:rPr>
                <w:rFonts w:ascii="Arial" w:eastAsia="Times New Roman" w:hAnsi="Arial" w:cs="Arial"/>
                <w:lang w:eastAsia="en-GB"/>
              </w:rPr>
            </w:pPr>
            <w:r w:rsidRPr="004959A8">
              <w:rPr>
                <w:rFonts w:ascii="Arial" w:eastAsia="Times New Roman" w:hAnsi="Arial" w:cs="Arial"/>
                <w:lang w:eastAsia="en-GB"/>
              </w:rPr>
              <w:t>PPIB</w:t>
            </w:r>
          </w:p>
        </w:tc>
        <w:tc>
          <w:tcPr>
            <w:tcW w:w="1280" w:type="dxa"/>
          </w:tcPr>
          <w:p w:rsidR="00B20600" w:rsidRPr="004959A8" w:rsidRDefault="00B20600" w:rsidP="00B20600">
            <w:pPr>
              <w:jc w:val="center"/>
              <w:rPr>
                <w:rFonts w:ascii="Arial" w:eastAsia="Times New Roman" w:hAnsi="Arial" w:cs="Arial"/>
                <w:lang w:eastAsia="en-GB"/>
              </w:rPr>
            </w:pPr>
            <w:r w:rsidRPr="004959A8">
              <w:rPr>
                <w:rFonts w:ascii="Arial" w:eastAsia="Times New Roman" w:hAnsi="Arial" w:cs="Arial"/>
                <w:lang w:eastAsia="en-GB"/>
              </w:rPr>
              <w:t>5%</w:t>
            </w:r>
          </w:p>
        </w:tc>
        <w:tc>
          <w:tcPr>
            <w:tcW w:w="1415"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965 logins</w:t>
            </w:r>
          </w:p>
        </w:tc>
        <w:tc>
          <w:tcPr>
            <w:tcW w:w="1368"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61 logins</w:t>
            </w:r>
          </w:p>
        </w:tc>
        <w:tc>
          <w:tcPr>
            <w:tcW w:w="1041" w:type="dxa"/>
          </w:tcPr>
          <w:p w:rsidR="00B20600" w:rsidRPr="004959A8" w:rsidRDefault="00B20600" w:rsidP="00B20600">
            <w:pPr>
              <w:jc w:val="center"/>
              <w:rPr>
                <w:rFonts w:ascii="Arial" w:eastAsia="Times New Roman" w:hAnsi="Arial" w:cs="Arial"/>
                <w:lang w:eastAsia="en-GB"/>
              </w:rPr>
            </w:pPr>
            <w:r>
              <w:rPr>
                <w:rFonts w:ascii="Arial" w:eastAsia="Times New Roman" w:hAnsi="Arial" w:cs="Arial"/>
                <w:lang w:eastAsia="en-GB"/>
              </w:rPr>
              <w:t>68</w:t>
            </w:r>
          </w:p>
        </w:tc>
        <w:tc>
          <w:tcPr>
            <w:tcW w:w="1368" w:type="dxa"/>
          </w:tcPr>
          <w:p w:rsidR="00B20600" w:rsidRDefault="00B20600" w:rsidP="00B20600">
            <w:pPr>
              <w:jc w:val="center"/>
              <w:rPr>
                <w:rFonts w:ascii="Arial" w:eastAsia="Times New Roman" w:hAnsi="Arial" w:cs="Arial"/>
                <w:sz w:val="18"/>
                <w:szCs w:val="18"/>
                <w:lang w:eastAsia="en-GB"/>
              </w:rPr>
            </w:pPr>
            <w:r w:rsidRPr="00E94B90">
              <w:rPr>
                <w:rFonts w:ascii="Arial" w:eastAsia="Times New Roman" w:hAnsi="Arial" w:cs="Arial"/>
                <w:sz w:val="18"/>
                <w:szCs w:val="18"/>
                <w:lang w:eastAsia="en-GB"/>
              </w:rPr>
              <w:t>Performance</w:t>
            </w:r>
            <w:r>
              <w:rPr>
                <w:rFonts w:ascii="Arial" w:eastAsia="Times New Roman" w:hAnsi="Arial" w:cs="Arial"/>
                <w:sz w:val="18"/>
                <w:szCs w:val="18"/>
                <w:lang w:eastAsia="en-GB"/>
              </w:rPr>
              <w:t>/</w:t>
            </w:r>
          </w:p>
          <w:p w:rsidR="00B20600" w:rsidRPr="00E94B90" w:rsidRDefault="00B20600" w:rsidP="00B20600">
            <w:pPr>
              <w:jc w:val="center"/>
              <w:rPr>
                <w:rFonts w:ascii="Arial" w:eastAsia="Times New Roman" w:hAnsi="Arial" w:cs="Arial"/>
                <w:sz w:val="18"/>
                <w:szCs w:val="18"/>
                <w:lang w:eastAsia="en-GB"/>
              </w:rPr>
            </w:pPr>
            <w:r>
              <w:rPr>
                <w:rFonts w:ascii="Arial" w:eastAsia="Times New Roman" w:hAnsi="Arial" w:cs="Arial"/>
                <w:sz w:val="18"/>
                <w:szCs w:val="18"/>
                <w:lang w:eastAsia="en-GB"/>
              </w:rPr>
              <w:t>Effectiveness</w:t>
            </w:r>
          </w:p>
        </w:tc>
      </w:tr>
    </w:tbl>
    <w:p w:rsidR="00B20600" w:rsidRDefault="00B20600" w:rsidP="00B20600">
      <w:pPr>
        <w:spacing w:after="0" w:line="240" w:lineRule="auto"/>
        <w:ind w:firstLine="709"/>
        <w:rPr>
          <w:rFonts w:ascii="Arial" w:eastAsia="Times New Roman" w:hAnsi="Arial" w:cs="Arial"/>
          <w:i/>
          <w:sz w:val="18"/>
          <w:szCs w:val="18"/>
          <w:lang w:eastAsia="en-GB"/>
        </w:rPr>
      </w:pPr>
      <w:r w:rsidRPr="00EB7348">
        <w:rPr>
          <w:rFonts w:ascii="Arial" w:eastAsia="Times New Roman" w:hAnsi="Arial" w:cs="Arial"/>
          <w:i/>
          <w:sz w:val="18"/>
          <w:szCs w:val="18"/>
          <w:lang w:eastAsia="en-GB"/>
        </w:rPr>
        <w:t xml:space="preserve">Table 1: </w:t>
      </w:r>
      <w:r>
        <w:rPr>
          <w:rFonts w:ascii="Arial" w:eastAsia="Times New Roman" w:hAnsi="Arial" w:cs="Arial"/>
          <w:i/>
          <w:sz w:val="18"/>
          <w:szCs w:val="18"/>
          <w:lang w:eastAsia="en-GB"/>
        </w:rPr>
        <w:t>NHS Procurement League Table ranking criteria, weighting and PAH performance relative to benchmark</w:t>
      </w:r>
    </w:p>
    <w:p w:rsidR="00B20600" w:rsidRPr="00EB7348" w:rsidRDefault="00B20600" w:rsidP="00B20600">
      <w:pPr>
        <w:spacing w:after="0" w:line="240" w:lineRule="auto"/>
        <w:ind w:firstLine="709"/>
        <w:rPr>
          <w:rFonts w:ascii="Arial" w:eastAsia="Times New Roman" w:hAnsi="Arial" w:cs="Arial"/>
          <w:i/>
          <w:color w:val="00B0F0"/>
          <w:sz w:val="18"/>
          <w:szCs w:val="18"/>
          <w:lang w:eastAsia="en-GB"/>
        </w:rPr>
      </w:pPr>
      <w:proofErr w:type="gramStart"/>
      <w:r>
        <w:rPr>
          <w:rFonts w:ascii="Arial" w:eastAsia="Times New Roman" w:hAnsi="Arial" w:cs="Arial"/>
          <w:i/>
          <w:sz w:val="18"/>
          <w:szCs w:val="18"/>
          <w:lang w:eastAsia="en-GB"/>
        </w:rPr>
        <w:t>top</w:t>
      </w:r>
      <w:proofErr w:type="gramEnd"/>
      <w:r>
        <w:rPr>
          <w:rFonts w:ascii="Arial" w:eastAsia="Times New Roman" w:hAnsi="Arial" w:cs="Arial"/>
          <w:i/>
          <w:sz w:val="18"/>
          <w:szCs w:val="18"/>
          <w:lang w:eastAsia="en-GB"/>
        </w:rPr>
        <w:t xml:space="preserve"> performer.</w:t>
      </w:r>
    </w:p>
    <w:p w:rsidR="00B20600" w:rsidRDefault="00DC7834" w:rsidP="00FE0292">
      <w:pPr>
        <w:spacing w:after="0" w:line="240" w:lineRule="auto"/>
        <w:ind w:left="709" w:hanging="709"/>
        <w:rPr>
          <w:rFonts w:ascii="Arial" w:eastAsia="Times New Roman" w:hAnsi="Arial" w:cs="Arial"/>
          <w:color w:val="00B0F0"/>
          <w:lang w:eastAsia="en-GB"/>
        </w:rPr>
      </w:pPr>
      <w:r>
        <w:rPr>
          <w:rFonts w:ascii="Arial" w:eastAsia="Times New Roman" w:hAnsi="Arial" w:cs="Arial"/>
          <w:color w:val="00B0F0"/>
          <w:lang w:eastAsia="en-GB"/>
        </w:rPr>
        <w:tab/>
      </w:r>
    </w:p>
    <w:p w:rsidR="00DC7834" w:rsidRPr="00DC7834" w:rsidRDefault="00DC7834" w:rsidP="00FE0292">
      <w:pPr>
        <w:spacing w:after="0" w:line="240" w:lineRule="auto"/>
        <w:ind w:left="709" w:hanging="709"/>
        <w:rPr>
          <w:rFonts w:ascii="Arial" w:eastAsia="Times New Roman" w:hAnsi="Arial" w:cs="Arial"/>
          <w:lang w:eastAsia="en-GB"/>
        </w:rPr>
      </w:pPr>
      <w:r>
        <w:rPr>
          <w:rFonts w:ascii="Arial" w:eastAsia="Times New Roman" w:hAnsi="Arial" w:cs="Arial"/>
          <w:color w:val="00B0F0"/>
          <w:lang w:eastAsia="en-GB"/>
        </w:rPr>
        <w:lastRenderedPageBreak/>
        <w:tab/>
      </w:r>
      <w:r w:rsidRPr="00DC7834">
        <w:rPr>
          <w:rFonts w:ascii="Arial" w:eastAsia="Times New Roman" w:hAnsi="Arial" w:cs="Arial"/>
          <w:lang w:eastAsia="en-GB"/>
        </w:rPr>
        <w:t xml:space="preserve">Price performance for Procurement League table accounts for 37% of total score. It is envisaged that improvement across the 63% of performance / effectiveness criteria will enable expansion of opportunities captured by PPIB. </w:t>
      </w:r>
    </w:p>
    <w:p w:rsidR="00874454" w:rsidRPr="00EE28DA" w:rsidRDefault="00874454" w:rsidP="00FE0292">
      <w:pPr>
        <w:spacing w:after="0" w:line="240" w:lineRule="auto"/>
        <w:ind w:left="709" w:hanging="709"/>
        <w:rPr>
          <w:rFonts w:ascii="Arial" w:eastAsia="Times New Roman" w:hAnsi="Arial" w:cs="Arial"/>
          <w:color w:val="00B0F0"/>
          <w:lang w:eastAsia="en-GB"/>
        </w:rPr>
      </w:pPr>
    </w:p>
    <w:p w:rsidR="009E3315" w:rsidRDefault="00FE0292" w:rsidP="00FE0292">
      <w:pPr>
        <w:spacing w:after="0" w:line="240" w:lineRule="auto"/>
        <w:ind w:left="709" w:hanging="709"/>
        <w:rPr>
          <w:rFonts w:ascii="Arial" w:eastAsia="Times New Roman" w:hAnsi="Arial" w:cs="Arial"/>
          <w:lang w:eastAsia="en-GB"/>
        </w:rPr>
      </w:pPr>
      <w:r w:rsidRPr="00EE28DA">
        <w:rPr>
          <w:rFonts w:ascii="Arial" w:eastAsia="Times New Roman" w:hAnsi="Arial" w:cs="Arial"/>
          <w:color w:val="00B0F0"/>
          <w:lang w:eastAsia="en-GB"/>
        </w:rPr>
        <w:tab/>
      </w:r>
      <w:r w:rsidR="009E3315" w:rsidRPr="009E3315">
        <w:rPr>
          <w:rFonts w:ascii="Arial" w:eastAsia="Times New Roman" w:hAnsi="Arial" w:cs="Arial"/>
          <w:lang w:eastAsia="en-GB"/>
        </w:rPr>
        <w:t>PAH’s price performance</w:t>
      </w:r>
      <w:r w:rsidR="009E3315">
        <w:rPr>
          <w:rFonts w:ascii="Arial" w:eastAsia="Times New Roman" w:hAnsi="Arial" w:cs="Arial"/>
          <w:lang w:eastAsia="en-GB"/>
        </w:rPr>
        <w:t xml:space="preserve"> in PPIB is as follow</w:t>
      </w:r>
      <w:r w:rsidR="00480280">
        <w:rPr>
          <w:rFonts w:ascii="Arial" w:eastAsia="Times New Roman" w:hAnsi="Arial" w:cs="Arial"/>
          <w:lang w:eastAsia="en-GB"/>
        </w:rPr>
        <w:t>:</w:t>
      </w:r>
    </w:p>
    <w:p w:rsidR="00E7101F" w:rsidRPr="009E3315" w:rsidRDefault="00E7101F" w:rsidP="00FE0292">
      <w:pPr>
        <w:spacing w:after="0" w:line="240" w:lineRule="auto"/>
        <w:ind w:left="709" w:hanging="709"/>
        <w:rPr>
          <w:rFonts w:ascii="Arial" w:eastAsia="Times New Roman" w:hAnsi="Arial" w:cs="Arial"/>
          <w:lang w:eastAsia="en-GB"/>
        </w:rPr>
      </w:pPr>
      <w:r>
        <w:rPr>
          <w:rFonts w:ascii="Arial" w:eastAsia="Times New Roman" w:hAnsi="Arial" w:cs="Arial"/>
          <w:lang w:eastAsia="en-GB"/>
        </w:rPr>
        <w:tab/>
      </w:r>
    </w:p>
    <w:tbl>
      <w:tblPr>
        <w:tblStyle w:val="TableGrid"/>
        <w:tblW w:w="9605" w:type="dxa"/>
        <w:tblInd w:w="709" w:type="dxa"/>
        <w:tblLook w:val="04A0" w:firstRow="1" w:lastRow="0" w:firstColumn="1" w:lastColumn="0" w:noHBand="0" w:noVBand="1"/>
      </w:tblPr>
      <w:tblGrid>
        <w:gridCol w:w="1667"/>
        <w:gridCol w:w="1687"/>
        <w:gridCol w:w="1520"/>
        <w:gridCol w:w="1755"/>
        <w:gridCol w:w="1417"/>
        <w:gridCol w:w="1559"/>
      </w:tblGrid>
      <w:tr w:rsidR="00B20600" w:rsidTr="00B20600">
        <w:tc>
          <w:tcPr>
            <w:tcW w:w="1667" w:type="dxa"/>
          </w:tcPr>
          <w:p w:rsidR="00B20600" w:rsidRPr="00E7101F" w:rsidRDefault="00B20600" w:rsidP="00FE0292">
            <w:pPr>
              <w:rPr>
                <w:rFonts w:ascii="Arial" w:eastAsia="Times New Roman" w:hAnsi="Arial" w:cs="Arial"/>
                <w:b/>
                <w:lang w:eastAsia="en-GB"/>
              </w:rPr>
            </w:pPr>
            <w:r>
              <w:rPr>
                <w:rFonts w:ascii="Arial" w:eastAsia="Times New Roman" w:hAnsi="Arial" w:cs="Arial"/>
                <w:b/>
                <w:lang w:eastAsia="en-GB"/>
              </w:rPr>
              <w:t>Financial Year</w:t>
            </w:r>
          </w:p>
        </w:tc>
        <w:tc>
          <w:tcPr>
            <w:tcW w:w="1687" w:type="dxa"/>
          </w:tcPr>
          <w:p w:rsidR="00B20600" w:rsidRPr="00E7101F" w:rsidRDefault="00B20600" w:rsidP="00480280">
            <w:pPr>
              <w:rPr>
                <w:rFonts w:ascii="Arial" w:eastAsia="Times New Roman" w:hAnsi="Arial" w:cs="Arial"/>
                <w:b/>
                <w:lang w:eastAsia="en-GB"/>
              </w:rPr>
            </w:pPr>
            <w:r w:rsidRPr="00E7101F">
              <w:rPr>
                <w:rFonts w:ascii="Arial" w:eastAsia="Times New Roman" w:hAnsi="Arial" w:cs="Arial"/>
                <w:b/>
                <w:lang w:eastAsia="en-GB"/>
              </w:rPr>
              <w:t>Products captured</w:t>
            </w:r>
          </w:p>
        </w:tc>
        <w:tc>
          <w:tcPr>
            <w:tcW w:w="1520" w:type="dxa"/>
          </w:tcPr>
          <w:p w:rsidR="00B20600" w:rsidRPr="00E7101F" w:rsidRDefault="00B20600" w:rsidP="00480280">
            <w:pPr>
              <w:rPr>
                <w:rFonts w:ascii="Arial" w:eastAsia="Times New Roman" w:hAnsi="Arial" w:cs="Arial"/>
                <w:b/>
                <w:lang w:eastAsia="en-GB"/>
              </w:rPr>
            </w:pPr>
            <w:r w:rsidRPr="00E7101F">
              <w:rPr>
                <w:rFonts w:ascii="Arial" w:eastAsia="Times New Roman" w:hAnsi="Arial" w:cs="Arial"/>
                <w:b/>
                <w:lang w:eastAsia="en-GB"/>
              </w:rPr>
              <w:t>PO Lines</w:t>
            </w:r>
          </w:p>
        </w:tc>
        <w:tc>
          <w:tcPr>
            <w:tcW w:w="1755" w:type="dxa"/>
          </w:tcPr>
          <w:p w:rsidR="00B20600" w:rsidRPr="00E7101F" w:rsidRDefault="00B20600" w:rsidP="00480280">
            <w:pPr>
              <w:rPr>
                <w:rFonts w:ascii="Arial" w:eastAsia="Times New Roman" w:hAnsi="Arial" w:cs="Arial"/>
                <w:b/>
                <w:lang w:eastAsia="en-GB"/>
              </w:rPr>
            </w:pPr>
            <w:r w:rsidRPr="00E7101F">
              <w:rPr>
                <w:rFonts w:ascii="Arial" w:eastAsia="Times New Roman" w:hAnsi="Arial" w:cs="Arial"/>
                <w:b/>
                <w:lang w:eastAsia="en-GB"/>
              </w:rPr>
              <w:t>Expenditure</w:t>
            </w:r>
            <w:r>
              <w:rPr>
                <w:rFonts w:ascii="Arial" w:eastAsia="Times New Roman" w:hAnsi="Arial" w:cs="Arial"/>
                <w:b/>
                <w:lang w:eastAsia="en-GB"/>
              </w:rPr>
              <w:t xml:space="preserve"> captured PPIB</w:t>
            </w:r>
          </w:p>
        </w:tc>
        <w:tc>
          <w:tcPr>
            <w:tcW w:w="1417" w:type="dxa"/>
          </w:tcPr>
          <w:p w:rsidR="00B20600" w:rsidRPr="00E7101F" w:rsidRDefault="00B20600" w:rsidP="00480280">
            <w:pPr>
              <w:rPr>
                <w:rFonts w:ascii="Arial" w:eastAsia="Times New Roman" w:hAnsi="Arial" w:cs="Arial"/>
                <w:b/>
                <w:lang w:eastAsia="en-GB"/>
              </w:rPr>
            </w:pPr>
            <w:r>
              <w:rPr>
                <w:rFonts w:ascii="Arial" w:eastAsia="Times New Roman" w:hAnsi="Arial" w:cs="Arial"/>
                <w:b/>
                <w:lang w:eastAsia="en-GB"/>
              </w:rPr>
              <w:t>Variance to Median</w:t>
            </w:r>
          </w:p>
        </w:tc>
        <w:tc>
          <w:tcPr>
            <w:tcW w:w="1559" w:type="dxa"/>
          </w:tcPr>
          <w:p w:rsidR="00B20600" w:rsidRPr="00E7101F" w:rsidRDefault="00B20600" w:rsidP="00480280">
            <w:pPr>
              <w:rPr>
                <w:rFonts w:ascii="Arial" w:eastAsia="Times New Roman" w:hAnsi="Arial" w:cs="Arial"/>
                <w:b/>
                <w:lang w:eastAsia="en-GB"/>
              </w:rPr>
            </w:pPr>
            <w:r>
              <w:rPr>
                <w:rFonts w:ascii="Arial" w:eastAsia="Times New Roman" w:hAnsi="Arial" w:cs="Arial"/>
                <w:b/>
                <w:lang w:eastAsia="en-GB"/>
              </w:rPr>
              <w:t>Variance to Min</w:t>
            </w:r>
          </w:p>
        </w:tc>
      </w:tr>
      <w:tr w:rsidR="00B20600" w:rsidTr="00B20600">
        <w:tc>
          <w:tcPr>
            <w:tcW w:w="1667" w:type="dxa"/>
          </w:tcPr>
          <w:p w:rsidR="00B20600" w:rsidRDefault="00B20600" w:rsidP="00FE0292">
            <w:pPr>
              <w:rPr>
                <w:rFonts w:ascii="Arial" w:eastAsia="Times New Roman" w:hAnsi="Arial" w:cs="Arial"/>
                <w:lang w:eastAsia="en-GB"/>
              </w:rPr>
            </w:pPr>
            <w:r>
              <w:rPr>
                <w:rFonts w:ascii="Arial" w:eastAsia="Times New Roman" w:hAnsi="Arial" w:cs="Arial"/>
                <w:lang w:eastAsia="en-GB"/>
              </w:rPr>
              <w:t>2016/2017</w:t>
            </w:r>
          </w:p>
        </w:tc>
        <w:tc>
          <w:tcPr>
            <w:tcW w:w="1687" w:type="dxa"/>
          </w:tcPr>
          <w:p w:rsidR="00B20600" w:rsidRDefault="00B20600" w:rsidP="00480280">
            <w:pPr>
              <w:rPr>
                <w:rFonts w:ascii="Arial" w:eastAsia="Times New Roman" w:hAnsi="Arial" w:cs="Arial"/>
                <w:lang w:eastAsia="en-GB"/>
              </w:rPr>
            </w:pPr>
            <w:r>
              <w:rPr>
                <w:rFonts w:ascii="Arial" w:eastAsia="Times New Roman" w:hAnsi="Arial" w:cs="Arial"/>
                <w:lang w:eastAsia="en-GB"/>
              </w:rPr>
              <w:t>7,387 products</w:t>
            </w:r>
          </w:p>
        </w:tc>
        <w:tc>
          <w:tcPr>
            <w:tcW w:w="1520" w:type="dxa"/>
          </w:tcPr>
          <w:p w:rsidR="00B20600" w:rsidRDefault="00B20600" w:rsidP="00480280">
            <w:pPr>
              <w:rPr>
                <w:rFonts w:ascii="Arial" w:eastAsia="Times New Roman" w:hAnsi="Arial" w:cs="Arial"/>
                <w:lang w:eastAsia="en-GB"/>
              </w:rPr>
            </w:pPr>
            <w:r>
              <w:rPr>
                <w:rFonts w:ascii="Arial" w:eastAsia="Times New Roman" w:hAnsi="Arial" w:cs="Arial"/>
                <w:lang w:eastAsia="en-GB"/>
              </w:rPr>
              <w:t>76,196 lines</w:t>
            </w:r>
          </w:p>
        </w:tc>
        <w:tc>
          <w:tcPr>
            <w:tcW w:w="1755" w:type="dxa"/>
          </w:tcPr>
          <w:p w:rsidR="00B20600" w:rsidRDefault="00B20600" w:rsidP="00480280">
            <w:pPr>
              <w:rPr>
                <w:rFonts w:ascii="Arial" w:eastAsia="Times New Roman" w:hAnsi="Arial" w:cs="Arial"/>
                <w:lang w:eastAsia="en-GB"/>
              </w:rPr>
            </w:pPr>
            <w:r>
              <w:rPr>
                <w:rFonts w:ascii="Arial" w:eastAsia="Times New Roman" w:hAnsi="Arial" w:cs="Arial"/>
                <w:lang w:eastAsia="en-GB"/>
              </w:rPr>
              <w:t>£7,778,309</w:t>
            </w:r>
          </w:p>
        </w:tc>
        <w:tc>
          <w:tcPr>
            <w:tcW w:w="1417" w:type="dxa"/>
          </w:tcPr>
          <w:p w:rsidR="00B20600" w:rsidRDefault="00B20600" w:rsidP="00480280">
            <w:pPr>
              <w:rPr>
                <w:rFonts w:ascii="Arial" w:eastAsia="Times New Roman" w:hAnsi="Arial" w:cs="Arial"/>
                <w:lang w:eastAsia="en-GB"/>
              </w:rPr>
            </w:pPr>
            <w:r>
              <w:rPr>
                <w:rFonts w:ascii="Arial" w:eastAsia="Times New Roman" w:hAnsi="Arial" w:cs="Arial"/>
                <w:lang w:eastAsia="en-GB"/>
              </w:rPr>
              <w:t>£221,595</w:t>
            </w:r>
          </w:p>
        </w:tc>
        <w:tc>
          <w:tcPr>
            <w:tcW w:w="1559" w:type="dxa"/>
          </w:tcPr>
          <w:p w:rsidR="00B20600" w:rsidRDefault="00B20600" w:rsidP="00480280">
            <w:pPr>
              <w:rPr>
                <w:rFonts w:ascii="Arial" w:eastAsia="Times New Roman" w:hAnsi="Arial" w:cs="Arial"/>
                <w:lang w:eastAsia="en-GB"/>
              </w:rPr>
            </w:pPr>
            <w:r>
              <w:rPr>
                <w:rFonts w:ascii="Arial" w:eastAsia="Times New Roman" w:hAnsi="Arial" w:cs="Arial"/>
                <w:lang w:eastAsia="en-GB"/>
              </w:rPr>
              <w:t>£901,174</w:t>
            </w:r>
          </w:p>
          <w:p w:rsidR="00B20600" w:rsidRDefault="00B20600" w:rsidP="00480280">
            <w:pPr>
              <w:rPr>
                <w:rFonts w:ascii="Arial" w:eastAsia="Times New Roman" w:hAnsi="Arial" w:cs="Arial"/>
                <w:lang w:eastAsia="en-GB"/>
              </w:rPr>
            </w:pPr>
          </w:p>
        </w:tc>
      </w:tr>
      <w:tr w:rsidR="00B20600" w:rsidTr="00B20600">
        <w:tc>
          <w:tcPr>
            <w:tcW w:w="1667" w:type="dxa"/>
          </w:tcPr>
          <w:p w:rsidR="00B20600" w:rsidRDefault="00B20600" w:rsidP="00FE0292">
            <w:pPr>
              <w:rPr>
                <w:rFonts w:ascii="Arial" w:eastAsia="Times New Roman" w:hAnsi="Arial" w:cs="Arial"/>
                <w:lang w:eastAsia="en-GB"/>
              </w:rPr>
            </w:pPr>
            <w:r>
              <w:rPr>
                <w:rFonts w:ascii="Arial" w:eastAsia="Times New Roman" w:hAnsi="Arial" w:cs="Arial"/>
                <w:lang w:eastAsia="en-GB"/>
              </w:rPr>
              <w:t xml:space="preserve">2017/2018 </w:t>
            </w:r>
            <w:r w:rsidRPr="00B20600">
              <w:rPr>
                <w:rFonts w:ascii="Arial" w:eastAsia="Times New Roman" w:hAnsi="Arial" w:cs="Arial"/>
                <w:sz w:val="18"/>
                <w:szCs w:val="18"/>
                <w:lang w:eastAsia="en-GB"/>
              </w:rPr>
              <w:t>(</w:t>
            </w:r>
            <w:proofErr w:type="spellStart"/>
            <w:r w:rsidRPr="00B20600">
              <w:rPr>
                <w:rFonts w:ascii="Arial" w:eastAsia="Times New Roman" w:hAnsi="Arial" w:cs="Arial"/>
                <w:sz w:val="18"/>
                <w:szCs w:val="18"/>
                <w:lang w:eastAsia="en-GB"/>
              </w:rPr>
              <w:t>ytd</w:t>
            </w:r>
            <w:proofErr w:type="spellEnd"/>
            <w:r w:rsidRPr="00B20600">
              <w:rPr>
                <w:rFonts w:ascii="Arial" w:eastAsia="Times New Roman" w:hAnsi="Arial" w:cs="Arial"/>
                <w:sz w:val="18"/>
                <w:szCs w:val="18"/>
                <w:lang w:eastAsia="en-GB"/>
              </w:rPr>
              <w:t>: Apr - Nov)</w:t>
            </w:r>
          </w:p>
        </w:tc>
        <w:tc>
          <w:tcPr>
            <w:tcW w:w="1687" w:type="dxa"/>
          </w:tcPr>
          <w:p w:rsidR="00B20600" w:rsidRDefault="00B20600" w:rsidP="00480280">
            <w:pPr>
              <w:rPr>
                <w:rFonts w:ascii="Arial" w:eastAsia="Times New Roman" w:hAnsi="Arial" w:cs="Arial"/>
                <w:lang w:eastAsia="en-GB"/>
              </w:rPr>
            </w:pPr>
            <w:r>
              <w:rPr>
                <w:rFonts w:ascii="Arial" w:eastAsia="Times New Roman" w:hAnsi="Arial" w:cs="Arial"/>
                <w:lang w:eastAsia="en-GB"/>
              </w:rPr>
              <w:t>7,439 products</w:t>
            </w:r>
          </w:p>
        </w:tc>
        <w:tc>
          <w:tcPr>
            <w:tcW w:w="1520" w:type="dxa"/>
          </w:tcPr>
          <w:p w:rsidR="00B20600" w:rsidRDefault="00B20600" w:rsidP="00480280">
            <w:pPr>
              <w:rPr>
                <w:rFonts w:ascii="Arial" w:eastAsia="Times New Roman" w:hAnsi="Arial" w:cs="Arial"/>
                <w:lang w:eastAsia="en-GB"/>
              </w:rPr>
            </w:pPr>
            <w:r>
              <w:rPr>
                <w:rFonts w:ascii="Arial" w:eastAsia="Times New Roman" w:hAnsi="Arial" w:cs="Arial"/>
                <w:lang w:eastAsia="en-GB"/>
              </w:rPr>
              <w:t>58,571 lines</w:t>
            </w:r>
          </w:p>
        </w:tc>
        <w:tc>
          <w:tcPr>
            <w:tcW w:w="1755" w:type="dxa"/>
          </w:tcPr>
          <w:p w:rsidR="00B20600" w:rsidRDefault="00B20600" w:rsidP="00480280">
            <w:pPr>
              <w:rPr>
                <w:rFonts w:ascii="Arial" w:eastAsia="Times New Roman" w:hAnsi="Arial" w:cs="Arial"/>
                <w:lang w:eastAsia="en-GB"/>
              </w:rPr>
            </w:pPr>
            <w:r>
              <w:rPr>
                <w:rFonts w:ascii="Arial" w:eastAsia="Times New Roman" w:hAnsi="Arial" w:cs="Arial"/>
                <w:lang w:eastAsia="en-GB"/>
              </w:rPr>
              <w:t>£6,623,921</w:t>
            </w:r>
          </w:p>
        </w:tc>
        <w:tc>
          <w:tcPr>
            <w:tcW w:w="1417" w:type="dxa"/>
          </w:tcPr>
          <w:p w:rsidR="00B20600" w:rsidRDefault="00B20600" w:rsidP="00480280">
            <w:pPr>
              <w:rPr>
                <w:rFonts w:ascii="Arial" w:eastAsia="Times New Roman" w:hAnsi="Arial" w:cs="Arial"/>
                <w:lang w:eastAsia="en-GB"/>
              </w:rPr>
            </w:pPr>
            <w:r>
              <w:rPr>
                <w:rFonts w:ascii="Arial" w:eastAsia="Times New Roman" w:hAnsi="Arial" w:cs="Arial"/>
                <w:lang w:eastAsia="en-GB"/>
              </w:rPr>
              <w:t xml:space="preserve">£147,693 </w:t>
            </w:r>
            <w:proofErr w:type="spellStart"/>
            <w:r w:rsidRPr="00B20600">
              <w:rPr>
                <w:rFonts w:ascii="Arial" w:eastAsia="Times New Roman" w:hAnsi="Arial" w:cs="Arial"/>
                <w:sz w:val="16"/>
                <w:szCs w:val="16"/>
                <w:lang w:eastAsia="en-GB"/>
              </w:rPr>
              <w:t>ytd</w:t>
            </w:r>
            <w:proofErr w:type="spellEnd"/>
          </w:p>
        </w:tc>
        <w:tc>
          <w:tcPr>
            <w:tcW w:w="1559" w:type="dxa"/>
          </w:tcPr>
          <w:p w:rsidR="00B20600" w:rsidRDefault="00B20600" w:rsidP="00480280">
            <w:pPr>
              <w:rPr>
                <w:rFonts w:ascii="Arial" w:eastAsia="Times New Roman" w:hAnsi="Arial" w:cs="Arial"/>
                <w:lang w:eastAsia="en-GB"/>
              </w:rPr>
            </w:pPr>
            <w:r>
              <w:rPr>
                <w:rFonts w:ascii="Arial" w:eastAsia="Times New Roman" w:hAnsi="Arial" w:cs="Arial"/>
                <w:lang w:eastAsia="en-GB"/>
              </w:rPr>
              <w:t xml:space="preserve">£700,562 </w:t>
            </w:r>
            <w:proofErr w:type="spellStart"/>
            <w:r w:rsidRPr="00B20600">
              <w:rPr>
                <w:rFonts w:ascii="Arial" w:eastAsia="Times New Roman" w:hAnsi="Arial" w:cs="Arial"/>
                <w:sz w:val="18"/>
                <w:szCs w:val="18"/>
                <w:lang w:eastAsia="en-GB"/>
              </w:rPr>
              <w:t>ytd</w:t>
            </w:r>
            <w:proofErr w:type="spellEnd"/>
            <w:r>
              <w:rPr>
                <w:rFonts w:ascii="Arial" w:eastAsia="Times New Roman" w:hAnsi="Arial" w:cs="Arial"/>
                <w:lang w:eastAsia="en-GB"/>
              </w:rPr>
              <w:t xml:space="preserve"> </w:t>
            </w:r>
            <w:r w:rsidRPr="00B20600">
              <w:rPr>
                <w:rFonts w:ascii="Arial" w:eastAsia="Times New Roman" w:hAnsi="Arial" w:cs="Arial"/>
                <w:sz w:val="18"/>
                <w:szCs w:val="18"/>
                <w:lang w:eastAsia="en-GB"/>
              </w:rPr>
              <w:t>(£1,050K Full Year)</w:t>
            </w:r>
          </w:p>
        </w:tc>
      </w:tr>
    </w:tbl>
    <w:p w:rsidR="009E3315" w:rsidRPr="00796E5A" w:rsidRDefault="00874454" w:rsidP="00480280">
      <w:pPr>
        <w:spacing w:after="0" w:line="240" w:lineRule="auto"/>
        <w:ind w:left="709" w:hanging="709"/>
        <w:rPr>
          <w:rFonts w:ascii="Arial" w:eastAsia="Times New Roman" w:hAnsi="Arial" w:cs="Arial"/>
          <w:i/>
          <w:sz w:val="18"/>
          <w:szCs w:val="18"/>
          <w:lang w:eastAsia="en-GB"/>
        </w:rPr>
      </w:pPr>
      <w:r>
        <w:rPr>
          <w:rFonts w:ascii="Arial" w:eastAsia="Times New Roman" w:hAnsi="Arial" w:cs="Arial"/>
          <w:lang w:eastAsia="en-GB"/>
        </w:rPr>
        <w:tab/>
      </w:r>
      <w:r w:rsidRPr="00796E5A">
        <w:rPr>
          <w:rFonts w:ascii="Arial" w:eastAsia="Times New Roman" w:hAnsi="Arial" w:cs="Arial"/>
          <w:i/>
          <w:sz w:val="18"/>
          <w:szCs w:val="18"/>
          <w:lang w:eastAsia="en-GB"/>
        </w:rPr>
        <w:t>Table 2</w:t>
      </w:r>
      <w:r w:rsidR="00480280" w:rsidRPr="00796E5A">
        <w:rPr>
          <w:rFonts w:ascii="Arial" w:eastAsia="Times New Roman" w:hAnsi="Arial" w:cs="Arial"/>
          <w:i/>
          <w:sz w:val="18"/>
          <w:szCs w:val="18"/>
          <w:lang w:eastAsia="en-GB"/>
        </w:rPr>
        <w:t>:</w:t>
      </w:r>
      <w:r w:rsidRPr="00796E5A">
        <w:rPr>
          <w:rFonts w:ascii="Arial" w:eastAsia="Times New Roman" w:hAnsi="Arial" w:cs="Arial"/>
          <w:i/>
          <w:sz w:val="18"/>
          <w:szCs w:val="18"/>
          <w:lang w:eastAsia="en-GB"/>
        </w:rPr>
        <w:t xml:space="preserve"> Opportunities captured in 2016/17 (full financial year) and 2017/18 (year to date). Note that data across 2016/17 is based on part year data.</w:t>
      </w:r>
      <w:r w:rsidR="000C7B55" w:rsidRPr="00796E5A">
        <w:rPr>
          <w:rFonts w:ascii="Arial" w:eastAsia="Times New Roman" w:hAnsi="Arial" w:cs="Arial"/>
          <w:i/>
          <w:sz w:val="18"/>
          <w:szCs w:val="18"/>
          <w:lang w:eastAsia="en-GB"/>
        </w:rPr>
        <w:t xml:space="preserve"> </w:t>
      </w:r>
    </w:p>
    <w:p w:rsidR="000E7AB1" w:rsidRPr="009742D0" w:rsidRDefault="000E7AB1" w:rsidP="009742D0">
      <w:pPr>
        <w:spacing w:after="0" w:line="240" w:lineRule="auto"/>
        <w:rPr>
          <w:rFonts w:ascii="Arial" w:eastAsia="Times New Roman" w:hAnsi="Arial" w:cs="Arial"/>
          <w:b/>
          <w:lang w:eastAsia="en-GB"/>
        </w:rPr>
      </w:pPr>
    </w:p>
    <w:p w:rsidR="00FE0292" w:rsidRPr="004C53AA" w:rsidRDefault="003E0BC9" w:rsidP="00FE0292">
      <w:pPr>
        <w:spacing w:after="0" w:line="240" w:lineRule="auto"/>
        <w:ind w:left="709" w:hanging="709"/>
        <w:rPr>
          <w:rFonts w:ascii="Arial" w:eastAsia="Times New Roman" w:hAnsi="Arial" w:cs="Arial"/>
          <w:b/>
          <w:u w:val="single"/>
          <w:lang w:eastAsia="en-GB"/>
        </w:rPr>
      </w:pPr>
      <w:r w:rsidRPr="003E0BC9">
        <w:rPr>
          <w:rFonts w:ascii="Arial" w:eastAsia="Times New Roman" w:hAnsi="Arial" w:cs="Arial"/>
          <w:b/>
          <w:color w:val="FF0000"/>
          <w:lang w:eastAsia="en-GB"/>
        </w:rPr>
        <w:t xml:space="preserve">           </w:t>
      </w:r>
      <w:r w:rsidR="009742D0">
        <w:rPr>
          <w:rFonts w:ascii="Arial" w:eastAsia="Times New Roman" w:hAnsi="Arial" w:cs="Arial"/>
          <w:b/>
          <w:u w:val="single"/>
          <w:lang w:eastAsia="en-GB"/>
        </w:rPr>
        <w:t>Requirement</w:t>
      </w:r>
    </w:p>
    <w:p w:rsidR="009742D0" w:rsidRDefault="00FE0292" w:rsidP="00FE0292">
      <w:pPr>
        <w:spacing w:after="0" w:line="240" w:lineRule="auto"/>
        <w:ind w:left="709" w:hanging="709"/>
        <w:rPr>
          <w:rFonts w:ascii="Arial" w:eastAsia="Times New Roman" w:hAnsi="Arial" w:cs="Arial"/>
          <w:color w:val="FF0000"/>
          <w:lang w:eastAsia="en-GB"/>
        </w:rPr>
      </w:pPr>
      <w:r w:rsidRPr="00FE0292">
        <w:rPr>
          <w:rFonts w:ascii="Arial" w:eastAsia="Times New Roman" w:hAnsi="Arial" w:cs="Arial"/>
          <w:color w:val="FF0000"/>
          <w:lang w:eastAsia="en-GB"/>
        </w:rPr>
        <w:tab/>
      </w:r>
    </w:p>
    <w:p w:rsidR="009742D0" w:rsidRDefault="009742D0" w:rsidP="00FE0292">
      <w:pPr>
        <w:spacing w:after="0" w:line="240" w:lineRule="auto"/>
        <w:ind w:left="709" w:hanging="709"/>
        <w:rPr>
          <w:rFonts w:ascii="Arial" w:eastAsia="Times New Roman" w:hAnsi="Arial" w:cs="Arial"/>
          <w:lang w:eastAsia="en-GB"/>
        </w:rPr>
      </w:pPr>
      <w:r>
        <w:rPr>
          <w:rFonts w:ascii="Arial" w:eastAsia="Times New Roman" w:hAnsi="Arial" w:cs="Arial"/>
          <w:color w:val="FF0000"/>
          <w:lang w:eastAsia="en-GB"/>
        </w:rPr>
        <w:tab/>
      </w:r>
      <w:proofErr w:type="gramStart"/>
      <w:r>
        <w:rPr>
          <w:rFonts w:ascii="Arial" w:eastAsia="Times New Roman" w:hAnsi="Arial" w:cs="Arial"/>
          <w:lang w:eastAsia="en-GB"/>
        </w:rPr>
        <w:t>Specialist team/procurement specialist/cost reduction negotiators to effect this rapid cost reduction.</w:t>
      </w:r>
      <w:proofErr w:type="gramEnd"/>
      <w:r>
        <w:rPr>
          <w:rFonts w:ascii="Arial" w:eastAsia="Times New Roman" w:hAnsi="Arial" w:cs="Arial"/>
          <w:lang w:eastAsia="en-GB"/>
        </w:rPr>
        <w:t xml:space="preserve"> The envisaged activities to </w:t>
      </w:r>
      <w:proofErr w:type="gramStart"/>
      <w:r>
        <w:rPr>
          <w:rFonts w:ascii="Arial" w:eastAsia="Times New Roman" w:hAnsi="Arial" w:cs="Arial"/>
          <w:lang w:eastAsia="en-GB"/>
        </w:rPr>
        <w:t>effect</w:t>
      </w:r>
      <w:proofErr w:type="gramEnd"/>
      <w:r>
        <w:rPr>
          <w:rFonts w:ascii="Arial" w:eastAsia="Times New Roman" w:hAnsi="Arial" w:cs="Arial"/>
          <w:lang w:eastAsia="en-GB"/>
        </w:rPr>
        <w:t xml:space="preserve"> positive outcomes are:</w:t>
      </w:r>
    </w:p>
    <w:p w:rsidR="009742D0" w:rsidRDefault="009742D0" w:rsidP="00FE0292">
      <w:pPr>
        <w:spacing w:after="0" w:line="240" w:lineRule="auto"/>
        <w:ind w:left="709" w:hanging="709"/>
        <w:rPr>
          <w:rFonts w:ascii="Arial" w:eastAsia="Times New Roman" w:hAnsi="Arial" w:cs="Arial"/>
          <w:lang w:eastAsia="en-GB"/>
        </w:rPr>
      </w:pPr>
    </w:p>
    <w:p w:rsidR="00796E5A" w:rsidRDefault="009742D0" w:rsidP="009742D0">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 xml:space="preserve">Reinvigoration of any </w:t>
      </w:r>
      <w:r w:rsidR="00796E5A">
        <w:rPr>
          <w:rFonts w:ascii="Arial" w:eastAsia="Times New Roman" w:hAnsi="Arial" w:cs="Arial"/>
          <w:lang w:eastAsia="en-GB"/>
        </w:rPr>
        <w:t xml:space="preserve">of the Trust’s </w:t>
      </w:r>
      <w:r>
        <w:rPr>
          <w:rFonts w:ascii="Arial" w:eastAsia="Times New Roman" w:hAnsi="Arial" w:cs="Arial"/>
          <w:lang w:eastAsia="en-GB"/>
        </w:rPr>
        <w:t xml:space="preserve">high yield projects to </w:t>
      </w:r>
      <w:r w:rsidR="00796E5A">
        <w:rPr>
          <w:rFonts w:ascii="Arial" w:eastAsia="Times New Roman" w:hAnsi="Arial" w:cs="Arial"/>
          <w:lang w:eastAsia="en-GB"/>
        </w:rPr>
        <w:t>realise identified opportunities</w:t>
      </w:r>
      <w:r w:rsidR="003C68D3">
        <w:rPr>
          <w:rFonts w:ascii="Arial" w:eastAsia="Times New Roman" w:hAnsi="Arial" w:cs="Arial"/>
          <w:lang w:eastAsia="en-GB"/>
        </w:rPr>
        <w:t xml:space="preserve">, for example: hearing aids, vascular consumables, RF catheter for EVLT (veins) procedure, </w:t>
      </w:r>
      <w:proofErr w:type="spellStart"/>
      <w:r w:rsidR="003C68D3">
        <w:rPr>
          <w:rFonts w:ascii="Arial" w:eastAsia="Times New Roman" w:hAnsi="Arial" w:cs="Arial"/>
          <w:lang w:eastAsia="en-GB"/>
        </w:rPr>
        <w:t>teleradiology</w:t>
      </w:r>
      <w:proofErr w:type="spellEnd"/>
      <w:r w:rsidR="003C68D3">
        <w:rPr>
          <w:rFonts w:ascii="Arial" w:eastAsia="Times New Roman" w:hAnsi="Arial" w:cs="Arial"/>
          <w:lang w:eastAsia="en-GB"/>
        </w:rPr>
        <w:t xml:space="preserve"> and laparoscopic consumables</w:t>
      </w:r>
      <w:r w:rsidR="00796E5A">
        <w:rPr>
          <w:rFonts w:ascii="Arial" w:eastAsia="Times New Roman" w:hAnsi="Arial" w:cs="Arial"/>
          <w:lang w:eastAsia="en-GB"/>
        </w:rPr>
        <w:t>.</w:t>
      </w:r>
    </w:p>
    <w:p w:rsidR="00796E5A" w:rsidRDefault="00796E5A" w:rsidP="009742D0">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Alignment and realisation of rebate opportunities and capture into cost reduction/ cost improvement opportunities.</w:t>
      </w:r>
    </w:p>
    <w:p w:rsidR="00BE4418" w:rsidRDefault="00796E5A" w:rsidP="009742D0">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Negotiation for top and tail lines</w:t>
      </w:r>
      <w:r w:rsidR="00BE4418">
        <w:rPr>
          <w:rFonts w:ascii="Arial" w:eastAsia="Times New Roman" w:hAnsi="Arial" w:cs="Arial"/>
          <w:lang w:eastAsia="en-GB"/>
        </w:rPr>
        <w:t xml:space="preserve"> for realisation into cost reduction / cost improvement opportunities.</w:t>
      </w:r>
    </w:p>
    <w:p w:rsidR="00FE53C9" w:rsidRDefault="003B3F98" w:rsidP="009742D0">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Identify opportunities to convert</w:t>
      </w:r>
      <w:r w:rsidR="003C68D3">
        <w:rPr>
          <w:rFonts w:ascii="Arial" w:eastAsia="Times New Roman" w:hAnsi="Arial" w:cs="Arial"/>
          <w:lang w:eastAsia="en-GB"/>
        </w:rPr>
        <w:t xml:space="preserve"> direct product lines to NHS Supply Chain or Nationally Contracted Product (NCP).</w:t>
      </w:r>
      <w:r w:rsidR="009742D0" w:rsidRPr="009742D0">
        <w:rPr>
          <w:rFonts w:ascii="Arial" w:eastAsia="Times New Roman" w:hAnsi="Arial" w:cs="Arial"/>
          <w:lang w:eastAsia="en-GB"/>
        </w:rPr>
        <w:t xml:space="preserve">   </w:t>
      </w:r>
      <w:r w:rsidR="005A6CF8" w:rsidRPr="009742D0">
        <w:rPr>
          <w:rFonts w:ascii="Arial" w:eastAsia="Times New Roman" w:hAnsi="Arial" w:cs="Arial"/>
          <w:lang w:eastAsia="en-GB"/>
        </w:rPr>
        <w:t xml:space="preserve"> </w:t>
      </w:r>
    </w:p>
    <w:p w:rsidR="0036411D" w:rsidRDefault="0036411D" w:rsidP="009742D0">
      <w:pPr>
        <w:pStyle w:val="ListParagraph"/>
        <w:numPr>
          <w:ilvl w:val="0"/>
          <w:numId w:val="12"/>
        </w:numPr>
        <w:spacing w:after="0" w:line="240" w:lineRule="auto"/>
        <w:rPr>
          <w:rFonts w:ascii="Arial" w:eastAsia="Times New Roman" w:hAnsi="Arial" w:cs="Arial"/>
          <w:lang w:eastAsia="en-GB"/>
        </w:rPr>
      </w:pPr>
      <w:r>
        <w:rPr>
          <w:rFonts w:ascii="Arial" w:eastAsia="Times New Roman" w:hAnsi="Arial" w:cs="Arial"/>
          <w:lang w:eastAsia="en-GB"/>
        </w:rPr>
        <w:t xml:space="preserve">To inform alterations in either products, or price to the local procurement team to ensure prices/products are reflected/masked in the </w:t>
      </w:r>
      <w:proofErr w:type="spellStart"/>
      <w:r>
        <w:rPr>
          <w:rFonts w:ascii="Arial" w:eastAsia="Times New Roman" w:hAnsi="Arial" w:cs="Arial"/>
          <w:lang w:eastAsia="en-GB"/>
        </w:rPr>
        <w:t>eCatalogue</w:t>
      </w:r>
      <w:proofErr w:type="spellEnd"/>
      <w:r>
        <w:rPr>
          <w:rFonts w:ascii="Arial" w:eastAsia="Times New Roman" w:hAnsi="Arial" w:cs="Arial"/>
          <w:lang w:eastAsia="en-GB"/>
        </w:rPr>
        <w:t xml:space="preserve"> and realisation and tracking of savings.</w:t>
      </w:r>
    </w:p>
    <w:p w:rsidR="00C80075" w:rsidRDefault="00C80075" w:rsidP="00C80075">
      <w:pPr>
        <w:spacing w:after="0" w:line="240" w:lineRule="auto"/>
        <w:rPr>
          <w:rFonts w:ascii="Arial" w:eastAsia="Times New Roman" w:hAnsi="Arial" w:cs="Arial"/>
          <w:lang w:eastAsia="en-GB"/>
        </w:rPr>
      </w:pPr>
    </w:p>
    <w:p w:rsidR="00C80075" w:rsidRDefault="00C80075" w:rsidP="00C80075">
      <w:pPr>
        <w:spacing w:after="0" w:line="240" w:lineRule="auto"/>
        <w:rPr>
          <w:rFonts w:ascii="Arial" w:eastAsia="Times New Roman" w:hAnsi="Arial" w:cs="Arial"/>
          <w:lang w:eastAsia="en-GB"/>
        </w:rPr>
      </w:pPr>
      <w:r>
        <w:rPr>
          <w:rFonts w:ascii="Arial" w:eastAsia="Times New Roman" w:hAnsi="Arial" w:cs="Arial"/>
          <w:lang w:eastAsia="en-GB"/>
        </w:rPr>
        <w:tab/>
        <w:t>Interested provider will submit a proposal</w:t>
      </w:r>
      <w:r w:rsidR="00523028">
        <w:rPr>
          <w:rFonts w:ascii="Arial" w:eastAsia="Times New Roman" w:hAnsi="Arial" w:cs="Arial"/>
          <w:lang w:eastAsia="en-GB"/>
        </w:rPr>
        <w:t xml:space="preserve"> of no longer than 1,500 words to include the </w:t>
      </w:r>
      <w:r w:rsidR="00523028">
        <w:rPr>
          <w:rFonts w:ascii="Arial" w:eastAsia="Times New Roman" w:hAnsi="Arial" w:cs="Arial"/>
          <w:lang w:eastAsia="en-GB"/>
        </w:rPr>
        <w:tab/>
        <w:t>following:</w:t>
      </w:r>
    </w:p>
    <w:p w:rsidR="00523028" w:rsidRDefault="00523028" w:rsidP="00523028">
      <w:pPr>
        <w:pStyle w:val="ListParagraph"/>
        <w:numPr>
          <w:ilvl w:val="0"/>
          <w:numId w:val="13"/>
        </w:numPr>
        <w:spacing w:after="0" w:line="240" w:lineRule="auto"/>
        <w:rPr>
          <w:rFonts w:ascii="Arial" w:eastAsia="Times New Roman" w:hAnsi="Arial" w:cs="Arial"/>
          <w:lang w:eastAsia="en-GB"/>
        </w:rPr>
      </w:pPr>
      <w:r>
        <w:rPr>
          <w:rFonts w:ascii="Arial" w:eastAsia="Times New Roman" w:hAnsi="Arial" w:cs="Arial"/>
          <w:lang w:eastAsia="en-GB"/>
        </w:rPr>
        <w:t>Methods of delivery</w:t>
      </w:r>
    </w:p>
    <w:p w:rsidR="00523028" w:rsidRDefault="00523028" w:rsidP="00523028">
      <w:pPr>
        <w:pStyle w:val="ListParagraph"/>
        <w:numPr>
          <w:ilvl w:val="0"/>
          <w:numId w:val="13"/>
        </w:numPr>
        <w:spacing w:after="0" w:line="240" w:lineRule="auto"/>
        <w:rPr>
          <w:rFonts w:ascii="Arial" w:eastAsia="Times New Roman" w:hAnsi="Arial" w:cs="Arial"/>
          <w:lang w:eastAsia="en-GB"/>
        </w:rPr>
      </w:pPr>
      <w:r>
        <w:rPr>
          <w:rFonts w:ascii="Arial" w:eastAsia="Times New Roman" w:hAnsi="Arial" w:cs="Arial"/>
          <w:lang w:eastAsia="en-GB"/>
        </w:rPr>
        <w:t>Outline name of resources</w:t>
      </w:r>
    </w:p>
    <w:p w:rsidR="00523028" w:rsidRDefault="00523028" w:rsidP="00523028">
      <w:pPr>
        <w:pStyle w:val="ListParagraph"/>
        <w:numPr>
          <w:ilvl w:val="0"/>
          <w:numId w:val="13"/>
        </w:numPr>
        <w:spacing w:after="0" w:line="240" w:lineRule="auto"/>
        <w:rPr>
          <w:rFonts w:ascii="Arial" w:eastAsia="Times New Roman" w:hAnsi="Arial" w:cs="Arial"/>
          <w:lang w:eastAsia="en-GB"/>
        </w:rPr>
      </w:pPr>
      <w:r>
        <w:rPr>
          <w:rFonts w:ascii="Arial" w:eastAsia="Times New Roman" w:hAnsi="Arial" w:cs="Arial"/>
          <w:lang w:eastAsia="en-GB"/>
        </w:rPr>
        <w:t>Total costs</w:t>
      </w:r>
      <w:r w:rsidR="00460860">
        <w:rPr>
          <w:rFonts w:ascii="Arial" w:eastAsia="Times New Roman" w:hAnsi="Arial" w:cs="Arial"/>
          <w:lang w:eastAsia="en-GB"/>
        </w:rPr>
        <w:t xml:space="preserve"> (unit costs, number of days)</w:t>
      </w:r>
    </w:p>
    <w:p w:rsidR="00460860" w:rsidRDefault="00460860" w:rsidP="00523028">
      <w:pPr>
        <w:pStyle w:val="ListParagraph"/>
        <w:numPr>
          <w:ilvl w:val="0"/>
          <w:numId w:val="13"/>
        </w:numPr>
        <w:spacing w:after="0" w:line="240" w:lineRule="auto"/>
        <w:rPr>
          <w:rFonts w:ascii="Arial" w:eastAsia="Times New Roman" w:hAnsi="Arial" w:cs="Arial"/>
          <w:lang w:eastAsia="en-GB"/>
        </w:rPr>
      </w:pPr>
      <w:r>
        <w:rPr>
          <w:rFonts w:ascii="Arial" w:eastAsia="Times New Roman" w:hAnsi="Arial" w:cs="Arial"/>
          <w:lang w:eastAsia="en-GB"/>
        </w:rPr>
        <w:t>Fixed costs? / gain share contract</w:t>
      </w:r>
    </w:p>
    <w:p w:rsidR="00BA27EB" w:rsidRPr="00523028" w:rsidRDefault="00BA27EB" w:rsidP="00BA27EB">
      <w:pPr>
        <w:pStyle w:val="ListParagraph"/>
        <w:numPr>
          <w:ilvl w:val="0"/>
          <w:numId w:val="13"/>
        </w:numPr>
        <w:spacing w:after="0" w:line="240" w:lineRule="auto"/>
        <w:rPr>
          <w:rFonts w:ascii="Arial" w:eastAsia="Times New Roman" w:hAnsi="Arial" w:cs="Arial"/>
          <w:lang w:eastAsia="en-GB"/>
        </w:rPr>
      </w:pPr>
      <w:r w:rsidRPr="00BA27EB">
        <w:rPr>
          <w:rFonts w:ascii="Arial" w:eastAsia="Times New Roman" w:hAnsi="Arial" w:cs="Arial"/>
          <w:lang w:eastAsia="en-GB"/>
        </w:rPr>
        <w:t xml:space="preserve">CVs of personnel for this project (this is not included in proposal </w:t>
      </w:r>
      <w:proofErr w:type="spellStart"/>
      <w:r w:rsidRPr="00BA27EB">
        <w:rPr>
          <w:rFonts w:ascii="Arial" w:eastAsia="Times New Roman" w:hAnsi="Arial" w:cs="Arial"/>
          <w:lang w:eastAsia="en-GB"/>
        </w:rPr>
        <w:t>wordcount</w:t>
      </w:r>
      <w:proofErr w:type="spellEnd"/>
      <w:r w:rsidRPr="00BA27EB">
        <w:rPr>
          <w:rFonts w:ascii="Arial" w:eastAsia="Times New Roman" w:hAnsi="Arial" w:cs="Arial"/>
          <w:lang w:eastAsia="en-GB"/>
        </w:rPr>
        <w:t>)</w:t>
      </w:r>
      <w:bookmarkStart w:id="0" w:name="_GoBack"/>
      <w:bookmarkEnd w:id="0"/>
    </w:p>
    <w:p w:rsidR="00BD733C" w:rsidRDefault="00BD733C" w:rsidP="00FE0292">
      <w:pPr>
        <w:spacing w:after="0" w:line="240" w:lineRule="auto"/>
        <w:ind w:left="720" w:hanging="720"/>
        <w:rPr>
          <w:rFonts w:ascii="Arial" w:eastAsia="Times New Roman" w:hAnsi="Arial" w:cs="Arial"/>
          <w:color w:val="00B0F0"/>
          <w:lang w:eastAsia="en-GB"/>
        </w:rPr>
      </w:pPr>
    </w:p>
    <w:p w:rsidR="00460860" w:rsidRDefault="00460860" w:rsidP="00FE0292">
      <w:pPr>
        <w:spacing w:after="0" w:line="240" w:lineRule="auto"/>
        <w:ind w:left="720" w:hanging="720"/>
        <w:rPr>
          <w:rFonts w:ascii="Arial" w:eastAsia="Times New Roman" w:hAnsi="Arial" w:cs="Arial"/>
          <w:color w:val="00B0F0"/>
          <w:lang w:eastAsia="en-GB"/>
        </w:rPr>
      </w:pPr>
    </w:p>
    <w:sectPr w:rsidR="00460860" w:rsidSect="004C53AA">
      <w:headerReference w:type="default" r:id="rId9"/>
      <w:footerReference w:type="default" r:id="rId10"/>
      <w:pgSz w:w="11906" w:h="16838"/>
      <w:pgMar w:top="1021" w:right="1021" w:bottom="1021" w:left="1021" w:header="708" w:footer="1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D0" w:rsidRDefault="009742D0" w:rsidP="00526460">
      <w:pPr>
        <w:spacing w:after="0" w:line="240" w:lineRule="auto"/>
      </w:pPr>
      <w:r>
        <w:separator/>
      </w:r>
    </w:p>
  </w:endnote>
  <w:endnote w:type="continuationSeparator" w:id="0">
    <w:p w:rsidR="009742D0" w:rsidRDefault="009742D0" w:rsidP="0052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814148"/>
      <w:docPartObj>
        <w:docPartGallery w:val="Page Numbers (Bottom of Page)"/>
        <w:docPartUnique/>
      </w:docPartObj>
    </w:sdtPr>
    <w:sdtContent>
      <w:sdt>
        <w:sdtPr>
          <w:id w:val="-177967822"/>
          <w:docPartObj>
            <w:docPartGallery w:val="Page Numbers (Top of Page)"/>
            <w:docPartUnique/>
          </w:docPartObj>
        </w:sdtPr>
        <w:sdtContent>
          <w:p w:rsidR="009742D0" w:rsidRPr="00481987" w:rsidRDefault="009742D0">
            <w:pPr>
              <w:pStyle w:val="Footer"/>
              <w:jc w:val="center"/>
            </w:pPr>
            <w:r w:rsidRPr="00A24B20">
              <w:t xml:space="preserve">Page </w:t>
            </w:r>
            <w:r w:rsidRPr="00A24B20">
              <w:rPr>
                <w:b/>
                <w:bCs/>
                <w:sz w:val="24"/>
                <w:szCs w:val="24"/>
              </w:rPr>
              <w:fldChar w:fldCharType="begin"/>
            </w:r>
            <w:r w:rsidRPr="00A24B20">
              <w:rPr>
                <w:b/>
                <w:bCs/>
              </w:rPr>
              <w:instrText xml:space="preserve"> PAGE </w:instrText>
            </w:r>
            <w:r w:rsidRPr="00A24B20">
              <w:rPr>
                <w:b/>
                <w:bCs/>
                <w:sz w:val="24"/>
                <w:szCs w:val="24"/>
              </w:rPr>
              <w:fldChar w:fldCharType="separate"/>
            </w:r>
            <w:r w:rsidR="00BA27EB">
              <w:rPr>
                <w:b/>
                <w:bCs/>
                <w:noProof/>
              </w:rPr>
              <w:t>2</w:t>
            </w:r>
            <w:r w:rsidRPr="00A24B20">
              <w:rPr>
                <w:b/>
                <w:bCs/>
                <w:sz w:val="24"/>
                <w:szCs w:val="24"/>
              </w:rPr>
              <w:fldChar w:fldCharType="end"/>
            </w:r>
            <w:r w:rsidRPr="00A24B20">
              <w:t xml:space="preserve"> of </w:t>
            </w:r>
            <w:r w:rsidRPr="00A24B20">
              <w:rPr>
                <w:b/>
                <w:bCs/>
                <w:sz w:val="24"/>
                <w:szCs w:val="24"/>
              </w:rPr>
              <w:fldChar w:fldCharType="begin"/>
            </w:r>
            <w:r w:rsidRPr="00A24B20">
              <w:rPr>
                <w:b/>
                <w:bCs/>
              </w:rPr>
              <w:instrText xml:space="preserve"> NUMPAGES  </w:instrText>
            </w:r>
            <w:r w:rsidRPr="00A24B20">
              <w:rPr>
                <w:b/>
                <w:bCs/>
                <w:sz w:val="24"/>
                <w:szCs w:val="24"/>
              </w:rPr>
              <w:fldChar w:fldCharType="separate"/>
            </w:r>
            <w:r w:rsidR="00BA27EB">
              <w:rPr>
                <w:b/>
                <w:bCs/>
                <w:noProof/>
              </w:rPr>
              <w:t>2</w:t>
            </w:r>
            <w:r w:rsidRPr="00A24B20">
              <w:rPr>
                <w:b/>
                <w:bCs/>
                <w:sz w:val="24"/>
                <w:szCs w:val="24"/>
              </w:rPr>
              <w:fldChar w:fldCharType="end"/>
            </w:r>
          </w:p>
        </w:sdtContent>
      </w:sdt>
    </w:sdtContent>
  </w:sdt>
  <w:p w:rsidR="009742D0" w:rsidRDefault="00974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D0" w:rsidRDefault="009742D0" w:rsidP="00526460">
      <w:pPr>
        <w:spacing w:after="0" w:line="240" w:lineRule="auto"/>
      </w:pPr>
      <w:r>
        <w:separator/>
      </w:r>
    </w:p>
  </w:footnote>
  <w:footnote w:type="continuationSeparator" w:id="0">
    <w:p w:rsidR="009742D0" w:rsidRDefault="009742D0" w:rsidP="00526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D0" w:rsidRDefault="009742D0" w:rsidP="00B20600">
    <w:pPr>
      <w:pStyle w:val="Header"/>
      <w:jc w:val="right"/>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30.95pt;margin-top:-16.45pt;width:276.55pt;height:29.1pt;z-index:251659264">
          <v:imagedata r:id="rId1" o:title=""/>
          <w10:wrap type="topAndBottom"/>
        </v:shape>
        <o:OLEObject Type="Embed" ProgID="PhotoDeluxeBusiness.Image.1" ShapeID="_x0000_s2049" DrawAspect="Content" ObjectID="_1574180388" r:id="rId2">
          <o:FieldCodes>\s</o:FieldCodes>
        </o:OLEObject>
      </w:pict>
    </w:r>
  </w:p>
  <w:p w:rsidR="009742D0" w:rsidRPr="003F2D64" w:rsidRDefault="009742D0" w:rsidP="00B20600">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C2A9F"/>
    <w:multiLevelType w:val="hybridMultilevel"/>
    <w:tmpl w:val="C33C61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95B5D54"/>
    <w:multiLevelType w:val="hybridMultilevel"/>
    <w:tmpl w:val="A28686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9784248"/>
    <w:multiLevelType w:val="hybridMultilevel"/>
    <w:tmpl w:val="6D8C1B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A08102E"/>
    <w:multiLevelType w:val="hybridMultilevel"/>
    <w:tmpl w:val="F04E8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E4687F"/>
    <w:multiLevelType w:val="hybridMultilevel"/>
    <w:tmpl w:val="4F7246AA"/>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nsid w:val="463936F0"/>
    <w:multiLevelType w:val="hybridMultilevel"/>
    <w:tmpl w:val="EC2864EC"/>
    <w:lvl w:ilvl="0" w:tplc="76B67F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A816907"/>
    <w:multiLevelType w:val="hybridMultilevel"/>
    <w:tmpl w:val="174C0884"/>
    <w:lvl w:ilvl="0" w:tplc="09B4BE7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nsid w:val="53425D77"/>
    <w:multiLevelType w:val="hybridMultilevel"/>
    <w:tmpl w:val="B41897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BE545A"/>
    <w:multiLevelType w:val="hybridMultilevel"/>
    <w:tmpl w:val="4F7246AA"/>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nsid w:val="58377808"/>
    <w:multiLevelType w:val="hybridMultilevel"/>
    <w:tmpl w:val="6922A158"/>
    <w:lvl w:ilvl="0" w:tplc="2F5C27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EB1662"/>
    <w:multiLevelType w:val="hybridMultilevel"/>
    <w:tmpl w:val="92A8BA08"/>
    <w:lvl w:ilvl="0" w:tplc="6440459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1">
    <w:nsid w:val="6C6361B6"/>
    <w:multiLevelType w:val="hybridMultilevel"/>
    <w:tmpl w:val="4A16AC4A"/>
    <w:lvl w:ilvl="0" w:tplc="0A7EF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31126A1"/>
    <w:multiLevelType w:val="hybridMultilevel"/>
    <w:tmpl w:val="39A28FE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4"/>
  </w:num>
  <w:num w:numId="2">
    <w:abstractNumId w:val="12"/>
  </w:num>
  <w:num w:numId="3">
    <w:abstractNumId w:val="0"/>
  </w:num>
  <w:num w:numId="4">
    <w:abstractNumId w:val="8"/>
  </w:num>
  <w:num w:numId="5">
    <w:abstractNumId w:val="7"/>
  </w:num>
  <w:num w:numId="6">
    <w:abstractNumId w:val="9"/>
  </w:num>
  <w:num w:numId="7">
    <w:abstractNumId w:val="11"/>
  </w:num>
  <w:num w:numId="8">
    <w:abstractNumId w:val="6"/>
  </w:num>
  <w:num w:numId="9">
    <w:abstractNumId w:val="2"/>
  </w:num>
  <w:num w:numId="10">
    <w:abstractNumId w:val="1"/>
  </w:num>
  <w:num w:numId="11">
    <w:abstractNumId w:val="10"/>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ader Suzie (RQW) Pr Alexandra Hosp Tr">
    <w15:presenceInfo w15:providerId="AD" w15:userId="S-1-5-21-1410159149-3277929415-273413875-142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92"/>
    <w:rsid w:val="00076CFD"/>
    <w:rsid w:val="0008733E"/>
    <w:rsid w:val="000C7B55"/>
    <w:rsid w:val="000E72B0"/>
    <w:rsid w:val="000E7AB1"/>
    <w:rsid w:val="000F4493"/>
    <w:rsid w:val="00103A88"/>
    <w:rsid w:val="001A784B"/>
    <w:rsid w:val="001D6919"/>
    <w:rsid w:val="002156A4"/>
    <w:rsid w:val="00261880"/>
    <w:rsid w:val="002802B3"/>
    <w:rsid w:val="00283E51"/>
    <w:rsid w:val="002E1E8D"/>
    <w:rsid w:val="00301F43"/>
    <w:rsid w:val="00302F4F"/>
    <w:rsid w:val="003111A8"/>
    <w:rsid w:val="003478F8"/>
    <w:rsid w:val="0036411D"/>
    <w:rsid w:val="00396B96"/>
    <w:rsid w:val="003B3F98"/>
    <w:rsid w:val="003C68D3"/>
    <w:rsid w:val="003D36A6"/>
    <w:rsid w:val="003E0BC9"/>
    <w:rsid w:val="003F43B6"/>
    <w:rsid w:val="004151E4"/>
    <w:rsid w:val="00427A09"/>
    <w:rsid w:val="00460860"/>
    <w:rsid w:val="00461460"/>
    <w:rsid w:val="00480280"/>
    <w:rsid w:val="004959A8"/>
    <w:rsid w:val="004A1B3B"/>
    <w:rsid w:val="004C1855"/>
    <w:rsid w:val="004C53AA"/>
    <w:rsid w:val="004D24B6"/>
    <w:rsid w:val="00517006"/>
    <w:rsid w:val="00523028"/>
    <w:rsid w:val="00526460"/>
    <w:rsid w:val="00535BA1"/>
    <w:rsid w:val="005A6CF8"/>
    <w:rsid w:val="005B4B70"/>
    <w:rsid w:val="005F4372"/>
    <w:rsid w:val="00647EA4"/>
    <w:rsid w:val="006B13CC"/>
    <w:rsid w:val="006F5E6B"/>
    <w:rsid w:val="006F601E"/>
    <w:rsid w:val="00706A41"/>
    <w:rsid w:val="00725CC7"/>
    <w:rsid w:val="00746E90"/>
    <w:rsid w:val="00796E5A"/>
    <w:rsid w:val="007B0D92"/>
    <w:rsid w:val="00804710"/>
    <w:rsid w:val="00813F3C"/>
    <w:rsid w:val="00852FCA"/>
    <w:rsid w:val="00874454"/>
    <w:rsid w:val="00894AE7"/>
    <w:rsid w:val="008A07E5"/>
    <w:rsid w:val="008B2EF5"/>
    <w:rsid w:val="008C2419"/>
    <w:rsid w:val="008D3EE4"/>
    <w:rsid w:val="009073B6"/>
    <w:rsid w:val="00942B64"/>
    <w:rsid w:val="00943F18"/>
    <w:rsid w:val="00952723"/>
    <w:rsid w:val="009742D0"/>
    <w:rsid w:val="009A2056"/>
    <w:rsid w:val="009E3315"/>
    <w:rsid w:val="00A1465E"/>
    <w:rsid w:val="00A564EF"/>
    <w:rsid w:val="00AA1C91"/>
    <w:rsid w:val="00AD24DE"/>
    <w:rsid w:val="00AE6195"/>
    <w:rsid w:val="00B14161"/>
    <w:rsid w:val="00B20600"/>
    <w:rsid w:val="00B549B3"/>
    <w:rsid w:val="00B709EA"/>
    <w:rsid w:val="00B939EB"/>
    <w:rsid w:val="00BA27EB"/>
    <w:rsid w:val="00BB25B1"/>
    <w:rsid w:val="00BD266C"/>
    <w:rsid w:val="00BD733C"/>
    <w:rsid w:val="00BE4418"/>
    <w:rsid w:val="00BF0257"/>
    <w:rsid w:val="00C1520E"/>
    <w:rsid w:val="00C23D01"/>
    <w:rsid w:val="00C32A32"/>
    <w:rsid w:val="00C57101"/>
    <w:rsid w:val="00C61F93"/>
    <w:rsid w:val="00C80075"/>
    <w:rsid w:val="00CC42D7"/>
    <w:rsid w:val="00CE3CB4"/>
    <w:rsid w:val="00D1215E"/>
    <w:rsid w:val="00D278D0"/>
    <w:rsid w:val="00D50186"/>
    <w:rsid w:val="00D64CF8"/>
    <w:rsid w:val="00DB1146"/>
    <w:rsid w:val="00DC3421"/>
    <w:rsid w:val="00DC7834"/>
    <w:rsid w:val="00DD1096"/>
    <w:rsid w:val="00DE0642"/>
    <w:rsid w:val="00E055BA"/>
    <w:rsid w:val="00E13389"/>
    <w:rsid w:val="00E50309"/>
    <w:rsid w:val="00E7101F"/>
    <w:rsid w:val="00E94B90"/>
    <w:rsid w:val="00EB7348"/>
    <w:rsid w:val="00EE28DA"/>
    <w:rsid w:val="00F22C4E"/>
    <w:rsid w:val="00F3164B"/>
    <w:rsid w:val="00F44818"/>
    <w:rsid w:val="00F87D4B"/>
    <w:rsid w:val="00FD43E6"/>
    <w:rsid w:val="00FE0292"/>
    <w:rsid w:val="00FE3516"/>
    <w:rsid w:val="00FE5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292"/>
    <w:pPr>
      <w:tabs>
        <w:tab w:val="center" w:pos="4513"/>
        <w:tab w:val="right" w:pos="9026"/>
      </w:tabs>
      <w:spacing w:after="0" w:line="240" w:lineRule="auto"/>
      <w:jc w:val="both"/>
    </w:pPr>
    <w:rPr>
      <w:rFonts w:ascii="Arial" w:eastAsia="Times New Roman" w:hAnsi="Arial" w:cs="Arial"/>
      <w:lang w:eastAsia="en-GB"/>
    </w:rPr>
  </w:style>
  <w:style w:type="character" w:customStyle="1" w:styleId="HeaderChar">
    <w:name w:val="Header Char"/>
    <w:basedOn w:val="DefaultParagraphFont"/>
    <w:link w:val="Header"/>
    <w:uiPriority w:val="99"/>
    <w:rsid w:val="00FE0292"/>
    <w:rPr>
      <w:rFonts w:ascii="Arial" w:eastAsia="Times New Roman" w:hAnsi="Arial" w:cs="Arial"/>
      <w:lang w:eastAsia="en-GB"/>
    </w:rPr>
  </w:style>
  <w:style w:type="paragraph" w:styleId="Footer">
    <w:name w:val="footer"/>
    <w:basedOn w:val="Normal"/>
    <w:link w:val="FooterChar"/>
    <w:uiPriority w:val="99"/>
    <w:unhideWhenUsed/>
    <w:rsid w:val="00FE0292"/>
    <w:pPr>
      <w:tabs>
        <w:tab w:val="center" w:pos="4513"/>
        <w:tab w:val="right" w:pos="9026"/>
      </w:tabs>
      <w:spacing w:after="0" w:line="240" w:lineRule="auto"/>
      <w:jc w:val="both"/>
    </w:pPr>
    <w:rPr>
      <w:rFonts w:ascii="Arial" w:eastAsia="Times New Roman" w:hAnsi="Arial" w:cs="Arial"/>
      <w:lang w:eastAsia="en-GB"/>
    </w:rPr>
  </w:style>
  <w:style w:type="character" w:customStyle="1" w:styleId="FooterChar">
    <w:name w:val="Footer Char"/>
    <w:basedOn w:val="DefaultParagraphFont"/>
    <w:link w:val="Footer"/>
    <w:uiPriority w:val="99"/>
    <w:rsid w:val="00FE0292"/>
    <w:rPr>
      <w:rFonts w:ascii="Arial" w:eastAsia="Times New Roman" w:hAnsi="Arial" w:cs="Arial"/>
      <w:lang w:eastAsia="en-GB"/>
    </w:rPr>
  </w:style>
  <w:style w:type="paragraph" w:styleId="ListParagraph">
    <w:name w:val="List Paragraph"/>
    <w:basedOn w:val="Normal"/>
    <w:uiPriority w:val="34"/>
    <w:qFormat/>
    <w:rsid w:val="00526460"/>
    <w:pPr>
      <w:ind w:left="720"/>
      <w:contextualSpacing/>
    </w:pPr>
  </w:style>
  <w:style w:type="character" w:styleId="CommentReference">
    <w:name w:val="annotation reference"/>
    <w:basedOn w:val="DefaultParagraphFont"/>
    <w:uiPriority w:val="99"/>
    <w:semiHidden/>
    <w:unhideWhenUsed/>
    <w:rsid w:val="002E1E8D"/>
    <w:rPr>
      <w:sz w:val="16"/>
      <w:szCs w:val="16"/>
    </w:rPr>
  </w:style>
  <w:style w:type="paragraph" w:styleId="CommentText">
    <w:name w:val="annotation text"/>
    <w:basedOn w:val="Normal"/>
    <w:link w:val="CommentTextChar"/>
    <w:uiPriority w:val="99"/>
    <w:semiHidden/>
    <w:unhideWhenUsed/>
    <w:rsid w:val="002E1E8D"/>
    <w:pPr>
      <w:spacing w:line="240" w:lineRule="auto"/>
    </w:pPr>
    <w:rPr>
      <w:sz w:val="20"/>
      <w:szCs w:val="20"/>
    </w:rPr>
  </w:style>
  <w:style w:type="character" w:customStyle="1" w:styleId="CommentTextChar">
    <w:name w:val="Comment Text Char"/>
    <w:basedOn w:val="DefaultParagraphFont"/>
    <w:link w:val="CommentText"/>
    <w:uiPriority w:val="99"/>
    <w:semiHidden/>
    <w:rsid w:val="002E1E8D"/>
    <w:rPr>
      <w:sz w:val="20"/>
      <w:szCs w:val="20"/>
    </w:rPr>
  </w:style>
  <w:style w:type="paragraph" w:styleId="CommentSubject">
    <w:name w:val="annotation subject"/>
    <w:basedOn w:val="CommentText"/>
    <w:next w:val="CommentText"/>
    <w:link w:val="CommentSubjectChar"/>
    <w:uiPriority w:val="99"/>
    <w:semiHidden/>
    <w:unhideWhenUsed/>
    <w:rsid w:val="002E1E8D"/>
    <w:rPr>
      <w:b/>
      <w:bCs/>
    </w:rPr>
  </w:style>
  <w:style w:type="character" w:customStyle="1" w:styleId="CommentSubjectChar">
    <w:name w:val="Comment Subject Char"/>
    <w:basedOn w:val="CommentTextChar"/>
    <w:link w:val="CommentSubject"/>
    <w:uiPriority w:val="99"/>
    <w:semiHidden/>
    <w:rsid w:val="002E1E8D"/>
    <w:rPr>
      <w:b/>
      <w:bCs/>
      <w:sz w:val="20"/>
      <w:szCs w:val="20"/>
    </w:rPr>
  </w:style>
  <w:style w:type="paragraph" w:styleId="BalloonText">
    <w:name w:val="Balloon Text"/>
    <w:basedOn w:val="Normal"/>
    <w:link w:val="BalloonTextChar"/>
    <w:uiPriority w:val="99"/>
    <w:semiHidden/>
    <w:unhideWhenUsed/>
    <w:rsid w:val="002E1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8D"/>
    <w:rPr>
      <w:rFonts w:ascii="Segoe UI" w:hAnsi="Segoe UI" w:cs="Segoe UI"/>
      <w:sz w:val="18"/>
      <w:szCs w:val="18"/>
    </w:rPr>
  </w:style>
  <w:style w:type="table" w:styleId="TableGrid">
    <w:name w:val="Table Grid"/>
    <w:basedOn w:val="TableNormal"/>
    <w:uiPriority w:val="59"/>
    <w:rsid w:val="0049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292"/>
    <w:pPr>
      <w:tabs>
        <w:tab w:val="center" w:pos="4513"/>
        <w:tab w:val="right" w:pos="9026"/>
      </w:tabs>
      <w:spacing w:after="0" w:line="240" w:lineRule="auto"/>
      <w:jc w:val="both"/>
    </w:pPr>
    <w:rPr>
      <w:rFonts w:ascii="Arial" w:eastAsia="Times New Roman" w:hAnsi="Arial" w:cs="Arial"/>
      <w:lang w:eastAsia="en-GB"/>
    </w:rPr>
  </w:style>
  <w:style w:type="character" w:customStyle="1" w:styleId="HeaderChar">
    <w:name w:val="Header Char"/>
    <w:basedOn w:val="DefaultParagraphFont"/>
    <w:link w:val="Header"/>
    <w:uiPriority w:val="99"/>
    <w:rsid w:val="00FE0292"/>
    <w:rPr>
      <w:rFonts w:ascii="Arial" w:eastAsia="Times New Roman" w:hAnsi="Arial" w:cs="Arial"/>
      <w:lang w:eastAsia="en-GB"/>
    </w:rPr>
  </w:style>
  <w:style w:type="paragraph" w:styleId="Footer">
    <w:name w:val="footer"/>
    <w:basedOn w:val="Normal"/>
    <w:link w:val="FooterChar"/>
    <w:uiPriority w:val="99"/>
    <w:unhideWhenUsed/>
    <w:rsid w:val="00FE0292"/>
    <w:pPr>
      <w:tabs>
        <w:tab w:val="center" w:pos="4513"/>
        <w:tab w:val="right" w:pos="9026"/>
      </w:tabs>
      <w:spacing w:after="0" w:line="240" w:lineRule="auto"/>
      <w:jc w:val="both"/>
    </w:pPr>
    <w:rPr>
      <w:rFonts w:ascii="Arial" w:eastAsia="Times New Roman" w:hAnsi="Arial" w:cs="Arial"/>
      <w:lang w:eastAsia="en-GB"/>
    </w:rPr>
  </w:style>
  <w:style w:type="character" w:customStyle="1" w:styleId="FooterChar">
    <w:name w:val="Footer Char"/>
    <w:basedOn w:val="DefaultParagraphFont"/>
    <w:link w:val="Footer"/>
    <w:uiPriority w:val="99"/>
    <w:rsid w:val="00FE0292"/>
    <w:rPr>
      <w:rFonts w:ascii="Arial" w:eastAsia="Times New Roman" w:hAnsi="Arial" w:cs="Arial"/>
      <w:lang w:eastAsia="en-GB"/>
    </w:rPr>
  </w:style>
  <w:style w:type="paragraph" w:styleId="ListParagraph">
    <w:name w:val="List Paragraph"/>
    <w:basedOn w:val="Normal"/>
    <w:uiPriority w:val="34"/>
    <w:qFormat/>
    <w:rsid w:val="00526460"/>
    <w:pPr>
      <w:ind w:left="720"/>
      <w:contextualSpacing/>
    </w:pPr>
  </w:style>
  <w:style w:type="character" w:styleId="CommentReference">
    <w:name w:val="annotation reference"/>
    <w:basedOn w:val="DefaultParagraphFont"/>
    <w:uiPriority w:val="99"/>
    <w:semiHidden/>
    <w:unhideWhenUsed/>
    <w:rsid w:val="002E1E8D"/>
    <w:rPr>
      <w:sz w:val="16"/>
      <w:szCs w:val="16"/>
    </w:rPr>
  </w:style>
  <w:style w:type="paragraph" w:styleId="CommentText">
    <w:name w:val="annotation text"/>
    <w:basedOn w:val="Normal"/>
    <w:link w:val="CommentTextChar"/>
    <w:uiPriority w:val="99"/>
    <w:semiHidden/>
    <w:unhideWhenUsed/>
    <w:rsid w:val="002E1E8D"/>
    <w:pPr>
      <w:spacing w:line="240" w:lineRule="auto"/>
    </w:pPr>
    <w:rPr>
      <w:sz w:val="20"/>
      <w:szCs w:val="20"/>
    </w:rPr>
  </w:style>
  <w:style w:type="character" w:customStyle="1" w:styleId="CommentTextChar">
    <w:name w:val="Comment Text Char"/>
    <w:basedOn w:val="DefaultParagraphFont"/>
    <w:link w:val="CommentText"/>
    <w:uiPriority w:val="99"/>
    <w:semiHidden/>
    <w:rsid w:val="002E1E8D"/>
    <w:rPr>
      <w:sz w:val="20"/>
      <w:szCs w:val="20"/>
    </w:rPr>
  </w:style>
  <w:style w:type="paragraph" w:styleId="CommentSubject">
    <w:name w:val="annotation subject"/>
    <w:basedOn w:val="CommentText"/>
    <w:next w:val="CommentText"/>
    <w:link w:val="CommentSubjectChar"/>
    <w:uiPriority w:val="99"/>
    <w:semiHidden/>
    <w:unhideWhenUsed/>
    <w:rsid w:val="002E1E8D"/>
    <w:rPr>
      <w:b/>
      <w:bCs/>
    </w:rPr>
  </w:style>
  <w:style w:type="character" w:customStyle="1" w:styleId="CommentSubjectChar">
    <w:name w:val="Comment Subject Char"/>
    <w:basedOn w:val="CommentTextChar"/>
    <w:link w:val="CommentSubject"/>
    <w:uiPriority w:val="99"/>
    <w:semiHidden/>
    <w:rsid w:val="002E1E8D"/>
    <w:rPr>
      <w:b/>
      <w:bCs/>
      <w:sz w:val="20"/>
      <w:szCs w:val="20"/>
    </w:rPr>
  </w:style>
  <w:style w:type="paragraph" w:styleId="BalloonText">
    <w:name w:val="Balloon Text"/>
    <w:basedOn w:val="Normal"/>
    <w:link w:val="BalloonTextChar"/>
    <w:uiPriority w:val="99"/>
    <w:semiHidden/>
    <w:unhideWhenUsed/>
    <w:rsid w:val="002E1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8D"/>
    <w:rPr>
      <w:rFonts w:ascii="Segoe UI" w:hAnsi="Segoe UI" w:cs="Segoe UI"/>
      <w:sz w:val="18"/>
      <w:szCs w:val="18"/>
    </w:rPr>
  </w:style>
  <w:style w:type="table" w:styleId="TableGrid">
    <w:name w:val="Table Grid"/>
    <w:basedOn w:val="TableNormal"/>
    <w:uiPriority w:val="59"/>
    <w:rsid w:val="0049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F9622-D995-43F5-84D4-1B4B955C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 Fiona (RQW) Pr Alexandra Hosp Tr</dc:creator>
  <cp:lastModifiedBy>Goh Stanley (RQW) Pr Alexandra Hosp Tr</cp:lastModifiedBy>
  <cp:revision>5</cp:revision>
  <cp:lastPrinted>2017-11-29T12:06:00Z</cp:lastPrinted>
  <dcterms:created xsi:type="dcterms:W3CDTF">2017-12-07T16:29:00Z</dcterms:created>
  <dcterms:modified xsi:type="dcterms:W3CDTF">2017-12-07T19:30:00Z</dcterms:modified>
</cp:coreProperties>
</file>